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4EDB6D">
      <w:pPr>
        <w:spacing w:line="480" w:lineRule="exact"/>
        <w:jc w:val="center"/>
        <w:rPr>
          <w:rFonts w:ascii="仿宋_GB2312" w:hAnsi="仿宋" w:eastAsia="仿宋_GB2312" w:cs="仿宋_GB2312"/>
          <w:b/>
          <w:color w:val="auto"/>
          <w:sz w:val="32"/>
          <w:szCs w:val="32"/>
          <w:highlight w:val="none"/>
        </w:rPr>
      </w:pPr>
      <w:r>
        <w:rPr>
          <w:rFonts w:hint="eastAsia" w:ascii="仿宋_GB2312" w:eastAsia="仿宋_GB2312"/>
          <w:color w:val="auto"/>
          <w:highlight w:val="none"/>
        </w:rPr>
        <w:drawing>
          <wp:anchor distT="0" distB="0" distL="114300" distR="114300" simplePos="0" relativeHeight="251660288" behindDoc="0" locked="0" layoutInCell="1" allowOverlap="1">
            <wp:simplePos x="0" y="0"/>
            <wp:positionH relativeFrom="column">
              <wp:posOffset>5036185</wp:posOffset>
            </wp:positionH>
            <wp:positionV relativeFrom="paragraph">
              <wp:posOffset>6985</wp:posOffset>
            </wp:positionV>
            <wp:extent cx="810260" cy="838200"/>
            <wp:effectExtent l="0" t="0" r="12700" b="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a:stretch>
                      <a:fillRect/>
                    </a:stretch>
                  </pic:blipFill>
                  <pic:spPr>
                    <a:xfrm>
                      <a:off x="0" y="0"/>
                      <a:ext cx="810260" cy="838200"/>
                    </a:xfrm>
                    <a:prstGeom prst="rect">
                      <a:avLst/>
                    </a:prstGeom>
                    <a:noFill/>
                    <a:ln>
                      <a:noFill/>
                    </a:ln>
                  </pic:spPr>
                </pic:pic>
              </a:graphicData>
            </a:graphic>
          </wp:anchor>
        </w:drawing>
      </w:r>
    </w:p>
    <w:p w14:paraId="165BC2A6">
      <w:pPr>
        <w:spacing w:line="360" w:lineRule="auto"/>
        <w:ind w:firstLine="260" w:firstLineChars="50"/>
        <w:jc w:val="center"/>
        <w:rPr>
          <w:rFonts w:ascii="仿宋_GB2312" w:hAnsi="仿宋" w:eastAsia="仿宋_GB2312" w:cs="仿宋_GB2312"/>
          <w:b/>
          <w:color w:val="auto"/>
          <w:sz w:val="52"/>
          <w:szCs w:val="52"/>
          <w:highlight w:val="none"/>
        </w:rPr>
      </w:pPr>
    </w:p>
    <w:p w14:paraId="59CA1159">
      <w:pPr>
        <w:spacing w:after="249" w:line="259" w:lineRule="auto"/>
        <w:ind w:right="9"/>
        <w:jc w:val="center"/>
        <w:rPr>
          <w:rFonts w:ascii="方正小标宋简体" w:hAnsi="仿宋" w:eastAsia="方正小标宋简体"/>
          <w:color w:val="auto"/>
          <w:sz w:val="52"/>
          <w:highlight w:val="none"/>
        </w:rPr>
      </w:pPr>
      <w:r>
        <w:rPr>
          <w:rFonts w:hint="eastAsia" w:ascii="方正小标宋简体" w:hAnsi="仿宋" w:eastAsia="方正小标宋简体"/>
          <w:color w:val="auto"/>
          <w:sz w:val="52"/>
          <w:highlight w:val="none"/>
        </w:rPr>
        <w:t>辽宁省政府采购项目</w:t>
      </w:r>
    </w:p>
    <w:p w14:paraId="5B61C2DF">
      <w:pPr>
        <w:spacing w:line="360" w:lineRule="auto"/>
        <w:ind w:firstLine="120" w:firstLineChars="50"/>
        <w:jc w:val="center"/>
        <w:rPr>
          <w:rFonts w:ascii="仿宋_GB2312" w:hAnsi="仿宋" w:eastAsia="仿宋_GB2312" w:cs="仿宋_GB2312"/>
          <w:b/>
          <w:color w:val="auto"/>
          <w:sz w:val="24"/>
          <w:highlight w:val="none"/>
        </w:rPr>
      </w:pPr>
    </w:p>
    <w:p w14:paraId="10E6A668">
      <w:pPr>
        <w:spacing w:line="360" w:lineRule="auto"/>
        <w:ind w:firstLine="120" w:firstLineChars="50"/>
        <w:jc w:val="center"/>
        <w:rPr>
          <w:rFonts w:ascii="仿宋_GB2312" w:hAnsi="仿宋" w:eastAsia="仿宋_GB2312" w:cs="仿宋_GB2312"/>
          <w:b/>
          <w:color w:val="auto"/>
          <w:sz w:val="24"/>
          <w:highlight w:val="none"/>
        </w:rPr>
      </w:pPr>
    </w:p>
    <w:p w14:paraId="37BB9B59">
      <w:pPr>
        <w:spacing w:before="156" w:beforeLines="50" w:after="156" w:afterLines="50" w:line="360" w:lineRule="auto"/>
        <w:jc w:val="center"/>
        <w:rPr>
          <w:rFonts w:ascii="楷体_GB2312" w:hAnsi="仿宋" w:eastAsia="楷体_GB2312" w:cs="仿宋_GB2312"/>
          <w:bCs/>
          <w:color w:val="auto"/>
          <w:sz w:val="48"/>
          <w:szCs w:val="48"/>
          <w:highlight w:val="none"/>
        </w:rPr>
      </w:pPr>
      <w:r>
        <w:rPr>
          <w:rFonts w:hint="eastAsia" w:ascii="楷体_GB2312" w:hAnsi="仿宋" w:eastAsia="楷体_GB2312" w:cs="仿宋_GB2312"/>
          <w:bCs/>
          <w:color w:val="auto"/>
          <w:sz w:val="48"/>
          <w:szCs w:val="48"/>
          <w:highlight w:val="none"/>
        </w:rPr>
        <w:t>货物类公开招标</w:t>
      </w:r>
    </w:p>
    <w:p w14:paraId="0705C174">
      <w:pPr>
        <w:spacing w:line="360" w:lineRule="auto"/>
        <w:ind w:firstLine="120" w:firstLineChars="50"/>
        <w:jc w:val="center"/>
        <w:rPr>
          <w:rFonts w:ascii="仿宋_GB2312" w:hAnsi="仿宋" w:eastAsia="仿宋_GB2312" w:cs="仿宋_GB2312"/>
          <w:b/>
          <w:color w:val="auto"/>
          <w:sz w:val="24"/>
          <w:highlight w:val="none"/>
        </w:rPr>
      </w:pPr>
    </w:p>
    <w:p w14:paraId="73064AB0">
      <w:pPr>
        <w:spacing w:line="360" w:lineRule="auto"/>
        <w:ind w:firstLine="120" w:firstLineChars="50"/>
        <w:jc w:val="center"/>
        <w:rPr>
          <w:rFonts w:ascii="仿宋_GB2312" w:hAnsi="仿宋" w:eastAsia="仿宋_GB2312" w:cs="仿宋_GB2312"/>
          <w:b/>
          <w:color w:val="auto"/>
          <w:sz w:val="24"/>
          <w:highlight w:val="none"/>
        </w:rPr>
      </w:pPr>
    </w:p>
    <w:p w14:paraId="7441EDAB">
      <w:pPr>
        <w:rPr>
          <w:color w:val="auto"/>
          <w:highlight w:val="none"/>
        </w:rPr>
      </w:pPr>
    </w:p>
    <w:p w14:paraId="33C1C064">
      <w:pPr>
        <w:spacing w:line="360" w:lineRule="auto"/>
        <w:jc w:val="center"/>
        <w:rPr>
          <w:rFonts w:ascii="黑体" w:hAnsi="黑体" w:eastAsia="黑体" w:cs="仿宋_GB2312"/>
          <w:b/>
          <w:color w:val="auto"/>
          <w:sz w:val="100"/>
          <w:szCs w:val="100"/>
          <w:highlight w:val="none"/>
        </w:rPr>
      </w:pPr>
      <w:r>
        <w:rPr>
          <w:rFonts w:hint="eastAsia" w:ascii="黑体" w:hAnsi="黑体" w:eastAsia="黑体" w:cs="仿宋_GB2312"/>
          <w:b/>
          <w:color w:val="auto"/>
          <w:sz w:val="100"/>
          <w:szCs w:val="100"/>
          <w:highlight w:val="none"/>
        </w:rPr>
        <w:t>招 标 文 件</w:t>
      </w:r>
    </w:p>
    <w:p w14:paraId="13BCB466">
      <w:pPr>
        <w:pStyle w:val="23"/>
        <w:ind w:left="0" w:leftChars="0" w:firstLine="0" w:firstLineChars="0"/>
        <w:jc w:val="left"/>
        <w:rPr>
          <w:color w:val="auto"/>
          <w:highlight w:val="none"/>
        </w:rPr>
      </w:pPr>
    </w:p>
    <w:p w14:paraId="2F2D3596">
      <w:pPr>
        <w:spacing w:line="480" w:lineRule="exact"/>
        <w:jc w:val="center"/>
        <w:rPr>
          <w:rFonts w:ascii="仿宋_GB2312" w:hAnsi="仿宋" w:eastAsia="仿宋_GB2312" w:cs="仿宋_GB2312"/>
          <w:b/>
          <w:color w:val="auto"/>
          <w:sz w:val="24"/>
          <w:highlight w:val="none"/>
        </w:rPr>
      </w:pPr>
    </w:p>
    <w:p w14:paraId="59F115C9">
      <w:pPr>
        <w:spacing w:line="480" w:lineRule="exact"/>
        <w:jc w:val="center"/>
        <w:rPr>
          <w:rFonts w:ascii="仿宋_GB2312" w:hAnsi="仿宋" w:eastAsia="仿宋_GB2312" w:cs="仿宋_GB2312"/>
          <w:b/>
          <w:color w:val="auto"/>
          <w:sz w:val="24"/>
          <w:highlight w:val="none"/>
        </w:rPr>
      </w:pPr>
    </w:p>
    <w:p w14:paraId="350D426F">
      <w:pPr>
        <w:spacing w:line="480" w:lineRule="exact"/>
        <w:jc w:val="center"/>
        <w:rPr>
          <w:rFonts w:ascii="仿宋_GB2312" w:hAnsi="仿宋" w:eastAsia="仿宋_GB2312" w:cs="仿宋_GB2312"/>
          <w:b/>
          <w:color w:val="auto"/>
          <w:sz w:val="24"/>
          <w:highlight w:val="none"/>
        </w:rPr>
      </w:pPr>
    </w:p>
    <w:p w14:paraId="2D809D1F">
      <w:pPr>
        <w:pStyle w:val="23"/>
        <w:rPr>
          <w:color w:val="auto"/>
          <w:highlight w:val="none"/>
        </w:rPr>
      </w:pPr>
    </w:p>
    <w:p w14:paraId="334479B3">
      <w:pPr>
        <w:spacing w:line="360" w:lineRule="auto"/>
        <w:ind w:left="319" w:leftChars="152"/>
        <w:rPr>
          <w:rFonts w:ascii="楷体_GB2312" w:hAnsi="仿宋" w:eastAsia="楷体_GB2312" w:cs="仿宋_GB2312"/>
          <w:bCs/>
          <w:color w:val="auto"/>
          <w:sz w:val="32"/>
          <w:szCs w:val="32"/>
          <w:highlight w:val="none"/>
        </w:rPr>
      </w:pPr>
    </w:p>
    <w:p w14:paraId="42309EED">
      <w:pPr>
        <w:spacing w:line="360" w:lineRule="auto"/>
        <w:ind w:firstLine="320" w:firstLineChars="100"/>
        <w:rPr>
          <w:rFonts w:ascii="楷体_GB2312" w:hAnsi="仿宋" w:eastAsia="楷体_GB2312" w:cs="仿宋_GB2312"/>
          <w:bCs/>
          <w:color w:val="auto"/>
          <w:spacing w:val="-10"/>
          <w:sz w:val="32"/>
          <w:szCs w:val="32"/>
          <w:highlight w:val="none"/>
        </w:rPr>
      </w:pPr>
      <w:r>
        <w:rPr>
          <w:rFonts w:hint="eastAsia" w:ascii="楷体_GB2312" w:hAnsi="仿宋" w:eastAsia="楷体_GB2312" w:cs="仿宋_GB2312"/>
          <w:bCs/>
          <w:color w:val="auto"/>
          <w:sz w:val="32"/>
          <w:szCs w:val="32"/>
          <w:highlight w:val="none"/>
        </w:rPr>
        <w:t>项目名称：沈阳药科大学校本部食堂电梯更新项目</w:t>
      </w:r>
    </w:p>
    <w:p w14:paraId="3F75D252">
      <w:pPr>
        <w:spacing w:line="360" w:lineRule="auto"/>
        <w:ind w:firstLine="320" w:firstLineChars="100"/>
        <w:rPr>
          <w:rFonts w:ascii="楷体_GB2312" w:hAnsi="仿宋" w:eastAsia="楷体_GB2312" w:cs="仿宋_GB2312"/>
          <w:bCs/>
          <w:color w:val="auto"/>
          <w:sz w:val="32"/>
          <w:szCs w:val="32"/>
          <w:highlight w:val="none"/>
        </w:rPr>
      </w:pPr>
      <w:r>
        <w:rPr>
          <w:rFonts w:hint="eastAsia" w:ascii="楷体_GB2312" w:hAnsi="仿宋" w:eastAsia="楷体_GB2312" w:cs="仿宋_GB2312"/>
          <w:bCs/>
          <w:color w:val="auto"/>
          <w:sz w:val="32"/>
          <w:szCs w:val="32"/>
          <w:highlight w:val="none"/>
        </w:rPr>
        <w:t>项目编号：JH25-210000-36278</w:t>
      </w:r>
    </w:p>
    <w:p w14:paraId="00265638">
      <w:pPr>
        <w:spacing w:line="360" w:lineRule="auto"/>
        <w:ind w:firstLine="320" w:firstLineChars="100"/>
        <w:rPr>
          <w:rFonts w:ascii="楷体_GB2312" w:hAnsi="仿宋" w:eastAsia="楷体_GB2312" w:cs="仿宋_GB2312"/>
          <w:bCs/>
          <w:color w:val="auto"/>
          <w:sz w:val="32"/>
          <w:szCs w:val="40"/>
          <w:highlight w:val="none"/>
        </w:rPr>
        <w:sectPr>
          <w:headerReference r:id="rId3" w:type="default"/>
          <w:pgSz w:w="11906" w:h="16838"/>
          <w:pgMar w:top="1843" w:right="1800" w:bottom="1440" w:left="1800" w:header="851" w:footer="992" w:gutter="0"/>
          <w:cols w:space="720" w:num="1"/>
          <w:titlePg/>
          <w:docGrid w:type="linesAndChars" w:linePitch="312" w:charSpace="0"/>
        </w:sectPr>
      </w:pPr>
      <w:r>
        <w:rPr>
          <w:rFonts w:hint="eastAsia" w:ascii="楷体_GB2312" w:hAnsi="仿宋" w:eastAsia="楷体_GB2312" w:cs="仿宋_GB2312"/>
          <w:bCs/>
          <w:color w:val="auto"/>
          <w:sz w:val="32"/>
          <w:szCs w:val="32"/>
          <w:highlight w:val="none"/>
        </w:rPr>
        <w:t>编制单位：</w:t>
      </w:r>
      <w:r>
        <w:rPr>
          <w:rFonts w:hint="eastAsia" w:ascii="楷体_GB2312" w:hAnsi="仿宋" w:eastAsia="楷体_GB2312" w:cs="仿宋_GB2312"/>
          <w:bCs/>
          <w:color w:val="auto"/>
          <w:sz w:val="32"/>
          <w:szCs w:val="40"/>
          <w:highlight w:val="none"/>
        </w:rPr>
        <w:t>辽宁省沈抚公共资源交易服务有限公司</w:t>
      </w:r>
    </w:p>
    <w:p w14:paraId="58EFBB9D">
      <w:pPr>
        <w:jc w:val="center"/>
        <w:rPr>
          <w:rFonts w:ascii="黑体" w:hAnsi="黑体" w:eastAsia="黑体" w:cs="仿宋_GB2312"/>
          <w:b/>
          <w:bCs/>
          <w:color w:val="auto"/>
          <w:sz w:val="44"/>
          <w:szCs w:val="44"/>
          <w:highlight w:val="none"/>
        </w:rPr>
      </w:pPr>
      <w:r>
        <w:rPr>
          <w:rFonts w:hint="eastAsia" w:ascii="黑体" w:hAnsi="黑体" w:eastAsia="黑体" w:cs="仿宋_GB2312"/>
          <w:b/>
          <w:bCs/>
          <w:color w:val="auto"/>
          <w:sz w:val="44"/>
          <w:szCs w:val="44"/>
          <w:highlight w:val="none"/>
        </w:rPr>
        <w:t>目  录</w:t>
      </w:r>
    </w:p>
    <w:p w14:paraId="561DE989">
      <w:pPr>
        <w:jc w:val="center"/>
        <w:rPr>
          <w:rFonts w:ascii="仿宋_GB2312" w:hAnsi="仿宋" w:eastAsia="仿宋_GB2312" w:cs="仿宋_GB2312"/>
          <w:b/>
          <w:bCs/>
          <w:color w:val="auto"/>
          <w:sz w:val="44"/>
          <w:szCs w:val="44"/>
          <w:highlight w:val="none"/>
        </w:rPr>
      </w:pPr>
    </w:p>
    <w:p w14:paraId="5C5B0CEA">
      <w:pPr>
        <w:pStyle w:val="16"/>
        <w:tabs>
          <w:tab w:val="right" w:leader="dot" w:pos="8303"/>
        </w:tabs>
        <w:snapToGrid w:val="0"/>
        <w:spacing w:line="720" w:lineRule="auto"/>
        <w:rPr>
          <w:rFonts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fldChar w:fldCharType="begin"/>
      </w:r>
      <w:r>
        <w:rPr>
          <w:rFonts w:hint="eastAsia" w:ascii="仿宋_GB2312" w:hAnsi="仿宋_GB2312" w:eastAsia="仿宋_GB2312" w:cs="仿宋_GB2312"/>
          <w:b/>
          <w:bCs/>
          <w:color w:val="auto"/>
          <w:sz w:val="28"/>
          <w:szCs w:val="28"/>
          <w:highlight w:val="none"/>
        </w:rPr>
        <w:instrText xml:space="preserve">TOC \o "1-1" \h \u </w:instrText>
      </w:r>
      <w:r>
        <w:rPr>
          <w:rFonts w:hint="eastAsia" w:ascii="仿宋_GB2312" w:hAnsi="仿宋_GB2312" w:eastAsia="仿宋_GB2312" w:cs="仿宋_GB2312"/>
          <w:b/>
          <w:bCs/>
          <w:color w:val="auto"/>
          <w:sz w:val="28"/>
          <w:szCs w:val="28"/>
          <w:highlight w:val="none"/>
        </w:rPr>
        <w:fldChar w:fldCharType="separate"/>
      </w:r>
      <w:r>
        <w:rPr>
          <w:color w:val="auto"/>
          <w:highlight w:val="none"/>
        </w:rPr>
        <w:fldChar w:fldCharType="begin"/>
      </w:r>
      <w:r>
        <w:rPr>
          <w:color w:val="auto"/>
          <w:highlight w:val="none"/>
        </w:rPr>
        <w:instrText xml:space="preserve"> HYPERLINK \l "_Toc24110" </w:instrText>
      </w:r>
      <w:r>
        <w:rPr>
          <w:color w:val="auto"/>
          <w:highlight w:val="none"/>
        </w:rPr>
        <w:fldChar w:fldCharType="separate"/>
      </w:r>
      <w:r>
        <w:rPr>
          <w:rFonts w:hint="eastAsia" w:ascii="仿宋_GB2312" w:hAnsi="仿宋_GB2312" w:eastAsia="仿宋_GB2312" w:cs="仿宋_GB2312"/>
          <w:b/>
          <w:bCs/>
          <w:color w:val="auto"/>
          <w:kern w:val="44"/>
          <w:sz w:val="28"/>
          <w:szCs w:val="28"/>
          <w:highlight w:val="none"/>
        </w:rPr>
        <w:t>招标公告</w:t>
      </w:r>
      <w:r>
        <w:rPr>
          <w:rFonts w:hint="eastAsia" w:ascii="仿宋_GB2312" w:hAnsi="仿宋_GB2312" w:eastAsia="仿宋_GB2312" w:cs="仿宋_GB2312"/>
          <w:b/>
          <w:bCs/>
          <w:color w:val="auto"/>
          <w:sz w:val="28"/>
          <w:szCs w:val="28"/>
          <w:highlight w:val="none"/>
        </w:rPr>
        <w:tab/>
      </w:r>
      <w:r>
        <w:rPr>
          <w:rFonts w:hint="eastAsia" w:ascii="仿宋_GB2312" w:hAnsi="仿宋_GB2312" w:eastAsia="仿宋_GB2312" w:cs="仿宋_GB2312"/>
          <w:b/>
          <w:bCs/>
          <w:color w:val="auto"/>
          <w:sz w:val="28"/>
          <w:szCs w:val="28"/>
          <w:highlight w:val="none"/>
        </w:rPr>
        <w:fldChar w:fldCharType="begin"/>
      </w:r>
      <w:r>
        <w:rPr>
          <w:rFonts w:hint="eastAsia" w:ascii="仿宋_GB2312" w:hAnsi="仿宋_GB2312" w:eastAsia="仿宋_GB2312" w:cs="仿宋_GB2312"/>
          <w:b/>
          <w:bCs/>
          <w:color w:val="auto"/>
          <w:sz w:val="28"/>
          <w:szCs w:val="28"/>
          <w:highlight w:val="none"/>
        </w:rPr>
        <w:instrText xml:space="preserve"> PAGEREF _Toc24110 \h </w:instrText>
      </w:r>
      <w:r>
        <w:rPr>
          <w:rFonts w:hint="eastAsia" w:ascii="仿宋_GB2312" w:hAnsi="仿宋_GB2312" w:eastAsia="仿宋_GB2312" w:cs="仿宋_GB2312"/>
          <w:b/>
          <w:bCs/>
          <w:color w:val="auto"/>
          <w:sz w:val="28"/>
          <w:szCs w:val="28"/>
          <w:highlight w:val="none"/>
        </w:rPr>
        <w:fldChar w:fldCharType="separate"/>
      </w:r>
      <w:r>
        <w:rPr>
          <w:rFonts w:hint="eastAsia" w:ascii="仿宋_GB2312" w:hAnsi="仿宋_GB2312" w:eastAsia="仿宋_GB2312" w:cs="仿宋_GB2312"/>
          <w:b/>
          <w:bCs/>
          <w:color w:val="auto"/>
          <w:sz w:val="28"/>
          <w:szCs w:val="28"/>
          <w:highlight w:val="none"/>
        </w:rPr>
        <w:t>1</w:t>
      </w:r>
      <w:r>
        <w:rPr>
          <w:rFonts w:hint="eastAsia" w:ascii="仿宋_GB2312" w:hAnsi="仿宋_GB2312" w:eastAsia="仿宋_GB2312" w:cs="仿宋_GB2312"/>
          <w:b/>
          <w:bCs/>
          <w:color w:val="auto"/>
          <w:sz w:val="28"/>
          <w:szCs w:val="28"/>
          <w:highlight w:val="none"/>
        </w:rPr>
        <w:fldChar w:fldCharType="end"/>
      </w:r>
      <w:r>
        <w:rPr>
          <w:rFonts w:hint="eastAsia" w:ascii="仿宋_GB2312" w:hAnsi="仿宋_GB2312" w:eastAsia="仿宋_GB2312" w:cs="仿宋_GB2312"/>
          <w:b/>
          <w:bCs/>
          <w:color w:val="auto"/>
          <w:sz w:val="28"/>
          <w:szCs w:val="28"/>
          <w:highlight w:val="none"/>
        </w:rPr>
        <w:fldChar w:fldCharType="end"/>
      </w:r>
    </w:p>
    <w:p w14:paraId="0F7625B5">
      <w:pPr>
        <w:pStyle w:val="16"/>
        <w:tabs>
          <w:tab w:val="right" w:leader="dot" w:pos="8303"/>
        </w:tabs>
        <w:snapToGrid w:val="0"/>
        <w:spacing w:line="720" w:lineRule="auto"/>
        <w:rPr>
          <w:rFonts w:ascii="仿宋_GB2312" w:hAnsi="仿宋_GB2312" w:eastAsia="仿宋_GB2312" w:cs="仿宋_GB2312"/>
          <w:b/>
          <w:bCs/>
          <w:color w:val="auto"/>
          <w:sz w:val="28"/>
          <w:szCs w:val="28"/>
          <w:highlight w:val="none"/>
        </w:rPr>
      </w:pPr>
      <w:r>
        <w:rPr>
          <w:color w:val="auto"/>
          <w:highlight w:val="none"/>
        </w:rPr>
        <w:fldChar w:fldCharType="begin"/>
      </w:r>
      <w:r>
        <w:rPr>
          <w:color w:val="auto"/>
          <w:highlight w:val="none"/>
        </w:rPr>
        <w:instrText xml:space="preserve"> HYPERLINK \l "_Toc9067" </w:instrText>
      </w:r>
      <w:r>
        <w:rPr>
          <w:color w:val="auto"/>
          <w:highlight w:val="none"/>
        </w:rPr>
        <w:fldChar w:fldCharType="separate"/>
      </w:r>
      <w:r>
        <w:rPr>
          <w:rFonts w:hint="eastAsia" w:ascii="仿宋_GB2312" w:hAnsi="仿宋_GB2312" w:eastAsia="仿宋_GB2312" w:cs="仿宋_GB2312"/>
          <w:b/>
          <w:bCs/>
          <w:color w:val="auto"/>
          <w:sz w:val="28"/>
          <w:szCs w:val="28"/>
          <w:highlight w:val="none"/>
        </w:rPr>
        <w:t>第一章 投标人须知</w:t>
      </w:r>
      <w:r>
        <w:rPr>
          <w:rFonts w:hint="eastAsia" w:ascii="仿宋_GB2312" w:hAnsi="仿宋_GB2312" w:eastAsia="仿宋_GB2312" w:cs="仿宋_GB2312"/>
          <w:b/>
          <w:bCs/>
          <w:color w:val="auto"/>
          <w:sz w:val="28"/>
          <w:szCs w:val="28"/>
          <w:highlight w:val="none"/>
        </w:rPr>
        <w:tab/>
      </w:r>
      <w:r>
        <w:rPr>
          <w:rFonts w:hint="eastAsia" w:ascii="仿宋_GB2312" w:hAnsi="仿宋_GB2312" w:eastAsia="仿宋_GB2312" w:cs="仿宋_GB2312"/>
          <w:b/>
          <w:bCs/>
          <w:color w:val="auto"/>
          <w:sz w:val="28"/>
          <w:szCs w:val="28"/>
          <w:highlight w:val="none"/>
        </w:rPr>
        <w:fldChar w:fldCharType="begin"/>
      </w:r>
      <w:r>
        <w:rPr>
          <w:rFonts w:hint="eastAsia" w:ascii="仿宋_GB2312" w:hAnsi="仿宋_GB2312" w:eastAsia="仿宋_GB2312" w:cs="仿宋_GB2312"/>
          <w:b/>
          <w:bCs/>
          <w:color w:val="auto"/>
          <w:sz w:val="28"/>
          <w:szCs w:val="28"/>
          <w:highlight w:val="none"/>
        </w:rPr>
        <w:instrText xml:space="preserve"> PAGEREF _Toc9067 \h </w:instrText>
      </w:r>
      <w:r>
        <w:rPr>
          <w:rFonts w:hint="eastAsia" w:ascii="仿宋_GB2312" w:hAnsi="仿宋_GB2312" w:eastAsia="仿宋_GB2312" w:cs="仿宋_GB2312"/>
          <w:b/>
          <w:bCs/>
          <w:color w:val="auto"/>
          <w:sz w:val="28"/>
          <w:szCs w:val="28"/>
          <w:highlight w:val="none"/>
        </w:rPr>
        <w:fldChar w:fldCharType="separate"/>
      </w:r>
      <w:r>
        <w:rPr>
          <w:rFonts w:hint="eastAsia" w:ascii="仿宋_GB2312" w:hAnsi="仿宋_GB2312" w:eastAsia="仿宋_GB2312" w:cs="仿宋_GB2312"/>
          <w:b/>
          <w:bCs/>
          <w:color w:val="auto"/>
          <w:sz w:val="28"/>
          <w:szCs w:val="28"/>
          <w:highlight w:val="none"/>
        </w:rPr>
        <w:t>6</w:t>
      </w:r>
      <w:r>
        <w:rPr>
          <w:rFonts w:hint="eastAsia" w:ascii="仿宋_GB2312" w:hAnsi="仿宋_GB2312" w:eastAsia="仿宋_GB2312" w:cs="仿宋_GB2312"/>
          <w:b/>
          <w:bCs/>
          <w:color w:val="auto"/>
          <w:sz w:val="28"/>
          <w:szCs w:val="28"/>
          <w:highlight w:val="none"/>
        </w:rPr>
        <w:fldChar w:fldCharType="end"/>
      </w:r>
      <w:r>
        <w:rPr>
          <w:rFonts w:hint="eastAsia" w:ascii="仿宋_GB2312" w:hAnsi="仿宋_GB2312" w:eastAsia="仿宋_GB2312" w:cs="仿宋_GB2312"/>
          <w:b/>
          <w:bCs/>
          <w:color w:val="auto"/>
          <w:sz w:val="28"/>
          <w:szCs w:val="28"/>
          <w:highlight w:val="none"/>
        </w:rPr>
        <w:fldChar w:fldCharType="end"/>
      </w:r>
    </w:p>
    <w:p w14:paraId="03F2772C">
      <w:pPr>
        <w:pStyle w:val="16"/>
        <w:tabs>
          <w:tab w:val="right" w:leader="dot" w:pos="8303"/>
        </w:tabs>
        <w:snapToGrid w:val="0"/>
        <w:spacing w:line="720" w:lineRule="auto"/>
        <w:rPr>
          <w:rFonts w:ascii="仿宋_GB2312" w:hAnsi="仿宋_GB2312" w:eastAsia="仿宋_GB2312" w:cs="仿宋_GB2312"/>
          <w:b/>
          <w:bCs/>
          <w:color w:val="auto"/>
          <w:sz w:val="28"/>
          <w:szCs w:val="28"/>
          <w:highlight w:val="none"/>
        </w:rPr>
      </w:pPr>
      <w:r>
        <w:rPr>
          <w:color w:val="auto"/>
          <w:highlight w:val="none"/>
        </w:rPr>
        <w:fldChar w:fldCharType="begin"/>
      </w:r>
      <w:r>
        <w:rPr>
          <w:color w:val="auto"/>
          <w:highlight w:val="none"/>
        </w:rPr>
        <w:instrText xml:space="preserve"> HYPERLINK \l "_Toc21783" </w:instrText>
      </w:r>
      <w:r>
        <w:rPr>
          <w:color w:val="auto"/>
          <w:highlight w:val="none"/>
        </w:rPr>
        <w:fldChar w:fldCharType="separate"/>
      </w:r>
      <w:r>
        <w:rPr>
          <w:rFonts w:hint="eastAsia" w:ascii="仿宋_GB2312" w:hAnsi="仿宋_GB2312" w:eastAsia="仿宋_GB2312" w:cs="仿宋_GB2312"/>
          <w:b/>
          <w:bCs/>
          <w:color w:val="auto"/>
          <w:sz w:val="28"/>
          <w:szCs w:val="28"/>
          <w:highlight w:val="none"/>
        </w:rPr>
        <w:t>第二章 投标文件内容及格式</w:t>
      </w:r>
      <w:r>
        <w:rPr>
          <w:rFonts w:hint="eastAsia" w:ascii="仿宋_GB2312" w:hAnsi="仿宋_GB2312" w:eastAsia="仿宋_GB2312" w:cs="仿宋_GB2312"/>
          <w:b/>
          <w:bCs/>
          <w:color w:val="auto"/>
          <w:sz w:val="28"/>
          <w:szCs w:val="28"/>
          <w:highlight w:val="none"/>
        </w:rPr>
        <w:tab/>
      </w:r>
      <w:r>
        <w:rPr>
          <w:rFonts w:hint="eastAsia" w:ascii="仿宋_GB2312" w:hAnsi="仿宋_GB2312" w:eastAsia="仿宋_GB2312" w:cs="仿宋_GB2312"/>
          <w:b/>
          <w:bCs/>
          <w:color w:val="auto"/>
          <w:sz w:val="28"/>
          <w:szCs w:val="28"/>
          <w:highlight w:val="none"/>
        </w:rPr>
        <w:fldChar w:fldCharType="begin"/>
      </w:r>
      <w:r>
        <w:rPr>
          <w:rFonts w:hint="eastAsia" w:ascii="仿宋_GB2312" w:hAnsi="仿宋_GB2312" w:eastAsia="仿宋_GB2312" w:cs="仿宋_GB2312"/>
          <w:b/>
          <w:bCs/>
          <w:color w:val="auto"/>
          <w:sz w:val="28"/>
          <w:szCs w:val="28"/>
          <w:highlight w:val="none"/>
        </w:rPr>
        <w:instrText xml:space="preserve"> PAGEREF _Toc21783 \h </w:instrText>
      </w:r>
      <w:r>
        <w:rPr>
          <w:rFonts w:hint="eastAsia" w:ascii="仿宋_GB2312" w:hAnsi="仿宋_GB2312" w:eastAsia="仿宋_GB2312" w:cs="仿宋_GB2312"/>
          <w:b/>
          <w:bCs/>
          <w:color w:val="auto"/>
          <w:sz w:val="28"/>
          <w:szCs w:val="28"/>
          <w:highlight w:val="none"/>
        </w:rPr>
        <w:fldChar w:fldCharType="separate"/>
      </w:r>
      <w:r>
        <w:rPr>
          <w:rFonts w:hint="eastAsia" w:ascii="仿宋_GB2312" w:hAnsi="仿宋_GB2312" w:eastAsia="仿宋_GB2312" w:cs="仿宋_GB2312"/>
          <w:b/>
          <w:bCs/>
          <w:color w:val="auto"/>
          <w:sz w:val="28"/>
          <w:szCs w:val="28"/>
          <w:highlight w:val="none"/>
        </w:rPr>
        <w:t>31</w:t>
      </w:r>
      <w:r>
        <w:rPr>
          <w:rFonts w:hint="eastAsia" w:ascii="仿宋_GB2312" w:hAnsi="仿宋_GB2312" w:eastAsia="仿宋_GB2312" w:cs="仿宋_GB2312"/>
          <w:b/>
          <w:bCs/>
          <w:color w:val="auto"/>
          <w:sz w:val="28"/>
          <w:szCs w:val="28"/>
          <w:highlight w:val="none"/>
        </w:rPr>
        <w:fldChar w:fldCharType="end"/>
      </w:r>
      <w:r>
        <w:rPr>
          <w:rFonts w:hint="eastAsia" w:ascii="仿宋_GB2312" w:hAnsi="仿宋_GB2312" w:eastAsia="仿宋_GB2312" w:cs="仿宋_GB2312"/>
          <w:b/>
          <w:bCs/>
          <w:color w:val="auto"/>
          <w:sz w:val="28"/>
          <w:szCs w:val="28"/>
          <w:highlight w:val="none"/>
        </w:rPr>
        <w:fldChar w:fldCharType="end"/>
      </w:r>
    </w:p>
    <w:p w14:paraId="7F2AB605">
      <w:pPr>
        <w:pStyle w:val="16"/>
        <w:tabs>
          <w:tab w:val="right" w:leader="dot" w:pos="8303"/>
        </w:tabs>
        <w:snapToGrid w:val="0"/>
        <w:spacing w:line="720" w:lineRule="auto"/>
        <w:rPr>
          <w:rFonts w:ascii="仿宋_GB2312" w:hAnsi="仿宋_GB2312" w:eastAsia="仿宋_GB2312" w:cs="仿宋_GB2312"/>
          <w:b/>
          <w:bCs/>
          <w:color w:val="auto"/>
          <w:sz w:val="28"/>
          <w:szCs w:val="28"/>
          <w:highlight w:val="none"/>
        </w:rPr>
      </w:pPr>
      <w:r>
        <w:rPr>
          <w:color w:val="auto"/>
          <w:highlight w:val="none"/>
        </w:rPr>
        <w:fldChar w:fldCharType="begin"/>
      </w:r>
      <w:r>
        <w:rPr>
          <w:color w:val="auto"/>
          <w:highlight w:val="none"/>
        </w:rPr>
        <w:instrText xml:space="preserve"> HYPERLINK \l "_Toc32093" </w:instrText>
      </w:r>
      <w:r>
        <w:rPr>
          <w:color w:val="auto"/>
          <w:highlight w:val="none"/>
        </w:rPr>
        <w:fldChar w:fldCharType="separate"/>
      </w:r>
      <w:r>
        <w:rPr>
          <w:rFonts w:hint="eastAsia" w:ascii="仿宋_GB2312" w:hAnsi="仿宋_GB2312" w:eastAsia="仿宋_GB2312" w:cs="仿宋_GB2312"/>
          <w:b/>
          <w:bCs/>
          <w:color w:val="auto"/>
          <w:kern w:val="44"/>
          <w:sz w:val="28"/>
          <w:szCs w:val="28"/>
          <w:highlight w:val="none"/>
        </w:rPr>
        <w:t>第三章 货物需求</w:t>
      </w:r>
      <w:r>
        <w:rPr>
          <w:rFonts w:hint="eastAsia" w:ascii="仿宋_GB2312" w:hAnsi="仿宋_GB2312" w:eastAsia="仿宋_GB2312" w:cs="仿宋_GB2312"/>
          <w:b/>
          <w:bCs/>
          <w:color w:val="auto"/>
          <w:sz w:val="28"/>
          <w:szCs w:val="28"/>
          <w:highlight w:val="none"/>
        </w:rPr>
        <w:tab/>
      </w:r>
      <w:r>
        <w:rPr>
          <w:rFonts w:hint="eastAsia" w:ascii="仿宋_GB2312" w:hAnsi="仿宋_GB2312" w:eastAsia="仿宋_GB2312" w:cs="仿宋_GB2312"/>
          <w:b/>
          <w:bCs/>
          <w:color w:val="auto"/>
          <w:sz w:val="28"/>
          <w:szCs w:val="28"/>
          <w:highlight w:val="none"/>
        </w:rPr>
        <w:fldChar w:fldCharType="begin"/>
      </w:r>
      <w:r>
        <w:rPr>
          <w:rFonts w:hint="eastAsia" w:ascii="仿宋_GB2312" w:hAnsi="仿宋_GB2312" w:eastAsia="仿宋_GB2312" w:cs="仿宋_GB2312"/>
          <w:b/>
          <w:bCs/>
          <w:color w:val="auto"/>
          <w:sz w:val="28"/>
          <w:szCs w:val="28"/>
          <w:highlight w:val="none"/>
        </w:rPr>
        <w:instrText xml:space="preserve"> PAGEREF _Toc32093 \h </w:instrText>
      </w:r>
      <w:r>
        <w:rPr>
          <w:rFonts w:hint="eastAsia" w:ascii="仿宋_GB2312" w:hAnsi="仿宋_GB2312" w:eastAsia="仿宋_GB2312" w:cs="仿宋_GB2312"/>
          <w:b/>
          <w:bCs/>
          <w:color w:val="auto"/>
          <w:sz w:val="28"/>
          <w:szCs w:val="28"/>
          <w:highlight w:val="none"/>
        </w:rPr>
        <w:fldChar w:fldCharType="separate"/>
      </w:r>
      <w:r>
        <w:rPr>
          <w:rFonts w:hint="eastAsia" w:ascii="仿宋_GB2312" w:hAnsi="仿宋_GB2312" w:eastAsia="仿宋_GB2312" w:cs="仿宋_GB2312"/>
          <w:b/>
          <w:bCs/>
          <w:color w:val="auto"/>
          <w:sz w:val="28"/>
          <w:szCs w:val="28"/>
          <w:highlight w:val="none"/>
        </w:rPr>
        <w:t>79</w:t>
      </w:r>
      <w:r>
        <w:rPr>
          <w:rFonts w:hint="eastAsia" w:ascii="仿宋_GB2312" w:hAnsi="仿宋_GB2312" w:eastAsia="仿宋_GB2312" w:cs="仿宋_GB2312"/>
          <w:b/>
          <w:bCs/>
          <w:color w:val="auto"/>
          <w:sz w:val="28"/>
          <w:szCs w:val="28"/>
          <w:highlight w:val="none"/>
        </w:rPr>
        <w:fldChar w:fldCharType="end"/>
      </w:r>
      <w:r>
        <w:rPr>
          <w:rFonts w:hint="eastAsia" w:ascii="仿宋_GB2312" w:hAnsi="仿宋_GB2312" w:eastAsia="仿宋_GB2312" w:cs="仿宋_GB2312"/>
          <w:b/>
          <w:bCs/>
          <w:color w:val="auto"/>
          <w:sz w:val="28"/>
          <w:szCs w:val="28"/>
          <w:highlight w:val="none"/>
        </w:rPr>
        <w:fldChar w:fldCharType="end"/>
      </w:r>
    </w:p>
    <w:p w14:paraId="4E647272">
      <w:pPr>
        <w:pStyle w:val="16"/>
        <w:tabs>
          <w:tab w:val="right" w:leader="dot" w:pos="8303"/>
        </w:tabs>
        <w:snapToGrid w:val="0"/>
        <w:spacing w:line="720" w:lineRule="auto"/>
        <w:rPr>
          <w:rFonts w:ascii="仿宋_GB2312" w:hAnsi="仿宋_GB2312" w:eastAsia="仿宋_GB2312" w:cs="仿宋_GB2312"/>
          <w:b/>
          <w:bCs/>
          <w:color w:val="auto"/>
          <w:sz w:val="28"/>
          <w:szCs w:val="28"/>
          <w:highlight w:val="none"/>
        </w:rPr>
      </w:pPr>
      <w:r>
        <w:rPr>
          <w:color w:val="auto"/>
          <w:highlight w:val="none"/>
        </w:rPr>
        <w:fldChar w:fldCharType="begin"/>
      </w:r>
      <w:r>
        <w:rPr>
          <w:color w:val="auto"/>
          <w:highlight w:val="none"/>
        </w:rPr>
        <w:instrText xml:space="preserve"> HYPERLINK \l "_Toc18523" </w:instrText>
      </w:r>
      <w:r>
        <w:rPr>
          <w:color w:val="auto"/>
          <w:highlight w:val="none"/>
        </w:rPr>
        <w:fldChar w:fldCharType="separate"/>
      </w:r>
      <w:r>
        <w:rPr>
          <w:rFonts w:hint="eastAsia" w:ascii="仿宋_GB2312" w:hAnsi="仿宋_GB2312" w:eastAsia="仿宋_GB2312" w:cs="仿宋_GB2312"/>
          <w:b/>
          <w:bCs/>
          <w:color w:val="auto"/>
          <w:sz w:val="28"/>
          <w:szCs w:val="28"/>
          <w:highlight w:val="none"/>
        </w:rPr>
        <w:t>第四章 评标方法</w:t>
      </w:r>
      <w:r>
        <w:rPr>
          <w:rFonts w:hint="eastAsia" w:ascii="仿宋_GB2312" w:hAnsi="仿宋_GB2312" w:eastAsia="仿宋_GB2312" w:cs="仿宋_GB2312"/>
          <w:b/>
          <w:bCs/>
          <w:color w:val="auto"/>
          <w:sz w:val="28"/>
          <w:szCs w:val="28"/>
          <w:highlight w:val="none"/>
        </w:rPr>
        <w:tab/>
      </w:r>
      <w:r>
        <w:rPr>
          <w:rFonts w:hint="eastAsia" w:ascii="仿宋_GB2312" w:hAnsi="仿宋_GB2312" w:eastAsia="仿宋_GB2312" w:cs="仿宋_GB2312"/>
          <w:b/>
          <w:bCs/>
          <w:color w:val="auto"/>
          <w:sz w:val="28"/>
          <w:szCs w:val="28"/>
          <w:highlight w:val="none"/>
        </w:rPr>
        <w:fldChar w:fldCharType="begin"/>
      </w:r>
      <w:r>
        <w:rPr>
          <w:rFonts w:hint="eastAsia" w:ascii="仿宋_GB2312" w:hAnsi="仿宋_GB2312" w:eastAsia="仿宋_GB2312" w:cs="仿宋_GB2312"/>
          <w:b/>
          <w:bCs/>
          <w:color w:val="auto"/>
          <w:sz w:val="28"/>
          <w:szCs w:val="28"/>
          <w:highlight w:val="none"/>
        </w:rPr>
        <w:instrText xml:space="preserve"> PAGEREF _Toc18523 \h </w:instrText>
      </w:r>
      <w:r>
        <w:rPr>
          <w:rFonts w:hint="eastAsia" w:ascii="仿宋_GB2312" w:hAnsi="仿宋_GB2312" w:eastAsia="仿宋_GB2312" w:cs="仿宋_GB2312"/>
          <w:b/>
          <w:bCs/>
          <w:color w:val="auto"/>
          <w:sz w:val="28"/>
          <w:szCs w:val="28"/>
          <w:highlight w:val="none"/>
        </w:rPr>
        <w:fldChar w:fldCharType="separate"/>
      </w:r>
      <w:r>
        <w:rPr>
          <w:rFonts w:hint="eastAsia" w:ascii="仿宋_GB2312" w:hAnsi="仿宋_GB2312" w:eastAsia="仿宋_GB2312" w:cs="仿宋_GB2312"/>
          <w:b/>
          <w:bCs/>
          <w:color w:val="auto"/>
          <w:sz w:val="28"/>
          <w:szCs w:val="28"/>
          <w:highlight w:val="none"/>
        </w:rPr>
        <w:t>80</w:t>
      </w:r>
      <w:r>
        <w:rPr>
          <w:rFonts w:hint="eastAsia" w:ascii="仿宋_GB2312" w:hAnsi="仿宋_GB2312" w:eastAsia="仿宋_GB2312" w:cs="仿宋_GB2312"/>
          <w:b/>
          <w:bCs/>
          <w:color w:val="auto"/>
          <w:sz w:val="28"/>
          <w:szCs w:val="28"/>
          <w:highlight w:val="none"/>
        </w:rPr>
        <w:fldChar w:fldCharType="end"/>
      </w:r>
      <w:r>
        <w:rPr>
          <w:rFonts w:hint="eastAsia" w:ascii="仿宋_GB2312" w:hAnsi="仿宋_GB2312" w:eastAsia="仿宋_GB2312" w:cs="仿宋_GB2312"/>
          <w:b/>
          <w:bCs/>
          <w:color w:val="auto"/>
          <w:sz w:val="28"/>
          <w:szCs w:val="28"/>
          <w:highlight w:val="none"/>
        </w:rPr>
        <w:fldChar w:fldCharType="end"/>
      </w:r>
    </w:p>
    <w:p w14:paraId="73431A7D">
      <w:pPr>
        <w:pStyle w:val="16"/>
        <w:tabs>
          <w:tab w:val="right" w:leader="dot" w:pos="8303"/>
        </w:tabs>
        <w:snapToGrid w:val="0"/>
        <w:spacing w:line="720" w:lineRule="auto"/>
        <w:rPr>
          <w:rFonts w:ascii="仿宋_GB2312" w:hAnsi="仿宋_GB2312" w:eastAsia="仿宋_GB2312" w:cs="仿宋_GB2312"/>
          <w:b/>
          <w:bCs/>
          <w:color w:val="auto"/>
          <w:sz w:val="28"/>
          <w:szCs w:val="28"/>
          <w:highlight w:val="none"/>
        </w:rPr>
      </w:pPr>
      <w:r>
        <w:rPr>
          <w:color w:val="auto"/>
          <w:highlight w:val="none"/>
        </w:rPr>
        <w:fldChar w:fldCharType="begin"/>
      </w:r>
      <w:r>
        <w:rPr>
          <w:color w:val="auto"/>
          <w:highlight w:val="none"/>
        </w:rPr>
        <w:instrText xml:space="preserve"> HYPERLINK \l "_Toc26852" </w:instrText>
      </w:r>
      <w:r>
        <w:rPr>
          <w:color w:val="auto"/>
          <w:highlight w:val="none"/>
        </w:rPr>
        <w:fldChar w:fldCharType="separate"/>
      </w:r>
      <w:r>
        <w:rPr>
          <w:rFonts w:hint="eastAsia" w:ascii="仿宋_GB2312" w:hAnsi="仿宋_GB2312" w:eastAsia="仿宋_GB2312" w:cs="仿宋_GB2312"/>
          <w:b/>
          <w:bCs/>
          <w:color w:val="auto"/>
          <w:sz w:val="28"/>
          <w:szCs w:val="28"/>
          <w:highlight w:val="none"/>
        </w:rPr>
        <w:t>第五章 政府采购合同条款及格式</w:t>
      </w:r>
      <w:r>
        <w:rPr>
          <w:rFonts w:hint="eastAsia" w:ascii="仿宋_GB2312" w:hAnsi="仿宋_GB2312" w:eastAsia="仿宋_GB2312" w:cs="仿宋_GB2312"/>
          <w:b/>
          <w:bCs/>
          <w:color w:val="auto"/>
          <w:sz w:val="28"/>
          <w:szCs w:val="28"/>
          <w:highlight w:val="none"/>
        </w:rPr>
        <w:tab/>
      </w:r>
      <w:r>
        <w:rPr>
          <w:rFonts w:hint="eastAsia" w:ascii="仿宋_GB2312" w:hAnsi="仿宋_GB2312" w:eastAsia="仿宋_GB2312" w:cs="仿宋_GB2312"/>
          <w:b/>
          <w:bCs/>
          <w:color w:val="auto"/>
          <w:sz w:val="28"/>
          <w:szCs w:val="28"/>
          <w:highlight w:val="none"/>
        </w:rPr>
        <w:fldChar w:fldCharType="begin"/>
      </w:r>
      <w:r>
        <w:rPr>
          <w:rFonts w:hint="eastAsia" w:ascii="仿宋_GB2312" w:hAnsi="仿宋_GB2312" w:eastAsia="仿宋_GB2312" w:cs="仿宋_GB2312"/>
          <w:b/>
          <w:bCs/>
          <w:color w:val="auto"/>
          <w:sz w:val="28"/>
          <w:szCs w:val="28"/>
          <w:highlight w:val="none"/>
        </w:rPr>
        <w:instrText xml:space="preserve"> PAGEREF _Toc26852 \h </w:instrText>
      </w:r>
      <w:r>
        <w:rPr>
          <w:rFonts w:hint="eastAsia" w:ascii="仿宋_GB2312" w:hAnsi="仿宋_GB2312" w:eastAsia="仿宋_GB2312" w:cs="仿宋_GB2312"/>
          <w:b/>
          <w:bCs/>
          <w:color w:val="auto"/>
          <w:sz w:val="28"/>
          <w:szCs w:val="28"/>
          <w:highlight w:val="none"/>
        </w:rPr>
        <w:fldChar w:fldCharType="separate"/>
      </w:r>
      <w:r>
        <w:rPr>
          <w:rFonts w:hint="eastAsia" w:ascii="仿宋_GB2312" w:hAnsi="仿宋_GB2312" w:eastAsia="仿宋_GB2312" w:cs="仿宋_GB2312"/>
          <w:b/>
          <w:bCs/>
          <w:color w:val="auto"/>
          <w:sz w:val="28"/>
          <w:szCs w:val="28"/>
          <w:highlight w:val="none"/>
        </w:rPr>
        <w:t>91</w:t>
      </w:r>
      <w:r>
        <w:rPr>
          <w:rFonts w:hint="eastAsia" w:ascii="仿宋_GB2312" w:hAnsi="仿宋_GB2312" w:eastAsia="仿宋_GB2312" w:cs="仿宋_GB2312"/>
          <w:b/>
          <w:bCs/>
          <w:color w:val="auto"/>
          <w:sz w:val="28"/>
          <w:szCs w:val="28"/>
          <w:highlight w:val="none"/>
        </w:rPr>
        <w:fldChar w:fldCharType="end"/>
      </w:r>
      <w:r>
        <w:rPr>
          <w:rFonts w:hint="eastAsia" w:ascii="仿宋_GB2312" w:hAnsi="仿宋_GB2312" w:eastAsia="仿宋_GB2312" w:cs="仿宋_GB2312"/>
          <w:b/>
          <w:bCs/>
          <w:color w:val="auto"/>
          <w:sz w:val="28"/>
          <w:szCs w:val="28"/>
          <w:highlight w:val="none"/>
        </w:rPr>
        <w:fldChar w:fldCharType="end"/>
      </w:r>
    </w:p>
    <w:p w14:paraId="7EE30FFB">
      <w:pPr>
        <w:pStyle w:val="16"/>
        <w:tabs>
          <w:tab w:val="right" w:leader="dot" w:pos="8306"/>
        </w:tabs>
        <w:snapToGrid w:val="0"/>
        <w:spacing w:line="720" w:lineRule="auto"/>
        <w:rPr>
          <w:rFonts w:ascii="仿宋_GB2312" w:hAnsi="仿宋" w:eastAsia="仿宋_GB2312"/>
          <w:color w:val="auto"/>
          <w:sz w:val="30"/>
          <w:szCs w:val="30"/>
          <w:highlight w:val="none"/>
        </w:rPr>
      </w:pPr>
      <w:r>
        <w:rPr>
          <w:rFonts w:hint="eastAsia" w:ascii="仿宋_GB2312" w:hAnsi="仿宋_GB2312" w:eastAsia="仿宋_GB2312" w:cs="仿宋_GB2312"/>
          <w:b/>
          <w:bCs/>
          <w:color w:val="auto"/>
          <w:sz w:val="28"/>
          <w:szCs w:val="28"/>
          <w:highlight w:val="none"/>
        </w:rPr>
        <w:fldChar w:fldCharType="end"/>
      </w:r>
    </w:p>
    <w:p w14:paraId="57BD8B9C">
      <w:pPr>
        <w:pStyle w:val="2"/>
        <w:spacing w:line="720" w:lineRule="auto"/>
        <w:rPr>
          <w:rFonts w:ascii="仿宋_GB2312" w:hAnsi="仿宋" w:eastAsia="仿宋_GB2312" w:cs="仿宋_GB2312"/>
          <w:color w:val="auto"/>
          <w:sz w:val="30"/>
          <w:szCs w:val="30"/>
          <w:highlight w:val="none"/>
        </w:rPr>
        <w:sectPr>
          <w:headerReference r:id="rId4" w:type="default"/>
          <w:footerReference r:id="rId5" w:type="default"/>
          <w:pgSz w:w="11906" w:h="16838"/>
          <w:pgMar w:top="1560" w:right="1803" w:bottom="1440" w:left="1800" w:header="979" w:footer="992" w:gutter="0"/>
          <w:pgNumType w:start="1"/>
          <w:cols w:space="720" w:num="1"/>
          <w:docGrid w:type="linesAndChars" w:linePitch="312" w:charSpace="0"/>
        </w:sectPr>
      </w:pPr>
      <w:bookmarkStart w:id="0" w:name="_Toc1124_WPSOffice_Level1"/>
    </w:p>
    <w:bookmarkEnd w:id="0"/>
    <w:p w14:paraId="3024C2E0">
      <w:pPr>
        <w:snapToGrid w:val="0"/>
        <w:spacing w:line="276" w:lineRule="auto"/>
        <w:jc w:val="center"/>
        <w:outlineLvl w:val="0"/>
        <w:rPr>
          <w:rFonts w:ascii="方正小标宋简体" w:hAnsi="仿宋" w:eastAsia="方正小标宋简体" w:cs="仿宋_GB2312"/>
          <w:bCs/>
          <w:color w:val="auto"/>
          <w:highlight w:val="none"/>
        </w:rPr>
      </w:pPr>
      <w:bookmarkStart w:id="1" w:name="_Toc8955"/>
      <w:bookmarkStart w:id="2" w:name="_Toc24110"/>
      <w:bookmarkStart w:id="3" w:name="_Toc111013450"/>
      <w:bookmarkStart w:id="4" w:name="_Toc26518_WPSOffice_Level1"/>
      <w:bookmarkStart w:id="5" w:name="_Toc111013451"/>
      <w:r>
        <w:rPr>
          <w:rFonts w:hint="eastAsia" w:ascii="方正小标宋简体" w:hAnsi="仿宋" w:eastAsia="方正小标宋简体" w:cs="仿宋_GB2312"/>
          <w:bCs/>
          <w:color w:val="auto"/>
          <w:kern w:val="44"/>
          <w:sz w:val="44"/>
          <w:highlight w:val="none"/>
        </w:rPr>
        <w:t>沈阳药科大学校本部食堂电梯更新项目招标公告</w:t>
      </w:r>
      <w:bookmarkEnd w:id="1"/>
      <w:bookmarkEnd w:id="2"/>
      <w:bookmarkEnd w:id="3"/>
    </w:p>
    <w:p w14:paraId="5B33AC46">
      <w:pPr>
        <w:pBdr>
          <w:top w:val="single" w:color="auto" w:sz="4" w:space="1"/>
          <w:left w:val="single" w:color="auto" w:sz="4" w:space="4"/>
          <w:bottom w:val="single" w:color="auto" w:sz="4" w:space="1"/>
          <w:right w:val="single" w:color="auto" w:sz="4" w:space="4"/>
        </w:pBdr>
        <w:spacing w:line="440" w:lineRule="exact"/>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项目概况</w:t>
      </w:r>
    </w:p>
    <w:p w14:paraId="09844395">
      <w:pPr>
        <w:pBdr>
          <w:top w:val="single" w:color="auto" w:sz="4" w:space="1"/>
          <w:left w:val="single" w:color="auto" w:sz="4" w:space="4"/>
          <w:bottom w:val="single" w:color="auto" w:sz="4" w:space="1"/>
          <w:right w:val="single" w:color="auto" w:sz="4" w:space="4"/>
        </w:pBdr>
        <w:spacing w:line="440" w:lineRule="exact"/>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u w:val="single"/>
        </w:rPr>
        <w:t>沈阳药科大学校本部食堂电梯更新项目</w:t>
      </w:r>
      <w:r>
        <w:rPr>
          <w:rFonts w:hint="eastAsia" w:ascii="仿宋_GB2312" w:hAnsi="仿宋" w:eastAsia="仿宋_GB2312"/>
          <w:color w:val="auto"/>
          <w:sz w:val="24"/>
          <w:highlight w:val="none"/>
        </w:rPr>
        <w:t>的潜在供应商应在</w:t>
      </w:r>
      <w:r>
        <w:rPr>
          <w:rFonts w:hint="eastAsia" w:ascii="仿宋_GB2312" w:hAnsi="仿宋" w:eastAsia="仿宋_GB2312"/>
          <w:color w:val="auto"/>
          <w:sz w:val="24"/>
          <w:highlight w:val="none"/>
          <w:u w:val="single"/>
        </w:rPr>
        <w:t>辽宁政府采购网</w:t>
      </w:r>
      <w:r>
        <w:rPr>
          <w:rFonts w:hint="eastAsia" w:ascii="仿宋_GB2312" w:hAnsi="仿宋" w:eastAsia="仿宋_GB2312"/>
          <w:color w:val="auto"/>
          <w:sz w:val="24"/>
          <w:highlight w:val="none"/>
        </w:rPr>
        <w:t>获取招标文件，并于</w:t>
      </w:r>
      <w:r>
        <w:rPr>
          <w:rFonts w:hint="eastAsia" w:ascii="仿宋_GB2312" w:hAnsi="仿宋" w:eastAsia="仿宋_GB2312" w:cs="仿宋_GB2312"/>
          <w:bCs/>
          <w:color w:val="auto"/>
          <w:sz w:val="24"/>
          <w:highlight w:val="none"/>
          <w:u w:val="single"/>
        </w:rPr>
        <w:t>2025年</w:t>
      </w:r>
      <w:r>
        <w:rPr>
          <w:rFonts w:hint="eastAsia" w:ascii="仿宋_GB2312" w:hAnsi="仿宋" w:eastAsia="仿宋_GB2312" w:cs="仿宋_GB2312"/>
          <w:bCs/>
          <w:color w:val="auto"/>
          <w:sz w:val="24"/>
          <w:highlight w:val="none"/>
          <w:u w:val="single"/>
          <w:lang w:val="en-US" w:eastAsia="zh-CN"/>
        </w:rPr>
        <w:t>08</w:t>
      </w:r>
      <w:r>
        <w:rPr>
          <w:rFonts w:hint="eastAsia" w:ascii="仿宋_GB2312" w:hAnsi="仿宋" w:eastAsia="仿宋_GB2312" w:cs="仿宋_GB2312"/>
          <w:color w:val="auto"/>
          <w:sz w:val="24"/>
          <w:highlight w:val="none"/>
          <w:u w:val="single"/>
        </w:rPr>
        <w:t>月</w:t>
      </w:r>
      <w:r>
        <w:rPr>
          <w:rFonts w:hint="eastAsia" w:ascii="仿宋_GB2312" w:hAnsi="仿宋" w:eastAsia="仿宋_GB2312" w:cs="仿宋_GB2312"/>
          <w:color w:val="auto"/>
          <w:sz w:val="24"/>
          <w:highlight w:val="none"/>
          <w:u w:val="single"/>
          <w:lang w:val="en-US" w:eastAsia="zh-CN"/>
        </w:rPr>
        <w:t>27</w:t>
      </w:r>
      <w:r>
        <w:rPr>
          <w:rFonts w:hint="eastAsia" w:ascii="仿宋_GB2312" w:hAnsi="仿宋" w:eastAsia="仿宋_GB2312" w:cs="仿宋_GB2312"/>
          <w:color w:val="auto"/>
          <w:sz w:val="24"/>
          <w:highlight w:val="none"/>
          <w:u w:val="single"/>
        </w:rPr>
        <w:t>日09</w:t>
      </w:r>
      <w:r>
        <w:rPr>
          <w:rFonts w:hint="eastAsia" w:ascii="仿宋_GB2312" w:hAnsi="仿宋" w:eastAsia="仿宋_GB2312" w:cs="仿宋_GB2312"/>
          <w:bCs/>
          <w:color w:val="auto"/>
          <w:sz w:val="24"/>
          <w:highlight w:val="none"/>
          <w:u w:val="single"/>
        </w:rPr>
        <w:t>时30分</w:t>
      </w:r>
      <w:r>
        <w:rPr>
          <w:rFonts w:hint="eastAsia" w:ascii="仿宋_GB2312" w:hAnsi="仿宋" w:eastAsia="仿宋_GB2312"/>
          <w:bCs/>
          <w:color w:val="auto"/>
          <w:sz w:val="24"/>
          <w:highlight w:val="none"/>
        </w:rPr>
        <w:t>（北京时间）前递交投标文件</w:t>
      </w:r>
      <w:r>
        <w:rPr>
          <w:rFonts w:hint="eastAsia" w:ascii="仿宋_GB2312" w:hAnsi="仿宋" w:eastAsia="仿宋_GB2312"/>
          <w:color w:val="auto"/>
          <w:sz w:val="24"/>
          <w:highlight w:val="none"/>
        </w:rPr>
        <w:t>。</w:t>
      </w:r>
    </w:p>
    <w:p w14:paraId="587AEAB5">
      <w:pPr>
        <w:snapToGrid w:val="0"/>
        <w:spacing w:before="156" w:beforeLines="50" w:line="360" w:lineRule="auto"/>
        <w:jc w:val="left"/>
        <w:rPr>
          <w:rFonts w:ascii="仿宋_GB2312" w:hAnsi="仿宋" w:eastAsia="仿宋_GB2312"/>
          <w:b/>
          <w:color w:val="auto"/>
          <w:sz w:val="24"/>
          <w:highlight w:val="none"/>
        </w:rPr>
      </w:pPr>
      <w:bookmarkStart w:id="6" w:name="_Toc28359002"/>
      <w:bookmarkStart w:id="7" w:name="_Toc35393621"/>
      <w:bookmarkStart w:id="8" w:name="_Toc28359079"/>
      <w:bookmarkStart w:id="9" w:name="_Toc35393790"/>
      <w:bookmarkStart w:id="10" w:name="_Hlk24379207"/>
      <w:r>
        <w:rPr>
          <w:rFonts w:hint="eastAsia" w:ascii="仿宋_GB2312" w:hAnsi="仿宋" w:eastAsia="仿宋_GB2312"/>
          <w:b/>
          <w:color w:val="auto"/>
          <w:sz w:val="24"/>
          <w:highlight w:val="none"/>
        </w:rPr>
        <w:t>一、项目基本情况</w:t>
      </w:r>
      <w:bookmarkEnd w:id="6"/>
      <w:bookmarkEnd w:id="7"/>
      <w:bookmarkEnd w:id="8"/>
      <w:bookmarkEnd w:id="9"/>
    </w:p>
    <w:bookmarkEnd w:id="10"/>
    <w:p w14:paraId="189850E0">
      <w:pPr>
        <w:snapToGrid w:val="0"/>
        <w:spacing w:line="360" w:lineRule="auto"/>
        <w:ind w:firstLine="480" w:firstLineChars="200"/>
        <w:rPr>
          <w:rFonts w:ascii="仿宋_GB2312" w:hAnsi="仿宋" w:eastAsia="仿宋_GB2312"/>
          <w:color w:val="auto"/>
          <w:sz w:val="24"/>
          <w:highlight w:val="none"/>
        </w:rPr>
      </w:pPr>
      <w:bookmarkStart w:id="11" w:name="_Toc35393622"/>
      <w:bookmarkStart w:id="12" w:name="_Toc28359080"/>
      <w:bookmarkStart w:id="13" w:name="_Toc35393791"/>
      <w:bookmarkStart w:id="14" w:name="_Toc28359003"/>
      <w:r>
        <w:rPr>
          <w:rFonts w:hint="eastAsia" w:ascii="仿宋_GB2312" w:hAnsi="仿宋" w:eastAsia="仿宋_GB2312"/>
          <w:color w:val="auto"/>
          <w:sz w:val="24"/>
          <w:highlight w:val="none"/>
        </w:rPr>
        <w:t>项目编号：JH25-210000-36278</w:t>
      </w:r>
    </w:p>
    <w:p w14:paraId="73C3E9A6">
      <w:pPr>
        <w:snapToGrid w:val="0"/>
        <w:spacing w:line="360"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项目名称：沈阳药科大学校本部食堂电梯更新项目</w:t>
      </w:r>
    </w:p>
    <w:p w14:paraId="2DCAD848">
      <w:pPr>
        <w:snapToGrid w:val="0"/>
        <w:spacing w:line="360"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采购方式：公开招标</w:t>
      </w:r>
    </w:p>
    <w:p w14:paraId="57F2BC73">
      <w:pPr>
        <w:adjustRightInd w:val="0"/>
        <w:snapToGrid w:val="0"/>
        <w:spacing w:line="360" w:lineRule="auto"/>
        <w:ind w:firstLine="480" w:firstLineChars="200"/>
        <w:rPr>
          <w:rFonts w:ascii="仿宋_GB2312" w:hAnsi="仿宋" w:eastAsia="仿宋_GB2312"/>
          <w:color w:val="auto"/>
          <w:sz w:val="24"/>
          <w:highlight w:val="none"/>
        </w:rPr>
      </w:pPr>
      <w:r>
        <w:rPr>
          <w:rFonts w:hint="eastAsia" w:ascii="仿宋_GB2312" w:hAnsi="仿宋" w:eastAsia="仿宋_GB2312" w:cs="仿宋_GB2312"/>
          <w:color w:val="auto"/>
          <w:sz w:val="24"/>
          <w:highlight w:val="none"/>
        </w:rPr>
        <w:t>预算金额：950,000.00元</w:t>
      </w:r>
    </w:p>
    <w:p w14:paraId="184395AC">
      <w:pPr>
        <w:adjustRightInd w:val="0"/>
        <w:snapToGrid w:val="0"/>
        <w:spacing w:line="360"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最高限价：</w:t>
      </w:r>
      <w:r>
        <w:rPr>
          <w:rFonts w:hint="eastAsia" w:ascii="仿宋_GB2312" w:hAnsi="仿宋" w:eastAsia="仿宋_GB2312" w:cs="仿宋_GB2312"/>
          <w:color w:val="auto"/>
          <w:sz w:val="24"/>
          <w:highlight w:val="none"/>
        </w:rPr>
        <w:t>950,000.00元</w:t>
      </w:r>
    </w:p>
    <w:p w14:paraId="6C5D8123">
      <w:pPr>
        <w:snapToGrid w:val="0"/>
        <w:spacing w:line="360"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采购需求：沈阳药科大学校本部食堂电梯更新项目，具体详见招标文件。</w:t>
      </w:r>
    </w:p>
    <w:p w14:paraId="4F2E16F8">
      <w:pPr>
        <w:snapToGrid w:val="0"/>
        <w:spacing w:line="360"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合同履行期限：合同签订之日起</w:t>
      </w:r>
      <w:r>
        <w:rPr>
          <w:rFonts w:ascii="仿宋_GB2312" w:hAnsi="仿宋" w:eastAsia="仿宋_GB2312"/>
          <w:color w:val="auto"/>
          <w:sz w:val="24"/>
          <w:highlight w:val="none"/>
        </w:rPr>
        <w:t>4</w:t>
      </w:r>
      <w:r>
        <w:rPr>
          <w:rFonts w:hint="eastAsia" w:ascii="仿宋_GB2312" w:hAnsi="仿宋" w:eastAsia="仿宋_GB2312"/>
          <w:color w:val="auto"/>
          <w:sz w:val="24"/>
          <w:highlight w:val="none"/>
        </w:rPr>
        <w:t>0个日历日内完成货物供货、安装调试及验收，并投入使用。</w:t>
      </w:r>
    </w:p>
    <w:p w14:paraId="12112E79">
      <w:pPr>
        <w:snapToGrid w:val="0"/>
        <w:spacing w:line="360"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需落实的政府采购政策内容：</w:t>
      </w:r>
      <w:bookmarkStart w:id="15" w:name="_Hlk80692934"/>
      <w:r>
        <w:rPr>
          <w:rFonts w:hint="eastAsia" w:ascii="仿宋_GB2312" w:hAnsi="仿宋" w:eastAsia="仿宋_GB2312"/>
          <w:color w:val="auto"/>
          <w:sz w:val="24"/>
          <w:highlight w:val="none"/>
        </w:rPr>
        <w:t>中小微企业（含监狱企业）、残疾人就业政府采购政策、节能产品、环境标志产品、聘用建档立卡贫困人员物业公司相关规定。</w:t>
      </w:r>
    </w:p>
    <w:bookmarkEnd w:id="15"/>
    <w:p w14:paraId="4353D746">
      <w:pPr>
        <w:snapToGrid w:val="0"/>
        <w:spacing w:line="360"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本项目（是/否）接受联合体投标：否。</w:t>
      </w:r>
    </w:p>
    <w:p w14:paraId="23CAB7F0">
      <w:pPr>
        <w:snapToGrid w:val="0"/>
        <w:spacing w:line="360" w:lineRule="auto"/>
        <w:jc w:val="left"/>
        <w:rPr>
          <w:rFonts w:ascii="仿宋_GB2312" w:hAnsi="仿宋" w:eastAsia="仿宋_GB2312"/>
          <w:b/>
          <w:color w:val="auto"/>
          <w:sz w:val="24"/>
          <w:highlight w:val="none"/>
        </w:rPr>
      </w:pPr>
      <w:r>
        <w:rPr>
          <w:rFonts w:hint="eastAsia" w:ascii="仿宋_GB2312" w:hAnsi="仿宋" w:eastAsia="仿宋_GB2312"/>
          <w:b/>
          <w:color w:val="auto"/>
          <w:sz w:val="24"/>
          <w:highlight w:val="none"/>
        </w:rPr>
        <w:t>二、供应商的资格要求：</w:t>
      </w:r>
      <w:bookmarkEnd w:id="11"/>
      <w:bookmarkEnd w:id="12"/>
      <w:bookmarkEnd w:id="13"/>
      <w:bookmarkEnd w:id="14"/>
    </w:p>
    <w:p w14:paraId="6B75679E">
      <w:pPr>
        <w:snapToGrid w:val="0"/>
        <w:spacing w:line="360" w:lineRule="auto"/>
        <w:ind w:firstLine="480" w:firstLineChars="200"/>
        <w:jc w:val="left"/>
        <w:rPr>
          <w:rFonts w:ascii="仿宋_GB2312" w:hAnsi="仿宋" w:eastAsia="仿宋_GB2312"/>
          <w:color w:val="auto"/>
          <w:sz w:val="24"/>
          <w:highlight w:val="none"/>
        </w:rPr>
      </w:pPr>
      <w:r>
        <w:rPr>
          <w:rFonts w:hint="eastAsia" w:ascii="仿宋_GB2312" w:hAnsi="仿宋" w:eastAsia="仿宋_GB2312"/>
          <w:color w:val="auto"/>
          <w:sz w:val="24"/>
          <w:highlight w:val="none"/>
        </w:rPr>
        <w:t>1.满足《中华人民共和国政府采购法》第二十二条规定；</w:t>
      </w:r>
    </w:p>
    <w:p w14:paraId="329F82AE">
      <w:pPr>
        <w:snapToGrid w:val="0"/>
        <w:spacing w:line="360" w:lineRule="auto"/>
        <w:ind w:firstLine="480" w:firstLineChars="200"/>
        <w:jc w:val="left"/>
        <w:rPr>
          <w:rFonts w:ascii="仿宋_GB2312" w:hAnsi="仿宋" w:eastAsia="仿宋_GB2312"/>
          <w:color w:val="auto"/>
          <w:sz w:val="24"/>
          <w:highlight w:val="none"/>
        </w:rPr>
      </w:pPr>
      <w:bookmarkStart w:id="16" w:name="_Toc28359081"/>
      <w:bookmarkStart w:id="17" w:name="_Toc28359004"/>
      <w:r>
        <w:rPr>
          <w:rFonts w:hint="eastAsia" w:ascii="仿宋_GB2312" w:hAnsi="仿宋" w:eastAsia="仿宋_GB2312"/>
          <w:color w:val="auto"/>
          <w:sz w:val="24"/>
          <w:highlight w:val="none"/>
        </w:rPr>
        <w:t>2.落实政府采购政策需满足的资格要求：按照需落实的国家相关政府采购政策执行；</w:t>
      </w:r>
    </w:p>
    <w:p w14:paraId="6CE89404">
      <w:pPr>
        <w:snapToGrid w:val="0"/>
        <w:spacing w:line="360" w:lineRule="auto"/>
        <w:ind w:firstLine="480" w:firstLineChars="200"/>
        <w:jc w:val="left"/>
        <w:rPr>
          <w:rFonts w:ascii="仿宋_GB2312" w:hAnsi="仿宋" w:eastAsia="仿宋_GB2312"/>
          <w:color w:val="auto"/>
          <w:sz w:val="24"/>
          <w:highlight w:val="none"/>
        </w:rPr>
      </w:pPr>
      <w:r>
        <w:rPr>
          <w:rFonts w:hint="eastAsia" w:ascii="仿宋_GB2312" w:hAnsi="仿宋" w:eastAsia="仿宋_GB2312"/>
          <w:color w:val="auto"/>
          <w:sz w:val="24"/>
          <w:highlight w:val="none"/>
        </w:rPr>
        <w:t>3.本项目的特定资格要求：</w:t>
      </w:r>
    </w:p>
    <w:p w14:paraId="57EA32FC">
      <w:pPr>
        <w:snapToGrid w:val="0"/>
        <w:spacing w:line="360" w:lineRule="auto"/>
        <w:ind w:firstLine="480" w:firstLineChars="200"/>
        <w:jc w:val="left"/>
        <w:rPr>
          <w:rFonts w:ascii="仿宋_GB2312" w:hAnsi="仿宋" w:eastAsia="仿宋_GB2312"/>
          <w:b/>
          <w:color w:val="auto"/>
          <w:sz w:val="24"/>
          <w:highlight w:val="none"/>
        </w:rPr>
      </w:pPr>
      <w:r>
        <w:rPr>
          <w:rFonts w:hint="eastAsia" w:ascii="仿宋_GB2312" w:hAnsi="仿宋" w:eastAsia="仿宋_GB2312"/>
          <w:b/>
          <w:color w:val="auto"/>
          <w:sz w:val="24"/>
          <w:highlight w:val="none"/>
        </w:rPr>
        <w:t>（1）若投标人为制造商的，须具备下列条件a或b：</w:t>
      </w:r>
    </w:p>
    <w:p w14:paraId="2F8A2ACA">
      <w:pPr>
        <w:snapToGrid w:val="0"/>
        <w:spacing w:line="360" w:lineRule="auto"/>
        <w:ind w:firstLine="480" w:firstLineChars="200"/>
        <w:jc w:val="left"/>
        <w:rPr>
          <w:rFonts w:ascii="仿宋_GB2312" w:hAnsi="仿宋" w:eastAsia="仿宋_GB2312"/>
          <w:bCs/>
          <w:color w:val="auto"/>
          <w:sz w:val="24"/>
          <w:highlight w:val="none"/>
        </w:rPr>
      </w:pPr>
      <w:r>
        <w:rPr>
          <w:rFonts w:hint="eastAsia" w:ascii="仿宋_GB2312" w:hAnsi="仿宋" w:eastAsia="仿宋_GB2312"/>
          <w:bCs/>
          <w:color w:val="auto"/>
          <w:sz w:val="24"/>
          <w:highlight w:val="none"/>
        </w:rPr>
        <w:t>a.具有有效期内的《中华人民共和国特种设备生产许可证》（许可项目包括电梯制造（含安装、修理、改造），许可子项目含曳引驱动乘客电梯）（新证）。</w:t>
      </w:r>
    </w:p>
    <w:p w14:paraId="4130B203">
      <w:pPr>
        <w:snapToGrid w:val="0"/>
        <w:spacing w:line="360" w:lineRule="auto"/>
        <w:ind w:firstLine="480" w:firstLineChars="200"/>
        <w:jc w:val="left"/>
        <w:rPr>
          <w:rFonts w:ascii="仿宋_GB2312" w:hAnsi="仿宋" w:eastAsia="仿宋_GB2312"/>
          <w:bCs/>
          <w:color w:val="auto"/>
          <w:sz w:val="24"/>
          <w:highlight w:val="none"/>
        </w:rPr>
      </w:pPr>
      <w:r>
        <w:rPr>
          <w:rFonts w:hint="eastAsia" w:ascii="仿宋_GB2312" w:hAnsi="仿宋" w:eastAsia="仿宋_GB2312"/>
          <w:bCs/>
          <w:color w:val="auto"/>
          <w:sz w:val="24"/>
          <w:highlight w:val="none"/>
        </w:rPr>
        <w:t>b.同时具有有效期内的《中华人民共和国特种设备制造许可证》（电梯）B级及以上资质（旧证）和《中华人民共和国特种设备安装改造维修许可证》（电梯）B级及以上资质（旧证）。</w:t>
      </w:r>
    </w:p>
    <w:p w14:paraId="3C1CF87F">
      <w:pPr>
        <w:snapToGrid w:val="0"/>
        <w:spacing w:line="360" w:lineRule="auto"/>
        <w:ind w:firstLine="480" w:firstLineChars="200"/>
        <w:jc w:val="left"/>
        <w:rPr>
          <w:rFonts w:ascii="仿宋_GB2312" w:hAnsi="仿宋" w:eastAsia="仿宋_GB2312"/>
          <w:b/>
          <w:color w:val="auto"/>
          <w:sz w:val="24"/>
          <w:highlight w:val="none"/>
        </w:rPr>
      </w:pPr>
      <w:r>
        <w:rPr>
          <w:rFonts w:hint="eastAsia" w:ascii="仿宋_GB2312" w:hAnsi="仿宋" w:eastAsia="仿宋_GB2312"/>
          <w:b/>
          <w:color w:val="auto"/>
          <w:sz w:val="24"/>
          <w:highlight w:val="none"/>
        </w:rPr>
        <w:t>（2）若投标人为代理商的，须具备下列条件a和b：</w:t>
      </w:r>
    </w:p>
    <w:p w14:paraId="4F136741">
      <w:pPr>
        <w:snapToGrid w:val="0"/>
        <w:spacing w:line="360" w:lineRule="auto"/>
        <w:ind w:firstLine="480" w:firstLineChars="200"/>
        <w:jc w:val="left"/>
        <w:rPr>
          <w:rFonts w:ascii="仿宋_GB2312" w:hAnsi="仿宋" w:eastAsia="仿宋_GB2312"/>
          <w:bCs/>
          <w:color w:val="auto"/>
          <w:sz w:val="24"/>
          <w:highlight w:val="none"/>
        </w:rPr>
      </w:pPr>
      <w:r>
        <w:rPr>
          <w:rFonts w:hint="eastAsia" w:ascii="仿宋_GB2312" w:hAnsi="仿宋" w:eastAsia="仿宋_GB2312"/>
          <w:bCs/>
          <w:color w:val="auto"/>
          <w:sz w:val="24"/>
          <w:highlight w:val="none"/>
        </w:rPr>
        <w:t>a.具有有效期内的《中华人民共和国特种设备安装改造维修许可证》（电梯）B级及以上资质（旧证）或《中华人民共和国特种设备生产许可证》（许可项目包括电梯安装（含修理），许可子项目含曳引驱动乘客电梯）（新证）。</w:t>
      </w:r>
    </w:p>
    <w:p w14:paraId="466BAB1A">
      <w:pPr>
        <w:snapToGrid w:val="0"/>
        <w:spacing w:line="360" w:lineRule="auto"/>
        <w:ind w:firstLine="480" w:firstLineChars="200"/>
        <w:jc w:val="left"/>
        <w:rPr>
          <w:rFonts w:ascii="仿宋_GB2312" w:hAnsi="仿宋" w:eastAsia="仿宋_GB2312"/>
          <w:bCs/>
          <w:color w:val="auto"/>
          <w:sz w:val="24"/>
          <w:highlight w:val="none"/>
        </w:rPr>
      </w:pPr>
      <w:r>
        <w:rPr>
          <w:rFonts w:hint="eastAsia" w:ascii="仿宋_GB2312" w:hAnsi="仿宋" w:eastAsia="仿宋_GB2312"/>
          <w:bCs/>
          <w:color w:val="auto"/>
          <w:sz w:val="24"/>
          <w:highlight w:val="none"/>
        </w:rPr>
        <w:t>b.具有经所投电梯生产制造商同意的委托合同并提供该制造商的《中华人民共和国特种设备制造许可证》（电梯）B级资质（旧证）或《中华人民共和国特种设备生产许可证》（许可项目包括电梯制造（含安装、修理、改造），许可子项目曳引驱动乘客电梯）（新证）。</w:t>
      </w:r>
    </w:p>
    <w:p w14:paraId="4389BFFA">
      <w:pPr>
        <w:snapToGrid w:val="0"/>
        <w:spacing w:line="360" w:lineRule="auto"/>
        <w:jc w:val="left"/>
        <w:rPr>
          <w:rFonts w:ascii="仿宋_GB2312" w:hAnsi="仿宋" w:eastAsia="仿宋_GB2312"/>
          <w:b/>
          <w:color w:val="auto"/>
          <w:sz w:val="24"/>
          <w:highlight w:val="none"/>
        </w:rPr>
      </w:pPr>
      <w:r>
        <w:rPr>
          <w:rFonts w:hint="eastAsia" w:ascii="仿宋_GB2312" w:hAnsi="仿宋" w:eastAsia="仿宋_GB2312"/>
          <w:b/>
          <w:color w:val="auto"/>
          <w:sz w:val="24"/>
          <w:highlight w:val="none"/>
        </w:rPr>
        <w:t>三、政府采购供应商入库须知</w:t>
      </w:r>
    </w:p>
    <w:p w14:paraId="26D0AB36">
      <w:pPr>
        <w:snapToGrid w:val="0"/>
        <w:spacing w:line="360" w:lineRule="auto"/>
        <w:ind w:firstLine="480" w:firstLineChars="200"/>
        <w:jc w:val="left"/>
        <w:rPr>
          <w:rFonts w:ascii="仿宋_GB2312" w:hAnsi="仿宋" w:eastAsia="仿宋_GB2312" w:cs="宋体"/>
          <w:color w:val="auto"/>
          <w:sz w:val="24"/>
          <w:highlight w:val="none"/>
        </w:rPr>
      </w:pPr>
      <w:r>
        <w:rPr>
          <w:rFonts w:hint="eastAsia" w:ascii="仿宋_GB2312" w:hAnsi="仿宋" w:eastAsia="仿宋_GB2312" w:cs="宋体"/>
          <w:color w:val="auto"/>
          <w:sz w:val="24"/>
          <w:highlight w:val="none"/>
        </w:rPr>
        <w:t>参加辽宁省政府采购活动的供应商未进入辽宁省政府采购供应商库的，请详阅辽宁政府采购网“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14:paraId="35651612">
      <w:pPr>
        <w:snapToGrid w:val="0"/>
        <w:spacing w:line="360" w:lineRule="auto"/>
        <w:jc w:val="left"/>
        <w:rPr>
          <w:rFonts w:ascii="仿宋_GB2312" w:hAnsi="仿宋" w:eastAsia="仿宋_GB2312"/>
          <w:b/>
          <w:color w:val="auto"/>
          <w:sz w:val="24"/>
          <w:highlight w:val="none"/>
        </w:rPr>
      </w:pPr>
      <w:bookmarkStart w:id="18" w:name="_Toc35393792"/>
      <w:bookmarkStart w:id="19" w:name="_Toc35393623"/>
      <w:r>
        <w:rPr>
          <w:rFonts w:hint="eastAsia" w:ascii="仿宋_GB2312" w:hAnsi="仿宋" w:eastAsia="仿宋_GB2312"/>
          <w:b/>
          <w:color w:val="auto"/>
          <w:sz w:val="24"/>
          <w:highlight w:val="none"/>
        </w:rPr>
        <w:t>四、获取招标文件</w:t>
      </w:r>
      <w:bookmarkEnd w:id="16"/>
      <w:bookmarkEnd w:id="17"/>
      <w:bookmarkEnd w:id="18"/>
      <w:bookmarkEnd w:id="19"/>
    </w:p>
    <w:p w14:paraId="70F84F6C">
      <w:pPr>
        <w:snapToGrid w:val="0"/>
        <w:spacing w:line="360" w:lineRule="auto"/>
        <w:ind w:firstLine="540"/>
        <w:jc w:val="left"/>
        <w:rPr>
          <w:rFonts w:ascii="仿宋_GB2312" w:hAnsi="仿宋" w:eastAsia="仿宋_GB2312" w:cs="宋体"/>
          <w:color w:val="auto"/>
          <w:sz w:val="24"/>
          <w:highlight w:val="none"/>
        </w:rPr>
      </w:pPr>
      <w:r>
        <w:rPr>
          <w:rFonts w:hint="eastAsia" w:ascii="仿宋_GB2312" w:hAnsi="仿宋" w:eastAsia="仿宋_GB2312" w:cs="仿宋_GB2312"/>
          <w:color w:val="auto"/>
          <w:sz w:val="24"/>
          <w:highlight w:val="none"/>
        </w:rPr>
        <w:t>时间：</w:t>
      </w:r>
      <w:r>
        <w:rPr>
          <w:rFonts w:hint="eastAsia" w:ascii="仿宋_GB2312" w:hAnsi="仿宋" w:eastAsia="仿宋_GB2312" w:cs="宋体"/>
          <w:color w:val="auto"/>
          <w:sz w:val="24"/>
          <w:highlight w:val="none"/>
        </w:rPr>
        <w:t>2025年</w:t>
      </w:r>
      <w:r>
        <w:rPr>
          <w:rFonts w:hint="eastAsia" w:ascii="仿宋_GB2312" w:hAnsi="仿宋" w:eastAsia="仿宋_GB2312" w:cs="宋体"/>
          <w:color w:val="auto"/>
          <w:sz w:val="24"/>
          <w:highlight w:val="none"/>
          <w:lang w:val="en-US" w:eastAsia="zh-CN"/>
        </w:rPr>
        <w:t>08</w:t>
      </w:r>
      <w:r>
        <w:rPr>
          <w:rFonts w:hint="eastAsia" w:ascii="仿宋_GB2312" w:hAnsi="仿宋" w:eastAsia="仿宋_GB2312" w:cs="宋体"/>
          <w:color w:val="auto"/>
          <w:sz w:val="24"/>
          <w:highlight w:val="none"/>
        </w:rPr>
        <w:t>月</w:t>
      </w:r>
      <w:r>
        <w:rPr>
          <w:rFonts w:hint="eastAsia" w:ascii="仿宋_GB2312" w:hAnsi="仿宋" w:eastAsia="仿宋_GB2312" w:cs="宋体"/>
          <w:color w:val="auto"/>
          <w:sz w:val="24"/>
          <w:highlight w:val="none"/>
          <w:lang w:val="en-US" w:eastAsia="zh-CN"/>
        </w:rPr>
        <w:t>06</w:t>
      </w:r>
      <w:r>
        <w:rPr>
          <w:rFonts w:hint="eastAsia" w:ascii="仿宋_GB2312" w:hAnsi="仿宋" w:eastAsia="仿宋_GB2312" w:cs="宋体"/>
          <w:color w:val="auto"/>
          <w:sz w:val="24"/>
          <w:highlight w:val="none"/>
        </w:rPr>
        <w:t>日</w:t>
      </w:r>
      <w:r>
        <w:rPr>
          <w:rFonts w:hint="eastAsia" w:ascii="仿宋_GB2312" w:hAnsi="仿宋" w:eastAsia="仿宋_GB2312" w:cs="宋体"/>
          <w:color w:val="auto"/>
          <w:sz w:val="24"/>
          <w:highlight w:val="none"/>
          <w:lang w:val="en-US" w:eastAsia="zh-CN"/>
        </w:rPr>
        <w:t>23</w:t>
      </w:r>
      <w:bookmarkStart w:id="234" w:name="_GoBack"/>
      <w:bookmarkEnd w:id="234"/>
      <w:r>
        <w:rPr>
          <w:rFonts w:hint="eastAsia" w:ascii="仿宋_GB2312" w:hAnsi="仿宋" w:eastAsia="仿宋_GB2312" w:cs="宋体"/>
          <w:color w:val="auto"/>
          <w:sz w:val="24"/>
          <w:highlight w:val="none"/>
        </w:rPr>
        <w:t>时00分00秒至2025年</w:t>
      </w:r>
      <w:r>
        <w:rPr>
          <w:rFonts w:hint="eastAsia" w:ascii="仿宋_GB2312" w:hAnsi="仿宋" w:eastAsia="仿宋_GB2312" w:cs="宋体"/>
          <w:color w:val="auto"/>
          <w:sz w:val="24"/>
          <w:highlight w:val="none"/>
          <w:lang w:val="en-US" w:eastAsia="zh-CN"/>
        </w:rPr>
        <w:t>08</w:t>
      </w:r>
      <w:r>
        <w:rPr>
          <w:rFonts w:hint="eastAsia" w:ascii="仿宋_GB2312" w:hAnsi="仿宋" w:eastAsia="仿宋_GB2312" w:cs="宋体"/>
          <w:color w:val="auto"/>
          <w:sz w:val="24"/>
          <w:highlight w:val="none"/>
        </w:rPr>
        <w:t>月</w:t>
      </w:r>
      <w:r>
        <w:rPr>
          <w:rFonts w:hint="eastAsia" w:ascii="仿宋_GB2312" w:hAnsi="仿宋" w:eastAsia="仿宋_GB2312" w:cs="宋体"/>
          <w:color w:val="auto"/>
          <w:sz w:val="24"/>
          <w:highlight w:val="none"/>
          <w:lang w:val="en-US" w:eastAsia="zh-CN"/>
        </w:rPr>
        <w:t>14</w:t>
      </w:r>
      <w:r>
        <w:rPr>
          <w:rFonts w:hint="eastAsia" w:ascii="仿宋_GB2312" w:hAnsi="仿宋" w:eastAsia="仿宋_GB2312" w:cs="宋体"/>
          <w:color w:val="auto"/>
          <w:sz w:val="24"/>
          <w:highlight w:val="none"/>
        </w:rPr>
        <w:t>日00时01分00秒(提供期限自本公告发布之日起不得少于5个工作日)。</w:t>
      </w:r>
    </w:p>
    <w:p w14:paraId="46357EBB">
      <w:pPr>
        <w:snapToGrid w:val="0"/>
        <w:spacing w:line="360" w:lineRule="auto"/>
        <w:ind w:firstLine="540"/>
        <w:jc w:val="left"/>
        <w:rPr>
          <w:rFonts w:ascii="仿宋_GB2312" w:hAnsi="仿宋" w:eastAsia="仿宋_GB2312" w:cs="宋体"/>
          <w:color w:val="auto"/>
          <w:sz w:val="24"/>
          <w:highlight w:val="none"/>
        </w:rPr>
      </w:pPr>
      <w:r>
        <w:rPr>
          <w:rFonts w:hint="eastAsia" w:ascii="仿宋_GB2312" w:hAnsi="仿宋" w:eastAsia="仿宋_GB2312" w:cs="宋体"/>
          <w:color w:val="auto"/>
          <w:sz w:val="24"/>
          <w:highlight w:val="none"/>
        </w:rPr>
        <w:t>地点：</w:t>
      </w:r>
      <w:bookmarkStart w:id="20" w:name="_Toc28359082"/>
      <w:bookmarkStart w:id="21" w:name="_Toc28359005"/>
      <w:bookmarkStart w:id="22" w:name="_Toc35393624"/>
      <w:bookmarkStart w:id="23" w:name="_Toc35393793"/>
      <w:r>
        <w:rPr>
          <w:rFonts w:hint="eastAsia" w:ascii="仿宋_GB2312" w:hAnsi="仿宋" w:eastAsia="仿宋_GB2312" w:cs="宋体"/>
          <w:color w:val="auto"/>
          <w:sz w:val="24"/>
          <w:highlight w:val="none"/>
        </w:rPr>
        <w:t>辽宁政府采购网</w:t>
      </w:r>
      <w:r>
        <w:rPr>
          <w:rFonts w:hint="eastAsia" w:ascii="仿宋_GB2312" w:hAnsi="仿宋" w:eastAsia="仿宋_GB2312" w:cs="仿宋_GB2312"/>
          <w:color w:val="auto"/>
          <w:sz w:val="24"/>
          <w:highlight w:val="none"/>
        </w:rPr>
        <w:t>（</w:t>
      </w:r>
      <w:r>
        <w:rPr>
          <w:rFonts w:ascii="仿宋_GB2312" w:hAnsi="仿宋" w:eastAsia="仿宋_GB2312" w:cs="仿宋_GB2312"/>
          <w:color w:val="auto"/>
          <w:sz w:val="24"/>
          <w:highlight w:val="none"/>
        </w:rPr>
        <w:t>http://www.ccgp-liaoning.gov.cn/</w:t>
      </w:r>
      <w:r>
        <w:rPr>
          <w:rFonts w:hint="eastAsia" w:ascii="仿宋_GB2312" w:hAnsi="仿宋" w:eastAsia="仿宋_GB2312" w:cs="仿宋_GB2312"/>
          <w:color w:val="auto"/>
          <w:sz w:val="24"/>
          <w:highlight w:val="none"/>
        </w:rPr>
        <w:t>）</w:t>
      </w:r>
    </w:p>
    <w:p w14:paraId="2139CD53">
      <w:pPr>
        <w:snapToGrid w:val="0"/>
        <w:spacing w:line="360" w:lineRule="auto"/>
        <w:ind w:firstLine="540"/>
        <w:jc w:val="left"/>
        <w:rPr>
          <w:rFonts w:ascii="仿宋_GB2312" w:hAnsi="仿宋" w:eastAsia="仿宋_GB2312" w:cs="宋体"/>
          <w:color w:val="auto"/>
          <w:sz w:val="24"/>
          <w:highlight w:val="none"/>
        </w:rPr>
      </w:pPr>
      <w:r>
        <w:rPr>
          <w:rFonts w:hint="eastAsia" w:ascii="仿宋_GB2312" w:hAnsi="仿宋" w:eastAsia="仿宋_GB2312" w:cs="宋体"/>
          <w:color w:val="auto"/>
          <w:sz w:val="24"/>
          <w:highlight w:val="none"/>
        </w:rPr>
        <w:t>方式：辽宁政府采购网网上下载</w:t>
      </w:r>
    </w:p>
    <w:p w14:paraId="5900A2EE">
      <w:pPr>
        <w:snapToGrid w:val="0"/>
        <w:spacing w:line="360" w:lineRule="auto"/>
        <w:ind w:firstLine="540"/>
        <w:jc w:val="left"/>
        <w:rPr>
          <w:rFonts w:ascii="仿宋_GB2312" w:hAnsi="仿宋" w:eastAsia="仿宋_GB2312" w:cs="宋体"/>
          <w:color w:val="auto"/>
          <w:sz w:val="24"/>
          <w:highlight w:val="none"/>
        </w:rPr>
      </w:pPr>
      <w:r>
        <w:rPr>
          <w:rFonts w:hint="eastAsia" w:ascii="仿宋_GB2312" w:hAnsi="仿宋" w:eastAsia="仿宋_GB2312" w:cs="宋体"/>
          <w:color w:val="auto"/>
          <w:sz w:val="24"/>
          <w:highlight w:val="none"/>
        </w:rPr>
        <w:t>售价：免费</w:t>
      </w:r>
    </w:p>
    <w:p w14:paraId="5C73ED7F">
      <w:pPr>
        <w:snapToGrid w:val="0"/>
        <w:spacing w:line="360" w:lineRule="auto"/>
        <w:jc w:val="left"/>
        <w:rPr>
          <w:rFonts w:ascii="仿宋_GB2312" w:hAnsi="仿宋" w:eastAsia="仿宋_GB2312"/>
          <w:b/>
          <w:color w:val="auto"/>
          <w:sz w:val="24"/>
          <w:highlight w:val="none"/>
        </w:rPr>
      </w:pPr>
      <w:r>
        <w:rPr>
          <w:rFonts w:hint="eastAsia" w:ascii="仿宋_GB2312" w:hAnsi="仿宋" w:eastAsia="仿宋_GB2312"/>
          <w:b/>
          <w:color w:val="auto"/>
          <w:sz w:val="24"/>
          <w:highlight w:val="none"/>
        </w:rPr>
        <w:t>五、提交投标文件</w:t>
      </w:r>
      <w:bookmarkEnd w:id="20"/>
      <w:bookmarkEnd w:id="21"/>
      <w:r>
        <w:rPr>
          <w:rFonts w:hint="eastAsia" w:ascii="仿宋_GB2312" w:hAnsi="仿宋" w:eastAsia="仿宋_GB2312"/>
          <w:b/>
          <w:color w:val="auto"/>
          <w:sz w:val="24"/>
          <w:highlight w:val="none"/>
        </w:rPr>
        <w:t>截止时间、开标时间和地点</w:t>
      </w:r>
      <w:bookmarkEnd w:id="22"/>
      <w:bookmarkEnd w:id="23"/>
    </w:p>
    <w:p w14:paraId="40B7144A">
      <w:pPr>
        <w:snapToGrid w:val="0"/>
        <w:spacing w:line="360" w:lineRule="auto"/>
        <w:ind w:firstLine="480" w:firstLineChars="200"/>
        <w:jc w:val="left"/>
        <w:rPr>
          <w:rFonts w:ascii="仿宋_GB2312" w:hAnsi="仿宋" w:eastAsia="仿宋_GB2312"/>
          <w:bCs/>
          <w:color w:val="auto"/>
          <w:sz w:val="24"/>
          <w:highlight w:val="none"/>
        </w:rPr>
      </w:pPr>
      <w:r>
        <w:rPr>
          <w:rFonts w:hint="eastAsia" w:ascii="仿宋_GB2312" w:hAnsi="仿宋" w:eastAsia="仿宋_GB2312" w:cs="仿宋_GB2312"/>
          <w:bCs/>
          <w:color w:val="auto"/>
          <w:sz w:val="24"/>
          <w:highlight w:val="none"/>
        </w:rPr>
        <w:t>2025年</w:t>
      </w:r>
      <w:r>
        <w:rPr>
          <w:rFonts w:hint="eastAsia" w:ascii="仿宋_GB2312" w:hAnsi="仿宋" w:eastAsia="仿宋_GB2312" w:cs="仿宋_GB2312"/>
          <w:bCs/>
          <w:color w:val="auto"/>
          <w:sz w:val="24"/>
          <w:highlight w:val="none"/>
          <w:lang w:val="en-US" w:eastAsia="zh-CN"/>
        </w:rPr>
        <w:t>08</w:t>
      </w:r>
      <w:r>
        <w:rPr>
          <w:rFonts w:hint="eastAsia" w:ascii="仿宋_GB2312" w:hAnsi="仿宋" w:eastAsia="仿宋_GB2312" w:cs="仿宋_GB2312"/>
          <w:color w:val="auto"/>
          <w:sz w:val="24"/>
          <w:highlight w:val="none"/>
        </w:rPr>
        <w:t>月</w:t>
      </w:r>
      <w:r>
        <w:rPr>
          <w:rFonts w:hint="eastAsia" w:ascii="仿宋_GB2312" w:hAnsi="仿宋" w:eastAsia="仿宋_GB2312" w:cs="仿宋_GB2312"/>
          <w:color w:val="auto"/>
          <w:sz w:val="24"/>
          <w:highlight w:val="none"/>
          <w:lang w:val="en-US" w:eastAsia="zh-CN"/>
        </w:rPr>
        <w:t>27</w:t>
      </w:r>
      <w:r>
        <w:rPr>
          <w:rFonts w:hint="eastAsia" w:ascii="仿宋_GB2312" w:hAnsi="仿宋" w:eastAsia="仿宋_GB2312" w:cs="仿宋_GB2312"/>
          <w:color w:val="auto"/>
          <w:sz w:val="24"/>
          <w:highlight w:val="none"/>
        </w:rPr>
        <w:t>日09</w:t>
      </w:r>
      <w:r>
        <w:rPr>
          <w:rFonts w:hint="eastAsia" w:ascii="仿宋_GB2312" w:hAnsi="仿宋" w:eastAsia="仿宋_GB2312" w:cs="仿宋_GB2312"/>
          <w:bCs/>
          <w:color w:val="auto"/>
          <w:sz w:val="24"/>
          <w:highlight w:val="none"/>
        </w:rPr>
        <w:t>时30分（北京时间</w:t>
      </w:r>
      <w:r>
        <w:rPr>
          <w:rFonts w:hint="eastAsia" w:ascii="仿宋_GB2312" w:hAnsi="仿宋" w:eastAsia="仿宋_GB2312"/>
          <w:bCs/>
          <w:color w:val="auto"/>
          <w:sz w:val="24"/>
          <w:highlight w:val="none"/>
        </w:rPr>
        <w:t>）</w:t>
      </w:r>
    </w:p>
    <w:p w14:paraId="2FFC4A8E">
      <w:pPr>
        <w:snapToGrid w:val="0"/>
        <w:spacing w:line="360" w:lineRule="auto"/>
        <w:ind w:firstLine="480" w:firstLineChars="20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地点：辽宁政府采购网</w:t>
      </w:r>
    </w:p>
    <w:p w14:paraId="724E6D11">
      <w:pPr>
        <w:adjustRightInd w:val="0"/>
        <w:snapToGrid w:val="0"/>
        <w:spacing w:line="360" w:lineRule="auto"/>
        <w:ind w:firstLine="480" w:firstLineChars="200"/>
        <w:rPr>
          <w:rFonts w:ascii="仿宋_GB2312" w:hAnsi="仿宋" w:eastAsia="仿宋_GB2312" w:cs="宋体"/>
          <w:color w:val="auto"/>
          <w:sz w:val="24"/>
          <w:highlight w:val="none"/>
        </w:rPr>
      </w:pPr>
      <w:r>
        <w:rPr>
          <w:rFonts w:hint="eastAsia" w:ascii="仿宋_GB2312" w:hAnsi="仿宋" w:eastAsia="仿宋_GB2312" w:cs="仿宋_GB2312"/>
          <w:color w:val="auto"/>
          <w:sz w:val="24"/>
          <w:highlight w:val="none"/>
        </w:rPr>
        <w:t>方式：电子版投标文件上传至辽宁政府采购网（</w:t>
      </w:r>
      <w:r>
        <w:rPr>
          <w:rFonts w:ascii="仿宋_GB2312" w:hAnsi="仿宋" w:eastAsia="仿宋_GB2312" w:cs="仿宋_GB2312"/>
          <w:color w:val="auto"/>
          <w:sz w:val="24"/>
          <w:highlight w:val="none"/>
        </w:rPr>
        <w:t>http://www.ccgp-liaoning.gov.cn/</w:t>
      </w:r>
      <w:r>
        <w:rPr>
          <w:rFonts w:hint="eastAsia" w:ascii="仿宋_GB2312" w:hAnsi="仿宋" w:eastAsia="仿宋_GB2312" w:cs="仿宋_GB2312"/>
          <w:color w:val="auto"/>
          <w:sz w:val="24"/>
          <w:highlight w:val="none"/>
        </w:rPr>
        <w:t>），以U盘形式存储的加密备份文件递交至辽宁省沈阳市和平区南八马路19号金辉大厦A座（融寓）2层</w:t>
      </w:r>
      <w:r>
        <w:rPr>
          <w:rFonts w:hint="eastAsia" w:ascii="仿宋_GB2312" w:hAnsi="仿宋" w:eastAsia="仿宋_GB2312" w:cs="宋体"/>
          <w:color w:val="auto"/>
          <w:sz w:val="24"/>
          <w:highlight w:val="none"/>
        </w:rPr>
        <w:t>。</w:t>
      </w:r>
    </w:p>
    <w:p w14:paraId="0280F05E">
      <w:pPr>
        <w:snapToGrid w:val="0"/>
        <w:spacing w:line="360" w:lineRule="auto"/>
        <w:jc w:val="left"/>
        <w:rPr>
          <w:rFonts w:ascii="仿宋_GB2312" w:hAnsi="仿宋" w:eastAsia="仿宋_GB2312"/>
          <w:b/>
          <w:color w:val="auto"/>
          <w:sz w:val="24"/>
          <w:highlight w:val="none"/>
        </w:rPr>
      </w:pPr>
      <w:bookmarkStart w:id="24" w:name="_Toc28359084"/>
      <w:bookmarkStart w:id="25" w:name="_Toc35393794"/>
      <w:bookmarkStart w:id="26" w:name="_Toc35393625"/>
      <w:bookmarkStart w:id="27" w:name="_Toc28359007"/>
      <w:r>
        <w:rPr>
          <w:rFonts w:hint="eastAsia" w:ascii="仿宋_GB2312" w:hAnsi="仿宋" w:eastAsia="仿宋_GB2312"/>
          <w:b/>
          <w:color w:val="auto"/>
          <w:sz w:val="24"/>
          <w:highlight w:val="none"/>
        </w:rPr>
        <w:t>六、公告期限</w:t>
      </w:r>
      <w:bookmarkEnd w:id="24"/>
      <w:bookmarkEnd w:id="25"/>
      <w:bookmarkEnd w:id="26"/>
      <w:bookmarkEnd w:id="27"/>
    </w:p>
    <w:p w14:paraId="1C01E094">
      <w:pPr>
        <w:snapToGrid w:val="0"/>
        <w:spacing w:line="360" w:lineRule="auto"/>
        <w:ind w:firstLine="480" w:firstLineChars="200"/>
        <w:jc w:val="left"/>
        <w:rPr>
          <w:rFonts w:ascii="仿宋_GB2312" w:hAnsi="仿宋" w:eastAsia="仿宋_GB2312" w:cs="宋体"/>
          <w:color w:val="auto"/>
          <w:kern w:val="0"/>
          <w:sz w:val="24"/>
          <w:highlight w:val="none"/>
        </w:rPr>
      </w:pPr>
      <w:r>
        <w:rPr>
          <w:rFonts w:hint="eastAsia" w:ascii="仿宋_GB2312" w:hAnsi="仿宋" w:eastAsia="仿宋_GB2312" w:cs="宋体"/>
          <w:color w:val="auto"/>
          <w:kern w:val="0"/>
          <w:sz w:val="24"/>
          <w:highlight w:val="none"/>
        </w:rPr>
        <w:t>自本公告发布之日起5个工作日。</w:t>
      </w:r>
    </w:p>
    <w:p w14:paraId="4B5186D1">
      <w:pPr>
        <w:snapToGrid w:val="0"/>
        <w:spacing w:line="360" w:lineRule="auto"/>
        <w:jc w:val="left"/>
        <w:rPr>
          <w:rFonts w:ascii="仿宋_GB2312" w:hAnsi="仿宋" w:eastAsia="仿宋_GB2312"/>
          <w:b/>
          <w:color w:val="auto"/>
          <w:sz w:val="24"/>
          <w:highlight w:val="none"/>
        </w:rPr>
      </w:pPr>
      <w:r>
        <w:rPr>
          <w:rFonts w:hint="eastAsia" w:ascii="仿宋_GB2312" w:hAnsi="仿宋" w:eastAsia="仿宋_GB2312"/>
          <w:b/>
          <w:color w:val="auto"/>
          <w:sz w:val="24"/>
          <w:highlight w:val="none"/>
        </w:rPr>
        <w:t>七、质疑与投诉</w:t>
      </w:r>
    </w:p>
    <w:p w14:paraId="3C9E5A0C">
      <w:pPr>
        <w:widowControl/>
        <w:snapToGrid w:val="0"/>
        <w:spacing w:line="360" w:lineRule="auto"/>
        <w:ind w:firstLine="539"/>
        <w:jc w:val="left"/>
        <w:rPr>
          <w:rFonts w:ascii="仿宋_GB2312" w:hAnsi="仿宋" w:eastAsia="仿宋_GB2312" w:cs="宋体"/>
          <w:color w:val="auto"/>
          <w:sz w:val="24"/>
          <w:highlight w:val="none"/>
        </w:rPr>
      </w:pPr>
      <w:r>
        <w:rPr>
          <w:rFonts w:hint="eastAsia" w:ascii="仿宋_GB2312" w:hAnsi="仿宋" w:eastAsia="仿宋_GB2312" w:cs="宋体"/>
          <w:color w:val="auto"/>
          <w:sz w:val="24"/>
          <w:highlight w:val="none"/>
        </w:rPr>
        <w:t>供应商认为自己的权益受到损害的，可以在知道或者应知其权益受到损害之日起七个工作日内，向采购组织机构或采购人提出质疑。</w:t>
      </w:r>
    </w:p>
    <w:p w14:paraId="03B77906">
      <w:pPr>
        <w:widowControl/>
        <w:adjustRightInd w:val="0"/>
        <w:snapToGrid w:val="0"/>
        <w:spacing w:line="360" w:lineRule="auto"/>
        <w:ind w:firstLine="480"/>
        <w:jc w:val="left"/>
        <w:rPr>
          <w:rFonts w:ascii="仿宋_GB2312" w:hAnsi="仿宋" w:eastAsia="仿宋_GB2312" w:cs="宋体"/>
          <w:color w:val="auto"/>
          <w:sz w:val="24"/>
          <w:highlight w:val="none"/>
        </w:rPr>
      </w:pPr>
      <w:r>
        <w:rPr>
          <w:rFonts w:hint="eastAsia" w:ascii="仿宋_GB2312" w:hAnsi="仿宋" w:eastAsia="仿宋_GB2312" w:cs="宋体"/>
          <w:color w:val="auto"/>
          <w:sz w:val="24"/>
          <w:highlight w:val="none"/>
        </w:rPr>
        <w:t>1.接收质疑函方式：线上或书面纸质质疑函；</w:t>
      </w:r>
    </w:p>
    <w:p w14:paraId="2261A32E">
      <w:pPr>
        <w:widowControl/>
        <w:adjustRightInd w:val="0"/>
        <w:snapToGrid w:val="0"/>
        <w:spacing w:line="360" w:lineRule="auto"/>
        <w:ind w:firstLine="480"/>
        <w:jc w:val="left"/>
        <w:rPr>
          <w:rFonts w:ascii="仿宋_GB2312" w:hAnsi="仿宋" w:eastAsia="仿宋_GB2312" w:cs="宋体"/>
          <w:color w:val="auto"/>
          <w:sz w:val="24"/>
          <w:highlight w:val="none"/>
        </w:rPr>
      </w:pPr>
      <w:r>
        <w:rPr>
          <w:rFonts w:hint="eastAsia" w:ascii="仿宋_GB2312" w:hAnsi="仿宋" w:eastAsia="仿宋_GB2312" w:cs="宋体"/>
          <w:color w:val="auto"/>
          <w:sz w:val="24"/>
          <w:highlight w:val="none"/>
        </w:rPr>
        <w:t>2.质疑函内容、格式：应符合《政府采购质疑和投诉办法》相关规定和财政部制定的《政府采购质疑函范本》格式，详见辽宁政府采购网。</w:t>
      </w:r>
    </w:p>
    <w:p w14:paraId="7A4002E7">
      <w:pPr>
        <w:widowControl/>
        <w:adjustRightInd w:val="0"/>
        <w:snapToGrid w:val="0"/>
        <w:spacing w:line="360" w:lineRule="auto"/>
        <w:ind w:firstLine="480"/>
        <w:jc w:val="left"/>
        <w:rPr>
          <w:rFonts w:ascii="仿宋_GB2312" w:hAnsi="仿宋" w:eastAsia="仿宋_GB2312" w:cs="宋体"/>
          <w:color w:val="auto"/>
          <w:sz w:val="24"/>
          <w:highlight w:val="none"/>
        </w:rPr>
      </w:pPr>
      <w:r>
        <w:rPr>
          <w:rFonts w:hint="eastAsia" w:ascii="仿宋_GB2312" w:hAnsi="仿宋" w:eastAsia="仿宋_GB2312" w:cs="宋体"/>
          <w:color w:val="auto"/>
          <w:sz w:val="24"/>
          <w:highlight w:val="none"/>
        </w:rPr>
        <w:t>质疑供应商对采购人、采购组织机构的答复不满意，或者采购人、采购组织机构未在规定时间内作出答复的，可以在答复期满后15个工作日内向本级财政部门提起投诉。</w:t>
      </w:r>
    </w:p>
    <w:p w14:paraId="2717AE11">
      <w:pPr>
        <w:snapToGrid w:val="0"/>
        <w:spacing w:line="360" w:lineRule="auto"/>
        <w:jc w:val="left"/>
        <w:rPr>
          <w:rFonts w:ascii="仿宋_GB2312" w:hAnsi="仿宋" w:eastAsia="仿宋_GB2312"/>
          <w:b/>
          <w:color w:val="auto"/>
          <w:sz w:val="24"/>
          <w:highlight w:val="none"/>
        </w:rPr>
      </w:pPr>
      <w:bookmarkStart w:id="28" w:name="_Toc35393626"/>
      <w:bookmarkStart w:id="29" w:name="_Toc35393795"/>
      <w:r>
        <w:rPr>
          <w:rFonts w:hint="eastAsia" w:ascii="仿宋_GB2312" w:hAnsi="仿宋" w:eastAsia="仿宋_GB2312"/>
          <w:b/>
          <w:color w:val="auto"/>
          <w:sz w:val="24"/>
          <w:highlight w:val="none"/>
        </w:rPr>
        <w:t>八、其他补充事宜</w:t>
      </w:r>
      <w:bookmarkEnd w:id="28"/>
      <w:bookmarkEnd w:id="29"/>
    </w:p>
    <w:p w14:paraId="005136F2">
      <w:pPr>
        <w:widowControl/>
        <w:adjustRightInd w:val="0"/>
        <w:snapToGrid w:val="0"/>
        <w:spacing w:line="360" w:lineRule="auto"/>
        <w:ind w:firstLine="482"/>
        <w:jc w:val="left"/>
        <w:rPr>
          <w:rFonts w:ascii="仿宋_GB2312" w:hAnsi="仿宋" w:eastAsia="仿宋_GB2312" w:cs="宋体"/>
          <w:color w:val="auto"/>
          <w:sz w:val="24"/>
          <w:highlight w:val="none"/>
        </w:rPr>
      </w:pPr>
      <w:bookmarkStart w:id="30" w:name="_Toc35393627"/>
      <w:bookmarkStart w:id="31" w:name="_Toc28359085"/>
      <w:bookmarkStart w:id="32" w:name="_Toc28359008"/>
      <w:bookmarkStart w:id="33" w:name="_Toc35393796"/>
      <w:r>
        <w:rPr>
          <w:rFonts w:hint="eastAsia" w:ascii="仿宋_GB2312" w:hAnsi="仿宋" w:eastAsia="仿宋_GB2312" w:cs="宋体"/>
          <w:color w:val="auto"/>
          <w:sz w:val="24"/>
          <w:highlight w:val="none"/>
        </w:rPr>
        <w:t>1.供应商须及时办理CA数字证书，否则应自行承担无法正常参与项目的不利后果。供应商应详阅辽宁政府采购网首页“办事指南”中的“辽宁政府采购网关于办理CA数字证书的操作手册”和“辽宁政府采购网新版系统供应商操作手册”，具体规定详见《关于启用政府采购数字认证和电子招投标业务有关事宜的通知》（辽财采〔2020〕298号）。</w:t>
      </w:r>
    </w:p>
    <w:p w14:paraId="6AA98467">
      <w:pPr>
        <w:widowControl/>
        <w:adjustRightInd w:val="0"/>
        <w:snapToGrid w:val="0"/>
        <w:spacing w:line="360" w:lineRule="auto"/>
        <w:ind w:firstLine="482"/>
        <w:jc w:val="left"/>
        <w:rPr>
          <w:rFonts w:ascii="仿宋_GB2312" w:hAnsi="仿宋" w:eastAsia="仿宋_GB2312" w:cs="宋体"/>
          <w:color w:val="auto"/>
          <w:sz w:val="24"/>
          <w:highlight w:val="none"/>
        </w:rPr>
      </w:pPr>
      <w:r>
        <w:rPr>
          <w:rFonts w:hint="eastAsia" w:ascii="仿宋_GB2312" w:hAnsi="仿宋" w:eastAsia="仿宋_GB2312" w:cs="宋体"/>
          <w:color w:val="auto"/>
          <w:sz w:val="24"/>
          <w:highlight w:val="none"/>
        </w:rPr>
        <w:t>2.响应文件递交方式为线上递交，同时需现场递交备份响应文件，并保持内容一致。备份响应文件为以U盘形式存储的加密备份文件，具体规定详见《关于完善政府采购电子评审业务流程等有关事宜的通知》（辽财采〔2021〕363号）。</w:t>
      </w:r>
    </w:p>
    <w:p w14:paraId="0AA7744F">
      <w:pPr>
        <w:widowControl/>
        <w:adjustRightInd w:val="0"/>
        <w:snapToGrid w:val="0"/>
        <w:spacing w:line="360" w:lineRule="auto"/>
        <w:ind w:firstLine="482"/>
        <w:jc w:val="left"/>
        <w:rPr>
          <w:rFonts w:ascii="仿宋_GB2312" w:hAnsi="仿宋" w:eastAsia="仿宋_GB2312" w:cs="宋体"/>
          <w:color w:val="auto"/>
          <w:sz w:val="24"/>
          <w:highlight w:val="none"/>
        </w:rPr>
      </w:pPr>
      <w:r>
        <w:rPr>
          <w:rFonts w:hint="eastAsia" w:ascii="仿宋_GB2312" w:hAnsi="仿宋" w:eastAsia="仿宋_GB2312" w:cs="宋体"/>
          <w:color w:val="auto"/>
          <w:sz w:val="24"/>
          <w:highlight w:val="none"/>
        </w:rPr>
        <w:t>3.开标现场各供应商可远程解密或自行携带笔记本电脑及CA数字证书等电子设备，进行Ukey或手机移动证书（扫码）登录、报价解密等相关操作。</w:t>
      </w:r>
    </w:p>
    <w:p w14:paraId="55903206">
      <w:pPr>
        <w:widowControl/>
        <w:adjustRightInd w:val="0"/>
        <w:snapToGrid w:val="0"/>
        <w:spacing w:line="360" w:lineRule="auto"/>
        <w:ind w:firstLine="482"/>
        <w:jc w:val="left"/>
        <w:rPr>
          <w:rFonts w:ascii="仿宋_GB2312" w:hAnsi="仿宋" w:eastAsia="仿宋_GB2312" w:cs="宋体"/>
          <w:color w:val="auto"/>
          <w:sz w:val="24"/>
          <w:highlight w:val="none"/>
        </w:rPr>
      </w:pPr>
      <w:r>
        <w:rPr>
          <w:rFonts w:hint="eastAsia" w:ascii="仿宋_GB2312" w:hAnsi="仿宋" w:eastAsia="仿宋_GB2312" w:cs="宋体"/>
          <w:color w:val="auto"/>
          <w:sz w:val="24"/>
          <w:highlight w:val="none"/>
        </w:rPr>
        <w:t>4.报价解密原则上需在30分钟内完成。投标人因客观原因导致电子投标文件无法在规定时间内解密，将其无法解密原因报送给监督部门，经监督部门同意方可延长解密时间；若投标人因主观原因导致电子投标文件无法在规定时间内解密，造成的一切不良后果由投标人自行承担。</w:t>
      </w:r>
      <w:bookmarkEnd w:id="30"/>
      <w:bookmarkEnd w:id="31"/>
      <w:bookmarkEnd w:id="32"/>
      <w:bookmarkEnd w:id="33"/>
    </w:p>
    <w:p w14:paraId="5849A27D">
      <w:pPr>
        <w:widowControl/>
        <w:adjustRightInd w:val="0"/>
        <w:snapToGrid w:val="0"/>
        <w:spacing w:line="360" w:lineRule="auto"/>
        <w:ind w:firstLine="482"/>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5.辽宁政府采购网新增评标辅助工具，评标开始时，首先检测上传投标（响应）文件的多家供应商IP重复等围标或串标违规线索信息。如系统检测出上述情况，造成的一切不良后果由供应商自行承担。</w:t>
      </w:r>
    </w:p>
    <w:p w14:paraId="3D346FB6">
      <w:pPr>
        <w:widowControl/>
        <w:adjustRightInd w:val="0"/>
        <w:snapToGrid w:val="0"/>
        <w:spacing w:line="360" w:lineRule="auto"/>
        <w:ind w:firstLine="482"/>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6</w:t>
      </w:r>
      <w:r>
        <w:rPr>
          <w:rFonts w:ascii="仿宋_GB2312" w:hAnsi="仿宋" w:eastAsia="仿宋_GB2312" w:cs="仿宋_GB2312"/>
          <w:color w:val="auto"/>
          <w:sz w:val="24"/>
          <w:highlight w:val="none"/>
        </w:rPr>
        <w:t>.</w:t>
      </w:r>
      <w:r>
        <w:rPr>
          <w:rFonts w:hint="eastAsia" w:ascii="仿宋_GB2312" w:hAnsi="仿宋" w:eastAsia="仿宋_GB2312" w:cs="仿宋_GB2312"/>
          <w:color w:val="auto"/>
          <w:sz w:val="24"/>
          <w:highlight w:val="none"/>
        </w:rPr>
        <w:t>在电子化开评标过程中出现的其他特殊情况及其他未尽事宜，按财政厅最新文件执行。</w:t>
      </w:r>
    </w:p>
    <w:p w14:paraId="05A1D489">
      <w:pPr>
        <w:widowControl/>
        <w:adjustRightInd w:val="0"/>
        <w:snapToGrid w:val="0"/>
        <w:spacing w:line="360" w:lineRule="auto"/>
        <w:ind w:firstLine="48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注：供应商在投标（响应）的全过程中要随时关注辽宁政府采购网，及时获取相关信息，否则由此造成的一切后果，由供应商自行承担。</w:t>
      </w:r>
    </w:p>
    <w:p w14:paraId="2BD59100">
      <w:pPr>
        <w:widowControl/>
        <w:adjustRightInd w:val="0"/>
        <w:snapToGrid w:val="0"/>
        <w:spacing w:line="360" w:lineRule="auto"/>
        <w:ind w:firstLine="48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辽宁省政府采购网技术咨询电话：400-128-8588</w:t>
      </w:r>
    </w:p>
    <w:p w14:paraId="07A1B00E">
      <w:pPr>
        <w:widowControl/>
        <w:adjustRightInd w:val="0"/>
        <w:snapToGrid w:val="0"/>
        <w:spacing w:line="360" w:lineRule="auto"/>
        <w:ind w:firstLine="48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CA数字证书办理咨询电话：</w:t>
      </w:r>
      <w:r>
        <w:rPr>
          <w:rFonts w:ascii="仿宋_GB2312" w:hAnsi="仿宋" w:eastAsia="仿宋_GB2312" w:cs="仿宋_GB2312"/>
          <w:color w:val="auto"/>
          <w:sz w:val="24"/>
          <w:highlight w:val="none"/>
        </w:rPr>
        <w:t>024-26206677</w:t>
      </w:r>
      <w:r>
        <w:rPr>
          <w:rFonts w:hint="eastAsia" w:ascii="仿宋_GB2312" w:hAnsi="仿宋" w:eastAsia="仿宋_GB2312" w:cs="仿宋_GB2312"/>
          <w:color w:val="auto"/>
          <w:sz w:val="24"/>
          <w:highlight w:val="none"/>
        </w:rPr>
        <w:t>或</w:t>
      </w:r>
      <w:r>
        <w:rPr>
          <w:rFonts w:ascii="仿宋_GB2312" w:hAnsi="仿宋" w:eastAsia="仿宋_GB2312" w:cs="仿宋_GB2312"/>
          <w:color w:val="auto"/>
          <w:sz w:val="24"/>
          <w:highlight w:val="none"/>
        </w:rPr>
        <w:t>15640359297</w:t>
      </w:r>
      <w:r>
        <w:rPr>
          <w:rFonts w:hint="eastAsia" w:ascii="仿宋_GB2312" w:hAnsi="仿宋" w:eastAsia="仿宋_GB2312" w:cs="仿宋_GB2312"/>
          <w:color w:val="auto"/>
          <w:sz w:val="24"/>
          <w:highlight w:val="none"/>
        </w:rPr>
        <w:t xml:space="preserve"> </w:t>
      </w:r>
    </w:p>
    <w:p w14:paraId="673552EA">
      <w:pPr>
        <w:widowControl/>
        <w:adjustRightInd w:val="0"/>
        <w:snapToGrid w:val="0"/>
        <w:spacing w:line="360" w:lineRule="auto"/>
        <w:ind w:firstLine="480"/>
        <w:jc w:val="left"/>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特别说明：</w:t>
      </w:r>
    </w:p>
    <w:p w14:paraId="0622BA47">
      <w:pPr>
        <w:widowControl/>
        <w:adjustRightInd w:val="0"/>
        <w:snapToGrid w:val="0"/>
        <w:spacing w:line="360" w:lineRule="auto"/>
        <w:ind w:firstLine="48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供应商在递交投标（响应）文件截止时间前，是否递交加密的备份投标（响应）文件（以下简称“备份文件”）属于供应商个人意愿。如供应商未递交备份文件或备份文件包封不符合要求或备份文件未在投标截止时间及开标时间前送达的，采购代理机构在开标现场的《投标（响应）文件递交情况一览表》上如实记录，但不作为否决投标（响应）的依据；若因此而影响评标（评审）的，由供应商自行承担相应责任。</w:t>
      </w:r>
    </w:p>
    <w:p w14:paraId="13D8AA3F">
      <w:pPr>
        <w:widowControl/>
        <w:adjustRightInd w:val="0"/>
        <w:snapToGrid w:val="0"/>
        <w:spacing w:line="360" w:lineRule="auto"/>
        <w:ind w:firstLine="48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2.在政府采购系统遇突发故障且短时间无法恢复时，在采购人、采购代理机构和相关供应商（供应商未到场的，通过视频方式进行确认）共同签字确认的情况下，现场启动备份文件进行评标（评审）。</w:t>
      </w:r>
    </w:p>
    <w:p w14:paraId="76762922">
      <w:pPr>
        <w:widowControl/>
        <w:adjustRightInd w:val="0"/>
        <w:snapToGrid w:val="0"/>
        <w:spacing w:line="360" w:lineRule="auto"/>
        <w:ind w:firstLine="48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3.供应商在政采系统上传的投标（响应）文件正常解密且采购活动正常进行的以政府采购系统上传的投标（响应）文件为准，备份文件自动失效，密封完好归档留存。</w:t>
      </w:r>
    </w:p>
    <w:p w14:paraId="175114E8">
      <w:pPr>
        <w:snapToGrid w:val="0"/>
        <w:spacing w:line="360" w:lineRule="auto"/>
        <w:ind w:firstLine="480" w:firstLineChars="200"/>
        <w:jc w:val="left"/>
        <w:rPr>
          <w:rFonts w:ascii="仿宋_GB2312" w:hAnsi="仿宋" w:eastAsia="仿宋_GB2312" w:cs="宋体"/>
          <w:color w:val="auto"/>
          <w:sz w:val="24"/>
          <w:highlight w:val="none"/>
        </w:rPr>
      </w:pPr>
      <w:r>
        <w:rPr>
          <w:rFonts w:hint="eastAsia" w:ascii="仿宋_GB2312" w:hAnsi="仿宋" w:eastAsia="仿宋_GB2312" w:cs="仿宋_GB2312"/>
          <w:color w:val="auto"/>
          <w:sz w:val="24"/>
          <w:highlight w:val="none"/>
        </w:rPr>
        <w:t>4.供应商在政采系统上传投标(响应)文件后，建议使用上传投标(响应)文件的 CA 数字证书进行模拟解密,如果出现任何问题，应及时联系相关技术支持人员进行解决。以保证投标(响应)文件能够在正式开标时顺利解密。</w:t>
      </w:r>
    </w:p>
    <w:p w14:paraId="66798345">
      <w:pPr>
        <w:keepNext/>
        <w:keepLines/>
        <w:adjustRightInd w:val="0"/>
        <w:snapToGrid w:val="0"/>
        <w:spacing w:line="360" w:lineRule="auto"/>
        <w:rPr>
          <w:rFonts w:ascii="仿宋_GB2312" w:hAnsi="仿宋" w:eastAsia="仿宋_GB2312" w:cs="仿宋_GB2312"/>
          <w:b/>
          <w:color w:val="auto"/>
          <w:sz w:val="24"/>
          <w:highlight w:val="none"/>
        </w:rPr>
      </w:pPr>
      <w:r>
        <w:rPr>
          <w:rFonts w:hint="eastAsia" w:ascii="仿宋_GB2312" w:hAnsi="仿宋" w:eastAsia="仿宋_GB2312" w:cs="仿宋_GB2312"/>
          <w:b/>
          <w:color w:val="auto"/>
          <w:sz w:val="24"/>
          <w:highlight w:val="none"/>
        </w:rPr>
        <w:t>九、对本次招标提出询问，请按以下方式联系。</w:t>
      </w:r>
    </w:p>
    <w:p w14:paraId="6CA05761">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1.采购人信息</w:t>
      </w:r>
    </w:p>
    <w:p w14:paraId="7E72D858">
      <w:pPr>
        <w:adjustRightInd w:val="0"/>
        <w:snapToGrid w:val="0"/>
        <w:spacing w:line="360" w:lineRule="auto"/>
        <w:ind w:firstLine="720" w:firstLineChars="300"/>
        <w:rPr>
          <w:rFonts w:ascii="仿宋_GB2312" w:hAnsi="仿宋" w:eastAsia="仿宋_GB2312" w:cs="仿宋_GB2312"/>
          <w:color w:val="auto"/>
          <w:spacing w:val="-2"/>
          <w:sz w:val="24"/>
          <w:highlight w:val="none"/>
        </w:rPr>
      </w:pPr>
      <w:r>
        <w:rPr>
          <w:rFonts w:hint="eastAsia" w:ascii="仿宋_GB2312" w:hAnsi="仿宋" w:eastAsia="仿宋_GB2312" w:cs="仿宋_GB2312"/>
          <w:color w:val="auto"/>
          <w:sz w:val="24"/>
          <w:highlight w:val="none"/>
        </w:rPr>
        <w:t xml:space="preserve">名 </w:t>
      </w:r>
      <w:r>
        <w:rPr>
          <w:rFonts w:ascii="仿宋_GB2312" w:hAnsi="仿宋" w:eastAsia="仿宋_GB2312" w:cs="仿宋_GB2312"/>
          <w:color w:val="auto"/>
          <w:sz w:val="24"/>
          <w:highlight w:val="none"/>
        </w:rPr>
        <w:t xml:space="preserve">   </w:t>
      </w:r>
      <w:r>
        <w:rPr>
          <w:rFonts w:hint="eastAsia" w:ascii="仿宋_GB2312" w:hAnsi="仿宋" w:eastAsia="仿宋_GB2312" w:cs="仿宋_GB2312"/>
          <w:color w:val="auto"/>
          <w:sz w:val="24"/>
          <w:highlight w:val="none"/>
        </w:rPr>
        <w:t>称：沈阳药科大学</w:t>
      </w:r>
    </w:p>
    <w:p w14:paraId="6A34803D">
      <w:pPr>
        <w:adjustRightInd w:val="0"/>
        <w:snapToGrid w:val="0"/>
        <w:spacing w:line="360" w:lineRule="auto"/>
        <w:ind w:firstLine="720" w:firstLineChars="3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 xml:space="preserve">地 </w:t>
      </w:r>
      <w:r>
        <w:rPr>
          <w:rFonts w:ascii="仿宋_GB2312" w:hAnsi="仿宋" w:eastAsia="仿宋_GB2312" w:cs="仿宋_GB2312"/>
          <w:color w:val="auto"/>
          <w:sz w:val="24"/>
          <w:highlight w:val="none"/>
        </w:rPr>
        <w:t xml:space="preserve">   </w:t>
      </w:r>
      <w:r>
        <w:rPr>
          <w:rFonts w:hint="eastAsia" w:ascii="仿宋_GB2312" w:hAnsi="仿宋" w:eastAsia="仿宋_GB2312" w:cs="仿宋_GB2312"/>
          <w:color w:val="auto"/>
          <w:sz w:val="24"/>
          <w:highlight w:val="none"/>
        </w:rPr>
        <w:t>址：</w:t>
      </w:r>
      <w:r>
        <w:rPr>
          <w:color w:val="auto"/>
          <w:highlight w:val="none"/>
        </w:rPr>
        <w:fldChar w:fldCharType="begin"/>
      </w:r>
      <w:r>
        <w:rPr>
          <w:color w:val="auto"/>
          <w:highlight w:val="none"/>
        </w:rPr>
        <w:instrText xml:space="preserve"> HYPERLINK "https://ditu.so.com/?pid=509f13b3a514fbf4&amp;pano=1&amp;src=yaunxiao_info" \t "https://www.so.com/_blank" </w:instrText>
      </w:r>
      <w:r>
        <w:rPr>
          <w:color w:val="auto"/>
          <w:highlight w:val="none"/>
        </w:rPr>
        <w:fldChar w:fldCharType="separate"/>
      </w:r>
      <w:r>
        <w:rPr>
          <w:rFonts w:hint="eastAsia" w:ascii="仿宋_GB2312" w:hAnsi="仿宋" w:eastAsia="仿宋_GB2312" w:cs="仿宋_GB2312"/>
          <w:color w:val="auto"/>
          <w:sz w:val="24"/>
          <w:highlight w:val="none"/>
        </w:rPr>
        <w:t>沈阳市沈河区文化路103号</w:t>
      </w:r>
      <w:r>
        <w:rPr>
          <w:rFonts w:hint="eastAsia" w:ascii="仿宋_GB2312" w:hAnsi="仿宋" w:eastAsia="仿宋_GB2312" w:cs="仿宋_GB2312"/>
          <w:color w:val="auto"/>
          <w:sz w:val="24"/>
          <w:highlight w:val="none"/>
        </w:rPr>
        <w:fldChar w:fldCharType="end"/>
      </w:r>
      <w:r>
        <w:rPr>
          <w:rFonts w:hint="eastAsia" w:ascii="仿宋_GB2312" w:hAnsi="仿宋" w:eastAsia="仿宋_GB2312" w:cs="仿宋_GB2312"/>
          <w:color w:val="auto"/>
          <w:sz w:val="24"/>
          <w:highlight w:val="none"/>
        </w:rPr>
        <w:t>‌‌</w:t>
      </w:r>
    </w:p>
    <w:p w14:paraId="6AC80630">
      <w:pPr>
        <w:adjustRightInd w:val="0"/>
        <w:snapToGrid w:val="0"/>
        <w:spacing w:line="360" w:lineRule="auto"/>
        <w:ind w:firstLine="720" w:firstLineChars="3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联系方式：024-43520127</w:t>
      </w:r>
    </w:p>
    <w:p w14:paraId="45A9E933">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2.采购组织机构信息</w:t>
      </w:r>
    </w:p>
    <w:p w14:paraId="5ACFC81A">
      <w:pPr>
        <w:adjustRightInd w:val="0"/>
        <w:snapToGrid w:val="0"/>
        <w:spacing w:line="360" w:lineRule="auto"/>
        <w:ind w:firstLine="720" w:firstLineChars="3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 xml:space="preserve">名 </w:t>
      </w:r>
      <w:r>
        <w:rPr>
          <w:rFonts w:ascii="仿宋_GB2312" w:hAnsi="仿宋" w:eastAsia="仿宋_GB2312" w:cs="仿宋_GB2312"/>
          <w:color w:val="auto"/>
          <w:sz w:val="24"/>
          <w:highlight w:val="none"/>
        </w:rPr>
        <w:t xml:space="preserve">   </w:t>
      </w:r>
      <w:r>
        <w:rPr>
          <w:rFonts w:hint="eastAsia" w:ascii="仿宋_GB2312" w:hAnsi="仿宋" w:eastAsia="仿宋_GB2312" w:cs="仿宋_GB2312"/>
          <w:color w:val="auto"/>
          <w:sz w:val="24"/>
          <w:highlight w:val="none"/>
        </w:rPr>
        <w:t>称：辽宁省沈抚公共资源交易服务有限公司</w:t>
      </w:r>
    </w:p>
    <w:p w14:paraId="42B3E2B9">
      <w:pPr>
        <w:adjustRightInd w:val="0"/>
        <w:snapToGrid w:val="0"/>
        <w:spacing w:line="360" w:lineRule="auto"/>
        <w:ind w:firstLine="720" w:firstLineChars="3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 xml:space="preserve">地 </w:t>
      </w:r>
      <w:r>
        <w:rPr>
          <w:rFonts w:ascii="仿宋_GB2312" w:hAnsi="仿宋" w:eastAsia="仿宋_GB2312" w:cs="仿宋_GB2312"/>
          <w:color w:val="auto"/>
          <w:sz w:val="24"/>
          <w:highlight w:val="none"/>
        </w:rPr>
        <w:t xml:space="preserve">   </w:t>
      </w:r>
      <w:r>
        <w:rPr>
          <w:rFonts w:hint="eastAsia" w:ascii="仿宋_GB2312" w:hAnsi="仿宋" w:eastAsia="仿宋_GB2312" w:cs="仿宋_GB2312"/>
          <w:color w:val="auto"/>
          <w:sz w:val="24"/>
          <w:highlight w:val="none"/>
        </w:rPr>
        <w:t>址：辽宁省沈阳市皇姑区北陵大街34号3号楼1502室</w:t>
      </w:r>
    </w:p>
    <w:p w14:paraId="0830662A">
      <w:pPr>
        <w:adjustRightInd w:val="0"/>
        <w:snapToGrid w:val="0"/>
        <w:spacing w:line="360" w:lineRule="auto"/>
        <w:ind w:firstLine="720" w:firstLineChars="3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联系方式：024-31513417</w:t>
      </w:r>
    </w:p>
    <w:p w14:paraId="5D674703">
      <w:pPr>
        <w:adjustRightInd w:val="0"/>
        <w:snapToGrid w:val="0"/>
        <w:spacing w:line="360" w:lineRule="auto"/>
        <w:ind w:firstLine="720" w:firstLineChars="3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邮箱地址：</w:t>
      </w:r>
      <w:r>
        <w:rPr>
          <w:color w:val="auto"/>
          <w:highlight w:val="none"/>
        </w:rPr>
        <w:fldChar w:fldCharType="begin"/>
      </w:r>
      <w:r>
        <w:rPr>
          <w:color w:val="auto"/>
          <w:highlight w:val="none"/>
        </w:rPr>
        <w:instrText xml:space="preserve"> HYPERLINK "mailto:sfggzy@163.com" </w:instrText>
      </w:r>
      <w:r>
        <w:rPr>
          <w:color w:val="auto"/>
          <w:highlight w:val="none"/>
        </w:rPr>
        <w:fldChar w:fldCharType="separate"/>
      </w:r>
      <w:r>
        <w:rPr>
          <w:rFonts w:hint="eastAsia"/>
          <w:color w:val="auto"/>
          <w:highlight w:val="none"/>
        </w:rPr>
        <w:t>sfggzy@163.com</w:t>
      </w:r>
      <w:r>
        <w:rPr>
          <w:rFonts w:hint="eastAsia"/>
          <w:color w:val="auto"/>
          <w:highlight w:val="none"/>
        </w:rPr>
        <w:fldChar w:fldCharType="end"/>
      </w:r>
    </w:p>
    <w:p w14:paraId="572F912C">
      <w:pPr>
        <w:adjustRightInd w:val="0"/>
        <w:snapToGrid w:val="0"/>
        <w:spacing w:line="360" w:lineRule="auto"/>
        <w:ind w:firstLine="720" w:firstLineChars="3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账户名称：辽宁省沈抚公共资源交易服务有限公司</w:t>
      </w:r>
    </w:p>
    <w:p w14:paraId="07E3D56D">
      <w:pPr>
        <w:adjustRightInd w:val="0"/>
        <w:snapToGrid w:val="0"/>
        <w:spacing w:line="360" w:lineRule="auto"/>
        <w:ind w:firstLine="720" w:firstLineChars="3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开 户 行：兴业银行沈阳皇姑支行</w:t>
      </w:r>
    </w:p>
    <w:p w14:paraId="2A7FBE11">
      <w:pPr>
        <w:adjustRightInd w:val="0"/>
        <w:snapToGrid w:val="0"/>
        <w:spacing w:line="360" w:lineRule="auto"/>
        <w:ind w:firstLine="720" w:firstLineChars="3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 xml:space="preserve">账 </w:t>
      </w:r>
      <w:r>
        <w:rPr>
          <w:rFonts w:ascii="仿宋_GB2312" w:hAnsi="仿宋" w:eastAsia="仿宋_GB2312" w:cs="仿宋_GB2312"/>
          <w:color w:val="auto"/>
          <w:sz w:val="24"/>
          <w:highlight w:val="none"/>
        </w:rPr>
        <w:t xml:space="preserve">   </w:t>
      </w:r>
      <w:r>
        <w:rPr>
          <w:rFonts w:hint="eastAsia" w:ascii="仿宋_GB2312" w:hAnsi="仿宋" w:eastAsia="仿宋_GB2312" w:cs="仿宋_GB2312"/>
          <w:color w:val="auto"/>
          <w:sz w:val="24"/>
          <w:highlight w:val="none"/>
        </w:rPr>
        <w:t>号：</w:t>
      </w:r>
      <w:r>
        <w:rPr>
          <w:rFonts w:ascii="仿宋_GB2312" w:hAnsi="仿宋" w:eastAsia="仿宋_GB2312" w:cs="仿宋_GB2312"/>
          <w:color w:val="auto"/>
          <w:sz w:val="24"/>
          <w:highlight w:val="none"/>
        </w:rPr>
        <w:t>422050100100241316</w:t>
      </w:r>
    </w:p>
    <w:p w14:paraId="230590F8">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3.项目联系方式</w:t>
      </w:r>
    </w:p>
    <w:p w14:paraId="3AA3472F">
      <w:pPr>
        <w:adjustRightInd w:val="0"/>
        <w:snapToGrid w:val="0"/>
        <w:spacing w:line="360" w:lineRule="auto"/>
        <w:ind w:firstLine="720" w:firstLineChars="3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项目联系人：吴娜、王磊、马丽君、邹强</w:t>
      </w:r>
    </w:p>
    <w:p w14:paraId="69F5BF2A">
      <w:pPr>
        <w:adjustRightInd w:val="0"/>
        <w:snapToGrid w:val="0"/>
        <w:spacing w:line="360" w:lineRule="auto"/>
        <w:ind w:firstLine="720" w:firstLineChars="3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 xml:space="preserve">电　 </w:t>
      </w:r>
      <w:r>
        <w:rPr>
          <w:rFonts w:ascii="仿宋_GB2312" w:hAnsi="仿宋" w:eastAsia="仿宋_GB2312" w:cs="仿宋_GB2312"/>
          <w:color w:val="auto"/>
          <w:sz w:val="24"/>
          <w:highlight w:val="none"/>
        </w:rPr>
        <w:t xml:space="preserve">   </w:t>
      </w:r>
      <w:r>
        <w:rPr>
          <w:rFonts w:hint="eastAsia" w:ascii="仿宋_GB2312" w:hAnsi="仿宋" w:eastAsia="仿宋_GB2312" w:cs="仿宋_GB2312"/>
          <w:color w:val="auto"/>
          <w:sz w:val="24"/>
          <w:highlight w:val="none"/>
        </w:rPr>
        <w:t>话：024-31513417</w:t>
      </w:r>
    </w:p>
    <w:p w14:paraId="04266EAF">
      <w:pPr>
        <w:spacing w:line="400" w:lineRule="exact"/>
        <w:jc w:val="right"/>
        <w:rPr>
          <w:rFonts w:ascii="仿宋_GB2312" w:hAnsi="仿宋" w:eastAsia="仿宋_GB2312"/>
          <w:color w:val="auto"/>
          <w:sz w:val="24"/>
          <w:highlight w:val="none"/>
        </w:rPr>
      </w:pPr>
      <w:r>
        <w:rPr>
          <w:rFonts w:hint="eastAsia" w:ascii="仿宋_GB2312" w:hAnsi="仿宋" w:eastAsia="仿宋_GB2312"/>
          <w:color w:val="auto"/>
          <w:sz w:val="24"/>
          <w:highlight w:val="none"/>
        </w:rPr>
        <w:t xml:space="preserve">   辽宁省沈抚公共资源交易服务有限公司                                                    </w:t>
      </w:r>
    </w:p>
    <w:p w14:paraId="44604D54">
      <w:pPr>
        <w:widowControl/>
        <w:spacing w:line="400" w:lineRule="exact"/>
        <w:ind w:firstLine="480" w:firstLineChars="200"/>
        <w:rPr>
          <w:rFonts w:ascii="仿宋_GB2312" w:hAnsi="仿宋" w:eastAsia="仿宋_GB2312" w:cs="仿宋_GB2312"/>
          <w:b/>
          <w:bCs/>
          <w:color w:val="auto"/>
          <w:kern w:val="0"/>
          <w:sz w:val="24"/>
          <w:highlight w:val="none"/>
        </w:rPr>
      </w:pPr>
      <w:r>
        <w:rPr>
          <w:rFonts w:hint="eastAsia" w:ascii="仿宋_GB2312" w:hAnsi="仿宋" w:eastAsia="仿宋_GB2312"/>
          <w:color w:val="auto"/>
          <w:sz w:val="24"/>
          <w:highlight w:val="none"/>
        </w:rPr>
        <w:t xml:space="preserve">                                          </w:t>
      </w:r>
      <w:r>
        <w:rPr>
          <w:rFonts w:hint="eastAsia" w:ascii="仿宋_GB2312" w:hAnsi="仿宋" w:eastAsia="仿宋_GB2312"/>
          <w:bCs/>
          <w:color w:val="auto"/>
          <w:sz w:val="24"/>
          <w:highlight w:val="none"/>
        </w:rPr>
        <w:t>2025年</w:t>
      </w:r>
      <w:r>
        <w:rPr>
          <w:rFonts w:hint="eastAsia" w:ascii="仿宋_GB2312" w:hAnsi="仿宋" w:eastAsia="仿宋_GB2312"/>
          <w:bCs/>
          <w:color w:val="auto"/>
          <w:sz w:val="24"/>
          <w:highlight w:val="none"/>
          <w:lang w:val="en-US" w:eastAsia="zh-CN"/>
        </w:rPr>
        <w:t>08</w:t>
      </w:r>
      <w:r>
        <w:rPr>
          <w:rFonts w:hint="eastAsia" w:ascii="仿宋_GB2312" w:hAnsi="仿宋" w:eastAsia="仿宋_GB2312"/>
          <w:bCs/>
          <w:color w:val="auto"/>
          <w:sz w:val="24"/>
          <w:highlight w:val="none"/>
        </w:rPr>
        <w:t>月</w:t>
      </w:r>
      <w:r>
        <w:rPr>
          <w:rFonts w:hint="eastAsia" w:ascii="仿宋_GB2312" w:hAnsi="仿宋" w:eastAsia="仿宋_GB2312"/>
          <w:bCs/>
          <w:color w:val="auto"/>
          <w:sz w:val="24"/>
          <w:highlight w:val="none"/>
          <w:lang w:val="en-US" w:eastAsia="zh-CN"/>
        </w:rPr>
        <w:t>06</w:t>
      </w:r>
      <w:r>
        <w:rPr>
          <w:rFonts w:hint="eastAsia" w:ascii="仿宋_GB2312" w:hAnsi="仿宋" w:eastAsia="仿宋_GB2312"/>
          <w:bCs/>
          <w:color w:val="auto"/>
          <w:sz w:val="24"/>
          <w:highlight w:val="none"/>
        </w:rPr>
        <w:t>日</w:t>
      </w:r>
    </w:p>
    <w:p w14:paraId="71E435BF">
      <w:pPr>
        <w:rPr>
          <w:rFonts w:ascii="方正小标宋简体" w:hAnsi="仿宋" w:eastAsia="方正小标宋简体" w:cs="仿宋_GB2312"/>
          <w:color w:val="auto"/>
          <w:highlight w:val="none"/>
        </w:rPr>
      </w:pPr>
      <w:r>
        <w:rPr>
          <w:rFonts w:hint="eastAsia" w:ascii="方正小标宋简体" w:hAnsi="仿宋" w:eastAsia="方正小标宋简体" w:cs="仿宋_GB2312"/>
          <w:color w:val="auto"/>
          <w:highlight w:val="none"/>
        </w:rPr>
        <w:br w:type="page"/>
      </w:r>
    </w:p>
    <w:p w14:paraId="38281A0E">
      <w:pPr>
        <w:pStyle w:val="2"/>
        <w:adjustRightInd w:val="0"/>
        <w:snapToGrid w:val="0"/>
        <w:spacing w:before="312" w:beforeLines="100" w:after="312" w:afterLines="100"/>
        <w:rPr>
          <w:rFonts w:ascii="方正小标宋简体" w:hAnsi="仿宋" w:eastAsia="方正小标宋简体" w:cs="仿宋_GB2312"/>
          <w:b w:val="0"/>
          <w:bCs/>
          <w:color w:val="auto"/>
          <w:highlight w:val="none"/>
        </w:rPr>
      </w:pPr>
      <w:bookmarkStart w:id="34" w:name="_Toc9067"/>
      <w:r>
        <w:rPr>
          <w:rFonts w:hint="eastAsia" w:ascii="方正小标宋简体" w:hAnsi="仿宋" w:eastAsia="方正小标宋简体" w:cs="仿宋_GB2312"/>
          <w:b w:val="0"/>
          <w:bCs/>
          <w:color w:val="auto"/>
          <w:highlight w:val="none"/>
        </w:rPr>
        <w:t>第一章 投标人须知</w:t>
      </w:r>
      <w:bookmarkEnd w:id="4"/>
      <w:bookmarkEnd w:id="5"/>
      <w:bookmarkEnd w:id="34"/>
    </w:p>
    <w:p w14:paraId="74E9E4B0">
      <w:pPr>
        <w:pStyle w:val="3"/>
        <w:adjustRightInd w:val="0"/>
        <w:snapToGrid w:val="0"/>
        <w:spacing w:before="0" w:after="0" w:line="360" w:lineRule="auto"/>
        <w:rPr>
          <w:rFonts w:ascii="仿宋_GB2312" w:hAnsi="仿宋" w:eastAsia="仿宋_GB2312" w:cs="仿宋_GB2312"/>
          <w:color w:val="auto"/>
          <w:sz w:val="32"/>
          <w:szCs w:val="36"/>
          <w:highlight w:val="none"/>
        </w:rPr>
      </w:pPr>
      <w:bookmarkStart w:id="35" w:name="_Toc18613_WPSOffice_Level2"/>
      <w:r>
        <w:rPr>
          <w:rFonts w:hint="eastAsia" w:ascii="仿宋_GB2312" w:hAnsi="仿宋" w:eastAsia="仿宋_GB2312" w:cs="仿宋_GB2312"/>
          <w:color w:val="auto"/>
          <w:sz w:val="32"/>
          <w:szCs w:val="36"/>
          <w:highlight w:val="none"/>
        </w:rPr>
        <w:t>一 投标人须知表</w:t>
      </w:r>
      <w:bookmarkEnd w:id="35"/>
    </w:p>
    <w:tbl>
      <w:tblPr>
        <w:tblStyle w:val="24"/>
        <w:tblpPr w:leftFromText="180" w:rightFromText="180" w:vertAnchor="text" w:tblpX="-176" w:tblpY="1"/>
        <w:tblOverlap w:val="never"/>
        <w:tblW w:w="87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762"/>
        <w:gridCol w:w="6068"/>
      </w:tblGrid>
      <w:tr w14:paraId="6C3AE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tblHeader/>
        </w:trPr>
        <w:tc>
          <w:tcPr>
            <w:tcW w:w="959" w:type="dxa"/>
            <w:vAlign w:val="center"/>
          </w:tcPr>
          <w:p w14:paraId="02490A6D">
            <w:pPr>
              <w:widowControl/>
              <w:snapToGrid w:val="0"/>
              <w:jc w:val="center"/>
              <w:rPr>
                <w:rFonts w:ascii="仿宋_GB2312" w:hAnsi="仿宋" w:eastAsia="仿宋_GB2312" w:cs="仿宋_GB2312"/>
                <w:b/>
                <w:bCs/>
                <w:color w:val="auto"/>
                <w:kern w:val="0"/>
                <w:sz w:val="24"/>
                <w:highlight w:val="none"/>
              </w:rPr>
            </w:pPr>
            <w:bookmarkStart w:id="36" w:name="招标项目基本内容及要求：Block"/>
            <w:bookmarkEnd w:id="36"/>
            <w:bookmarkStart w:id="37" w:name="sys_招标项目基本内容及要求其他：Block"/>
            <w:bookmarkEnd w:id="37"/>
            <w:bookmarkStart w:id="38" w:name="sys_招标项目基本内容及要求：Block"/>
            <w:bookmarkEnd w:id="38"/>
            <w:bookmarkStart w:id="39" w:name="招标项目基本内容及要求其他：Block"/>
            <w:bookmarkEnd w:id="39"/>
            <w:r>
              <w:rPr>
                <w:rFonts w:hint="eastAsia" w:ascii="仿宋_GB2312" w:hAnsi="仿宋" w:eastAsia="仿宋_GB2312" w:cs="仿宋_GB2312"/>
                <w:b/>
                <w:bCs/>
                <w:color w:val="auto"/>
                <w:kern w:val="0"/>
                <w:sz w:val="24"/>
                <w:highlight w:val="none"/>
              </w:rPr>
              <w:t>条款号</w:t>
            </w:r>
          </w:p>
        </w:tc>
        <w:tc>
          <w:tcPr>
            <w:tcW w:w="1762" w:type="dxa"/>
            <w:vAlign w:val="center"/>
          </w:tcPr>
          <w:p w14:paraId="3F5D8899">
            <w:pPr>
              <w:snapToGrid w:val="0"/>
              <w:jc w:val="center"/>
              <w:rPr>
                <w:rFonts w:ascii="仿宋_GB2312" w:hAnsi="仿宋" w:eastAsia="仿宋_GB2312" w:cs="仿宋_GB2312"/>
                <w:b/>
                <w:bCs/>
                <w:color w:val="auto"/>
                <w:kern w:val="0"/>
                <w:sz w:val="24"/>
                <w:highlight w:val="none"/>
              </w:rPr>
            </w:pPr>
            <w:r>
              <w:rPr>
                <w:rFonts w:hint="eastAsia" w:ascii="仿宋_GB2312" w:hAnsi="仿宋" w:eastAsia="仿宋_GB2312" w:cs="仿宋_GB2312"/>
                <w:b/>
                <w:bCs/>
                <w:color w:val="auto"/>
                <w:kern w:val="0"/>
                <w:sz w:val="24"/>
                <w:highlight w:val="none"/>
              </w:rPr>
              <w:t>项   目</w:t>
            </w:r>
          </w:p>
        </w:tc>
        <w:tc>
          <w:tcPr>
            <w:tcW w:w="6068" w:type="dxa"/>
            <w:vAlign w:val="center"/>
          </w:tcPr>
          <w:p w14:paraId="15685AAF">
            <w:pPr>
              <w:widowControl/>
              <w:snapToGrid w:val="0"/>
              <w:jc w:val="center"/>
              <w:rPr>
                <w:rFonts w:ascii="仿宋_GB2312" w:hAnsi="仿宋" w:eastAsia="仿宋_GB2312" w:cs="仿宋_GB2312"/>
                <w:b/>
                <w:bCs/>
                <w:color w:val="auto"/>
                <w:kern w:val="0"/>
                <w:sz w:val="24"/>
                <w:highlight w:val="none"/>
              </w:rPr>
            </w:pPr>
            <w:r>
              <w:rPr>
                <w:rFonts w:hint="eastAsia" w:ascii="仿宋_GB2312" w:hAnsi="仿宋" w:eastAsia="仿宋_GB2312" w:cs="仿宋_GB2312"/>
                <w:b/>
                <w:bCs/>
                <w:color w:val="auto"/>
                <w:kern w:val="0"/>
                <w:sz w:val="24"/>
                <w:highlight w:val="none"/>
              </w:rPr>
              <w:t>内     容</w:t>
            </w:r>
          </w:p>
        </w:tc>
      </w:tr>
      <w:tr w14:paraId="77D36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trPr>
        <w:tc>
          <w:tcPr>
            <w:tcW w:w="959" w:type="dxa"/>
            <w:vAlign w:val="center"/>
          </w:tcPr>
          <w:p w14:paraId="141CE616">
            <w:pPr>
              <w:widowControl/>
              <w:snapToGrid w:val="0"/>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1.1</w:t>
            </w:r>
          </w:p>
        </w:tc>
        <w:tc>
          <w:tcPr>
            <w:tcW w:w="1762" w:type="dxa"/>
            <w:vAlign w:val="center"/>
          </w:tcPr>
          <w:p w14:paraId="5014E022">
            <w:pPr>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采购人</w:t>
            </w:r>
          </w:p>
        </w:tc>
        <w:tc>
          <w:tcPr>
            <w:tcW w:w="6068" w:type="dxa"/>
            <w:vAlign w:val="center"/>
          </w:tcPr>
          <w:p w14:paraId="60D86887">
            <w:pPr>
              <w:widowControl/>
              <w:spacing w:line="360" w:lineRule="auto"/>
              <w:jc w:val="left"/>
              <w:rPr>
                <w:rFonts w:ascii="仿宋_GB2312" w:hAnsi="仿宋" w:eastAsia="仿宋_GB2312"/>
                <w:color w:val="auto"/>
                <w:kern w:val="0"/>
                <w:sz w:val="24"/>
                <w:highlight w:val="none"/>
                <w:u w:val="single"/>
              </w:rPr>
            </w:pPr>
            <w:r>
              <w:rPr>
                <w:rFonts w:hint="eastAsia" w:ascii="仿宋_GB2312" w:hAnsi="仿宋" w:eastAsia="仿宋_GB2312"/>
                <w:color w:val="auto"/>
                <w:kern w:val="0"/>
                <w:sz w:val="24"/>
                <w:highlight w:val="none"/>
              </w:rPr>
              <w:t>名  称：</w:t>
            </w:r>
            <w:r>
              <w:rPr>
                <w:rFonts w:hint="eastAsia" w:ascii="仿宋_GB2312" w:hAnsi="仿宋" w:eastAsia="仿宋_GB2312"/>
                <w:color w:val="auto"/>
                <w:kern w:val="0"/>
                <w:sz w:val="24"/>
                <w:highlight w:val="none"/>
                <w:u w:val="single"/>
              </w:rPr>
              <w:t>沈阳药科大学</w:t>
            </w:r>
          </w:p>
          <w:p w14:paraId="37C84D85">
            <w:pPr>
              <w:widowControl/>
              <w:spacing w:line="360" w:lineRule="auto"/>
              <w:jc w:val="left"/>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t>地  址：</w:t>
            </w:r>
            <w:r>
              <w:rPr>
                <w:rFonts w:hint="eastAsia" w:ascii="仿宋_GB2312" w:hAnsi="仿宋" w:eastAsia="仿宋_GB2312"/>
                <w:color w:val="auto"/>
                <w:kern w:val="0"/>
                <w:sz w:val="24"/>
                <w:highlight w:val="none"/>
                <w:u w:val="single"/>
              </w:rPr>
              <w:t>沈阳市沈河区文化路103号</w:t>
            </w:r>
          </w:p>
          <w:p w14:paraId="2A147182">
            <w:pPr>
              <w:widowControl/>
              <w:spacing w:line="360" w:lineRule="auto"/>
              <w:jc w:val="left"/>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联系人：</w:t>
            </w:r>
            <w:r>
              <w:rPr>
                <w:rFonts w:hint="eastAsia" w:ascii="仿宋_GB2312" w:hAnsi="仿宋" w:eastAsia="仿宋_GB2312" w:cs="仿宋_GB2312"/>
                <w:color w:val="auto"/>
                <w:kern w:val="0"/>
                <w:sz w:val="24"/>
                <w:highlight w:val="none"/>
                <w:u w:val="single"/>
              </w:rPr>
              <w:t>王紫暄</w:t>
            </w:r>
          </w:p>
          <w:p w14:paraId="206E5A7D">
            <w:pPr>
              <w:widowControl/>
              <w:spacing w:line="360" w:lineRule="auto"/>
              <w:jc w:val="left"/>
              <w:rPr>
                <w:rFonts w:ascii="仿宋_GB2312" w:hAnsi="仿宋" w:eastAsia="仿宋_GB2312"/>
                <w:color w:val="auto"/>
                <w:kern w:val="0"/>
                <w:sz w:val="24"/>
                <w:highlight w:val="none"/>
              </w:rPr>
            </w:pPr>
            <w:r>
              <w:rPr>
                <w:rFonts w:hint="eastAsia" w:ascii="仿宋_GB2312" w:hAnsi="仿宋" w:eastAsia="仿宋_GB2312" w:cs="仿宋_GB2312"/>
                <w:color w:val="auto"/>
                <w:kern w:val="0"/>
                <w:sz w:val="24"/>
                <w:highlight w:val="none"/>
              </w:rPr>
              <w:t>电  话：</w:t>
            </w:r>
            <w:r>
              <w:rPr>
                <w:rFonts w:hint="eastAsia" w:ascii="仿宋_GB2312" w:hAnsi="仿宋" w:eastAsia="仿宋_GB2312" w:cs="仿宋_GB2312"/>
                <w:color w:val="auto"/>
                <w:kern w:val="0"/>
                <w:sz w:val="24"/>
                <w:highlight w:val="none"/>
                <w:u w:val="single"/>
              </w:rPr>
              <w:t>024-43520127</w:t>
            </w:r>
          </w:p>
        </w:tc>
      </w:tr>
      <w:tr w14:paraId="0F4F8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8" w:hRule="atLeast"/>
        </w:trPr>
        <w:tc>
          <w:tcPr>
            <w:tcW w:w="959" w:type="dxa"/>
            <w:vAlign w:val="center"/>
          </w:tcPr>
          <w:p w14:paraId="18FA1045">
            <w:pPr>
              <w:widowControl/>
              <w:snapToGrid w:val="0"/>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1.2</w:t>
            </w:r>
          </w:p>
        </w:tc>
        <w:tc>
          <w:tcPr>
            <w:tcW w:w="1762" w:type="dxa"/>
            <w:vAlign w:val="center"/>
          </w:tcPr>
          <w:p w14:paraId="1012548C">
            <w:pPr>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采购组织机构</w:t>
            </w:r>
          </w:p>
        </w:tc>
        <w:tc>
          <w:tcPr>
            <w:tcW w:w="6068" w:type="dxa"/>
            <w:vAlign w:val="center"/>
          </w:tcPr>
          <w:p w14:paraId="3BD42E63">
            <w:pPr>
              <w:widowControl/>
              <w:spacing w:line="360" w:lineRule="auto"/>
              <w:jc w:val="left"/>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t>名  称：</w:t>
            </w:r>
            <w:r>
              <w:rPr>
                <w:rFonts w:hint="eastAsia" w:ascii="仿宋_GB2312" w:hAnsi="仿宋" w:eastAsia="仿宋_GB2312"/>
                <w:color w:val="auto"/>
                <w:kern w:val="0"/>
                <w:sz w:val="24"/>
                <w:highlight w:val="none"/>
                <w:u w:val="single"/>
              </w:rPr>
              <w:t>辽宁省沈抚公共资源交易服务有限公司</w:t>
            </w:r>
          </w:p>
          <w:p w14:paraId="3D94C699">
            <w:pPr>
              <w:widowControl/>
              <w:spacing w:line="360" w:lineRule="auto"/>
              <w:jc w:val="left"/>
              <w:rPr>
                <w:rFonts w:ascii="仿宋_GB2312" w:hAnsi="仿宋" w:eastAsia="仿宋_GB2312"/>
                <w:color w:val="auto"/>
                <w:w w:val="95"/>
                <w:kern w:val="0"/>
                <w:sz w:val="24"/>
                <w:highlight w:val="none"/>
                <w:u w:val="single"/>
              </w:rPr>
            </w:pPr>
            <w:r>
              <w:rPr>
                <w:rFonts w:hint="eastAsia" w:ascii="仿宋_GB2312" w:hAnsi="仿宋" w:eastAsia="仿宋_GB2312"/>
                <w:color w:val="auto"/>
                <w:kern w:val="0"/>
                <w:sz w:val="24"/>
                <w:highlight w:val="none"/>
              </w:rPr>
              <w:t>地  址：</w:t>
            </w:r>
            <w:r>
              <w:rPr>
                <w:rFonts w:hint="eastAsia" w:ascii="仿宋_GB2312" w:hAnsi="仿宋" w:eastAsia="仿宋_GB2312"/>
                <w:color w:val="auto"/>
                <w:spacing w:val="-6"/>
                <w:kern w:val="0"/>
                <w:sz w:val="24"/>
                <w:highlight w:val="none"/>
                <w:u w:val="single"/>
              </w:rPr>
              <w:t>沈阳市皇姑区北陵大街34号3号楼1502室</w:t>
            </w:r>
          </w:p>
          <w:p w14:paraId="0D2DEA9A">
            <w:pPr>
              <w:widowControl/>
              <w:spacing w:line="360" w:lineRule="auto"/>
              <w:jc w:val="left"/>
              <w:rPr>
                <w:rFonts w:ascii="仿宋_GB2312" w:hAnsi="仿宋" w:eastAsia="仿宋_GB2312"/>
                <w:color w:val="auto"/>
                <w:kern w:val="0"/>
                <w:sz w:val="24"/>
                <w:highlight w:val="none"/>
                <w:u w:val="single"/>
              </w:rPr>
            </w:pPr>
            <w:r>
              <w:rPr>
                <w:rFonts w:hint="eastAsia" w:ascii="仿宋_GB2312" w:hAnsi="仿宋" w:eastAsia="仿宋_GB2312"/>
                <w:color w:val="auto"/>
                <w:kern w:val="0"/>
                <w:sz w:val="24"/>
                <w:highlight w:val="none"/>
              </w:rPr>
              <w:t>联系人：</w:t>
            </w:r>
            <w:r>
              <w:rPr>
                <w:rFonts w:hint="eastAsia" w:ascii="仿宋_GB2312" w:hAnsi="仿宋" w:eastAsia="仿宋_GB2312"/>
                <w:color w:val="auto"/>
                <w:kern w:val="0"/>
                <w:sz w:val="24"/>
                <w:highlight w:val="none"/>
                <w:u w:val="single"/>
              </w:rPr>
              <w:t>吴娜、王磊、马丽君</w:t>
            </w:r>
          </w:p>
          <w:p w14:paraId="4021257E">
            <w:pPr>
              <w:widowControl/>
              <w:spacing w:line="360" w:lineRule="auto"/>
              <w:jc w:val="left"/>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t>电  话：</w:t>
            </w:r>
            <w:r>
              <w:rPr>
                <w:rFonts w:hint="eastAsia" w:ascii="仿宋_GB2312" w:hAnsi="仿宋" w:eastAsia="仿宋_GB2312"/>
                <w:color w:val="auto"/>
                <w:kern w:val="0"/>
                <w:sz w:val="24"/>
                <w:highlight w:val="none"/>
                <w:u w:val="single"/>
              </w:rPr>
              <w:t>024-31513417</w:t>
            </w:r>
          </w:p>
        </w:tc>
      </w:tr>
      <w:tr w14:paraId="7926D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trPr>
        <w:tc>
          <w:tcPr>
            <w:tcW w:w="959" w:type="dxa"/>
            <w:vAlign w:val="center"/>
          </w:tcPr>
          <w:p w14:paraId="1E5A8431">
            <w:pPr>
              <w:widowControl/>
              <w:snapToGrid w:val="0"/>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1.3.4</w:t>
            </w:r>
          </w:p>
        </w:tc>
        <w:tc>
          <w:tcPr>
            <w:tcW w:w="1762" w:type="dxa"/>
            <w:vAlign w:val="center"/>
          </w:tcPr>
          <w:p w14:paraId="741B0E4A">
            <w:pPr>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合格投标人还要满足的其它资格条件</w:t>
            </w:r>
          </w:p>
        </w:tc>
        <w:tc>
          <w:tcPr>
            <w:tcW w:w="6068" w:type="dxa"/>
            <w:vAlign w:val="center"/>
          </w:tcPr>
          <w:p w14:paraId="513DDDE4">
            <w:pPr>
              <w:snapToGrid w:val="0"/>
              <w:spacing w:line="360" w:lineRule="auto"/>
              <w:ind w:firstLine="480" w:firstLineChars="200"/>
              <w:jc w:val="left"/>
              <w:rPr>
                <w:rFonts w:ascii="仿宋_GB2312" w:hAnsi="仿宋" w:eastAsia="仿宋_GB2312"/>
                <w:b/>
                <w:color w:val="auto"/>
                <w:sz w:val="24"/>
                <w:highlight w:val="none"/>
              </w:rPr>
            </w:pPr>
            <w:r>
              <w:rPr>
                <w:rFonts w:hint="eastAsia" w:ascii="仿宋_GB2312" w:hAnsi="仿宋" w:eastAsia="仿宋_GB2312"/>
                <w:b/>
                <w:color w:val="auto"/>
                <w:sz w:val="24"/>
                <w:highlight w:val="none"/>
              </w:rPr>
              <w:t>（1）若投标人为制造商的，须具备下列条件a或b：</w:t>
            </w:r>
          </w:p>
          <w:p w14:paraId="59AF3FED">
            <w:pPr>
              <w:snapToGrid w:val="0"/>
              <w:spacing w:line="360" w:lineRule="auto"/>
              <w:ind w:firstLine="480" w:firstLineChars="200"/>
              <w:jc w:val="left"/>
              <w:rPr>
                <w:rFonts w:ascii="仿宋_GB2312" w:hAnsi="仿宋" w:eastAsia="仿宋_GB2312"/>
                <w:bCs/>
                <w:color w:val="auto"/>
                <w:sz w:val="24"/>
                <w:highlight w:val="none"/>
              </w:rPr>
            </w:pPr>
            <w:r>
              <w:rPr>
                <w:rFonts w:hint="eastAsia" w:ascii="仿宋_GB2312" w:hAnsi="仿宋" w:eastAsia="仿宋_GB2312"/>
                <w:bCs/>
                <w:color w:val="auto"/>
                <w:sz w:val="24"/>
                <w:highlight w:val="none"/>
              </w:rPr>
              <w:t>a.具有有效期内的《中华人民共和国特种设备生产许可证》（许可项目包括电梯制造（含安装、修理、改造），许可子项目含曳引驱动乘客电梯）（新证）。</w:t>
            </w:r>
          </w:p>
          <w:p w14:paraId="5EE05A16">
            <w:pPr>
              <w:snapToGrid w:val="0"/>
              <w:spacing w:line="360" w:lineRule="auto"/>
              <w:ind w:firstLine="480" w:firstLineChars="200"/>
              <w:jc w:val="left"/>
              <w:rPr>
                <w:rFonts w:ascii="仿宋_GB2312" w:hAnsi="仿宋" w:eastAsia="仿宋_GB2312"/>
                <w:bCs/>
                <w:color w:val="auto"/>
                <w:sz w:val="24"/>
                <w:highlight w:val="none"/>
              </w:rPr>
            </w:pPr>
            <w:r>
              <w:rPr>
                <w:rFonts w:hint="eastAsia" w:ascii="仿宋_GB2312" w:hAnsi="仿宋" w:eastAsia="仿宋_GB2312"/>
                <w:bCs/>
                <w:color w:val="auto"/>
                <w:sz w:val="24"/>
                <w:highlight w:val="none"/>
              </w:rPr>
              <w:t>b.同时具有有效期内的《中华人民共和国特种设备制造许可证》（电梯）B级及以上资质（旧证）和《中华人民共和国特种设备安装改造维修许可证》（电梯）B级及以上资质（旧证）。</w:t>
            </w:r>
          </w:p>
          <w:p w14:paraId="02884F7B">
            <w:pPr>
              <w:snapToGrid w:val="0"/>
              <w:spacing w:line="360" w:lineRule="auto"/>
              <w:ind w:firstLine="480" w:firstLineChars="200"/>
              <w:jc w:val="left"/>
              <w:rPr>
                <w:rFonts w:ascii="仿宋_GB2312" w:hAnsi="仿宋" w:eastAsia="仿宋_GB2312"/>
                <w:b/>
                <w:color w:val="auto"/>
                <w:sz w:val="24"/>
                <w:highlight w:val="none"/>
              </w:rPr>
            </w:pPr>
            <w:r>
              <w:rPr>
                <w:rFonts w:hint="eastAsia" w:ascii="仿宋_GB2312" w:hAnsi="仿宋" w:eastAsia="仿宋_GB2312"/>
                <w:b/>
                <w:color w:val="auto"/>
                <w:sz w:val="24"/>
                <w:highlight w:val="none"/>
              </w:rPr>
              <w:t>（2）若投标人为代理商的，须具备下列条件a和b：</w:t>
            </w:r>
          </w:p>
          <w:p w14:paraId="27E68B05">
            <w:pPr>
              <w:snapToGrid w:val="0"/>
              <w:spacing w:line="360" w:lineRule="auto"/>
              <w:ind w:firstLine="480" w:firstLineChars="200"/>
              <w:jc w:val="left"/>
              <w:rPr>
                <w:rFonts w:ascii="仿宋_GB2312" w:hAnsi="仿宋" w:eastAsia="仿宋_GB2312"/>
                <w:bCs/>
                <w:color w:val="auto"/>
                <w:sz w:val="24"/>
                <w:highlight w:val="none"/>
              </w:rPr>
            </w:pPr>
            <w:r>
              <w:rPr>
                <w:rFonts w:hint="eastAsia" w:ascii="仿宋_GB2312" w:hAnsi="仿宋" w:eastAsia="仿宋_GB2312"/>
                <w:bCs/>
                <w:color w:val="auto"/>
                <w:sz w:val="24"/>
                <w:highlight w:val="none"/>
              </w:rPr>
              <w:t>a.具有有效期内的《中华人民共和国特种设备安装改造维修许可证》（电梯）B级及以上资质（旧证）或《中华人民共和国特种设备生产许可证》（许可项目包括电梯安装（含修理），许可子项目含曳引驱动乘客电梯）（新证）。</w:t>
            </w:r>
          </w:p>
          <w:p w14:paraId="781F8DAF">
            <w:pPr>
              <w:snapToGrid w:val="0"/>
              <w:spacing w:line="360" w:lineRule="auto"/>
              <w:ind w:firstLine="480" w:firstLineChars="200"/>
              <w:jc w:val="left"/>
              <w:rPr>
                <w:rFonts w:ascii="仿宋_GB2312" w:hAnsi="仿宋" w:eastAsia="仿宋_GB2312"/>
                <w:color w:val="auto"/>
                <w:kern w:val="0"/>
                <w:sz w:val="24"/>
                <w:highlight w:val="none"/>
              </w:rPr>
            </w:pPr>
            <w:r>
              <w:rPr>
                <w:rFonts w:hint="eastAsia" w:ascii="仿宋_GB2312" w:hAnsi="仿宋" w:eastAsia="仿宋_GB2312"/>
                <w:bCs/>
                <w:color w:val="auto"/>
                <w:sz w:val="24"/>
                <w:highlight w:val="none"/>
              </w:rPr>
              <w:t>b.具有经所投电梯生产制造商同意的委托合同并提供该制造商的《中华人民共和国特种设备制造许可证》（电梯）B级资质（旧证）或《中华人民共和国特种设备生产许可证》（许可项目包括电梯制造（含安装、修理、改造），许可子项目曳引驱动乘客电梯）（新证）。</w:t>
            </w:r>
          </w:p>
        </w:tc>
      </w:tr>
      <w:tr w14:paraId="06262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959" w:type="dxa"/>
            <w:vAlign w:val="center"/>
          </w:tcPr>
          <w:p w14:paraId="429E9703">
            <w:pPr>
              <w:widowControl/>
              <w:snapToGrid w:val="0"/>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1.3.5</w:t>
            </w:r>
          </w:p>
        </w:tc>
        <w:tc>
          <w:tcPr>
            <w:tcW w:w="1762" w:type="dxa"/>
            <w:vAlign w:val="center"/>
          </w:tcPr>
          <w:p w14:paraId="62CF2BC2">
            <w:pPr>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是否允许采购进口产品</w:t>
            </w:r>
          </w:p>
        </w:tc>
        <w:tc>
          <w:tcPr>
            <w:tcW w:w="6068" w:type="dxa"/>
            <w:vAlign w:val="center"/>
          </w:tcPr>
          <w:p w14:paraId="17064F40">
            <w:pPr>
              <w:widowControl/>
              <w:spacing w:line="360" w:lineRule="auto"/>
              <w:jc w:val="left"/>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sym w:font="Wingdings 2" w:char="00A3"/>
            </w:r>
            <w:r>
              <w:rPr>
                <w:rFonts w:hint="eastAsia" w:ascii="仿宋_GB2312" w:hAnsi="仿宋" w:eastAsia="仿宋_GB2312"/>
                <w:color w:val="auto"/>
                <w:kern w:val="0"/>
                <w:sz w:val="24"/>
                <w:highlight w:val="none"/>
              </w:rPr>
              <w:t xml:space="preserve"> 是</w:t>
            </w:r>
          </w:p>
          <w:p w14:paraId="62F4CDE6">
            <w:pPr>
              <w:widowControl/>
              <w:spacing w:line="360" w:lineRule="auto"/>
              <w:jc w:val="left"/>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sym w:font="Wingdings 2" w:char="0052"/>
            </w:r>
            <w:r>
              <w:rPr>
                <w:rFonts w:hint="eastAsia" w:ascii="仿宋_GB2312" w:hAnsi="仿宋" w:eastAsia="仿宋_GB2312"/>
                <w:color w:val="auto"/>
                <w:kern w:val="0"/>
                <w:sz w:val="24"/>
                <w:highlight w:val="none"/>
              </w:rPr>
              <w:t xml:space="preserve"> 否</w:t>
            </w:r>
          </w:p>
        </w:tc>
      </w:tr>
      <w:tr w14:paraId="5696A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trPr>
        <w:tc>
          <w:tcPr>
            <w:tcW w:w="959" w:type="dxa"/>
            <w:vAlign w:val="center"/>
          </w:tcPr>
          <w:p w14:paraId="23193578">
            <w:pPr>
              <w:widowControl/>
              <w:snapToGrid w:val="0"/>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1.3.6</w:t>
            </w:r>
          </w:p>
        </w:tc>
        <w:tc>
          <w:tcPr>
            <w:tcW w:w="1762" w:type="dxa"/>
            <w:vAlign w:val="center"/>
          </w:tcPr>
          <w:p w14:paraId="31FC0264">
            <w:pPr>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是否为专门面向中小企业采购</w:t>
            </w:r>
          </w:p>
        </w:tc>
        <w:tc>
          <w:tcPr>
            <w:tcW w:w="6068" w:type="dxa"/>
            <w:vAlign w:val="center"/>
          </w:tcPr>
          <w:p w14:paraId="0CBE4252">
            <w:pPr>
              <w:widowControl/>
              <w:spacing w:line="360" w:lineRule="auto"/>
              <w:jc w:val="left"/>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sym w:font="Wingdings 2" w:char="00A3"/>
            </w:r>
            <w:r>
              <w:rPr>
                <w:rFonts w:hint="eastAsia" w:ascii="仿宋_GB2312" w:hAnsi="仿宋" w:eastAsia="仿宋_GB2312"/>
                <w:color w:val="auto"/>
                <w:kern w:val="0"/>
                <w:sz w:val="24"/>
                <w:highlight w:val="none"/>
              </w:rPr>
              <w:t xml:space="preserve"> 是</w:t>
            </w:r>
          </w:p>
          <w:p w14:paraId="378C7F79">
            <w:pPr>
              <w:widowControl/>
              <w:spacing w:line="360" w:lineRule="auto"/>
              <w:jc w:val="left"/>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sym w:font="Wingdings 2" w:char="0052"/>
            </w:r>
            <w:r>
              <w:rPr>
                <w:rFonts w:hint="eastAsia" w:ascii="仿宋_GB2312" w:hAnsi="仿宋" w:eastAsia="仿宋_GB2312"/>
                <w:color w:val="auto"/>
                <w:kern w:val="0"/>
                <w:sz w:val="24"/>
                <w:highlight w:val="none"/>
              </w:rPr>
              <w:t xml:space="preserve"> 否</w:t>
            </w:r>
          </w:p>
        </w:tc>
      </w:tr>
      <w:tr w14:paraId="64A56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9" w:hRule="atLeast"/>
        </w:trPr>
        <w:tc>
          <w:tcPr>
            <w:tcW w:w="959" w:type="dxa"/>
            <w:vAlign w:val="center"/>
          </w:tcPr>
          <w:p w14:paraId="6E433E72">
            <w:pPr>
              <w:widowControl/>
              <w:snapToGrid w:val="0"/>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1.3.7</w:t>
            </w:r>
          </w:p>
        </w:tc>
        <w:tc>
          <w:tcPr>
            <w:tcW w:w="1762" w:type="dxa"/>
            <w:vAlign w:val="center"/>
          </w:tcPr>
          <w:p w14:paraId="66F6D00D">
            <w:pPr>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是否有政府强制采购的节能产品</w:t>
            </w:r>
          </w:p>
        </w:tc>
        <w:tc>
          <w:tcPr>
            <w:tcW w:w="6068" w:type="dxa"/>
            <w:vAlign w:val="center"/>
          </w:tcPr>
          <w:p w14:paraId="08CD93AC">
            <w:pPr>
              <w:widowControl/>
              <w:spacing w:line="360" w:lineRule="auto"/>
              <w:jc w:val="left"/>
              <w:rPr>
                <w:rFonts w:ascii="仿宋_GB2312" w:hAnsi="仿宋" w:eastAsia="仿宋_GB2312"/>
                <w:color w:val="auto"/>
                <w:kern w:val="0"/>
                <w:sz w:val="24"/>
                <w:highlight w:val="none"/>
                <w:u w:val="single"/>
              </w:rPr>
            </w:pPr>
            <w:r>
              <w:rPr>
                <w:rFonts w:hint="eastAsia" w:ascii="仿宋_GB2312" w:hAnsi="仿宋" w:eastAsia="仿宋_GB2312"/>
                <w:color w:val="auto"/>
                <w:kern w:val="0"/>
                <w:sz w:val="24"/>
                <w:highlight w:val="none"/>
              </w:rPr>
              <w:sym w:font="Wingdings 2" w:char="00A3"/>
            </w:r>
            <w:r>
              <w:rPr>
                <w:rFonts w:hint="eastAsia" w:ascii="仿宋_GB2312" w:hAnsi="仿宋" w:eastAsia="仿宋_GB2312"/>
                <w:color w:val="auto"/>
                <w:kern w:val="0"/>
                <w:sz w:val="24"/>
                <w:highlight w:val="none"/>
              </w:rPr>
              <w:t xml:space="preserve"> 有，具体产品为 </w:t>
            </w:r>
            <w:r>
              <w:rPr>
                <w:rFonts w:hint="eastAsia" w:ascii="仿宋_GB2312" w:hAnsi="仿宋" w:eastAsia="仿宋_GB2312"/>
                <w:color w:val="auto"/>
                <w:kern w:val="0"/>
                <w:sz w:val="24"/>
                <w:highlight w:val="none"/>
                <w:u w:val="single"/>
              </w:rPr>
              <w:t xml:space="preserve">      </w:t>
            </w:r>
          </w:p>
          <w:p w14:paraId="6E879661">
            <w:pPr>
              <w:widowControl/>
              <w:spacing w:line="360" w:lineRule="auto"/>
              <w:jc w:val="left"/>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sym w:font="Wingdings 2" w:char="0052"/>
            </w:r>
            <w:r>
              <w:rPr>
                <w:rFonts w:hint="eastAsia" w:ascii="仿宋_GB2312" w:hAnsi="仿宋" w:eastAsia="仿宋_GB2312"/>
                <w:color w:val="auto"/>
                <w:kern w:val="0"/>
                <w:sz w:val="24"/>
                <w:highlight w:val="none"/>
              </w:rPr>
              <w:t xml:space="preserve"> 没有</w:t>
            </w:r>
          </w:p>
        </w:tc>
      </w:tr>
      <w:tr w14:paraId="5782D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959" w:type="dxa"/>
            <w:vAlign w:val="center"/>
          </w:tcPr>
          <w:p w14:paraId="22C236D5">
            <w:pPr>
              <w:widowControl/>
              <w:snapToGrid w:val="0"/>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1.4</w:t>
            </w:r>
          </w:p>
        </w:tc>
        <w:tc>
          <w:tcPr>
            <w:tcW w:w="1762" w:type="dxa"/>
            <w:vAlign w:val="center"/>
          </w:tcPr>
          <w:p w14:paraId="6480EA07">
            <w:pPr>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是否允许联合体投标</w:t>
            </w:r>
          </w:p>
        </w:tc>
        <w:tc>
          <w:tcPr>
            <w:tcW w:w="6068" w:type="dxa"/>
            <w:vAlign w:val="center"/>
          </w:tcPr>
          <w:p w14:paraId="002C0ED9">
            <w:pPr>
              <w:widowControl/>
              <w:spacing w:line="360" w:lineRule="auto"/>
              <w:jc w:val="left"/>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sym w:font="Wingdings 2" w:char="00A3"/>
            </w:r>
            <w:r>
              <w:rPr>
                <w:rFonts w:hint="eastAsia" w:ascii="仿宋_GB2312" w:hAnsi="仿宋" w:eastAsia="仿宋_GB2312"/>
                <w:color w:val="auto"/>
                <w:kern w:val="0"/>
                <w:sz w:val="24"/>
                <w:highlight w:val="none"/>
              </w:rPr>
              <w:t xml:space="preserve"> 是</w:t>
            </w:r>
          </w:p>
          <w:p w14:paraId="06A5322C">
            <w:pPr>
              <w:widowControl/>
              <w:spacing w:line="360" w:lineRule="auto"/>
              <w:jc w:val="left"/>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sym w:font="Wingdings 2" w:char="0052"/>
            </w:r>
            <w:r>
              <w:rPr>
                <w:rFonts w:hint="eastAsia" w:ascii="仿宋_GB2312" w:hAnsi="仿宋" w:eastAsia="仿宋_GB2312"/>
                <w:color w:val="auto"/>
                <w:kern w:val="0"/>
                <w:sz w:val="24"/>
                <w:highlight w:val="none"/>
              </w:rPr>
              <w:t xml:space="preserve"> 否</w:t>
            </w:r>
          </w:p>
        </w:tc>
      </w:tr>
      <w:tr w14:paraId="38610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trPr>
        <w:tc>
          <w:tcPr>
            <w:tcW w:w="959" w:type="dxa"/>
            <w:vAlign w:val="center"/>
          </w:tcPr>
          <w:p w14:paraId="09A5607B">
            <w:pPr>
              <w:widowControl/>
              <w:snapToGrid w:val="0"/>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1.4.8</w:t>
            </w:r>
          </w:p>
        </w:tc>
        <w:tc>
          <w:tcPr>
            <w:tcW w:w="1762" w:type="dxa"/>
            <w:vAlign w:val="center"/>
          </w:tcPr>
          <w:p w14:paraId="7302950F">
            <w:pPr>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联合体投标的其他资格要求</w:t>
            </w:r>
          </w:p>
        </w:tc>
        <w:tc>
          <w:tcPr>
            <w:tcW w:w="6068" w:type="dxa"/>
            <w:vAlign w:val="center"/>
          </w:tcPr>
          <w:p w14:paraId="34896834">
            <w:pPr>
              <w:widowControl/>
              <w:spacing w:line="360" w:lineRule="auto"/>
              <w:jc w:val="left"/>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t>不适用。</w:t>
            </w:r>
          </w:p>
        </w:tc>
      </w:tr>
      <w:tr w14:paraId="4E057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9" w:type="dxa"/>
            <w:vAlign w:val="center"/>
          </w:tcPr>
          <w:p w14:paraId="0CCA62F3">
            <w:pPr>
              <w:snapToGrid w:val="0"/>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2.2</w:t>
            </w:r>
          </w:p>
        </w:tc>
        <w:tc>
          <w:tcPr>
            <w:tcW w:w="1762" w:type="dxa"/>
            <w:vAlign w:val="center"/>
          </w:tcPr>
          <w:p w14:paraId="061D8994">
            <w:pPr>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项目预算金额、最高限价</w:t>
            </w:r>
          </w:p>
        </w:tc>
        <w:tc>
          <w:tcPr>
            <w:tcW w:w="6068" w:type="dxa"/>
            <w:vAlign w:val="center"/>
          </w:tcPr>
          <w:p w14:paraId="02C78995">
            <w:pPr>
              <w:widowControl/>
              <w:snapToGrid w:val="0"/>
              <w:spacing w:line="360" w:lineRule="auto"/>
              <w:ind w:firstLine="480" w:firstLineChars="200"/>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t>预算金额：</w:t>
            </w:r>
            <w:r>
              <w:rPr>
                <w:rFonts w:hint="eastAsia" w:ascii="仿宋_GB2312" w:hAnsi="仿宋" w:eastAsia="仿宋_GB2312" w:cs="仿宋_GB2312"/>
                <w:color w:val="auto"/>
                <w:sz w:val="24"/>
                <w:highlight w:val="none"/>
              </w:rPr>
              <w:t>950,000.00元</w:t>
            </w:r>
          </w:p>
          <w:p w14:paraId="171A99DE">
            <w:pPr>
              <w:widowControl/>
              <w:snapToGrid w:val="0"/>
              <w:spacing w:line="360" w:lineRule="auto"/>
              <w:ind w:firstLine="480" w:firstLineChars="200"/>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t>最高限价：</w:t>
            </w:r>
            <w:r>
              <w:rPr>
                <w:rFonts w:hint="eastAsia" w:ascii="仿宋_GB2312" w:hAnsi="仿宋" w:eastAsia="仿宋_GB2312" w:cs="仿宋_GB2312"/>
                <w:color w:val="auto"/>
                <w:sz w:val="24"/>
                <w:highlight w:val="none"/>
              </w:rPr>
              <w:t>950,000.00元</w:t>
            </w:r>
          </w:p>
          <w:p w14:paraId="37AFADC1">
            <w:pPr>
              <w:widowControl/>
              <w:snapToGrid w:val="0"/>
              <w:spacing w:line="360" w:lineRule="auto"/>
              <w:ind w:firstLine="480" w:firstLineChars="200"/>
              <w:rPr>
                <w:rFonts w:ascii="仿宋_GB2312" w:hAnsi="仿宋" w:eastAsia="仿宋_GB2312"/>
                <w:b/>
                <w:bCs/>
                <w:color w:val="auto"/>
                <w:kern w:val="0"/>
                <w:sz w:val="24"/>
                <w:highlight w:val="none"/>
              </w:rPr>
            </w:pPr>
            <w:r>
              <w:rPr>
                <w:rFonts w:hint="eastAsia" w:ascii="仿宋_GB2312" w:hAnsi="仿宋" w:eastAsia="仿宋_GB2312"/>
                <w:b/>
                <w:bCs/>
                <w:color w:val="auto"/>
                <w:kern w:val="0"/>
                <w:sz w:val="24"/>
                <w:highlight w:val="none"/>
              </w:rPr>
              <w:t>特别说明：</w:t>
            </w:r>
          </w:p>
          <w:p w14:paraId="76E148F4">
            <w:pPr>
              <w:widowControl/>
              <w:snapToGrid w:val="0"/>
              <w:spacing w:line="360" w:lineRule="auto"/>
              <w:ind w:firstLine="480" w:firstLineChars="200"/>
              <w:rPr>
                <w:rFonts w:ascii="仿宋_GB2312" w:hAnsi="仿宋" w:eastAsia="仿宋_GB2312"/>
                <w:b/>
                <w:bCs/>
                <w:color w:val="auto"/>
                <w:kern w:val="0"/>
                <w:sz w:val="24"/>
                <w:highlight w:val="none"/>
              </w:rPr>
            </w:pPr>
            <w:r>
              <w:rPr>
                <w:rFonts w:hint="eastAsia" w:ascii="仿宋_GB2312" w:hAnsi="仿宋" w:eastAsia="仿宋_GB2312"/>
                <w:b/>
                <w:bCs/>
                <w:color w:val="auto"/>
                <w:kern w:val="0"/>
                <w:sz w:val="24"/>
                <w:highlight w:val="none"/>
              </w:rPr>
              <w:t>1</w:t>
            </w:r>
            <w:r>
              <w:rPr>
                <w:rFonts w:ascii="仿宋_GB2312" w:hAnsi="仿宋" w:eastAsia="仿宋_GB2312"/>
                <w:b/>
                <w:bCs/>
                <w:color w:val="auto"/>
                <w:kern w:val="0"/>
                <w:sz w:val="24"/>
                <w:highlight w:val="none"/>
              </w:rPr>
              <w:t>.</w:t>
            </w:r>
            <w:r>
              <w:rPr>
                <w:rFonts w:hint="eastAsia" w:ascii="仿宋_GB2312" w:hAnsi="仿宋" w:eastAsia="仿宋_GB2312"/>
                <w:b/>
                <w:bCs/>
                <w:color w:val="auto"/>
                <w:kern w:val="0"/>
                <w:sz w:val="24"/>
                <w:highlight w:val="none"/>
              </w:rPr>
              <w:t>投标人的投标报价不得高于招标文件中给定的最高限价，否则其投标文件视为不响应招标文件实质性要求，按无效投标文件处理。</w:t>
            </w:r>
          </w:p>
          <w:p w14:paraId="3442D88C">
            <w:pPr>
              <w:widowControl/>
              <w:snapToGrid w:val="0"/>
              <w:spacing w:line="360" w:lineRule="auto"/>
              <w:ind w:firstLine="480" w:firstLineChars="200"/>
              <w:rPr>
                <w:rFonts w:ascii="仿宋_GB2312" w:hAnsi="仿宋" w:eastAsia="仿宋_GB2312"/>
                <w:color w:val="auto"/>
                <w:kern w:val="0"/>
                <w:sz w:val="24"/>
                <w:highlight w:val="none"/>
              </w:rPr>
            </w:pPr>
            <w:r>
              <w:rPr>
                <w:rFonts w:hint="eastAsia" w:ascii="仿宋_GB2312" w:hAnsi="仿宋" w:eastAsia="仿宋_GB2312"/>
                <w:b/>
                <w:bCs/>
                <w:color w:val="auto"/>
                <w:kern w:val="0"/>
                <w:sz w:val="24"/>
                <w:highlight w:val="none"/>
              </w:rPr>
              <w:t>2</w:t>
            </w:r>
            <w:r>
              <w:rPr>
                <w:rFonts w:ascii="仿宋_GB2312" w:hAnsi="仿宋" w:eastAsia="仿宋_GB2312"/>
                <w:b/>
                <w:bCs/>
                <w:color w:val="auto"/>
                <w:kern w:val="0"/>
                <w:sz w:val="24"/>
                <w:highlight w:val="none"/>
              </w:rPr>
              <w:t>.</w:t>
            </w:r>
            <w:r>
              <w:rPr>
                <w:rFonts w:hint="eastAsia" w:ascii="仿宋_GB2312" w:hAnsi="仿宋" w:eastAsia="仿宋_GB2312"/>
                <w:b/>
                <w:bCs/>
                <w:color w:val="auto"/>
                <w:kern w:val="0"/>
                <w:sz w:val="24"/>
                <w:highlight w:val="none"/>
              </w:rPr>
              <w:t>如某一投标人的投标报价明显低于本项目预算价格或其他投标人报价，有可能影响产品质量或者不能诚信履约的，投标人应按照评标委员会要求的内容和时间提供书面说明，并同时提交相应的佐证材料，投标人不能按照评标委员会要求的内容和时间提供书面说明或说明及佐证材料不足以证明其报价合理性的，其投标文件将视为不响应招标文件实质性要求，作无效投标文件处理。</w:t>
            </w:r>
          </w:p>
        </w:tc>
      </w:tr>
      <w:tr w14:paraId="057D7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959" w:type="dxa"/>
            <w:vAlign w:val="center"/>
          </w:tcPr>
          <w:p w14:paraId="7A06F5D3">
            <w:pPr>
              <w:widowControl/>
              <w:snapToGrid w:val="0"/>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4</w:t>
            </w:r>
          </w:p>
        </w:tc>
        <w:tc>
          <w:tcPr>
            <w:tcW w:w="1762" w:type="dxa"/>
            <w:vAlign w:val="center"/>
          </w:tcPr>
          <w:p w14:paraId="2B27EDA6">
            <w:pPr>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计量单位</w:t>
            </w:r>
          </w:p>
        </w:tc>
        <w:tc>
          <w:tcPr>
            <w:tcW w:w="6068" w:type="dxa"/>
            <w:vAlign w:val="center"/>
          </w:tcPr>
          <w:p w14:paraId="724B886C">
            <w:pPr>
              <w:widowControl/>
              <w:spacing w:line="360" w:lineRule="auto"/>
              <w:jc w:val="left"/>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sym w:font="Wingdings 2" w:char="0052"/>
            </w:r>
            <w:r>
              <w:rPr>
                <w:rFonts w:hint="eastAsia" w:ascii="仿宋_GB2312" w:hAnsi="仿宋" w:eastAsia="仿宋_GB2312"/>
                <w:color w:val="auto"/>
                <w:kern w:val="0"/>
                <w:sz w:val="24"/>
                <w:highlight w:val="none"/>
              </w:rPr>
              <w:t xml:space="preserve"> 中华人民共和国法定计量单位</w:t>
            </w:r>
          </w:p>
          <w:p w14:paraId="3963ACFE">
            <w:pPr>
              <w:widowControl/>
              <w:spacing w:line="360" w:lineRule="auto"/>
              <w:jc w:val="left"/>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sym w:font="Wingdings 2" w:char="00A3"/>
            </w:r>
            <w:r>
              <w:rPr>
                <w:rFonts w:hint="eastAsia" w:ascii="仿宋_GB2312" w:hAnsi="仿宋" w:eastAsia="仿宋_GB2312"/>
                <w:color w:val="auto"/>
                <w:kern w:val="0"/>
                <w:sz w:val="24"/>
                <w:highlight w:val="none"/>
              </w:rPr>
              <w:t xml:space="preserve"> 其他：             </w:t>
            </w:r>
          </w:p>
        </w:tc>
      </w:tr>
      <w:tr w14:paraId="5E955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3" w:hRule="atLeast"/>
        </w:trPr>
        <w:tc>
          <w:tcPr>
            <w:tcW w:w="959" w:type="dxa"/>
            <w:vAlign w:val="center"/>
          </w:tcPr>
          <w:p w14:paraId="47655931">
            <w:pPr>
              <w:widowControl/>
              <w:snapToGrid w:val="0"/>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6.1</w:t>
            </w:r>
          </w:p>
        </w:tc>
        <w:tc>
          <w:tcPr>
            <w:tcW w:w="1762" w:type="dxa"/>
            <w:vAlign w:val="center"/>
          </w:tcPr>
          <w:p w14:paraId="2C6D2F68">
            <w:pPr>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现场考察、开标前答疑会</w:t>
            </w:r>
          </w:p>
        </w:tc>
        <w:tc>
          <w:tcPr>
            <w:tcW w:w="6068" w:type="dxa"/>
            <w:vAlign w:val="center"/>
          </w:tcPr>
          <w:p w14:paraId="4D5AF137">
            <w:pPr>
              <w:widowControl/>
              <w:spacing w:line="360" w:lineRule="auto"/>
              <w:jc w:val="left"/>
              <w:rPr>
                <w:rFonts w:ascii="仿宋_GB2312" w:hAnsi="仿宋" w:eastAsia="仿宋_GB2312"/>
                <w:b/>
                <w:bCs/>
                <w:color w:val="auto"/>
                <w:kern w:val="0"/>
                <w:sz w:val="24"/>
                <w:highlight w:val="none"/>
              </w:rPr>
            </w:pPr>
            <w:r>
              <w:rPr>
                <w:rFonts w:hint="eastAsia" w:ascii="仿宋_GB2312" w:hAnsi="仿宋" w:eastAsia="仿宋_GB2312"/>
                <w:color w:val="auto"/>
                <w:kern w:val="0"/>
                <w:sz w:val="24"/>
                <w:highlight w:val="none"/>
              </w:rPr>
              <w:sym w:font="Wingdings 2" w:char="0052"/>
            </w:r>
            <w:r>
              <w:rPr>
                <w:rFonts w:hint="eastAsia" w:ascii="仿宋_GB2312" w:hAnsi="仿宋" w:eastAsia="仿宋_GB2312"/>
                <w:color w:val="auto"/>
                <w:kern w:val="0"/>
                <w:sz w:val="24"/>
                <w:highlight w:val="none"/>
              </w:rPr>
              <w:t xml:space="preserve"> 不组织</w:t>
            </w:r>
            <w:r>
              <w:rPr>
                <w:rFonts w:hint="eastAsia" w:ascii="仿宋_GB2312" w:hAnsi="仿宋" w:eastAsia="仿宋_GB2312"/>
                <w:b/>
                <w:bCs/>
                <w:color w:val="auto"/>
                <w:kern w:val="0"/>
                <w:sz w:val="24"/>
                <w:highlight w:val="none"/>
              </w:rPr>
              <w:t>（以下不适用）</w:t>
            </w:r>
          </w:p>
          <w:p w14:paraId="0BE7404D">
            <w:pPr>
              <w:widowControl/>
              <w:spacing w:line="360" w:lineRule="auto"/>
              <w:jc w:val="left"/>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sym w:font="Wingdings 2" w:char="00A3"/>
            </w:r>
            <w:r>
              <w:rPr>
                <w:rFonts w:hint="eastAsia" w:ascii="仿宋_GB2312" w:hAnsi="仿宋" w:eastAsia="仿宋_GB2312"/>
                <w:color w:val="auto"/>
                <w:kern w:val="0"/>
                <w:sz w:val="24"/>
                <w:highlight w:val="none"/>
              </w:rPr>
              <w:t xml:space="preserve"> 组织，时  间：         </w:t>
            </w:r>
          </w:p>
          <w:p w14:paraId="06E75FA4">
            <w:pPr>
              <w:widowControl/>
              <w:spacing w:line="360" w:lineRule="auto"/>
              <w:ind w:firstLine="1058" w:firstLineChars="441"/>
              <w:jc w:val="left"/>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t xml:space="preserve">地  点：         </w:t>
            </w:r>
          </w:p>
          <w:p w14:paraId="04DAA6AB">
            <w:pPr>
              <w:widowControl/>
              <w:spacing w:line="360" w:lineRule="auto"/>
              <w:ind w:firstLine="1058" w:firstLineChars="441"/>
              <w:jc w:val="left"/>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t xml:space="preserve">联系人：         </w:t>
            </w:r>
          </w:p>
          <w:p w14:paraId="09A4FF86">
            <w:pPr>
              <w:widowControl/>
              <w:spacing w:line="360" w:lineRule="auto"/>
              <w:ind w:firstLine="1058" w:firstLineChars="441"/>
              <w:jc w:val="left"/>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t xml:space="preserve">电  话：         </w:t>
            </w:r>
          </w:p>
          <w:p w14:paraId="4A4FAED5">
            <w:pPr>
              <w:widowControl/>
              <w:spacing w:line="360" w:lineRule="auto"/>
              <w:jc w:val="left"/>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sym w:font="Wingdings 2" w:char="00A3"/>
            </w:r>
            <w:r>
              <w:rPr>
                <w:rFonts w:hint="eastAsia" w:ascii="仿宋_GB2312" w:hAnsi="仿宋" w:eastAsia="仿宋_GB2312"/>
                <w:color w:val="auto"/>
                <w:kern w:val="0"/>
                <w:sz w:val="24"/>
                <w:highlight w:val="none"/>
              </w:rPr>
              <w:t xml:space="preserve"> 组织，招标文件提供期限截止后以书面形式通知。</w:t>
            </w:r>
          </w:p>
        </w:tc>
      </w:tr>
      <w:tr w14:paraId="4CC60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959" w:type="dxa"/>
            <w:vAlign w:val="center"/>
          </w:tcPr>
          <w:p w14:paraId="13B5D138">
            <w:pPr>
              <w:widowControl/>
              <w:snapToGrid w:val="0"/>
              <w:jc w:val="center"/>
              <w:rPr>
                <w:rFonts w:ascii="仿宋_GB2312" w:hAnsi="仿宋" w:eastAsia="仿宋_GB2312" w:cs="仿宋_GB2312"/>
                <w:b/>
                <w:bCs/>
                <w:color w:val="auto"/>
                <w:kern w:val="0"/>
                <w:sz w:val="24"/>
                <w:highlight w:val="none"/>
              </w:rPr>
            </w:pPr>
            <w:r>
              <w:rPr>
                <w:rFonts w:hint="eastAsia" w:ascii="仿宋_GB2312" w:hAnsi="仿宋" w:eastAsia="仿宋_GB2312" w:cs="仿宋_GB2312"/>
                <w:b/>
                <w:bCs/>
                <w:color w:val="auto"/>
                <w:kern w:val="0"/>
                <w:sz w:val="24"/>
                <w:highlight w:val="none"/>
              </w:rPr>
              <w:t>10.3</w:t>
            </w:r>
          </w:p>
        </w:tc>
        <w:tc>
          <w:tcPr>
            <w:tcW w:w="1762" w:type="dxa"/>
            <w:vAlign w:val="center"/>
          </w:tcPr>
          <w:p w14:paraId="0EDBF67B">
            <w:pPr>
              <w:spacing w:line="360" w:lineRule="auto"/>
              <w:jc w:val="center"/>
              <w:rPr>
                <w:rFonts w:ascii="仿宋_GB2312" w:hAnsi="仿宋" w:eastAsia="仿宋_GB2312" w:cs="仿宋_GB2312"/>
                <w:b/>
                <w:bCs/>
                <w:color w:val="auto"/>
                <w:kern w:val="0"/>
                <w:sz w:val="24"/>
                <w:highlight w:val="none"/>
              </w:rPr>
            </w:pPr>
            <w:r>
              <w:rPr>
                <w:rFonts w:hint="eastAsia" w:ascii="仿宋_GB2312" w:hAnsi="仿宋" w:eastAsia="仿宋_GB2312" w:cs="仿宋_GB2312"/>
                <w:b/>
                <w:bCs/>
                <w:color w:val="auto"/>
                <w:kern w:val="0"/>
                <w:sz w:val="24"/>
                <w:highlight w:val="none"/>
              </w:rPr>
              <w:t>核心产品</w:t>
            </w:r>
          </w:p>
        </w:tc>
        <w:tc>
          <w:tcPr>
            <w:tcW w:w="6068" w:type="dxa"/>
            <w:vAlign w:val="center"/>
          </w:tcPr>
          <w:p w14:paraId="2A274DB8">
            <w:pPr>
              <w:spacing w:line="360" w:lineRule="auto"/>
              <w:jc w:val="left"/>
              <w:rPr>
                <w:rFonts w:ascii="Calibri" w:hAnsi="Calibri" w:eastAsia="仿宋_GB2312" w:cs="Calibri"/>
                <w:b/>
                <w:bCs/>
                <w:color w:val="auto"/>
                <w:kern w:val="0"/>
                <w:sz w:val="24"/>
                <w:highlight w:val="none"/>
              </w:rPr>
            </w:pPr>
            <w:r>
              <w:rPr>
                <w:rFonts w:hint="eastAsia" w:ascii="仿宋_GB2312" w:hAnsi="仿宋" w:eastAsia="仿宋_GB2312" w:cs="仿宋_GB2312"/>
                <w:b/>
                <w:bCs/>
                <w:color w:val="auto"/>
                <w:kern w:val="0"/>
                <w:sz w:val="24"/>
                <w:highlight w:val="none"/>
              </w:rPr>
              <w:t>品目2</w:t>
            </w:r>
            <w:r>
              <w:rPr>
                <w:rFonts w:hint="eastAsia" w:ascii="仿宋_GB2312" w:hAnsi="仿宋" w:eastAsia="仿宋_GB2312" w:cs="仿宋_GB2312"/>
                <w:b/>
                <w:bCs/>
                <w:color w:val="auto"/>
                <w:kern w:val="0"/>
                <w:sz w:val="24"/>
                <w:highlight w:val="none"/>
                <w:lang w:val="en-US" w:eastAsia="zh-CN"/>
              </w:rPr>
              <w:t xml:space="preserve">  </w:t>
            </w:r>
            <w:r>
              <w:rPr>
                <w:rFonts w:hint="eastAsia" w:ascii="仿宋_GB2312" w:hAnsi="仿宋" w:eastAsia="仿宋_GB2312" w:cs="仿宋_GB2312"/>
                <w:b/>
                <w:bCs/>
                <w:color w:val="auto"/>
                <w:kern w:val="0"/>
                <w:sz w:val="24"/>
                <w:highlight w:val="none"/>
              </w:rPr>
              <w:t>产品名称：扶梯</w:t>
            </w:r>
          </w:p>
        </w:tc>
      </w:tr>
      <w:tr w14:paraId="744F3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vAlign w:val="center"/>
          </w:tcPr>
          <w:p w14:paraId="537C65A0">
            <w:pPr>
              <w:widowControl/>
              <w:snapToGrid w:val="0"/>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11.3</w:t>
            </w:r>
          </w:p>
        </w:tc>
        <w:tc>
          <w:tcPr>
            <w:tcW w:w="1762" w:type="dxa"/>
            <w:vAlign w:val="center"/>
          </w:tcPr>
          <w:p w14:paraId="65F4D0C7">
            <w:pPr>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样品或演示</w:t>
            </w:r>
          </w:p>
        </w:tc>
        <w:tc>
          <w:tcPr>
            <w:tcW w:w="6068" w:type="dxa"/>
            <w:vAlign w:val="center"/>
          </w:tcPr>
          <w:p w14:paraId="672E6012">
            <w:pPr>
              <w:spacing w:line="360" w:lineRule="auto"/>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sym w:font="Wingdings 2" w:char="0052"/>
            </w:r>
            <w:r>
              <w:rPr>
                <w:rFonts w:hint="eastAsia" w:ascii="仿宋_GB2312" w:hAnsi="仿宋" w:eastAsia="仿宋_GB2312" w:cs="仿宋_GB2312"/>
                <w:color w:val="auto"/>
                <w:kern w:val="0"/>
                <w:sz w:val="24"/>
                <w:highlight w:val="none"/>
              </w:rPr>
              <w:t xml:space="preserve"> 不需要</w:t>
            </w:r>
            <w:r>
              <w:rPr>
                <w:rFonts w:hint="eastAsia" w:ascii="仿宋_GB2312" w:hAnsi="仿宋" w:eastAsia="仿宋_GB2312" w:cs="仿宋_GB2312"/>
                <w:bCs/>
                <w:color w:val="auto"/>
                <w:kern w:val="0"/>
                <w:sz w:val="24"/>
                <w:highlight w:val="none"/>
              </w:rPr>
              <w:t>提供样品</w:t>
            </w:r>
          </w:p>
          <w:p w14:paraId="0E1AE04B">
            <w:pPr>
              <w:spacing w:line="360" w:lineRule="auto"/>
              <w:rPr>
                <w:rFonts w:ascii="仿宋_GB2312" w:hAnsi="仿宋" w:eastAsia="仿宋_GB2312" w:cs="仿宋_GB2312"/>
                <w:bCs/>
                <w:color w:val="auto"/>
                <w:kern w:val="0"/>
                <w:sz w:val="24"/>
                <w:highlight w:val="none"/>
              </w:rPr>
            </w:pPr>
            <w:r>
              <w:rPr>
                <w:rFonts w:hint="eastAsia" w:ascii="仿宋_GB2312" w:hAnsi="仿宋" w:eastAsia="仿宋_GB2312" w:cs="仿宋_GB2312"/>
                <w:color w:val="auto"/>
                <w:kern w:val="0"/>
                <w:sz w:val="24"/>
                <w:highlight w:val="none"/>
              </w:rPr>
              <w:sym w:font="Wingdings 2" w:char="00A3"/>
            </w:r>
            <w:r>
              <w:rPr>
                <w:rFonts w:ascii="仿宋_GB2312" w:hAnsi="仿宋" w:eastAsia="仿宋_GB2312" w:cs="仿宋_GB2312"/>
                <w:color w:val="auto"/>
                <w:kern w:val="0"/>
                <w:sz w:val="24"/>
                <w:highlight w:val="none"/>
              </w:rPr>
              <w:t xml:space="preserve"> </w:t>
            </w:r>
            <w:r>
              <w:rPr>
                <w:rFonts w:hint="eastAsia" w:ascii="仿宋_GB2312" w:hAnsi="仿宋" w:eastAsia="仿宋_GB2312" w:cs="仿宋_GB2312"/>
                <w:color w:val="auto"/>
                <w:kern w:val="0"/>
                <w:sz w:val="24"/>
                <w:highlight w:val="none"/>
              </w:rPr>
              <w:t>需要</w:t>
            </w:r>
            <w:r>
              <w:rPr>
                <w:rFonts w:hint="eastAsia" w:ascii="仿宋_GB2312" w:hAnsi="仿宋" w:eastAsia="仿宋_GB2312" w:cs="仿宋_GB2312"/>
                <w:bCs/>
                <w:color w:val="auto"/>
                <w:kern w:val="0"/>
                <w:sz w:val="24"/>
                <w:highlight w:val="none"/>
              </w:rPr>
              <w:t>提供样品</w:t>
            </w:r>
          </w:p>
          <w:p w14:paraId="0A53F9A7">
            <w:pPr>
              <w:adjustRightInd w:val="0"/>
              <w:spacing w:line="360" w:lineRule="auto"/>
              <w:ind w:firstLine="480" w:firstLineChars="200"/>
              <w:rPr>
                <w:rFonts w:ascii="仿宋_GB2312" w:hAnsi="仿宋" w:eastAsia="仿宋_GB2312" w:cs="仿宋_GB2312"/>
                <w:color w:val="auto"/>
                <w:kern w:val="0"/>
                <w:sz w:val="24"/>
                <w:highlight w:val="none"/>
                <w:u w:val="single"/>
              </w:rPr>
            </w:pPr>
            <w:r>
              <w:rPr>
                <w:rFonts w:hint="eastAsia" w:ascii="仿宋_GB2312" w:hAnsi="仿宋" w:eastAsia="仿宋_GB2312" w:cs="仿宋_GB2312"/>
                <w:color w:val="auto"/>
                <w:kern w:val="0"/>
                <w:sz w:val="24"/>
                <w:highlight w:val="none"/>
              </w:rPr>
              <w:t>1.递交样品的截止时间：</w:t>
            </w:r>
            <w:r>
              <w:rPr>
                <w:rFonts w:hint="eastAsia" w:ascii="仿宋_GB2312" w:hAnsi="仿宋" w:eastAsia="仿宋_GB2312" w:cs="仿宋_GB2312"/>
                <w:color w:val="auto"/>
                <w:kern w:val="0"/>
                <w:sz w:val="24"/>
                <w:highlight w:val="none"/>
                <w:u w:val="single"/>
              </w:rPr>
              <w:t xml:space="preserve">            </w:t>
            </w:r>
          </w:p>
          <w:p w14:paraId="5FF891CF">
            <w:pPr>
              <w:spacing w:line="360" w:lineRule="auto"/>
              <w:ind w:firstLine="480" w:firstLineChars="200"/>
              <w:rPr>
                <w:rFonts w:ascii="仿宋_GB2312" w:hAnsi="仿宋" w:eastAsia="仿宋_GB2312" w:cs="仿宋_GB2312"/>
                <w:color w:val="auto"/>
                <w:kern w:val="0"/>
                <w:sz w:val="24"/>
                <w:highlight w:val="none"/>
                <w:u w:val="single"/>
              </w:rPr>
            </w:pPr>
            <w:r>
              <w:rPr>
                <w:rFonts w:hint="eastAsia" w:ascii="仿宋_GB2312" w:hAnsi="仿宋" w:eastAsia="仿宋_GB2312" w:cs="仿宋_GB2312"/>
                <w:color w:val="auto"/>
                <w:kern w:val="0"/>
                <w:sz w:val="24"/>
                <w:highlight w:val="none"/>
              </w:rPr>
              <w:t>2.递交样品地点：</w:t>
            </w:r>
            <w:r>
              <w:rPr>
                <w:rFonts w:hint="eastAsia" w:ascii="仿宋_GB2312" w:hAnsi="仿宋" w:eastAsia="仿宋_GB2312" w:cs="仿宋_GB2312"/>
                <w:color w:val="auto"/>
                <w:kern w:val="0"/>
                <w:sz w:val="24"/>
                <w:highlight w:val="none"/>
                <w:u w:val="single"/>
              </w:rPr>
              <w:t xml:space="preserve">                  </w:t>
            </w:r>
          </w:p>
          <w:p w14:paraId="6518FF36">
            <w:pPr>
              <w:spacing w:line="360" w:lineRule="auto"/>
              <w:ind w:firstLine="600" w:firstLineChars="250"/>
              <w:rPr>
                <w:rFonts w:ascii="仿宋_GB2312" w:hAnsi="仿宋" w:eastAsia="仿宋_GB2312" w:cs="仿宋_GB2312"/>
                <w:color w:val="auto"/>
                <w:kern w:val="0"/>
                <w:sz w:val="24"/>
                <w:highlight w:val="none"/>
                <w:u w:val="single"/>
              </w:rPr>
            </w:pPr>
            <w:r>
              <w:rPr>
                <w:rFonts w:hint="eastAsia" w:ascii="仿宋_GB2312" w:hAnsi="仿宋" w:eastAsia="仿宋_GB2312" w:cs="仿宋_GB2312"/>
                <w:color w:val="auto"/>
                <w:kern w:val="0"/>
                <w:sz w:val="24"/>
                <w:highlight w:val="none"/>
              </w:rPr>
              <w:t>递交样品联系人：</w:t>
            </w:r>
            <w:r>
              <w:rPr>
                <w:rFonts w:hint="eastAsia" w:ascii="仿宋_GB2312" w:hAnsi="仿宋" w:eastAsia="仿宋_GB2312"/>
                <w:color w:val="auto"/>
                <w:kern w:val="0"/>
                <w:sz w:val="24"/>
                <w:highlight w:val="none"/>
                <w:u w:val="single"/>
              </w:rPr>
              <w:t xml:space="preserve">                 </w:t>
            </w:r>
          </w:p>
          <w:p w14:paraId="67A8030A">
            <w:pPr>
              <w:spacing w:line="360" w:lineRule="auto"/>
              <w:ind w:firstLine="600" w:firstLineChars="250"/>
              <w:rPr>
                <w:rFonts w:ascii="仿宋_GB2312" w:hAnsi="仿宋" w:eastAsia="仿宋_GB2312" w:cs="仿宋_GB2312"/>
                <w:color w:val="auto"/>
                <w:kern w:val="0"/>
                <w:sz w:val="24"/>
                <w:highlight w:val="none"/>
                <w:u w:val="single"/>
              </w:rPr>
            </w:pPr>
            <w:r>
              <w:rPr>
                <w:rFonts w:hint="eastAsia" w:ascii="仿宋_GB2312" w:hAnsi="仿宋" w:eastAsia="仿宋_GB2312" w:cs="仿宋_GB2312"/>
                <w:color w:val="auto"/>
                <w:kern w:val="0"/>
                <w:sz w:val="24"/>
                <w:highlight w:val="none"/>
              </w:rPr>
              <w:t>递交样品联系电话：</w:t>
            </w:r>
            <w:r>
              <w:rPr>
                <w:rFonts w:hint="eastAsia" w:ascii="仿宋_GB2312" w:hAnsi="仿宋" w:eastAsia="仿宋_GB2312" w:cs="仿宋_GB2312"/>
                <w:color w:val="auto"/>
                <w:kern w:val="0"/>
                <w:sz w:val="24"/>
                <w:highlight w:val="none"/>
                <w:u w:val="single"/>
              </w:rPr>
              <w:t xml:space="preserve">               </w:t>
            </w:r>
          </w:p>
          <w:p w14:paraId="43EE4495">
            <w:pPr>
              <w:spacing w:line="360" w:lineRule="auto"/>
              <w:ind w:firstLine="480" w:firstLineChars="200"/>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3.样品制作的标准和要求：</w:t>
            </w:r>
            <w:r>
              <w:rPr>
                <w:rFonts w:hint="eastAsia" w:ascii="仿宋_GB2312" w:hAnsi="仿宋" w:eastAsia="仿宋_GB2312" w:cs="仿宋_GB2312"/>
                <w:color w:val="auto"/>
                <w:kern w:val="0"/>
                <w:sz w:val="24"/>
                <w:highlight w:val="none"/>
                <w:u w:val="single"/>
              </w:rPr>
              <w:t xml:space="preserve">          </w:t>
            </w:r>
          </w:p>
          <w:p w14:paraId="61856EF6">
            <w:pPr>
              <w:spacing w:line="360" w:lineRule="auto"/>
              <w:ind w:firstLine="480" w:firstLineChars="200"/>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4.样品的封存及退回：</w:t>
            </w:r>
            <w:r>
              <w:rPr>
                <w:rFonts w:hint="eastAsia" w:ascii="仿宋_GB2312" w:hAnsi="仿宋" w:eastAsia="仿宋_GB2312" w:cs="仿宋_GB2312"/>
                <w:color w:val="auto"/>
                <w:kern w:val="0"/>
                <w:sz w:val="24"/>
                <w:highlight w:val="none"/>
                <w:u w:val="single"/>
              </w:rPr>
              <w:t xml:space="preserve">              </w:t>
            </w:r>
          </w:p>
          <w:p w14:paraId="5B65BEB1">
            <w:pPr>
              <w:spacing w:line="360" w:lineRule="auto"/>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sym w:font="Wingdings 2" w:char="0052"/>
            </w:r>
            <w:r>
              <w:rPr>
                <w:rFonts w:ascii="仿宋_GB2312" w:hAnsi="仿宋" w:eastAsia="仿宋_GB2312" w:cs="仿宋_GB2312"/>
                <w:color w:val="auto"/>
                <w:kern w:val="0"/>
                <w:sz w:val="24"/>
                <w:highlight w:val="none"/>
              </w:rPr>
              <w:t xml:space="preserve"> </w:t>
            </w:r>
            <w:r>
              <w:rPr>
                <w:rFonts w:hint="eastAsia" w:ascii="仿宋_GB2312" w:hAnsi="仿宋" w:eastAsia="仿宋_GB2312" w:cs="仿宋_GB2312"/>
                <w:color w:val="auto"/>
                <w:kern w:val="0"/>
                <w:sz w:val="24"/>
                <w:highlight w:val="none"/>
              </w:rPr>
              <w:t>不</w:t>
            </w:r>
            <w:r>
              <w:rPr>
                <w:rFonts w:hint="eastAsia" w:ascii="仿宋_GB2312" w:hAnsi="仿宋" w:eastAsia="仿宋_GB2312" w:cs="仿宋_GB2312"/>
                <w:bCs/>
                <w:color w:val="auto"/>
                <w:kern w:val="0"/>
                <w:sz w:val="24"/>
                <w:highlight w:val="none"/>
              </w:rPr>
              <w:t>需要提供演示</w:t>
            </w:r>
          </w:p>
          <w:p w14:paraId="0AADC30A">
            <w:pPr>
              <w:spacing w:line="360" w:lineRule="auto"/>
              <w:rPr>
                <w:rFonts w:ascii="仿宋_GB2312" w:hAnsi="仿宋" w:eastAsia="仿宋_GB2312" w:cs="仿宋_GB2312"/>
                <w:bCs/>
                <w:color w:val="auto"/>
                <w:kern w:val="0"/>
                <w:sz w:val="24"/>
                <w:highlight w:val="none"/>
              </w:rPr>
            </w:pPr>
            <w:r>
              <w:rPr>
                <w:rFonts w:hint="eastAsia" w:ascii="仿宋_GB2312" w:hAnsi="仿宋" w:eastAsia="仿宋_GB2312" w:cs="仿宋_GB2312"/>
                <w:color w:val="auto"/>
                <w:kern w:val="0"/>
                <w:sz w:val="24"/>
                <w:highlight w:val="none"/>
              </w:rPr>
              <w:sym w:font="Wingdings 2" w:char="00A3"/>
            </w:r>
            <w:r>
              <w:rPr>
                <w:rFonts w:ascii="仿宋_GB2312" w:hAnsi="仿宋" w:eastAsia="仿宋_GB2312" w:cs="仿宋_GB2312"/>
                <w:color w:val="auto"/>
                <w:kern w:val="0"/>
                <w:sz w:val="24"/>
                <w:highlight w:val="none"/>
              </w:rPr>
              <w:t xml:space="preserve"> </w:t>
            </w:r>
            <w:r>
              <w:rPr>
                <w:rFonts w:hint="eastAsia" w:ascii="仿宋_GB2312" w:hAnsi="仿宋" w:eastAsia="仿宋_GB2312" w:cs="仿宋_GB2312"/>
                <w:color w:val="auto"/>
                <w:kern w:val="0"/>
                <w:sz w:val="24"/>
                <w:highlight w:val="none"/>
              </w:rPr>
              <w:t>需要</w:t>
            </w:r>
            <w:r>
              <w:rPr>
                <w:rFonts w:hint="eastAsia" w:ascii="仿宋_GB2312" w:hAnsi="仿宋" w:eastAsia="仿宋_GB2312" w:cs="仿宋_GB2312"/>
                <w:bCs/>
                <w:color w:val="auto"/>
                <w:kern w:val="0"/>
                <w:sz w:val="24"/>
                <w:highlight w:val="none"/>
              </w:rPr>
              <w:t>提供演示</w:t>
            </w:r>
          </w:p>
          <w:p w14:paraId="76E87C87">
            <w:pPr>
              <w:spacing w:line="360" w:lineRule="auto"/>
              <w:rPr>
                <w:rFonts w:ascii="仿宋_GB2312" w:hAnsi="仿宋" w:eastAsia="仿宋_GB2312"/>
                <w:color w:val="auto"/>
                <w:kern w:val="0"/>
                <w:sz w:val="24"/>
                <w:highlight w:val="none"/>
              </w:rPr>
            </w:pPr>
            <w:r>
              <w:rPr>
                <w:rFonts w:hint="eastAsia" w:ascii="仿宋_GB2312" w:hAnsi="仿宋" w:eastAsia="仿宋_GB2312" w:cs="仿宋_GB2312"/>
                <w:bCs/>
                <w:color w:val="auto"/>
                <w:kern w:val="0"/>
                <w:sz w:val="24"/>
                <w:highlight w:val="none"/>
              </w:rPr>
              <w:t xml:space="preserve"> </w:t>
            </w:r>
            <w:r>
              <w:rPr>
                <w:rFonts w:ascii="仿宋_GB2312" w:hAnsi="仿宋" w:eastAsia="仿宋_GB2312" w:cs="仿宋_GB2312"/>
                <w:bCs/>
                <w:color w:val="auto"/>
                <w:kern w:val="0"/>
                <w:sz w:val="24"/>
                <w:highlight w:val="none"/>
              </w:rPr>
              <w:t xml:space="preserve"> </w:t>
            </w:r>
            <w:r>
              <w:rPr>
                <w:rFonts w:hint="eastAsia" w:ascii="仿宋_GB2312" w:hAnsi="仿宋" w:eastAsia="仿宋_GB2312"/>
                <w:color w:val="auto"/>
                <w:kern w:val="0"/>
                <w:sz w:val="24"/>
                <w:highlight w:val="none"/>
              </w:rPr>
              <w:t>1.演示时间：</w:t>
            </w:r>
            <w:r>
              <w:rPr>
                <w:rFonts w:hint="eastAsia" w:ascii="仿宋_GB2312" w:hAnsi="仿宋" w:eastAsia="仿宋_GB2312"/>
                <w:bCs/>
                <w:color w:val="auto"/>
                <w:kern w:val="0"/>
                <w:sz w:val="24"/>
                <w:highlight w:val="none"/>
                <w:u w:val="single"/>
              </w:rPr>
              <w:t xml:space="preserve">                           </w:t>
            </w:r>
          </w:p>
          <w:p w14:paraId="00B63CE4">
            <w:pPr>
              <w:spacing w:line="360" w:lineRule="auto"/>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t xml:space="preserve">    演示地点：</w:t>
            </w:r>
            <w:r>
              <w:rPr>
                <w:rFonts w:hint="eastAsia" w:ascii="仿宋_GB2312" w:hAnsi="仿宋" w:eastAsia="仿宋_GB2312"/>
                <w:bCs/>
                <w:color w:val="auto"/>
                <w:kern w:val="0"/>
                <w:sz w:val="24"/>
                <w:highlight w:val="none"/>
                <w:u w:val="single"/>
              </w:rPr>
              <w:t xml:space="preserve">                          </w:t>
            </w:r>
          </w:p>
          <w:p w14:paraId="67625B92">
            <w:pPr>
              <w:spacing w:line="360" w:lineRule="auto"/>
              <w:ind w:firstLine="240" w:firstLineChars="100"/>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t xml:space="preserve">  演示顺序：</w:t>
            </w:r>
            <w:r>
              <w:rPr>
                <w:rFonts w:hint="eastAsia" w:ascii="仿宋_GB2312" w:hAnsi="仿宋" w:eastAsia="仿宋_GB2312"/>
                <w:bCs/>
                <w:color w:val="auto"/>
                <w:kern w:val="0"/>
                <w:sz w:val="24"/>
                <w:highlight w:val="none"/>
                <w:u w:val="single"/>
              </w:rPr>
              <w:t xml:space="preserve">                          </w:t>
            </w:r>
          </w:p>
          <w:p w14:paraId="26721C1D">
            <w:pPr>
              <w:spacing w:line="360" w:lineRule="auto"/>
              <w:ind w:firstLine="240" w:firstLineChars="100"/>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t>2.演示要求：</w:t>
            </w:r>
            <w:r>
              <w:rPr>
                <w:rFonts w:hint="eastAsia" w:ascii="仿宋_GB2312" w:hAnsi="仿宋" w:eastAsia="仿宋_GB2312"/>
                <w:color w:val="auto"/>
                <w:kern w:val="0"/>
                <w:sz w:val="24"/>
                <w:highlight w:val="none"/>
                <w:u w:val="single"/>
              </w:rPr>
              <w:t xml:space="preserve">             </w:t>
            </w:r>
            <w:r>
              <w:rPr>
                <w:rFonts w:hint="eastAsia" w:ascii="仿宋_GB2312" w:hAnsi="仿宋" w:eastAsia="仿宋_GB2312"/>
                <w:color w:val="auto"/>
                <w:kern w:val="0"/>
                <w:sz w:val="24"/>
                <w:highlight w:val="none"/>
              </w:rPr>
              <w:t>（内容、设备等要求）</w:t>
            </w:r>
          </w:p>
        </w:tc>
      </w:tr>
      <w:tr w14:paraId="400E6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959" w:type="dxa"/>
            <w:vAlign w:val="center"/>
          </w:tcPr>
          <w:p w14:paraId="2C5D10ED">
            <w:pPr>
              <w:widowControl/>
              <w:snapToGrid w:val="0"/>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12.1</w:t>
            </w:r>
          </w:p>
        </w:tc>
        <w:tc>
          <w:tcPr>
            <w:tcW w:w="1762" w:type="dxa"/>
            <w:vAlign w:val="center"/>
          </w:tcPr>
          <w:p w14:paraId="14598E01">
            <w:pPr>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投标报价货币要求</w:t>
            </w:r>
          </w:p>
        </w:tc>
        <w:tc>
          <w:tcPr>
            <w:tcW w:w="6068" w:type="dxa"/>
            <w:vAlign w:val="center"/>
          </w:tcPr>
          <w:p w14:paraId="43914C41">
            <w:pPr>
              <w:widowControl/>
              <w:spacing w:line="360" w:lineRule="auto"/>
              <w:jc w:val="left"/>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sym w:font="Wingdings 2" w:char="0052"/>
            </w:r>
            <w:r>
              <w:rPr>
                <w:rFonts w:hint="eastAsia" w:ascii="仿宋_GB2312" w:hAnsi="仿宋" w:eastAsia="仿宋_GB2312"/>
                <w:color w:val="auto"/>
                <w:kern w:val="0"/>
                <w:sz w:val="24"/>
                <w:highlight w:val="none"/>
              </w:rPr>
              <w:t xml:space="preserve"> 所有投标均按</w:t>
            </w:r>
            <w:r>
              <w:rPr>
                <w:rFonts w:hint="eastAsia" w:ascii="仿宋_GB2312" w:hAnsi="仿宋" w:eastAsia="仿宋_GB2312"/>
                <w:color w:val="auto"/>
                <w:kern w:val="0"/>
                <w:sz w:val="24"/>
                <w:highlight w:val="none"/>
                <w:u w:val="single"/>
              </w:rPr>
              <w:t xml:space="preserve"> 人民币 </w:t>
            </w:r>
            <w:r>
              <w:rPr>
                <w:rFonts w:hint="eastAsia" w:ascii="仿宋_GB2312" w:hAnsi="仿宋" w:eastAsia="仿宋_GB2312"/>
                <w:color w:val="auto"/>
                <w:kern w:val="0"/>
                <w:sz w:val="24"/>
                <w:highlight w:val="none"/>
              </w:rPr>
              <w:t>货币进行报价。</w:t>
            </w:r>
          </w:p>
          <w:p w14:paraId="6DC6EB07">
            <w:pPr>
              <w:spacing w:line="360" w:lineRule="auto"/>
              <w:jc w:val="left"/>
              <w:rPr>
                <w:rFonts w:ascii="仿宋_GB2312" w:hAnsi="仿宋" w:eastAsia="仿宋_GB2312"/>
                <w:color w:val="auto"/>
                <w:kern w:val="0"/>
                <w:sz w:val="24"/>
                <w:highlight w:val="none"/>
              </w:rPr>
            </w:pPr>
            <w:r>
              <w:rPr>
                <w:rFonts w:hint="eastAsia" w:ascii="仿宋_GB2312" w:hAnsi="仿宋" w:eastAsia="仿宋_GB2312" w:cs="仿宋_GB2312"/>
                <w:color w:val="auto"/>
                <w:kern w:val="0"/>
                <w:sz w:val="24"/>
                <w:highlight w:val="none"/>
              </w:rPr>
              <w:sym w:font="Wingdings 2" w:char="00A3"/>
            </w:r>
            <w:r>
              <w:rPr>
                <w:rFonts w:ascii="仿宋_GB2312" w:hAnsi="仿宋" w:eastAsia="仿宋_GB2312" w:cs="仿宋_GB2312"/>
                <w:color w:val="auto"/>
                <w:kern w:val="0"/>
                <w:sz w:val="24"/>
                <w:highlight w:val="none"/>
              </w:rPr>
              <w:t xml:space="preserve"> </w:t>
            </w:r>
            <w:r>
              <w:rPr>
                <w:rFonts w:hint="eastAsia" w:ascii="仿宋_GB2312" w:hAnsi="仿宋" w:eastAsia="仿宋_GB2312" w:cs="仿宋_GB2312"/>
                <w:color w:val="auto"/>
                <w:kern w:val="0"/>
                <w:sz w:val="24"/>
                <w:highlight w:val="none"/>
              </w:rPr>
              <w:t>其它：</w:t>
            </w:r>
            <w:r>
              <w:rPr>
                <w:rFonts w:hint="eastAsia" w:ascii="仿宋_GB2312" w:hAnsi="仿宋" w:eastAsia="仿宋_GB2312" w:cs="仿宋_GB2312"/>
                <w:color w:val="auto"/>
                <w:kern w:val="0"/>
                <w:sz w:val="24"/>
                <w:highlight w:val="none"/>
                <w:u w:val="single"/>
              </w:rPr>
              <w:t xml:space="preserve">               </w:t>
            </w:r>
            <w:r>
              <w:rPr>
                <w:rFonts w:hint="eastAsia" w:ascii="仿宋_GB2312" w:hAnsi="仿宋" w:eastAsia="仿宋_GB2312" w:cs="仿宋_GB2312"/>
                <w:color w:val="auto"/>
                <w:kern w:val="0"/>
                <w:sz w:val="24"/>
                <w:highlight w:val="none"/>
              </w:rPr>
              <w:t xml:space="preserve"> </w:t>
            </w:r>
            <w:r>
              <w:rPr>
                <w:rFonts w:hint="eastAsia" w:ascii="仿宋_GB2312" w:hAnsi="仿宋" w:eastAsia="仿宋_GB2312"/>
                <w:color w:val="auto"/>
                <w:kern w:val="0"/>
                <w:sz w:val="24"/>
                <w:highlight w:val="none"/>
              </w:rPr>
              <w:t xml:space="preserve">              </w:t>
            </w:r>
          </w:p>
        </w:tc>
      </w:tr>
      <w:tr w14:paraId="48484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9" w:type="dxa"/>
            <w:vAlign w:val="center"/>
          </w:tcPr>
          <w:p w14:paraId="0A513380">
            <w:pPr>
              <w:widowControl/>
              <w:snapToGrid w:val="0"/>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13.1</w:t>
            </w:r>
          </w:p>
        </w:tc>
        <w:tc>
          <w:tcPr>
            <w:tcW w:w="1762" w:type="dxa"/>
            <w:vAlign w:val="center"/>
          </w:tcPr>
          <w:p w14:paraId="3895B516">
            <w:pPr>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投标保证金</w:t>
            </w:r>
          </w:p>
        </w:tc>
        <w:tc>
          <w:tcPr>
            <w:tcW w:w="6068" w:type="dxa"/>
            <w:vAlign w:val="center"/>
          </w:tcPr>
          <w:p w14:paraId="6E78AEFC">
            <w:pPr>
              <w:pStyle w:val="9"/>
              <w:spacing w:line="360" w:lineRule="auto"/>
              <w:rPr>
                <w:rFonts w:ascii="仿宋_GB2312" w:hAnsi="仿宋" w:eastAsia="仿宋_GB2312" w:cs="仿宋_GB2312"/>
                <w:color w:val="auto"/>
                <w:kern w:val="0"/>
                <w:sz w:val="24"/>
                <w:highlight w:val="none"/>
                <w:u w:val="single"/>
              </w:rPr>
            </w:pPr>
            <w:r>
              <w:rPr>
                <w:rFonts w:ascii="仿宋_GB2312" w:hAnsi="仿宋" w:eastAsia="仿宋_GB2312" w:cs="仿宋_GB2312"/>
                <w:color w:val="auto"/>
                <w:kern w:val="0"/>
                <w:sz w:val="24"/>
                <w:highlight w:val="none"/>
              </w:rPr>
              <w:t>1.</w:t>
            </w:r>
            <w:r>
              <w:rPr>
                <w:rFonts w:hint="eastAsia" w:ascii="仿宋_GB2312" w:hAnsi="仿宋" w:eastAsia="仿宋_GB2312" w:cs="仿宋_GB2312"/>
                <w:color w:val="auto"/>
                <w:kern w:val="0"/>
                <w:sz w:val="24"/>
                <w:highlight w:val="none"/>
              </w:rPr>
              <w:t>投标保证金金额：</w:t>
            </w:r>
            <w:r>
              <w:rPr>
                <w:rFonts w:hint="eastAsia" w:ascii="仿宋_GB2312" w:hAnsi="仿宋" w:eastAsia="仿宋_GB2312" w:cs="仿宋_GB2312"/>
                <w:color w:val="auto"/>
                <w:sz w:val="24"/>
                <w:highlight w:val="none"/>
                <w:u w:val="single"/>
              </w:rPr>
              <w:t>人民币玖仟元整（</w:t>
            </w:r>
            <w:r>
              <w:rPr>
                <w:rFonts w:ascii="仿宋_GB2312" w:hAnsi="仿宋" w:eastAsia="仿宋_GB2312" w:cs="仿宋_GB2312"/>
                <w:color w:val="auto"/>
                <w:sz w:val="24"/>
                <w:highlight w:val="none"/>
                <w:u w:val="single"/>
              </w:rPr>
              <w:t>¥</w:t>
            </w:r>
            <w:r>
              <w:rPr>
                <w:rFonts w:hint="eastAsia" w:ascii="仿宋_GB2312" w:hAnsi="仿宋" w:eastAsia="仿宋_GB2312" w:cs="仿宋_GB2312"/>
                <w:color w:val="auto"/>
                <w:sz w:val="24"/>
                <w:highlight w:val="none"/>
                <w:u w:val="single"/>
              </w:rPr>
              <w:t>9,000</w:t>
            </w:r>
            <w:r>
              <w:rPr>
                <w:rFonts w:ascii="仿宋_GB2312" w:hAnsi="仿宋" w:eastAsia="仿宋_GB2312" w:cs="仿宋_GB2312"/>
                <w:color w:val="auto"/>
                <w:sz w:val="24"/>
                <w:highlight w:val="none"/>
                <w:u w:val="single"/>
              </w:rPr>
              <w:t>.00</w:t>
            </w:r>
            <w:r>
              <w:rPr>
                <w:rFonts w:hint="eastAsia" w:ascii="仿宋_GB2312" w:hAnsi="仿宋" w:eastAsia="仿宋_GB2312" w:cs="仿宋_GB2312"/>
                <w:color w:val="auto"/>
                <w:sz w:val="24"/>
                <w:highlight w:val="none"/>
                <w:u w:val="single"/>
              </w:rPr>
              <w:t>）</w:t>
            </w:r>
            <w:r>
              <w:rPr>
                <w:rFonts w:hint="eastAsia" w:ascii="仿宋_GB2312" w:hAnsi="仿宋" w:eastAsia="仿宋_GB2312" w:cs="仿宋_GB2312"/>
                <w:color w:val="auto"/>
                <w:spacing w:val="-17"/>
                <w:kern w:val="0"/>
                <w:sz w:val="24"/>
                <w:highlight w:val="none"/>
                <w:u w:val="single"/>
              </w:rPr>
              <w:t>。</w:t>
            </w:r>
          </w:p>
          <w:p w14:paraId="67AE3C8C">
            <w:pPr>
              <w:spacing w:line="360" w:lineRule="auto"/>
              <w:ind w:left="2880" w:hanging="2880" w:hangingChars="1200"/>
              <w:rPr>
                <w:rFonts w:ascii="仿宋_GB2312" w:hAnsi="仿宋" w:eastAsia="仿宋_GB2312" w:cs="仿宋_GB2312"/>
                <w:color w:val="auto"/>
                <w:sz w:val="24"/>
                <w:highlight w:val="none"/>
              </w:rPr>
            </w:pPr>
            <w:r>
              <w:rPr>
                <w:rFonts w:ascii="仿宋_GB2312" w:hAnsi="仿宋" w:eastAsia="仿宋_GB2312" w:cs="仿宋_GB2312"/>
                <w:color w:val="auto"/>
                <w:sz w:val="24"/>
                <w:highlight w:val="none"/>
              </w:rPr>
              <w:t>2</w:t>
            </w:r>
            <w:r>
              <w:rPr>
                <w:rFonts w:hint="eastAsia" w:ascii="仿宋_GB2312" w:hAnsi="仿宋" w:eastAsia="仿宋_GB2312" w:cs="仿宋_GB2312"/>
                <w:color w:val="auto"/>
                <w:sz w:val="24"/>
                <w:highlight w:val="none"/>
              </w:rPr>
              <w:t>.投标保证金缴纳方式：</w:t>
            </w:r>
            <w:r>
              <w:rPr>
                <w:rFonts w:hint="eastAsia" w:ascii="仿宋_GB2312" w:hAnsi="仿宋" w:eastAsia="仿宋_GB2312" w:cs="仿宋_GB2312"/>
                <w:color w:val="auto"/>
                <w:kern w:val="0"/>
                <w:sz w:val="24"/>
                <w:highlight w:val="none"/>
              </w:rPr>
              <w:sym w:font="Wingdings 2" w:char="0052"/>
            </w:r>
            <w:r>
              <w:rPr>
                <w:rFonts w:hint="eastAsia" w:ascii="仿宋_GB2312" w:hAnsi="仿宋" w:eastAsia="仿宋_GB2312" w:cs="仿宋_GB2312"/>
                <w:color w:val="auto"/>
                <w:sz w:val="24"/>
                <w:highlight w:val="none"/>
              </w:rPr>
              <w:t xml:space="preserve">保函 </w:t>
            </w:r>
            <w:r>
              <w:rPr>
                <w:rFonts w:ascii="仿宋_GB2312" w:hAnsi="仿宋" w:eastAsia="仿宋_GB2312" w:cs="仿宋_GB2312"/>
                <w:color w:val="auto"/>
                <w:sz w:val="24"/>
                <w:highlight w:val="none"/>
              </w:rPr>
              <w:t xml:space="preserve"> </w:t>
            </w:r>
            <w:r>
              <w:rPr>
                <w:rFonts w:hint="eastAsia" w:ascii="仿宋_GB2312" w:hAnsi="仿宋" w:eastAsia="仿宋_GB2312" w:cs="仿宋_GB2312"/>
                <w:color w:val="auto"/>
                <w:kern w:val="0"/>
                <w:sz w:val="24"/>
                <w:highlight w:val="none"/>
              </w:rPr>
              <w:sym w:font="Wingdings 2" w:char="0052"/>
            </w:r>
            <w:r>
              <w:rPr>
                <w:rFonts w:hint="eastAsia" w:ascii="仿宋_GB2312" w:hAnsi="仿宋" w:eastAsia="仿宋_GB2312" w:cs="仿宋_GB2312"/>
                <w:color w:val="auto"/>
                <w:sz w:val="24"/>
                <w:highlight w:val="none"/>
              </w:rPr>
              <w:t xml:space="preserve">支票  </w:t>
            </w:r>
            <w:r>
              <w:rPr>
                <w:rFonts w:ascii="仿宋_GB2312" w:hAnsi="仿宋" w:eastAsia="仿宋_GB2312" w:cs="仿宋_GB2312"/>
                <w:color w:val="auto"/>
                <w:sz w:val="24"/>
                <w:highlight w:val="none"/>
              </w:rPr>
              <w:t xml:space="preserve"> </w:t>
            </w:r>
            <w:r>
              <w:rPr>
                <w:rFonts w:hint="eastAsia" w:ascii="仿宋_GB2312" w:hAnsi="仿宋" w:eastAsia="仿宋_GB2312" w:cs="仿宋_GB2312"/>
                <w:color w:val="auto"/>
                <w:kern w:val="0"/>
                <w:sz w:val="24"/>
                <w:highlight w:val="none"/>
              </w:rPr>
              <w:sym w:font="Wingdings 2" w:char="0052"/>
            </w:r>
            <w:r>
              <w:rPr>
                <w:rFonts w:hint="eastAsia" w:ascii="仿宋_GB2312" w:hAnsi="仿宋" w:eastAsia="仿宋_GB2312" w:cs="仿宋_GB2312"/>
                <w:color w:val="auto"/>
                <w:sz w:val="24"/>
                <w:highlight w:val="none"/>
              </w:rPr>
              <w:t xml:space="preserve">电汇  </w:t>
            </w:r>
            <w:r>
              <w:rPr>
                <w:rFonts w:ascii="仿宋_GB2312" w:hAnsi="仿宋" w:eastAsia="仿宋_GB2312" w:cs="仿宋_GB2312"/>
                <w:color w:val="auto"/>
                <w:sz w:val="24"/>
                <w:highlight w:val="none"/>
              </w:rPr>
              <w:t xml:space="preserve"> </w:t>
            </w:r>
            <w:r>
              <w:rPr>
                <w:rFonts w:hint="eastAsia" w:ascii="仿宋_GB2312" w:hAnsi="仿宋" w:eastAsia="仿宋_GB2312" w:cs="仿宋_GB2312"/>
                <w:color w:val="auto"/>
                <w:sz w:val="24"/>
                <w:highlight w:val="none"/>
              </w:rPr>
              <w:t xml:space="preserve"> □其他   </w:t>
            </w:r>
          </w:p>
          <w:p w14:paraId="5BFCBD9E">
            <w:pPr>
              <w:spacing w:line="36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保证金收款人银行信息：</w:t>
            </w:r>
          </w:p>
          <w:p w14:paraId="79A7BBBF">
            <w:pPr>
              <w:spacing w:line="36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 xml:space="preserve">    开 户 名：</w:t>
            </w:r>
            <w:r>
              <w:rPr>
                <w:rFonts w:hint="eastAsia" w:ascii="仿宋_GB2312" w:hAnsi="仿宋" w:eastAsia="仿宋_GB2312" w:cs="仿宋_GB2312"/>
                <w:color w:val="auto"/>
                <w:sz w:val="24"/>
                <w:highlight w:val="none"/>
                <w:u w:val="single"/>
              </w:rPr>
              <w:t>辽宁省沈抚公共资源交易服务有限公司</w:t>
            </w:r>
          </w:p>
          <w:p w14:paraId="378C927F">
            <w:pPr>
              <w:spacing w:line="36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 xml:space="preserve">    开 户 行：</w:t>
            </w:r>
            <w:r>
              <w:rPr>
                <w:rFonts w:hint="eastAsia" w:ascii="仿宋_GB2312" w:hAnsi="仿宋" w:eastAsia="仿宋_GB2312" w:cs="仿宋_GB2312"/>
                <w:color w:val="auto"/>
                <w:sz w:val="24"/>
                <w:highlight w:val="none"/>
                <w:u w:val="single"/>
              </w:rPr>
              <w:t>兴业银行沈阳皇姑支行</w:t>
            </w:r>
          </w:p>
          <w:p w14:paraId="4E24847D">
            <w:pPr>
              <w:spacing w:line="360" w:lineRule="auto"/>
              <w:ind w:firstLine="480" w:firstLineChars="200"/>
              <w:rPr>
                <w:rFonts w:ascii="仿宋_GB2312" w:hAnsi="仿宋" w:eastAsia="仿宋_GB2312" w:cs="仿宋_GB2312"/>
                <w:color w:val="auto"/>
                <w:sz w:val="24"/>
                <w:highlight w:val="none"/>
                <w:u w:val="single"/>
              </w:rPr>
            </w:pPr>
            <w:r>
              <w:rPr>
                <w:rFonts w:hint="eastAsia" w:ascii="仿宋_GB2312" w:hAnsi="仿宋" w:eastAsia="仿宋_GB2312" w:cs="仿宋_GB2312"/>
                <w:color w:val="auto"/>
                <w:sz w:val="24"/>
                <w:highlight w:val="none"/>
              </w:rPr>
              <w:t>账    号：</w:t>
            </w:r>
            <w:r>
              <w:rPr>
                <w:rFonts w:ascii="仿宋_GB2312" w:hAnsi="仿宋" w:eastAsia="仿宋_GB2312" w:cs="仿宋_GB2312"/>
                <w:color w:val="auto"/>
                <w:sz w:val="24"/>
                <w:highlight w:val="none"/>
                <w:u w:val="single"/>
              </w:rPr>
              <w:t>422050100100241316</w:t>
            </w:r>
          </w:p>
          <w:p w14:paraId="1D434E2D">
            <w:pPr>
              <w:spacing w:line="360" w:lineRule="auto"/>
              <w:rPr>
                <w:rFonts w:ascii="仿宋_GB2312" w:hAnsi="仿宋" w:eastAsia="仿宋_GB2312" w:cs="仿宋_GB2312"/>
                <w:color w:val="auto"/>
                <w:sz w:val="24"/>
                <w:highlight w:val="none"/>
                <w:u w:val="single"/>
              </w:rPr>
            </w:pPr>
            <w:r>
              <w:rPr>
                <w:rFonts w:hint="eastAsia" w:ascii="仿宋_GB2312" w:hAnsi="仿宋" w:eastAsia="仿宋_GB2312" w:cs="仿宋_GB2312"/>
                <w:b/>
                <w:color w:val="auto"/>
                <w:sz w:val="24"/>
                <w:highlight w:val="none"/>
                <w:u w:val="single"/>
              </w:rPr>
              <w:t>注：电汇时以公对公的形式缴纳投标保证金并注明项目名称及编号(项目名称可简写)。</w:t>
            </w:r>
          </w:p>
          <w:p w14:paraId="2D55EE2B">
            <w:pPr>
              <w:pStyle w:val="9"/>
              <w:spacing w:line="360" w:lineRule="auto"/>
              <w:rPr>
                <w:rFonts w:ascii="仿宋_GB2312" w:hAnsi="仿宋" w:eastAsia="仿宋_GB2312" w:cs="仿宋_GB2312"/>
                <w:color w:val="auto"/>
                <w:sz w:val="24"/>
                <w:highlight w:val="none"/>
              </w:rPr>
            </w:pPr>
            <w:r>
              <w:rPr>
                <w:rFonts w:ascii="仿宋_GB2312" w:hAnsi="仿宋" w:eastAsia="仿宋_GB2312" w:cs="仿宋_GB2312"/>
                <w:color w:val="auto"/>
                <w:sz w:val="24"/>
                <w:highlight w:val="none"/>
              </w:rPr>
              <w:t>3</w:t>
            </w:r>
            <w:r>
              <w:rPr>
                <w:rFonts w:hint="eastAsia" w:ascii="仿宋_GB2312" w:hAnsi="仿宋" w:eastAsia="仿宋_GB2312" w:cs="仿宋_GB2312"/>
                <w:color w:val="auto"/>
                <w:sz w:val="24"/>
                <w:highlight w:val="none"/>
              </w:rPr>
              <w:t>.投标保证金到账时间：</w:t>
            </w:r>
          </w:p>
          <w:p w14:paraId="2A2D1CB0">
            <w:pPr>
              <w:pStyle w:val="9"/>
              <w:spacing w:line="360" w:lineRule="auto"/>
              <w:ind w:firstLine="480" w:firstLineChars="200"/>
              <w:rPr>
                <w:rFonts w:ascii="仿宋_GB2312" w:hAnsi="仿宋" w:eastAsia="仿宋_GB2312" w:cs="仿宋_GB2312"/>
                <w:color w:val="auto"/>
                <w:sz w:val="24"/>
                <w:highlight w:val="none"/>
                <w:u w:val="single"/>
              </w:rPr>
            </w:pPr>
            <w:r>
              <w:rPr>
                <w:rFonts w:ascii="仿宋_GB2312" w:hAnsi="仿宋" w:eastAsia="仿宋_GB2312" w:cs="仿宋_GB2312"/>
                <w:color w:val="auto"/>
                <w:sz w:val="24"/>
                <w:highlight w:val="none"/>
              </w:rPr>
              <w:t>3.1</w:t>
            </w:r>
            <w:r>
              <w:rPr>
                <w:rFonts w:hint="eastAsia" w:ascii="仿宋_GB2312" w:hAnsi="仿宋" w:eastAsia="仿宋_GB2312" w:cs="仿宋_GB2312"/>
                <w:color w:val="auto"/>
                <w:sz w:val="24"/>
                <w:highlight w:val="none"/>
              </w:rPr>
              <w:t>电汇：</w:t>
            </w:r>
            <w:r>
              <w:rPr>
                <w:rFonts w:hint="eastAsia" w:ascii="仿宋_GB2312" w:hAnsi="仿宋" w:eastAsia="仿宋_GB2312" w:cs="仿宋_GB2312"/>
                <w:color w:val="auto"/>
                <w:sz w:val="24"/>
                <w:highlight w:val="none"/>
                <w:u w:val="single"/>
              </w:rPr>
              <w:t>递交投标文件截止时间前；</w:t>
            </w:r>
          </w:p>
          <w:p w14:paraId="6B53F4F8">
            <w:pPr>
              <w:pStyle w:val="9"/>
              <w:spacing w:line="360" w:lineRule="auto"/>
              <w:ind w:firstLine="480" w:firstLineChars="200"/>
              <w:rPr>
                <w:rFonts w:ascii="仿宋_GB2312" w:hAnsi="仿宋" w:eastAsia="仿宋_GB2312" w:cs="仿宋_GB2312"/>
                <w:color w:val="auto"/>
                <w:sz w:val="24"/>
                <w:highlight w:val="none"/>
                <w:u w:val="single"/>
              </w:rPr>
            </w:pPr>
            <w:r>
              <w:rPr>
                <w:rFonts w:ascii="仿宋_GB2312" w:hAnsi="仿宋" w:eastAsia="仿宋_GB2312" w:cs="仿宋_GB2312"/>
                <w:color w:val="auto"/>
                <w:sz w:val="24"/>
                <w:highlight w:val="none"/>
              </w:rPr>
              <w:t>3.2</w:t>
            </w:r>
            <w:r>
              <w:rPr>
                <w:rFonts w:hint="eastAsia" w:ascii="仿宋_GB2312" w:hAnsi="仿宋" w:eastAsia="仿宋_GB2312" w:cs="仿宋_GB2312"/>
                <w:color w:val="auto"/>
                <w:sz w:val="24"/>
                <w:highlight w:val="none"/>
              </w:rPr>
              <w:t>保函：</w:t>
            </w:r>
            <w:r>
              <w:rPr>
                <w:rFonts w:hint="eastAsia" w:ascii="仿宋_GB2312" w:hAnsi="仿宋" w:eastAsia="仿宋_GB2312" w:cs="仿宋_GB2312"/>
                <w:color w:val="auto"/>
                <w:sz w:val="24"/>
                <w:highlight w:val="none"/>
                <w:u w:val="single"/>
              </w:rPr>
              <w:t>递交投标文件截止时间前将保函和承诺书（后附）送至（邮寄）采购组织机构处，且保证其法律效力；</w:t>
            </w:r>
          </w:p>
          <w:p w14:paraId="319D6AFE">
            <w:pPr>
              <w:pStyle w:val="9"/>
              <w:spacing w:line="360" w:lineRule="auto"/>
              <w:ind w:firstLine="480" w:firstLineChars="200"/>
              <w:rPr>
                <w:rFonts w:ascii="仿宋_GB2312" w:hAnsi="仿宋" w:eastAsia="仿宋_GB2312" w:cs="仿宋_GB2312"/>
                <w:color w:val="auto"/>
                <w:sz w:val="24"/>
                <w:highlight w:val="none"/>
                <w:u w:val="single"/>
              </w:rPr>
            </w:pPr>
            <w:r>
              <w:rPr>
                <w:rFonts w:hint="eastAsia" w:ascii="仿宋_GB2312" w:hAnsi="仿宋" w:eastAsia="仿宋_GB2312" w:cs="仿宋_GB2312"/>
                <w:color w:val="auto"/>
                <w:sz w:val="24"/>
                <w:highlight w:val="none"/>
              </w:rPr>
              <w:t>邮寄地址：</w:t>
            </w:r>
            <w:r>
              <w:rPr>
                <w:rFonts w:hint="eastAsia" w:ascii="仿宋_GB2312" w:hAnsi="仿宋" w:eastAsia="仿宋_GB2312" w:cs="仿宋_GB2312"/>
                <w:color w:val="auto"/>
                <w:sz w:val="24"/>
                <w:highlight w:val="none"/>
                <w:u w:val="single"/>
              </w:rPr>
              <w:t>沈阳市皇姑区北陵大街3</w:t>
            </w:r>
            <w:r>
              <w:rPr>
                <w:rFonts w:ascii="仿宋_GB2312" w:hAnsi="仿宋" w:eastAsia="仿宋_GB2312" w:cs="仿宋_GB2312"/>
                <w:color w:val="auto"/>
                <w:sz w:val="24"/>
                <w:highlight w:val="none"/>
                <w:u w:val="single"/>
              </w:rPr>
              <w:t>4</w:t>
            </w:r>
            <w:r>
              <w:rPr>
                <w:rFonts w:hint="eastAsia" w:ascii="仿宋_GB2312" w:hAnsi="仿宋" w:eastAsia="仿宋_GB2312" w:cs="仿宋_GB2312"/>
                <w:color w:val="auto"/>
                <w:sz w:val="24"/>
                <w:highlight w:val="none"/>
                <w:u w:val="single"/>
              </w:rPr>
              <w:t>-</w:t>
            </w:r>
            <w:r>
              <w:rPr>
                <w:rFonts w:ascii="仿宋_GB2312" w:hAnsi="仿宋" w:eastAsia="仿宋_GB2312" w:cs="仿宋_GB2312"/>
                <w:color w:val="auto"/>
                <w:sz w:val="24"/>
                <w:highlight w:val="none"/>
                <w:u w:val="single"/>
              </w:rPr>
              <w:t>3</w:t>
            </w:r>
            <w:r>
              <w:rPr>
                <w:rFonts w:hint="eastAsia" w:ascii="仿宋_GB2312" w:hAnsi="仿宋" w:eastAsia="仿宋_GB2312" w:cs="仿宋_GB2312"/>
                <w:color w:val="auto"/>
                <w:sz w:val="24"/>
                <w:highlight w:val="none"/>
                <w:u w:val="single"/>
              </w:rPr>
              <w:t>号楼1502室</w:t>
            </w:r>
          </w:p>
          <w:p w14:paraId="2414320E">
            <w:pPr>
              <w:pStyle w:val="9"/>
              <w:spacing w:line="360" w:lineRule="auto"/>
              <w:ind w:firstLine="480" w:firstLineChars="200"/>
              <w:rPr>
                <w:rFonts w:ascii="仿宋_GB2312" w:hAnsi="仿宋" w:eastAsia="仿宋_GB2312" w:cs="仿宋_GB2312"/>
                <w:color w:val="auto"/>
                <w:sz w:val="24"/>
                <w:highlight w:val="none"/>
                <w:u w:val="single"/>
              </w:rPr>
            </w:pPr>
            <w:r>
              <w:rPr>
                <w:rFonts w:hint="eastAsia" w:ascii="仿宋_GB2312" w:hAnsi="仿宋" w:eastAsia="仿宋_GB2312" w:cs="仿宋_GB2312"/>
                <w:color w:val="auto"/>
                <w:sz w:val="24"/>
                <w:highlight w:val="none"/>
              </w:rPr>
              <w:t>收件人：</w:t>
            </w:r>
            <w:r>
              <w:rPr>
                <w:rFonts w:hint="eastAsia" w:ascii="仿宋_GB2312" w:hAnsi="仿宋" w:eastAsia="仿宋_GB2312" w:cs="仿宋_GB2312"/>
                <w:color w:val="auto"/>
                <w:sz w:val="24"/>
                <w:highlight w:val="none"/>
                <w:u w:val="single"/>
              </w:rPr>
              <w:t>王磊</w:t>
            </w:r>
          </w:p>
          <w:p w14:paraId="554F115F">
            <w:pPr>
              <w:pStyle w:val="9"/>
              <w:spacing w:line="360" w:lineRule="auto"/>
              <w:ind w:firstLine="480" w:firstLineChars="200"/>
              <w:rPr>
                <w:rFonts w:ascii="仿宋_GB2312" w:hAnsi="仿宋" w:eastAsia="仿宋_GB2312" w:cs="仿宋_GB2312"/>
                <w:color w:val="auto"/>
                <w:sz w:val="24"/>
                <w:highlight w:val="none"/>
                <w:u w:val="single"/>
              </w:rPr>
            </w:pPr>
            <w:r>
              <w:rPr>
                <w:rFonts w:hint="eastAsia" w:ascii="仿宋_GB2312" w:hAnsi="仿宋" w:eastAsia="仿宋_GB2312" w:cs="仿宋_GB2312"/>
                <w:color w:val="auto"/>
                <w:sz w:val="24"/>
                <w:highlight w:val="none"/>
              </w:rPr>
              <w:t xml:space="preserve">电 </w:t>
            </w:r>
            <w:r>
              <w:rPr>
                <w:rFonts w:ascii="仿宋_GB2312" w:hAnsi="仿宋" w:eastAsia="仿宋_GB2312" w:cs="仿宋_GB2312"/>
                <w:color w:val="auto"/>
                <w:sz w:val="24"/>
                <w:highlight w:val="none"/>
              </w:rPr>
              <w:t xml:space="preserve"> </w:t>
            </w:r>
            <w:r>
              <w:rPr>
                <w:rFonts w:hint="eastAsia" w:ascii="仿宋_GB2312" w:hAnsi="仿宋" w:eastAsia="仿宋_GB2312" w:cs="仿宋_GB2312"/>
                <w:color w:val="auto"/>
                <w:sz w:val="24"/>
                <w:highlight w:val="none"/>
              </w:rPr>
              <w:t>话：</w:t>
            </w:r>
            <w:r>
              <w:rPr>
                <w:rFonts w:ascii="仿宋_GB2312" w:hAnsi="仿宋" w:eastAsia="仿宋_GB2312" w:cs="仿宋_GB2312"/>
                <w:color w:val="auto"/>
                <w:sz w:val="24"/>
                <w:highlight w:val="none"/>
                <w:u w:val="single"/>
              </w:rPr>
              <w:t>024-31513417</w:t>
            </w:r>
          </w:p>
          <w:p w14:paraId="2B04031F">
            <w:pPr>
              <w:pStyle w:val="9"/>
              <w:spacing w:line="360" w:lineRule="auto"/>
              <w:ind w:firstLine="480" w:firstLineChars="200"/>
              <w:rPr>
                <w:rFonts w:ascii="仿宋_GB2312" w:hAnsi="仿宋" w:eastAsia="仿宋_GB2312" w:cs="仿宋_GB2312"/>
                <w:color w:val="auto"/>
                <w:sz w:val="24"/>
                <w:highlight w:val="none"/>
              </w:rPr>
            </w:pPr>
            <w:r>
              <w:rPr>
                <w:rFonts w:ascii="仿宋_GB2312" w:hAnsi="仿宋" w:eastAsia="仿宋_GB2312" w:cs="仿宋_GB2312"/>
                <w:color w:val="auto"/>
                <w:sz w:val="24"/>
                <w:highlight w:val="none"/>
              </w:rPr>
              <w:t>3.3</w:t>
            </w:r>
            <w:r>
              <w:rPr>
                <w:rFonts w:hint="eastAsia" w:ascii="仿宋_GB2312" w:hAnsi="仿宋" w:eastAsia="仿宋_GB2312" w:cs="仿宋_GB2312"/>
                <w:color w:val="auto"/>
                <w:sz w:val="24"/>
                <w:highlight w:val="none"/>
              </w:rPr>
              <w:t>支票：</w:t>
            </w:r>
            <w:r>
              <w:rPr>
                <w:rFonts w:hint="eastAsia" w:ascii="仿宋_GB2312" w:hAnsi="仿宋" w:eastAsia="仿宋_GB2312" w:cs="仿宋_GB2312"/>
                <w:color w:val="auto"/>
                <w:sz w:val="24"/>
                <w:highlight w:val="none"/>
                <w:u w:val="single"/>
              </w:rPr>
              <w:t>递交投标（响应）文件截止时间前三个工作日送至采购组织机构处。</w:t>
            </w:r>
          </w:p>
          <w:p w14:paraId="141BB406">
            <w:pPr>
              <w:spacing w:line="36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4.保证金退还方式：</w:t>
            </w:r>
            <w:r>
              <w:rPr>
                <w:rFonts w:hint="eastAsia" w:ascii="仿宋_GB2312" w:hAnsi="仿宋" w:eastAsia="仿宋_GB2312" w:cs="仿宋_GB2312"/>
                <w:color w:val="auto"/>
                <w:kern w:val="0"/>
                <w:sz w:val="24"/>
                <w:highlight w:val="none"/>
                <w:u w:val="single"/>
              </w:rPr>
              <w:t>详见本款第6条。</w:t>
            </w:r>
          </w:p>
          <w:p w14:paraId="240E0A54">
            <w:pPr>
              <w:spacing w:line="36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5.保证金退还咨询电话：</w:t>
            </w:r>
            <w:r>
              <w:rPr>
                <w:rFonts w:hint="eastAsia" w:ascii="仿宋_GB2312" w:hAnsi="仿宋" w:eastAsia="仿宋_GB2312"/>
                <w:color w:val="auto"/>
                <w:sz w:val="24"/>
                <w:highlight w:val="none"/>
                <w:u w:val="single"/>
              </w:rPr>
              <w:t>024-31513417</w:t>
            </w:r>
          </w:p>
          <w:p w14:paraId="5E59B7A8">
            <w:pPr>
              <w:spacing w:line="360" w:lineRule="auto"/>
              <w:rPr>
                <w:rFonts w:ascii="仿宋_GB2312" w:hAnsi="仿宋" w:eastAsia="仿宋_GB2312" w:cs="仿宋_GB2312"/>
                <w:color w:val="auto"/>
                <w:sz w:val="24"/>
                <w:highlight w:val="none"/>
                <w:u w:val="single"/>
              </w:rPr>
            </w:pPr>
            <w:r>
              <w:rPr>
                <w:rFonts w:hint="eastAsia" w:ascii="仿宋_GB2312" w:hAnsi="仿宋" w:eastAsia="仿宋_GB2312" w:cs="仿宋_GB2312"/>
                <w:color w:val="auto"/>
                <w:sz w:val="24"/>
                <w:highlight w:val="none"/>
              </w:rPr>
              <w:t>6.其它：</w:t>
            </w:r>
          </w:p>
          <w:p w14:paraId="33B1D9DC">
            <w:pPr>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6.1本项目</w:t>
            </w:r>
            <w:r>
              <w:rPr>
                <w:rFonts w:hint="eastAsia" w:ascii="仿宋_GB2312" w:hAnsi="仿宋" w:eastAsia="仿宋_GB2312" w:cs="仿宋_GB2312"/>
                <w:color w:val="auto"/>
                <w:kern w:val="0"/>
                <w:sz w:val="24"/>
                <w:highlight w:val="none"/>
              </w:rPr>
              <w:t>投标保证金</w:t>
            </w:r>
            <w:r>
              <w:rPr>
                <w:rFonts w:hint="eastAsia" w:ascii="仿宋_GB2312" w:hAnsi="仿宋" w:eastAsia="仿宋_GB2312" w:cs="仿宋_GB2312"/>
                <w:color w:val="auto"/>
                <w:sz w:val="24"/>
                <w:highlight w:val="none"/>
              </w:rPr>
              <w:t>递交截止时间与递交响应文件截止时间（开标时间）一致，</w:t>
            </w:r>
            <w:r>
              <w:rPr>
                <w:rFonts w:hint="eastAsia" w:ascii="仿宋_GB2312" w:hAnsi="仿宋" w:eastAsia="仿宋_GB2312" w:cs="仿宋_GB2312"/>
                <w:color w:val="auto"/>
                <w:kern w:val="0"/>
                <w:sz w:val="24"/>
                <w:highlight w:val="none"/>
              </w:rPr>
              <w:t>投标保证金</w:t>
            </w:r>
            <w:r>
              <w:rPr>
                <w:rFonts w:hint="eastAsia" w:ascii="仿宋_GB2312" w:hAnsi="仿宋" w:eastAsia="仿宋_GB2312" w:cs="仿宋_GB2312"/>
                <w:color w:val="auto"/>
                <w:sz w:val="24"/>
                <w:highlight w:val="none"/>
              </w:rPr>
              <w:t>以到采购组织机构账户为准。</w:t>
            </w:r>
          </w:p>
          <w:p w14:paraId="3C61F895">
            <w:pPr>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6.2</w:t>
            </w:r>
            <w:r>
              <w:rPr>
                <w:rFonts w:hint="eastAsia" w:ascii="仿宋_GB2312" w:hAnsi="仿宋" w:eastAsia="仿宋_GB2312" w:cs="仿宋_GB2312"/>
                <w:color w:val="auto"/>
                <w:kern w:val="0"/>
                <w:sz w:val="24"/>
                <w:highlight w:val="none"/>
              </w:rPr>
              <w:t>投标保证金</w:t>
            </w:r>
            <w:r>
              <w:rPr>
                <w:rFonts w:hint="eastAsia" w:ascii="仿宋_GB2312" w:hAnsi="仿宋" w:eastAsia="仿宋_GB2312" w:cs="仿宋_GB2312"/>
                <w:color w:val="auto"/>
                <w:sz w:val="24"/>
                <w:highlight w:val="none"/>
              </w:rPr>
              <w:t>均以转账方式返还（非保函递交）。投标人提供的返还账户名须与投标人名称一致，否则不予办理，投标文件中应正确填写《保证金退还明细表》。</w:t>
            </w:r>
          </w:p>
          <w:p w14:paraId="33FBAA0F">
            <w:pPr>
              <w:spacing w:line="360" w:lineRule="auto"/>
              <w:ind w:firstLine="480" w:firstLineChars="200"/>
              <w:rPr>
                <w:rFonts w:ascii="仿宋_GB2312" w:hAnsi="仿宋" w:eastAsia="仿宋_GB2312" w:cs="仿宋_GB2312"/>
                <w:color w:val="auto"/>
                <w:sz w:val="24"/>
                <w:highlight w:val="none"/>
                <w:u w:val="single"/>
              </w:rPr>
            </w:pPr>
            <w:r>
              <w:rPr>
                <w:rFonts w:hint="eastAsia" w:ascii="仿宋_GB2312" w:hAnsi="仿宋" w:eastAsia="仿宋_GB2312" w:cs="仿宋_GB2312"/>
                <w:color w:val="auto"/>
                <w:sz w:val="24"/>
                <w:highlight w:val="none"/>
              </w:rPr>
              <w:t>6.3中标人</w:t>
            </w:r>
            <w:r>
              <w:rPr>
                <w:rFonts w:hint="eastAsia" w:ascii="仿宋_GB2312" w:hAnsi="仿宋" w:eastAsia="仿宋_GB2312" w:cs="仿宋_GB2312"/>
                <w:color w:val="auto"/>
                <w:kern w:val="0"/>
                <w:sz w:val="24"/>
                <w:highlight w:val="none"/>
              </w:rPr>
              <w:t>投标保证金</w:t>
            </w:r>
            <w:r>
              <w:rPr>
                <w:rFonts w:hint="eastAsia" w:ascii="仿宋_GB2312" w:hAnsi="仿宋" w:eastAsia="仿宋_GB2312" w:cs="仿宋_GB2312"/>
                <w:color w:val="auto"/>
                <w:sz w:val="24"/>
                <w:highlight w:val="none"/>
              </w:rPr>
              <w:t>在合同签订后5个工作日内返还；未中标人的</w:t>
            </w:r>
            <w:r>
              <w:rPr>
                <w:rFonts w:hint="eastAsia" w:ascii="仿宋_GB2312" w:hAnsi="仿宋" w:eastAsia="仿宋_GB2312" w:cs="仿宋_GB2312"/>
                <w:color w:val="auto"/>
                <w:kern w:val="0"/>
                <w:sz w:val="24"/>
                <w:highlight w:val="none"/>
              </w:rPr>
              <w:t>投标保证金</w:t>
            </w:r>
            <w:r>
              <w:rPr>
                <w:rFonts w:hint="eastAsia" w:ascii="仿宋_GB2312" w:hAnsi="仿宋" w:eastAsia="仿宋_GB2312" w:cs="仿宋_GB2312"/>
                <w:color w:val="auto"/>
                <w:sz w:val="24"/>
                <w:highlight w:val="none"/>
              </w:rPr>
              <w:t>在成交通知书核准后5个工作日内返还。</w:t>
            </w:r>
          </w:p>
          <w:p w14:paraId="3DEFE52A">
            <w:pPr>
              <w:spacing w:line="360" w:lineRule="auto"/>
              <w:ind w:firstLine="480" w:firstLineChars="200"/>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注：1</w:t>
            </w:r>
            <w:r>
              <w:rPr>
                <w:rFonts w:ascii="仿宋_GB2312" w:hAnsi="仿宋" w:eastAsia="仿宋_GB2312" w:cs="仿宋_GB2312"/>
                <w:b/>
                <w:bCs/>
                <w:color w:val="auto"/>
                <w:sz w:val="24"/>
                <w:highlight w:val="none"/>
              </w:rPr>
              <w:t>.</w:t>
            </w:r>
            <w:r>
              <w:rPr>
                <w:rFonts w:hint="eastAsia" w:ascii="仿宋_GB2312" w:hAnsi="仿宋" w:eastAsia="仿宋_GB2312" w:cs="仿宋_GB2312"/>
                <w:b/>
                <w:bCs/>
                <w:color w:val="auto"/>
                <w:sz w:val="24"/>
                <w:highlight w:val="none"/>
              </w:rPr>
              <w:t>财政部门鼓励采用保函的方式递交投标保证金，具体办理流程参阅辽宁政府采购网；</w:t>
            </w:r>
          </w:p>
          <w:p w14:paraId="67B16D60">
            <w:pPr>
              <w:spacing w:line="360" w:lineRule="auto"/>
              <w:ind w:firstLine="480" w:firstLineChars="200"/>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2.投标保证金以实际到账或实际缴纳为准，投标人可在投标文件中“递交投标保证金证明”处后附下述材料：</w:t>
            </w:r>
          </w:p>
          <w:p w14:paraId="2C7DE92A">
            <w:pPr>
              <w:spacing w:line="360" w:lineRule="auto"/>
              <w:ind w:firstLine="480" w:firstLineChars="200"/>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电汇：后附电汇汇款凭证；</w:t>
            </w:r>
          </w:p>
          <w:p w14:paraId="2625254E">
            <w:pPr>
              <w:spacing w:line="360" w:lineRule="auto"/>
              <w:ind w:firstLine="480" w:firstLineChars="200"/>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保函（纸质）：后附保函签收证明及承诺书（见格式20）原件；</w:t>
            </w:r>
          </w:p>
          <w:p w14:paraId="58C3322C">
            <w:pPr>
              <w:spacing w:line="360" w:lineRule="auto"/>
              <w:ind w:firstLine="480" w:firstLineChars="200"/>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保函（电子）：后附保函复印件及承诺书（见格式</w:t>
            </w:r>
            <w:r>
              <w:rPr>
                <w:rFonts w:ascii="仿宋_GB2312" w:hAnsi="仿宋" w:eastAsia="仿宋_GB2312" w:cs="仿宋_GB2312"/>
                <w:b/>
                <w:bCs/>
                <w:color w:val="auto"/>
                <w:sz w:val="24"/>
                <w:highlight w:val="none"/>
              </w:rPr>
              <w:t>2</w:t>
            </w:r>
            <w:r>
              <w:rPr>
                <w:rFonts w:hint="eastAsia" w:ascii="仿宋_GB2312" w:hAnsi="仿宋" w:eastAsia="仿宋_GB2312" w:cs="仿宋_GB2312"/>
                <w:b/>
                <w:bCs/>
                <w:color w:val="auto"/>
                <w:sz w:val="24"/>
                <w:highlight w:val="none"/>
              </w:rPr>
              <w:t>0）原件；</w:t>
            </w:r>
          </w:p>
          <w:p w14:paraId="49CAF212">
            <w:pPr>
              <w:spacing w:line="360" w:lineRule="auto"/>
              <w:ind w:firstLine="480" w:firstLineChars="200"/>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支票：后附支票签收证明或缴纳收款收据。</w:t>
            </w:r>
          </w:p>
          <w:p w14:paraId="26ABF592">
            <w:pPr>
              <w:spacing w:line="360" w:lineRule="auto"/>
              <w:ind w:firstLine="720" w:firstLineChars="300"/>
              <w:rPr>
                <w:rFonts w:ascii="仿宋_GB2312" w:hAnsi="仿宋" w:eastAsia="仿宋_GB2312" w:cs="仿宋_GB2312"/>
                <w:color w:val="auto"/>
                <w:sz w:val="24"/>
                <w:highlight w:val="none"/>
              </w:rPr>
            </w:pPr>
            <w:r>
              <w:rPr>
                <w:rFonts w:hint="eastAsia" w:ascii="仿宋_GB2312" w:hAnsi="仿宋" w:eastAsia="仿宋_GB2312" w:cs="仿宋_GB2312"/>
                <w:b/>
                <w:bCs/>
                <w:color w:val="auto"/>
                <w:sz w:val="24"/>
                <w:highlight w:val="none"/>
              </w:rPr>
              <w:t>上述材料仅作为辅证，不作为否决投标的依据，以实际缴纳为准。</w:t>
            </w:r>
          </w:p>
        </w:tc>
      </w:tr>
      <w:tr w14:paraId="333FE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rPr>
        <w:tc>
          <w:tcPr>
            <w:tcW w:w="959" w:type="dxa"/>
            <w:vAlign w:val="center"/>
          </w:tcPr>
          <w:p w14:paraId="7FEAFAE4">
            <w:pPr>
              <w:widowControl/>
              <w:snapToGrid w:val="0"/>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15.1</w:t>
            </w:r>
          </w:p>
        </w:tc>
        <w:tc>
          <w:tcPr>
            <w:tcW w:w="1762" w:type="dxa"/>
            <w:vAlign w:val="center"/>
          </w:tcPr>
          <w:p w14:paraId="4FF69998">
            <w:pPr>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投标有效期</w:t>
            </w:r>
          </w:p>
        </w:tc>
        <w:tc>
          <w:tcPr>
            <w:tcW w:w="6068" w:type="dxa"/>
            <w:vAlign w:val="center"/>
          </w:tcPr>
          <w:p w14:paraId="4AD96EDE">
            <w:pPr>
              <w:widowControl/>
              <w:spacing w:line="360" w:lineRule="auto"/>
              <w:jc w:val="left"/>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u w:val="single"/>
              </w:rPr>
              <w:t xml:space="preserve">  90  </w:t>
            </w:r>
            <w:r>
              <w:rPr>
                <w:rFonts w:hint="eastAsia" w:ascii="仿宋_GB2312" w:hAnsi="仿宋" w:eastAsia="仿宋_GB2312"/>
                <w:color w:val="auto"/>
                <w:kern w:val="0"/>
                <w:sz w:val="24"/>
                <w:highlight w:val="none"/>
              </w:rPr>
              <w:t>日历日</w:t>
            </w:r>
          </w:p>
        </w:tc>
      </w:tr>
      <w:tr w14:paraId="2518D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959" w:type="dxa"/>
            <w:vAlign w:val="center"/>
          </w:tcPr>
          <w:p w14:paraId="1D4C79B0">
            <w:pPr>
              <w:widowControl/>
              <w:snapToGrid w:val="0"/>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16.1</w:t>
            </w:r>
          </w:p>
        </w:tc>
        <w:tc>
          <w:tcPr>
            <w:tcW w:w="1762" w:type="dxa"/>
            <w:vAlign w:val="center"/>
          </w:tcPr>
          <w:p w14:paraId="3ED74B99">
            <w:pPr>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投标文件及电子文档份数</w:t>
            </w:r>
          </w:p>
        </w:tc>
        <w:tc>
          <w:tcPr>
            <w:tcW w:w="6068" w:type="dxa"/>
            <w:vAlign w:val="center"/>
          </w:tcPr>
          <w:p w14:paraId="5DB53422">
            <w:pPr>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1.电子评审系统上传的投标文件：电子投标文件按辽宁政府采购网相关规定制作上传；</w:t>
            </w:r>
          </w:p>
          <w:p w14:paraId="2795C7C2">
            <w:pPr>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2.加密备份电子文档</w:t>
            </w:r>
            <w:r>
              <w:rPr>
                <w:rFonts w:hint="eastAsia" w:ascii="仿宋_GB2312" w:hAnsi="仿宋" w:eastAsia="仿宋_GB2312" w:cs="仿宋_GB2312"/>
                <w:color w:val="auto"/>
                <w:sz w:val="24"/>
                <w:highlight w:val="none"/>
                <w:u w:val="single"/>
              </w:rPr>
              <w:t xml:space="preserve"> 1 </w:t>
            </w:r>
            <w:r>
              <w:rPr>
                <w:rFonts w:hint="eastAsia" w:ascii="仿宋_GB2312" w:hAnsi="仿宋" w:eastAsia="仿宋_GB2312" w:cs="仿宋_GB2312"/>
                <w:color w:val="auto"/>
                <w:sz w:val="24"/>
                <w:highlight w:val="none"/>
              </w:rPr>
              <w:t>份，电子文档加密且密封现场递交；</w:t>
            </w:r>
          </w:p>
          <w:p w14:paraId="055314F2">
            <w:pPr>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3.开标现场无需递交纸质文件。</w:t>
            </w:r>
          </w:p>
          <w:p w14:paraId="3A38698C">
            <w:pPr>
              <w:spacing w:line="360" w:lineRule="auto"/>
              <w:ind w:firstLine="480" w:firstLineChars="200"/>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注：（1）对投标文件签章要求：要求电子评审系统上传的投标文件及加密备份文件均需按照招标文件规定的格式内容使用电子签章或盖章，并按招标文件规定的投标文件格式进行签章;</w:t>
            </w:r>
          </w:p>
          <w:p w14:paraId="4C7C86C6">
            <w:pPr>
              <w:spacing w:line="360" w:lineRule="auto"/>
              <w:ind w:firstLine="480" w:firstLineChars="200"/>
              <w:rPr>
                <w:rFonts w:ascii="仿宋_GB2312" w:hAnsi="仿宋" w:eastAsia="仿宋_GB2312"/>
                <w:color w:val="auto"/>
                <w:kern w:val="0"/>
                <w:sz w:val="24"/>
                <w:highlight w:val="none"/>
                <w:u w:val="single"/>
              </w:rPr>
            </w:pPr>
            <w:r>
              <w:rPr>
                <w:rFonts w:hint="eastAsia" w:ascii="仿宋_GB2312" w:hAnsi="仿宋" w:eastAsia="仿宋_GB2312" w:cs="仿宋_GB2312"/>
                <w:b/>
                <w:bCs/>
                <w:color w:val="auto"/>
                <w:sz w:val="24"/>
                <w:highlight w:val="none"/>
              </w:rPr>
              <w:t>（2）中标人在中标后需要递交一正二副的纸质版投标文件（按招标文件要求对投标文件投标人须知中“签署及规定”的要求胶装制作，无需密封标记）至采购组织机构处，投标文件内容应与电子版投标文件内容一致，否则由此造成的一切后果由中标人自行承担。</w:t>
            </w:r>
          </w:p>
        </w:tc>
      </w:tr>
      <w:tr w14:paraId="05052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959" w:type="dxa"/>
            <w:vAlign w:val="center"/>
          </w:tcPr>
          <w:p w14:paraId="466A4388">
            <w:pPr>
              <w:widowControl/>
              <w:snapToGrid w:val="0"/>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18.1</w:t>
            </w:r>
          </w:p>
        </w:tc>
        <w:tc>
          <w:tcPr>
            <w:tcW w:w="1762" w:type="dxa"/>
            <w:vAlign w:val="center"/>
          </w:tcPr>
          <w:p w14:paraId="024DE7ED">
            <w:pPr>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递交投标文件截止时间、地点</w:t>
            </w:r>
          </w:p>
        </w:tc>
        <w:tc>
          <w:tcPr>
            <w:tcW w:w="6068" w:type="dxa"/>
            <w:vAlign w:val="center"/>
          </w:tcPr>
          <w:p w14:paraId="41FA5D8B">
            <w:pPr>
              <w:widowControl/>
              <w:spacing w:line="360" w:lineRule="auto"/>
              <w:jc w:val="left"/>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t>截止时间：2025年</w:t>
            </w:r>
            <w:r>
              <w:rPr>
                <w:rFonts w:hint="eastAsia" w:ascii="仿宋_GB2312" w:hAnsi="仿宋" w:eastAsia="仿宋_GB2312"/>
                <w:color w:val="auto"/>
                <w:kern w:val="0"/>
                <w:sz w:val="24"/>
                <w:highlight w:val="none"/>
                <w:lang w:val="en-US" w:eastAsia="zh-CN"/>
              </w:rPr>
              <w:t>08</w:t>
            </w:r>
            <w:r>
              <w:rPr>
                <w:rFonts w:hint="eastAsia" w:ascii="仿宋_GB2312" w:hAnsi="仿宋" w:eastAsia="仿宋_GB2312"/>
                <w:color w:val="auto"/>
                <w:kern w:val="0"/>
                <w:sz w:val="24"/>
                <w:highlight w:val="none"/>
              </w:rPr>
              <w:t>月</w:t>
            </w:r>
            <w:r>
              <w:rPr>
                <w:rFonts w:hint="eastAsia" w:ascii="仿宋_GB2312" w:hAnsi="仿宋" w:eastAsia="仿宋_GB2312"/>
                <w:color w:val="auto"/>
                <w:kern w:val="0"/>
                <w:sz w:val="24"/>
                <w:highlight w:val="none"/>
                <w:lang w:val="en-US" w:eastAsia="zh-CN"/>
              </w:rPr>
              <w:t>27</w:t>
            </w:r>
            <w:r>
              <w:rPr>
                <w:rFonts w:hint="eastAsia" w:ascii="仿宋_GB2312" w:hAnsi="仿宋" w:eastAsia="仿宋_GB2312"/>
                <w:color w:val="auto"/>
                <w:kern w:val="0"/>
                <w:sz w:val="24"/>
                <w:highlight w:val="none"/>
              </w:rPr>
              <w:t>日09时30分（北京时间）</w:t>
            </w:r>
          </w:p>
          <w:p w14:paraId="06D344C1">
            <w:pPr>
              <w:widowControl/>
              <w:spacing w:line="360" w:lineRule="auto"/>
              <w:jc w:val="left"/>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t>地点：辽宁政府采购网</w:t>
            </w:r>
          </w:p>
          <w:p w14:paraId="31F83C07">
            <w:pPr>
              <w:spacing w:line="360" w:lineRule="auto"/>
              <w:jc w:val="left"/>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t>方式：电子投标文件上传至辽宁政府采购网，以U盘形式存储的加密备份文件现场递交至</w:t>
            </w:r>
            <w:r>
              <w:rPr>
                <w:rFonts w:hint="eastAsia" w:ascii="仿宋_GB2312" w:hAnsi="仿宋" w:eastAsia="仿宋_GB2312" w:cs="仿宋_GB2312"/>
                <w:color w:val="auto"/>
                <w:sz w:val="24"/>
                <w:highlight w:val="none"/>
              </w:rPr>
              <w:t>辽宁省沈阳市和平区南八马路19号金辉大厦A座（融寓）2层</w:t>
            </w:r>
            <w:r>
              <w:rPr>
                <w:rFonts w:hint="eastAsia" w:ascii="仿宋_GB2312" w:hAnsi="仿宋" w:eastAsia="仿宋_GB2312"/>
                <w:color w:val="auto"/>
                <w:kern w:val="0"/>
                <w:sz w:val="24"/>
                <w:highlight w:val="none"/>
              </w:rPr>
              <w:t>。</w:t>
            </w:r>
          </w:p>
          <w:p w14:paraId="3012A7B7">
            <w:pPr>
              <w:spacing w:line="360" w:lineRule="auto"/>
              <w:ind w:firstLine="540"/>
              <w:jc w:val="left"/>
              <w:rPr>
                <w:rFonts w:ascii="仿宋_GB2312" w:hAnsi="仿宋" w:eastAsia="仿宋_GB2312"/>
                <w:color w:val="auto"/>
                <w:kern w:val="0"/>
                <w:sz w:val="24"/>
                <w:highlight w:val="none"/>
              </w:rPr>
            </w:pPr>
            <w:r>
              <w:rPr>
                <w:rFonts w:hint="eastAsia" w:ascii="仿宋_GB2312" w:hAnsi="仿宋" w:eastAsia="仿宋_GB2312"/>
                <w:b/>
                <w:bCs/>
                <w:color w:val="auto"/>
                <w:kern w:val="0"/>
                <w:sz w:val="24"/>
                <w:highlight w:val="none"/>
              </w:rPr>
              <w:t>特别说明：</w:t>
            </w:r>
          </w:p>
          <w:p w14:paraId="3F959636">
            <w:pPr>
              <w:widowControl/>
              <w:adjustRightInd w:val="0"/>
              <w:snapToGrid w:val="0"/>
              <w:spacing w:line="360" w:lineRule="auto"/>
              <w:ind w:firstLine="48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供应商在递交投标（响应）文件截止时间前，是否递交加密的备份投标（响应）文件（以下简称“备份文件”）属于供应商个人意愿。如供应商未递交备份文件或备份文件包封不符合要求或备份文件未在投标截止时间及开标时间前送达的，采购代理机构在开标现场的《投标（响应）文件递交情况一览表》上如实记录，但不作为否决投标（响应）的依据；若因此而影响评标（评审）的，由供应商自行承担相应责任。</w:t>
            </w:r>
          </w:p>
          <w:p w14:paraId="2DF71DC3">
            <w:pPr>
              <w:widowControl/>
              <w:adjustRightInd w:val="0"/>
              <w:snapToGrid w:val="0"/>
              <w:spacing w:line="360" w:lineRule="auto"/>
              <w:ind w:firstLine="48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2.在政府采购系统遇突发故障且短时间无法恢复时，在采购人、采购代理机构和相关供应商（供应商未到场的，通过视频方式进行确认）共同签字确认的情况下，现场启动备份文件进行评标（评审）。</w:t>
            </w:r>
          </w:p>
          <w:p w14:paraId="1ED88117">
            <w:pPr>
              <w:widowControl/>
              <w:adjustRightInd w:val="0"/>
              <w:snapToGrid w:val="0"/>
              <w:spacing w:line="360" w:lineRule="auto"/>
              <w:ind w:firstLine="48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3.供应商在政采系统上传的投标（响应）文件正常解密且采购活动正常进行的以政府采购系统上传的投标（响应）文件为准，备份文件自动失效，密封完好归档留存。</w:t>
            </w:r>
          </w:p>
          <w:p w14:paraId="34495635">
            <w:pPr>
              <w:snapToGrid w:val="0"/>
              <w:spacing w:line="360" w:lineRule="auto"/>
              <w:ind w:firstLine="480" w:firstLineChars="200"/>
              <w:jc w:val="left"/>
              <w:rPr>
                <w:rFonts w:eastAsia="仿宋_GB2312"/>
                <w:color w:val="auto"/>
                <w:highlight w:val="none"/>
              </w:rPr>
            </w:pPr>
            <w:r>
              <w:rPr>
                <w:rFonts w:hint="eastAsia" w:ascii="仿宋_GB2312" w:hAnsi="仿宋" w:eastAsia="仿宋_GB2312" w:cs="仿宋_GB2312"/>
                <w:color w:val="auto"/>
                <w:sz w:val="24"/>
                <w:highlight w:val="none"/>
              </w:rPr>
              <w:t>4.供应商在政采系统上传投标(响应)文件后，建议使用上传投标(响应)文件的 CA 数字证书进行模拟解密,如果出现任何问题，应及时联系相关技术支持人员进行解决。以保证投标(响应)文件能够在正式开标时顺利解密。</w:t>
            </w:r>
          </w:p>
        </w:tc>
      </w:tr>
      <w:tr w14:paraId="6D4EE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959" w:type="dxa"/>
            <w:vAlign w:val="center"/>
          </w:tcPr>
          <w:p w14:paraId="28466C93">
            <w:pPr>
              <w:widowControl/>
              <w:snapToGrid w:val="0"/>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20.1</w:t>
            </w:r>
          </w:p>
        </w:tc>
        <w:tc>
          <w:tcPr>
            <w:tcW w:w="1762" w:type="dxa"/>
            <w:vAlign w:val="center"/>
          </w:tcPr>
          <w:p w14:paraId="0AF5A70B">
            <w:pPr>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开标时间、地点</w:t>
            </w:r>
          </w:p>
        </w:tc>
        <w:tc>
          <w:tcPr>
            <w:tcW w:w="6068" w:type="dxa"/>
            <w:vAlign w:val="center"/>
          </w:tcPr>
          <w:p w14:paraId="0B87A8AD">
            <w:pPr>
              <w:widowControl/>
              <w:spacing w:line="360" w:lineRule="auto"/>
              <w:jc w:val="left"/>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t>时间：2025年</w:t>
            </w:r>
            <w:r>
              <w:rPr>
                <w:rFonts w:hint="eastAsia" w:ascii="仿宋_GB2312" w:hAnsi="仿宋" w:eastAsia="仿宋_GB2312"/>
                <w:color w:val="auto"/>
                <w:kern w:val="0"/>
                <w:sz w:val="24"/>
                <w:highlight w:val="none"/>
                <w:lang w:val="en-US" w:eastAsia="zh-CN"/>
              </w:rPr>
              <w:t>08</w:t>
            </w:r>
            <w:r>
              <w:rPr>
                <w:rFonts w:hint="eastAsia" w:ascii="仿宋_GB2312" w:hAnsi="仿宋" w:eastAsia="仿宋_GB2312"/>
                <w:color w:val="auto"/>
                <w:kern w:val="0"/>
                <w:sz w:val="24"/>
                <w:highlight w:val="none"/>
              </w:rPr>
              <w:t>月</w:t>
            </w:r>
            <w:r>
              <w:rPr>
                <w:rFonts w:hint="eastAsia" w:ascii="仿宋_GB2312" w:hAnsi="仿宋" w:eastAsia="仿宋_GB2312"/>
                <w:color w:val="auto"/>
                <w:kern w:val="0"/>
                <w:sz w:val="24"/>
                <w:highlight w:val="none"/>
                <w:lang w:val="en-US" w:eastAsia="zh-CN"/>
              </w:rPr>
              <w:t>27</w:t>
            </w:r>
            <w:r>
              <w:rPr>
                <w:rFonts w:hint="eastAsia" w:ascii="仿宋_GB2312" w:hAnsi="仿宋" w:eastAsia="仿宋_GB2312"/>
                <w:color w:val="auto"/>
                <w:kern w:val="0"/>
                <w:sz w:val="24"/>
                <w:highlight w:val="none"/>
              </w:rPr>
              <w:t>日09时30分（北京时间）</w:t>
            </w:r>
          </w:p>
          <w:p w14:paraId="510E6929">
            <w:pPr>
              <w:widowControl/>
              <w:spacing w:line="360" w:lineRule="auto"/>
              <w:jc w:val="left"/>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t>地点：</w:t>
            </w:r>
            <w:r>
              <w:rPr>
                <w:rFonts w:hint="eastAsia" w:ascii="仿宋_GB2312" w:hAnsi="仿宋" w:eastAsia="仿宋_GB2312" w:cs="仿宋_GB2312"/>
                <w:color w:val="auto"/>
                <w:sz w:val="24"/>
                <w:highlight w:val="none"/>
              </w:rPr>
              <w:t>辽宁省沈阳市和平区南八马路19号金辉大厦A座（融寓）2层</w:t>
            </w:r>
            <w:r>
              <w:rPr>
                <w:rFonts w:hint="eastAsia" w:ascii="仿宋_GB2312" w:hAnsi="仿宋" w:eastAsia="仿宋_GB2312"/>
                <w:color w:val="auto"/>
                <w:kern w:val="0"/>
                <w:sz w:val="24"/>
                <w:highlight w:val="none"/>
              </w:rPr>
              <w:t>。</w:t>
            </w:r>
          </w:p>
        </w:tc>
      </w:tr>
      <w:tr w14:paraId="6513A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trPr>
        <w:tc>
          <w:tcPr>
            <w:tcW w:w="959" w:type="dxa"/>
            <w:vAlign w:val="center"/>
          </w:tcPr>
          <w:p w14:paraId="27465DFA">
            <w:pPr>
              <w:widowControl/>
              <w:snapToGrid w:val="0"/>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21</w:t>
            </w:r>
          </w:p>
        </w:tc>
        <w:tc>
          <w:tcPr>
            <w:tcW w:w="1762" w:type="dxa"/>
            <w:vAlign w:val="center"/>
          </w:tcPr>
          <w:p w14:paraId="102D16A9">
            <w:pPr>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评标委员会</w:t>
            </w:r>
          </w:p>
          <w:p w14:paraId="4F829086">
            <w:pPr>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组成</w:t>
            </w:r>
          </w:p>
        </w:tc>
        <w:tc>
          <w:tcPr>
            <w:tcW w:w="6068" w:type="dxa"/>
            <w:vAlign w:val="center"/>
          </w:tcPr>
          <w:p w14:paraId="4C342FFE">
            <w:pPr>
              <w:widowControl/>
              <w:spacing w:line="360" w:lineRule="auto"/>
              <w:jc w:val="left"/>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t>评标委员会由5人组成，其中：采购人代表1人；经济、技术评委4人，从辽宁省政府采购评审专家库抽取。</w:t>
            </w:r>
          </w:p>
        </w:tc>
      </w:tr>
      <w:tr w14:paraId="6113F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5" w:hRule="atLeast"/>
        </w:trPr>
        <w:tc>
          <w:tcPr>
            <w:tcW w:w="959" w:type="dxa"/>
            <w:vAlign w:val="center"/>
          </w:tcPr>
          <w:p w14:paraId="0E1BA795">
            <w:pPr>
              <w:widowControl/>
              <w:snapToGrid w:val="0"/>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25.1</w:t>
            </w:r>
          </w:p>
        </w:tc>
        <w:tc>
          <w:tcPr>
            <w:tcW w:w="1762" w:type="dxa"/>
            <w:vAlign w:val="center"/>
          </w:tcPr>
          <w:p w14:paraId="4A9AD869">
            <w:pPr>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样品或演示</w:t>
            </w:r>
          </w:p>
        </w:tc>
        <w:tc>
          <w:tcPr>
            <w:tcW w:w="6068" w:type="dxa"/>
            <w:vAlign w:val="center"/>
          </w:tcPr>
          <w:p w14:paraId="109C4C75">
            <w:pPr>
              <w:spacing w:line="360" w:lineRule="auto"/>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sym w:font="Wingdings 2" w:char="00A3"/>
            </w:r>
            <w:r>
              <w:rPr>
                <w:rFonts w:hint="eastAsia" w:ascii="仿宋_GB2312" w:hAnsi="仿宋" w:eastAsia="仿宋_GB2312" w:cs="仿宋_GB2312"/>
                <w:color w:val="auto"/>
                <w:kern w:val="0"/>
                <w:sz w:val="24"/>
                <w:highlight w:val="none"/>
              </w:rPr>
              <w:t xml:space="preserve"> </w:t>
            </w:r>
            <w:r>
              <w:rPr>
                <w:rFonts w:hint="eastAsia" w:ascii="仿宋_GB2312" w:hAnsi="仿宋" w:eastAsia="仿宋_GB2312" w:cs="仿宋_GB2312"/>
                <w:bCs/>
                <w:color w:val="auto"/>
                <w:kern w:val="0"/>
                <w:sz w:val="24"/>
                <w:highlight w:val="none"/>
              </w:rPr>
              <w:t>样品</w:t>
            </w:r>
            <w:r>
              <w:rPr>
                <w:rFonts w:hint="eastAsia" w:ascii="仿宋_GB2312" w:hAnsi="仿宋" w:eastAsia="仿宋_GB2312" w:cs="仿宋_GB2312"/>
                <w:b/>
                <w:color w:val="auto"/>
                <w:kern w:val="0"/>
                <w:sz w:val="24"/>
                <w:highlight w:val="none"/>
              </w:rPr>
              <w:t>（以下不适用）</w:t>
            </w:r>
            <w:r>
              <w:rPr>
                <w:rFonts w:hint="eastAsia" w:ascii="仿宋_GB2312" w:hAnsi="仿宋" w:eastAsia="仿宋_GB2312" w:cs="仿宋_GB2312"/>
                <w:bCs/>
                <w:color w:val="auto"/>
                <w:kern w:val="0"/>
                <w:sz w:val="24"/>
                <w:highlight w:val="none"/>
              </w:rPr>
              <w:t>：</w:t>
            </w:r>
          </w:p>
          <w:p w14:paraId="68C5B804">
            <w:pPr>
              <w:spacing w:line="360" w:lineRule="auto"/>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1.样品评审方法：</w:t>
            </w:r>
            <w:r>
              <w:rPr>
                <w:rFonts w:hint="eastAsia" w:ascii="仿宋_GB2312" w:hAnsi="仿宋" w:eastAsia="仿宋_GB2312" w:cs="仿宋_GB2312"/>
                <w:color w:val="auto"/>
                <w:kern w:val="0"/>
                <w:sz w:val="24"/>
                <w:highlight w:val="none"/>
                <w:u w:val="single"/>
              </w:rPr>
              <w:t xml:space="preserve">              </w:t>
            </w:r>
          </w:p>
          <w:p w14:paraId="7C191A67">
            <w:pPr>
              <w:spacing w:line="360" w:lineRule="auto"/>
              <w:rPr>
                <w:rFonts w:ascii="仿宋_GB2312" w:hAnsi="仿宋" w:eastAsia="仿宋_GB2312" w:cs="仿宋_GB2312"/>
                <w:color w:val="auto"/>
                <w:kern w:val="0"/>
                <w:sz w:val="24"/>
                <w:highlight w:val="none"/>
                <w:u w:val="single"/>
              </w:rPr>
            </w:pPr>
            <w:r>
              <w:rPr>
                <w:rFonts w:hint="eastAsia" w:ascii="仿宋_GB2312" w:hAnsi="仿宋" w:eastAsia="仿宋_GB2312" w:cs="仿宋_GB2312"/>
                <w:color w:val="auto"/>
                <w:kern w:val="0"/>
                <w:sz w:val="24"/>
                <w:highlight w:val="none"/>
              </w:rPr>
              <w:t>2.样品评审标准：</w:t>
            </w:r>
            <w:r>
              <w:rPr>
                <w:rFonts w:hint="eastAsia" w:ascii="仿宋_GB2312" w:hAnsi="仿宋" w:eastAsia="仿宋_GB2312" w:cs="仿宋_GB2312"/>
                <w:color w:val="auto"/>
                <w:kern w:val="0"/>
                <w:sz w:val="24"/>
                <w:highlight w:val="none"/>
                <w:u w:val="single"/>
              </w:rPr>
              <w:t xml:space="preserve">              </w:t>
            </w:r>
          </w:p>
          <w:p w14:paraId="2A4DA8A3">
            <w:pPr>
              <w:spacing w:line="360" w:lineRule="auto"/>
              <w:rPr>
                <w:rFonts w:ascii="仿宋_GB2312" w:hAnsi="仿宋" w:eastAsia="仿宋_GB2312" w:cs="仿宋_GB2312"/>
                <w:color w:val="auto"/>
                <w:kern w:val="0"/>
                <w:sz w:val="24"/>
                <w:highlight w:val="none"/>
                <w:u w:val="single"/>
              </w:rPr>
            </w:pPr>
          </w:p>
          <w:p w14:paraId="01CC5B47">
            <w:pPr>
              <w:spacing w:line="360" w:lineRule="auto"/>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sym w:font="Wingdings 2" w:char="00A3"/>
            </w:r>
            <w:r>
              <w:rPr>
                <w:rFonts w:hint="eastAsia" w:ascii="仿宋_GB2312" w:hAnsi="仿宋" w:eastAsia="仿宋_GB2312" w:cs="仿宋_GB2312"/>
                <w:color w:val="auto"/>
                <w:kern w:val="0"/>
                <w:sz w:val="24"/>
                <w:highlight w:val="none"/>
              </w:rPr>
              <w:t xml:space="preserve"> 演示</w:t>
            </w:r>
            <w:r>
              <w:rPr>
                <w:rFonts w:hint="eastAsia" w:ascii="仿宋_GB2312" w:hAnsi="仿宋" w:eastAsia="仿宋_GB2312" w:cs="仿宋_GB2312"/>
                <w:b/>
                <w:color w:val="auto"/>
                <w:kern w:val="0"/>
                <w:sz w:val="24"/>
                <w:highlight w:val="none"/>
              </w:rPr>
              <w:t>（以下不适用）</w:t>
            </w:r>
            <w:r>
              <w:rPr>
                <w:rFonts w:hint="eastAsia" w:ascii="仿宋_GB2312" w:hAnsi="仿宋" w:eastAsia="仿宋_GB2312" w:cs="仿宋_GB2312"/>
                <w:color w:val="auto"/>
                <w:kern w:val="0"/>
                <w:sz w:val="24"/>
                <w:highlight w:val="none"/>
              </w:rPr>
              <w:t>：</w:t>
            </w:r>
          </w:p>
          <w:p w14:paraId="42CD8A06">
            <w:pPr>
              <w:spacing w:line="360" w:lineRule="auto"/>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1.演示评审方法：</w:t>
            </w:r>
            <w:r>
              <w:rPr>
                <w:rFonts w:hint="eastAsia" w:ascii="仿宋_GB2312" w:hAnsi="仿宋" w:eastAsia="仿宋_GB2312" w:cs="仿宋_GB2312"/>
                <w:color w:val="auto"/>
                <w:kern w:val="0"/>
                <w:sz w:val="24"/>
                <w:highlight w:val="none"/>
                <w:u w:val="single"/>
              </w:rPr>
              <w:t xml:space="preserve">              </w:t>
            </w:r>
          </w:p>
          <w:p w14:paraId="6F5A80F1">
            <w:pPr>
              <w:spacing w:line="360" w:lineRule="auto"/>
              <w:rPr>
                <w:rFonts w:ascii="仿宋_GB2312" w:hAnsi="仿宋" w:eastAsia="仿宋_GB2312"/>
                <w:color w:val="auto"/>
                <w:kern w:val="0"/>
                <w:sz w:val="24"/>
                <w:highlight w:val="none"/>
              </w:rPr>
            </w:pPr>
            <w:r>
              <w:rPr>
                <w:rFonts w:hint="eastAsia" w:ascii="仿宋_GB2312" w:hAnsi="仿宋" w:eastAsia="仿宋_GB2312" w:cs="仿宋_GB2312"/>
                <w:color w:val="auto"/>
                <w:kern w:val="0"/>
                <w:sz w:val="24"/>
                <w:highlight w:val="none"/>
              </w:rPr>
              <w:t>2.演示评审标准：</w:t>
            </w:r>
            <w:r>
              <w:rPr>
                <w:rFonts w:hint="eastAsia" w:ascii="仿宋_GB2312" w:hAnsi="仿宋" w:eastAsia="仿宋_GB2312" w:cs="仿宋_GB2312"/>
                <w:color w:val="auto"/>
                <w:kern w:val="0"/>
                <w:sz w:val="24"/>
                <w:highlight w:val="none"/>
                <w:u w:val="single"/>
              </w:rPr>
              <w:t xml:space="preserve">              </w:t>
            </w:r>
          </w:p>
        </w:tc>
      </w:tr>
      <w:tr w14:paraId="47D3D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9" w:hRule="atLeast"/>
        </w:trPr>
        <w:tc>
          <w:tcPr>
            <w:tcW w:w="959" w:type="dxa"/>
            <w:vAlign w:val="center"/>
          </w:tcPr>
          <w:p w14:paraId="3184C814">
            <w:pPr>
              <w:widowControl/>
              <w:snapToGrid w:val="0"/>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27.2</w:t>
            </w:r>
          </w:p>
        </w:tc>
        <w:tc>
          <w:tcPr>
            <w:tcW w:w="1762" w:type="dxa"/>
            <w:vAlign w:val="center"/>
          </w:tcPr>
          <w:p w14:paraId="6EA7557B">
            <w:pPr>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评标办法</w:t>
            </w:r>
          </w:p>
        </w:tc>
        <w:tc>
          <w:tcPr>
            <w:tcW w:w="6068" w:type="dxa"/>
            <w:vAlign w:val="center"/>
          </w:tcPr>
          <w:p w14:paraId="733135E2">
            <w:pPr>
              <w:widowControl/>
              <w:spacing w:line="360" w:lineRule="auto"/>
              <w:jc w:val="left"/>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sym w:font="Wingdings 2" w:char="0052"/>
            </w:r>
            <w:r>
              <w:rPr>
                <w:rFonts w:hint="eastAsia" w:ascii="仿宋_GB2312" w:hAnsi="仿宋" w:eastAsia="仿宋_GB2312"/>
                <w:color w:val="auto"/>
                <w:kern w:val="0"/>
                <w:sz w:val="24"/>
                <w:highlight w:val="none"/>
              </w:rPr>
              <w:t xml:space="preserve"> 综合评分法</w:t>
            </w:r>
          </w:p>
          <w:p w14:paraId="70A91E5A">
            <w:pPr>
              <w:widowControl/>
              <w:spacing w:line="360" w:lineRule="auto"/>
              <w:jc w:val="left"/>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sym w:font="Wingdings 2" w:char="00A3"/>
            </w:r>
            <w:r>
              <w:rPr>
                <w:rFonts w:hint="eastAsia" w:ascii="仿宋_GB2312" w:hAnsi="仿宋" w:eastAsia="仿宋_GB2312"/>
                <w:color w:val="auto"/>
                <w:kern w:val="0"/>
                <w:sz w:val="24"/>
                <w:highlight w:val="none"/>
              </w:rPr>
              <w:t xml:space="preserve"> 最低评标价法</w:t>
            </w:r>
          </w:p>
        </w:tc>
      </w:tr>
      <w:tr w14:paraId="0D6E1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9" w:type="dxa"/>
            <w:vAlign w:val="center"/>
          </w:tcPr>
          <w:p w14:paraId="1637BDCF">
            <w:pPr>
              <w:widowControl/>
              <w:snapToGrid w:val="0"/>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29.2</w:t>
            </w:r>
          </w:p>
        </w:tc>
        <w:tc>
          <w:tcPr>
            <w:tcW w:w="1762" w:type="dxa"/>
            <w:vAlign w:val="center"/>
          </w:tcPr>
          <w:p w14:paraId="21328120">
            <w:pPr>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推荐中标候选人的数量</w:t>
            </w:r>
          </w:p>
        </w:tc>
        <w:tc>
          <w:tcPr>
            <w:tcW w:w="6068" w:type="dxa"/>
            <w:vAlign w:val="center"/>
          </w:tcPr>
          <w:p w14:paraId="2F64BC21">
            <w:pPr>
              <w:widowControl/>
              <w:spacing w:line="360" w:lineRule="auto"/>
              <w:jc w:val="left"/>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t>3名。</w:t>
            </w:r>
          </w:p>
        </w:tc>
      </w:tr>
      <w:tr w14:paraId="499D1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9" w:type="dxa"/>
            <w:vAlign w:val="center"/>
          </w:tcPr>
          <w:p w14:paraId="4B7B9714">
            <w:pPr>
              <w:widowControl/>
              <w:snapToGrid w:val="0"/>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31</w:t>
            </w:r>
          </w:p>
        </w:tc>
        <w:tc>
          <w:tcPr>
            <w:tcW w:w="1762" w:type="dxa"/>
            <w:vAlign w:val="center"/>
          </w:tcPr>
          <w:p w14:paraId="078557F2">
            <w:pPr>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确定中标人的方式</w:t>
            </w:r>
          </w:p>
        </w:tc>
        <w:tc>
          <w:tcPr>
            <w:tcW w:w="6068" w:type="dxa"/>
            <w:vAlign w:val="center"/>
          </w:tcPr>
          <w:p w14:paraId="3E95E793">
            <w:pPr>
              <w:widowControl/>
              <w:spacing w:line="360" w:lineRule="auto"/>
              <w:jc w:val="left"/>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t>中标人数量：1名。</w:t>
            </w:r>
          </w:p>
          <w:p w14:paraId="0770EBF7">
            <w:pPr>
              <w:widowControl/>
              <w:spacing w:line="360" w:lineRule="auto"/>
              <w:jc w:val="left"/>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sym w:font="Wingdings 2" w:char="0052"/>
            </w:r>
            <w:r>
              <w:rPr>
                <w:rFonts w:hint="eastAsia" w:ascii="仿宋_GB2312" w:hAnsi="仿宋" w:eastAsia="仿宋_GB2312"/>
                <w:color w:val="auto"/>
                <w:kern w:val="0"/>
                <w:sz w:val="24"/>
                <w:highlight w:val="none"/>
              </w:rPr>
              <w:t xml:space="preserve"> 采购人委托评标委员会直接确定中标人</w:t>
            </w:r>
          </w:p>
          <w:p w14:paraId="12376727">
            <w:pPr>
              <w:widowControl/>
              <w:spacing w:line="360" w:lineRule="auto"/>
              <w:jc w:val="left"/>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sym w:font="Wingdings 2" w:char="00A3"/>
            </w:r>
            <w:r>
              <w:rPr>
                <w:rFonts w:hint="eastAsia" w:ascii="仿宋_GB2312" w:hAnsi="仿宋" w:eastAsia="仿宋_GB2312"/>
                <w:color w:val="auto"/>
                <w:kern w:val="0"/>
                <w:sz w:val="24"/>
                <w:highlight w:val="none"/>
              </w:rPr>
              <w:t xml:space="preserve"> 采购人确定中标人</w:t>
            </w:r>
          </w:p>
        </w:tc>
      </w:tr>
      <w:tr w14:paraId="5B723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959" w:type="dxa"/>
            <w:vAlign w:val="center"/>
          </w:tcPr>
          <w:p w14:paraId="18CF69DE">
            <w:pPr>
              <w:widowControl/>
              <w:snapToGrid w:val="0"/>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35.1</w:t>
            </w:r>
          </w:p>
        </w:tc>
        <w:tc>
          <w:tcPr>
            <w:tcW w:w="1762" w:type="dxa"/>
            <w:vAlign w:val="center"/>
          </w:tcPr>
          <w:p w14:paraId="0E4C6187">
            <w:pPr>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履约保证金</w:t>
            </w:r>
          </w:p>
        </w:tc>
        <w:tc>
          <w:tcPr>
            <w:tcW w:w="6068" w:type="dxa"/>
            <w:vAlign w:val="center"/>
          </w:tcPr>
          <w:p w14:paraId="5CFCAE44">
            <w:pPr>
              <w:widowControl/>
              <w:spacing w:line="360" w:lineRule="auto"/>
              <w:jc w:val="left"/>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sym w:font="Wingdings 2" w:char="0052"/>
            </w:r>
            <w:r>
              <w:rPr>
                <w:rFonts w:hint="eastAsia" w:ascii="仿宋_GB2312" w:hAnsi="仿宋" w:eastAsia="仿宋_GB2312"/>
                <w:color w:val="auto"/>
                <w:kern w:val="0"/>
                <w:sz w:val="24"/>
                <w:highlight w:val="none"/>
              </w:rPr>
              <w:t xml:space="preserve"> 不收取履约保证金</w:t>
            </w:r>
          </w:p>
          <w:p w14:paraId="38E6C8AF">
            <w:pPr>
              <w:widowControl/>
              <w:spacing w:line="360" w:lineRule="auto"/>
              <w:jc w:val="left"/>
              <w:rPr>
                <w:color w:val="auto"/>
                <w:highlight w:val="none"/>
              </w:rPr>
            </w:pPr>
            <w:r>
              <w:rPr>
                <w:rFonts w:hint="eastAsia" w:ascii="仿宋_GB2312" w:hAnsi="仿宋" w:eastAsia="仿宋_GB2312"/>
                <w:color w:val="auto"/>
                <w:kern w:val="0"/>
                <w:sz w:val="24"/>
                <w:highlight w:val="none"/>
              </w:rPr>
              <w:sym w:font="Wingdings 2" w:char="00A3"/>
            </w:r>
            <w:r>
              <w:rPr>
                <w:rFonts w:hint="eastAsia" w:ascii="仿宋_GB2312" w:hAnsi="仿宋" w:eastAsia="仿宋_GB2312"/>
                <w:color w:val="auto"/>
                <w:kern w:val="0"/>
                <w:sz w:val="24"/>
                <w:highlight w:val="none"/>
              </w:rPr>
              <w:t xml:space="preserve"> 收取履约保证金</w:t>
            </w:r>
          </w:p>
        </w:tc>
      </w:tr>
      <w:tr w14:paraId="2E044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959" w:type="dxa"/>
            <w:vMerge w:val="restart"/>
            <w:vAlign w:val="center"/>
          </w:tcPr>
          <w:p w14:paraId="0B3458F7">
            <w:pPr>
              <w:widowControl/>
              <w:spacing w:line="360" w:lineRule="auto"/>
              <w:jc w:val="center"/>
              <w:rPr>
                <w:color w:val="auto"/>
                <w:highlight w:val="none"/>
              </w:rPr>
            </w:pPr>
            <w:r>
              <w:rPr>
                <w:rFonts w:hint="eastAsia" w:ascii="仿宋_GB2312" w:hAnsi="仿宋" w:eastAsia="仿宋_GB2312" w:cs="仿宋_GB2312"/>
                <w:color w:val="auto"/>
                <w:kern w:val="0"/>
                <w:sz w:val="24"/>
                <w:highlight w:val="none"/>
              </w:rPr>
              <w:t>36</w:t>
            </w:r>
          </w:p>
        </w:tc>
        <w:tc>
          <w:tcPr>
            <w:tcW w:w="1762" w:type="dxa"/>
            <w:vMerge w:val="restart"/>
            <w:vAlign w:val="center"/>
          </w:tcPr>
          <w:p w14:paraId="7D93B842">
            <w:pPr>
              <w:widowControl/>
              <w:spacing w:line="360" w:lineRule="auto"/>
              <w:jc w:val="center"/>
              <w:rPr>
                <w:color w:val="auto"/>
                <w:highlight w:val="none"/>
              </w:rPr>
            </w:pPr>
            <w:r>
              <w:rPr>
                <w:rFonts w:hint="eastAsia" w:ascii="仿宋_GB2312" w:hAnsi="仿宋" w:eastAsia="仿宋_GB2312" w:cs="仿宋_GB2312"/>
                <w:color w:val="auto"/>
                <w:kern w:val="0"/>
                <w:sz w:val="24"/>
                <w:highlight w:val="none"/>
              </w:rPr>
              <w:t>采购代理服务费</w:t>
            </w:r>
          </w:p>
        </w:tc>
        <w:tc>
          <w:tcPr>
            <w:tcW w:w="6068" w:type="dxa"/>
            <w:vAlign w:val="center"/>
          </w:tcPr>
          <w:p w14:paraId="58175903">
            <w:pPr>
              <w:widowControl/>
              <w:spacing w:line="360" w:lineRule="auto"/>
              <w:jc w:val="left"/>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sym w:font="Wingdings 2" w:char="0052"/>
            </w:r>
            <w:r>
              <w:rPr>
                <w:rFonts w:hint="eastAsia" w:ascii="仿宋_GB2312" w:hAnsi="仿宋" w:eastAsia="仿宋_GB2312"/>
                <w:color w:val="auto"/>
                <w:kern w:val="0"/>
                <w:sz w:val="24"/>
                <w:highlight w:val="none"/>
              </w:rPr>
              <w:t xml:space="preserve"> 集中采购 </w:t>
            </w:r>
          </w:p>
          <w:p w14:paraId="02140B8F">
            <w:pPr>
              <w:widowControl/>
              <w:spacing w:line="360" w:lineRule="auto"/>
              <w:jc w:val="left"/>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sym w:font="Wingdings 2" w:char="00A3"/>
            </w:r>
            <w:r>
              <w:rPr>
                <w:rFonts w:hint="eastAsia" w:ascii="仿宋_GB2312" w:hAnsi="仿宋" w:eastAsia="仿宋_GB2312"/>
                <w:color w:val="auto"/>
                <w:kern w:val="0"/>
                <w:sz w:val="24"/>
                <w:highlight w:val="none"/>
              </w:rPr>
              <w:t xml:space="preserve"> 分散采购 </w:t>
            </w:r>
          </w:p>
        </w:tc>
      </w:tr>
      <w:tr w14:paraId="6A9C8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959" w:type="dxa"/>
            <w:vMerge w:val="continue"/>
            <w:vAlign w:val="center"/>
          </w:tcPr>
          <w:p w14:paraId="3C3CA1FD">
            <w:pPr>
              <w:widowControl/>
              <w:spacing w:line="360" w:lineRule="auto"/>
              <w:jc w:val="left"/>
              <w:rPr>
                <w:color w:val="auto"/>
                <w:highlight w:val="none"/>
              </w:rPr>
            </w:pPr>
          </w:p>
        </w:tc>
        <w:tc>
          <w:tcPr>
            <w:tcW w:w="1762" w:type="dxa"/>
            <w:vMerge w:val="continue"/>
            <w:vAlign w:val="center"/>
          </w:tcPr>
          <w:p w14:paraId="0ABA4459">
            <w:pPr>
              <w:widowControl/>
              <w:spacing w:line="360" w:lineRule="auto"/>
              <w:jc w:val="left"/>
              <w:rPr>
                <w:color w:val="auto"/>
                <w:highlight w:val="none"/>
              </w:rPr>
            </w:pPr>
          </w:p>
        </w:tc>
        <w:tc>
          <w:tcPr>
            <w:tcW w:w="6068" w:type="dxa"/>
            <w:vAlign w:val="center"/>
          </w:tcPr>
          <w:p w14:paraId="3B0F1107">
            <w:pPr>
              <w:widowControl/>
              <w:spacing w:line="360" w:lineRule="auto"/>
              <w:jc w:val="left"/>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sym w:font="Wingdings 2" w:char="0052"/>
            </w:r>
            <w:r>
              <w:rPr>
                <w:rFonts w:hint="eastAsia" w:ascii="仿宋_GB2312" w:hAnsi="仿宋" w:eastAsia="仿宋_GB2312"/>
                <w:color w:val="auto"/>
                <w:kern w:val="0"/>
                <w:sz w:val="24"/>
                <w:highlight w:val="none"/>
              </w:rPr>
              <w:t xml:space="preserve"> 不收取采购代理服务费</w:t>
            </w:r>
          </w:p>
          <w:p w14:paraId="031B65C6">
            <w:pPr>
              <w:widowControl/>
              <w:spacing w:line="360" w:lineRule="auto"/>
              <w:jc w:val="left"/>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sym w:font="Wingdings 2" w:char="00A3"/>
            </w:r>
            <w:r>
              <w:rPr>
                <w:rFonts w:hint="eastAsia" w:ascii="仿宋_GB2312" w:hAnsi="仿宋" w:eastAsia="仿宋_GB2312"/>
                <w:color w:val="auto"/>
                <w:kern w:val="0"/>
                <w:sz w:val="24"/>
                <w:highlight w:val="none"/>
              </w:rPr>
              <w:t xml:space="preserve"> 收取采购代理服务费</w:t>
            </w:r>
          </w:p>
        </w:tc>
      </w:tr>
      <w:tr w14:paraId="55345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 w:hRule="atLeast"/>
        </w:trPr>
        <w:tc>
          <w:tcPr>
            <w:tcW w:w="959" w:type="dxa"/>
            <w:vAlign w:val="center"/>
          </w:tcPr>
          <w:p w14:paraId="0A7064CF">
            <w:pPr>
              <w:widowControl/>
              <w:snapToGrid w:val="0"/>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39.3</w:t>
            </w:r>
          </w:p>
        </w:tc>
        <w:tc>
          <w:tcPr>
            <w:tcW w:w="1762" w:type="dxa"/>
            <w:vAlign w:val="center"/>
          </w:tcPr>
          <w:p w14:paraId="7A59712A">
            <w:pPr>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质疑</w:t>
            </w:r>
          </w:p>
        </w:tc>
        <w:tc>
          <w:tcPr>
            <w:tcW w:w="6068" w:type="dxa"/>
            <w:vAlign w:val="center"/>
          </w:tcPr>
          <w:p w14:paraId="34489CC5">
            <w:pPr>
              <w:widowControl/>
              <w:spacing w:line="36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一、投标人认为自己的权益受到损害的，可以在知道或者应知其权益受到损害之日起七个工作日内，向采购组织机构提出质疑。</w:t>
            </w:r>
          </w:p>
          <w:p w14:paraId="71897045">
            <w:pPr>
              <w:widowControl/>
              <w:spacing w:line="36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1.接收线上质疑函的方式：电子版质疑函上传至辽宁政府采购网；</w:t>
            </w:r>
          </w:p>
          <w:p w14:paraId="294C3F17">
            <w:pPr>
              <w:widowControl/>
              <w:spacing w:line="360" w:lineRule="auto"/>
              <w:rPr>
                <w:rFonts w:ascii="仿宋_GB2312" w:hAnsi="仿宋" w:eastAsia="仿宋_GB2312" w:cs="仿宋_GB2312"/>
                <w:color w:val="auto"/>
                <w:sz w:val="24"/>
                <w:highlight w:val="none"/>
              </w:rPr>
            </w:pPr>
            <w:r>
              <w:rPr>
                <w:rFonts w:ascii="仿宋_GB2312" w:hAnsi="仿宋" w:eastAsia="仿宋_GB2312" w:cs="仿宋_GB2312"/>
                <w:color w:val="auto"/>
                <w:sz w:val="24"/>
                <w:highlight w:val="none"/>
              </w:rPr>
              <w:t>2.</w:t>
            </w:r>
            <w:r>
              <w:rPr>
                <w:rFonts w:hint="eastAsia" w:ascii="仿宋_GB2312" w:hAnsi="仿宋" w:eastAsia="仿宋_GB2312" w:cs="仿宋_GB2312"/>
                <w:color w:val="auto"/>
                <w:sz w:val="24"/>
                <w:highlight w:val="none"/>
              </w:rPr>
              <w:t>接收书面纸质质疑函的方式：接收加盖单位公章的书面质疑函；</w:t>
            </w:r>
          </w:p>
          <w:p w14:paraId="77EBA872">
            <w:pPr>
              <w:widowControl/>
              <w:spacing w:line="360" w:lineRule="auto"/>
              <w:ind w:firstLine="240" w:firstLineChars="100"/>
              <w:rPr>
                <w:rFonts w:ascii="仿宋_GB2312" w:hAnsi="仿宋" w:eastAsia="仿宋_GB2312" w:cs="仿宋_GB2312"/>
                <w:color w:val="auto"/>
                <w:kern w:val="0"/>
                <w:sz w:val="24"/>
                <w:highlight w:val="none"/>
                <w:u w:val="single"/>
              </w:rPr>
            </w:pPr>
            <w:r>
              <w:rPr>
                <w:rFonts w:hint="eastAsia" w:ascii="仿宋_GB2312" w:hAnsi="仿宋" w:eastAsia="仿宋_GB2312" w:cs="仿宋_GB2312"/>
                <w:color w:val="auto"/>
                <w:sz w:val="24"/>
                <w:highlight w:val="none"/>
              </w:rPr>
              <w:t>联系单位：</w:t>
            </w:r>
            <w:r>
              <w:rPr>
                <w:rFonts w:hint="eastAsia" w:ascii="仿宋_GB2312" w:hAnsi="仿宋" w:eastAsia="仿宋_GB2312" w:cs="仿宋_GB2312"/>
                <w:color w:val="auto"/>
                <w:kern w:val="0"/>
                <w:sz w:val="24"/>
                <w:highlight w:val="none"/>
                <w:u w:val="single"/>
              </w:rPr>
              <w:t>辽宁省沈抚公共资源交易服务有限公司</w:t>
            </w:r>
          </w:p>
          <w:p w14:paraId="6F089D81">
            <w:pPr>
              <w:pStyle w:val="9"/>
              <w:spacing w:line="360" w:lineRule="auto"/>
              <w:ind w:firstLine="240" w:firstLineChars="1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联 系 人：</w:t>
            </w:r>
            <w:r>
              <w:rPr>
                <w:rFonts w:hint="eastAsia" w:ascii="仿宋_GB2312" w:hAnsi="仿宋" w:eastAsia="仿宋_GB2312" w:cs="仿宋_GB2312"/>
                <w:color w:val="auto"/>
                <w:sz w:val="24"/>
                <w:highlight w:val="none"/>
                <w:u w:val="single"/>
              </w:rPr>
              <w:t>王磊</w:t>
            </w:r>
          </w:p>
          <w:p w14:paraId="4AF9F3E0">
            <w:pPr>
              <w:widowControl/>
              <w:spacing w:line="360" w:lineRule="auto"/>
              <w:ind w:firstLine="240" w:firstLineChars="100"/>
              <w:rPr>
                <w:rFonts w:ascii="仿宋_GB2312" w:hAnsi="仿宋" w:eastAsia="仿宋_GB2312" w:cs="仿宋_GB2312"/>
                <w:color w:val="auto"/>
                <w:kern w:val="0"/>
                <w:sz w:val="24"/>
                <w:highlight w:val="none"/>
                <w:u w:val="single"/>
              </w:rPr>
            </w:pPr>
            <w:r>
              <w:rPr>
                <w:rFonts w:hint="eastAsia" w:ascii="仿宋_GB2312" w:hAnsi="仿宋" w:eastAsia="仿宋_GB2312" w:cs="仿宋_GB2312"/>
                <w:color w:val="auto"/>
                <w:sz w:val="24"/>
                <w:highlight w:val="none"/>
              </w:rPr>
              <w:t>联系电话：</w:t>
            </w:r>
            <w:r>
              <w:rPr>
                <w:rFonts w:hint="eastAsia" w:ascii="仿宋_GB2312" w:hAnsi="仿宋" w:eastAsia="仿宋_GB2312" w:cs="仿宋_GB2312"/>
                <w:color w:val="auto"/>
                <w:sz w:val="24"/>
                <w:highlight w:val="none"/>
                <w:u w:val="single"/>
              </w:rPr>
              <w:t>024-31513417</w:t>
            </w:r>
          </w:p>
          <w:p w14:paraId="22C33E52">
            <w:pPr>
              <w:widowControl/>
              <w:spacing w:line="360" w:lineRule="auto"/>
              <w:ind w:firstLine="240" w:firstLineChars="100"/>
              <w:rPr>
                <w:rFonts w:ascii="仿宋_GB2312" w:hAnsi="仿宋" w:eastAsia="仿宋_GB2312" w:cs="仿宋_GB2312"/>
                <w:color w:val="auto"/>
                <w:kern w:val="0"/>
                <w:sz w:val="24"/>
                <w:highlight w:val="none"/>
                <w:u w:val="single"/>
              </w:rPr>
            </w:pPr>
            <w:r>
              <w:rPr>
                <w:rFonts w:hint="eastAsia" w:ascii="仿宋_GB2312" w:hAnsi="仿宋" w:eastAsia="仿宋_GB2312" w:cs="仿宋_GB2312"/>
                <w:color w:val="auto"/>
                <w:sz w:val="24"/>
                <w:highlight w:val="none"/>
              </w:rPr>
              <w:t>通讯地址：</w:t>
            </w:r>
            <w:r>
              <w:rPr>
                <w:rFonts w:hint="eastAsia" w:ascii="仿宋_GB2312" w:hAnsi="仿宋" w:eastAsia="仿宋_GB2312" w:cs="仿宋_GB2312"/>
                <w:color w:val="auto"/>
                <w:sz w:val="24"/>
                <w:highlight w:val="none"/>
                <w:u w:val="single"/>
              </w:rPr>
              <w:t>辽宁省沈阳市皇姑区北陵大街34号3号楼1502室</w:t>
            </w:r>
          </w:p>
          <w:p w14:paraId="75E9311F">
            <w:pPr>
              <w:widowControl/>
              <w:spacing w:line="360" w:lineRule="auto"/>
              <w:rPr>
                <w:rFonts w:ascii="仿宋_GB2312" w:hAnsi="仿宋" w:eastAsia="仿宋_GB2312" w:cs="仿宋_GB2312"/>
                <w:color w:val="auto"/>
                <w:sz w:val="24"/>
                <w:highlight w:val="none"/>
              </w:rPr>
            </w:pPr>
            <w:r>
              <w:rPr>
                <w:rFonts w:ascii="仿宋_GB2312" w:hAnsi="仿宋" w:eastAsia="仿宋_GB2312" w:cs="仿宋_GB2312"/>
                <w:color w:val="auto"/>
                <w:sz w:val="24"/>
                <w:highlight w:val="none"/>
              </w:rPr>
              <w:t>3</w:t>
            </w:r>
            <w:r>
              <w:rPr>
                <w:rFonts w:hint="eastAsia" w:ascii="仿宋_GB2312" w:hAnsi="仿宋" w:eastAsia="仿宋_GB2312" w:cs="仿宋_GB2312"/>
                <w:color w:val="auto"/>
                <w:sz w:val="24"/>
                <w:highlight w:val="none"/>
              </w:rPr>
              <w:t>.质疑函的内容、格式：应符合《政府采购质疑和投诉办法》相关规定和财政部门制定的《政府采购质疑函范本》格式。</w:t>
            </w:r>
          </w:p>
          <w:p w14:paraId="7EBD0824">
            <w:pPr>
              <w:pStyle w:val="9"/>
              <w:spacing w:line="360" w:lineRule="auto"/>
              <w:rPr>
                <w:rFonts w:ascii="仿宋_GB2312" w:hAnsi="仿宋" w:eastAsia="仿宋_GB2312"/>
                <w:color w:val="auto"/>
                <w:kern w:val="0"/>
                <w:sz w:val="24"/>
                <w:highlight w:val="none"/>
              </w:rPr>
            </w:pPr>
            <w:r>
              <w:rPr>
                <w:rFonts w:hint="eastAsia" w:ascii="仿宋_GB2312" w:hAnsi="仿宋" w:eastAsia="仿宋_GB2312" w:cs="仿宋_GB2312"/>
                <w:color w:val="auto"/>
                <w:sz w:val="24"/>
                <w:highlight w:val="none"/>
              </w:rPr>
              <w:t>二、投标人应在法定质疑期内一次性针对同一采购程序环节提出质疑，否则针对再次提出质疑将不予接收。（采购程序环节分为：</w:t>
            </w:r>
            <w:r>
              <w:rPr>
                <w:rFonts w:hint="eastAsia" w:ascii="仿宋_GB2312" w:hAnsi="仿宋" w:eastAsia="仿宋_GB2312" w:cs="仿宋_GB2312"/>
                <w:color w:val="auto"/>
                <w:kern w:val="0"/>
                <w:sz w:val="24"/>
                <w:highlight w:val="none"/>
              </w:rPr>
              <w:t>招标</w:t>
            </w:r>
            <w:r>
              <w:rPr>
                <w:rFonts w:hint="eastAsia" w:ascii="仿宋_GB2312" w:hAnsi="仿宋" w:eastAsia="仿宋_GB2312" w:cs="仿宋_GB2312"/>
                <w:color w:val="auto"/>
                <w:sz w:val="24"/>
                <w:highlight w:val="none"/>
              </w:rPr>
              <w:t>公告、招标文件、招标过程、中标结果）</w:t>
            </w:r>
          </w:p>
        </w:tc>
      </w:tr>
      <w:tr w14:paraId="57854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9" w:type="dxa"/>
            <w:vAlign w:val="center"/>
          </w:tcPr>
          <w:p w14:paraId="162324AE">
            <w:pPr>
              <w:widowControl/>
              <w:snapToGrid w:val="0"/>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补充</w:t>
            </w:r>
          </w:p>
          <w:p w14:paraId="1340DA82">
            <w:pPr>
              <w:widowControl/>
              <w:snapToGrid w:val="0"/>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说明1</w:t>
            </w:r>
          </w:p>
        </w:tc>
        <w:tc>
          <w:tcPr>
            <w:tcW w:w="1762" w:type="dxa"/>
            <w:vAlign w:val="center"/>
          </w:tcPr>
          <w:p w14:paraId="2F4A08D2">
            <w:pPr>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参与投标相关要求</w:t>
            </w:r>
          </w:p>
        </w:tc>
        <w:tc>
          <w:tcPr>
            <w:tcW w:w="6068" w:type="dxa"/>
            <w:vAlign w:val="center"/>
          </w:tcPr>
          <w:p w14:paraId="3DCAE1BF">
            <w:pPr>
              <w:widowControl/>
              <w:adjustRightInd w:val="0"/>
              <w:snapToGrid w:val="0"/>
              <w:spacing w:before="156" w:beforeLines="50" w:line="360" w:lineRule="auto"/>
              <w:ind w:firstLine="480" w:firstLineChars="200"/>
              <w:jc w:val="left"/>
              <w:rPr>
                <w:rFonts w:ascii="仿宋_GB2312" w:hAnsi="仿宋" w:eastAsia="仿宋_GB2312" w:cs="仿宋_GB2312"/>
                <w:color w:val="auto"/>
                <w:sz w:val="24"/>
                <w:highlight w:val="none"/>
              </w:rPr>
            </w:pPr>
            <w:r>
              <w:rPr>
                <w:rFonts w:hint="eastAsia" w:ascii="仿宋_GB2312" w:hAnsi="仿宋" w:eastAsia="仿宋_GB2312" w:cs="宋体"/>
                <w:color w:val="auto"/>
                <w:sz w:val="24"/>
                <w:highlight w:val="none"/>
              </w:rPr>
              <w:t>1.供应商</w:t>
            </w:r>
            <w:r>
              <w:rPr>
                <w:rFonts w:hint="eastAsia" w:ascii="仿宋_GB2312" w:hAnsi="仿宋" w:eastAsia="仿宋_GB2312" w:cs="仿宋_GB2312"/>
                <w:color w:val="auto"/>
                <w:sz w:val="24"/>
                <w:highlight w:val="none"/>
              </w:rPr>
              <w:t>须及时办理CA数字证书，否则应自行承担无法正常参与项目的不利后果。投标人应详阅辽宁政府采购网首页“办事指南”中的“辽宁政府采购网关于办理CA数字证书的操作手册”和“辽宁政府采购网新版系统供应商操作手册”，具体规定详见《关于启用政府采购数字认证和电子招投标业务有关事宜的通知》（辽财采〔2020〕298号）。</w:t>
            </w:r>
          </w:p>
          <w:p w14:paraId="2B748DF0">
            <w:pPr>
              <w:widowControl/>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投标文件递交方式为线上递交，同时需现场递交备份投标文件，并保持内容一致。备份投标文件为以U盘形式存储的加密备份文件，具体规定详见《关于完善政府采购电子评审业务流程等有关事宜的通知》（辽财采〔2021〕363号）。</w:t>
            </w:r>
          </w:p>
          <w:p w14:paraId="7F765496">
            <w:pPr>
              <w:widowControl/>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3.开标现场各</w:t>
            </w:r>
            <w:r>
              <w:rPr>
                <w:rFonts w:hint="eastAsia" w:ascii="仿宋_GB2312" w:hAnsi="仿宋" w:eastAsia="仿宋_GB2312" w:cs="宋体"/>
                <w:color w:val="auto"/>
                <w:sz w:val="24"/>
                <w:highlight w:val="none"/>
              </w:rPr>
              <w:t>供应商</w:t>
            </w:r>
            <w:r>
              <w:rPr>
                <w:rFonts w:hint="eastAsia" w:ascii="仿宋_GB2312" w:hAnsi="仿宋" w:eastAsia="仿宋_GB2312" w:cs="仿宋_GB2312"/>
                <w:color w:val="auto"/>
                <w:sz w:val="24"/>
                <w:highlight w:val="none"/>
              </w:rPr>
              <w:t>可远程解密或自行携带笔记本电脑及CA数字证书等电子设备，进行Ukey或手机移动证书（扫码）登录、报价解密等相关操作。</w:t>
            </w:r>
          </w:p>
          <w:p w14:paraId="2DFB33F9">
            <w:pPr>
              <w:widowControl/>
              <w:spacing w:line="360" w:lineRule="auto"/>
              <w:ind w:firstLine="480" w:firstLineChars="200"/>
              <w:rPr>
                <w:rFonts w:ascii="仿宋_GB2312" w:hAnsi="仿宋" w:eastAsia="仿宋_GB2312"/>
                <w:color w:val="auto"/>
                <w:kern w:val="0"/>
                <w:sz w:val="24"/>
                <w:highlight w:val="none"/>
              </w:rPr>
            </w:pPr>
            <w:r>
              <w:rPr>
                <w:rFonts w:hint="eastAsia" w:ascii="仿宋_GB2312" w:hAnsi="仿宋" w:eastAsia="仿宋_GB2312" w:cs="仿宋_GB2312"/>
                <w:color w:val="auto"/>
                <w:sz w:val="24"/>
                <w:highlight w:val="none"/>
              </w:rPr>
              <w:t>4.</w:t>
            </w:r>
            <w:r>
              <w:rPr>
                <w:rFonts w:hint="eastAsia" w:ascii="仿宋_GB2312" w:hAnsi="仿宋" w:eastAsia="仿宋_GB2312"/>
                <w:color w:val="auto"/>
                <w:kern w:val="0"/>
                <w:sz w:val="24"/>
                <w:highlight w:val="none"/>
              </w:rPr>
              <w:t>报价解密原则上需在30分钟内完成。投标人因客观原因导致电子投标文件无法在规定时间内解密，将其无法解密原因报送给监督部门，经监督部门同意方可延长解密时间；若投标人因主观原因导致电子投标文件无法在规定时间内解密，造成的一切不良后果由投标人自行承担。</w:t>
            </w:r>
          </w:p>
          <w:p w14:paraId="609B8406">
            <w:pPr>
              <w:widowControl/>
              <w:spacing w:line="360" w:lineRule="auto"/>
              <w:ind w:firstLine="480" w:firstLineChars="200"/>
              <w:rPr>
                <w:rFonts w:ascii="仿宋_GB2312" w:hAnsi="仿宋" w:eastAsia="仿宋_GB2312" w:cs="宋体"/>
                <w:color w:val="auto"/>
                <w:sz w:val="24"/>
                <w:highlight w:val="none"/>
              </w:rPr>
            </w:pPr>
            <w:r>
              <w:rPr>
                <w:rFonts w:hint="eastAsia" w:ascii="仿宋_GB2312" w:hAnsi="仿宋" w:eastAsia="仿宋_GB2312" w:cs="宋体"/>
                <w:color w:val="auto"/>
                <w:sz w:val="24"/>
                <w:highlight w:val="none"/>
              </w:rPr>
              <w:t>5.</w:t>
            </w:r>
            <w:r>
              <w:rPr>
                <w:rFonts w:hint="eastAsia" w:ascii="仿宋_GB2312" w:hAnsi="仿宋" w:eastAsia="仿宋_GB2312" w:cs="仿宋_GB2312"/>
                <w:color w:val="auto"/>
                <w:sz w:val="24"/>
                <w:highlight w:val="none"/>
              </w:rPr>
              <w:t>辽宁政府采购网新增评标辅助工具，评标开始时，首先检测上传投标（响应）文件的多家供应商IP重复等围标或串标违规线索信息。如系统检测出上述情况，造成的一切不良后果由供应商自行承担。</w:t>
            </w:r>
          </w:p>
          <w:p w14:paraId="4E466248">
            <w:pPr>
              <w:widowControl/>
              <w:spacing w:line="360" w:lineRule="auto"/>
              <w:ind w:firstLine="480" w:firstLineChars="200"/>
              <w:rPr>
                <w:rFonts w:ascii="仿宋_GB2312" w:hAnsi="仿宋" w:eastAsia="仿宋_GB2312" w:cs="宋体"/>
                <w:color w:val="auto"/>
                <w:sz w:val="24"/>
                <w:highlight w:val="none"/>
              </w:rPr>
            </w:pPr>
            <w:r>
              <w:rPr>
                <w:rFonts w:hint="eastAsia" w:ascii="仿宋_GB2312" w:hAnsi="仿宋" w:eastAsia="仿宋_GB2312" w:cs="宋体"/>
                <w:color w:val="auto"/>
                <w:sz w:val="24"/>
                <w:highlight w:val="none"/>
              </w:rPr>
              <w:t>6.在电子化开评标过程中出现的其他特殊情况及其他未尽事宜，按财政厅最新文件执行。</w:t>
            </w:r>
          </w:p>
          <w:p w14:paraId="2FB18DE9">
            <w:pPr>
              <w:widowControl/>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注：</w:t>
            </w:r>
            <w:r>
              <w:rPr>
                <w:rFonts w:hint="eastAsia" w:ascii="仿宋_GB2312" w:hAnsi="仿宋" w:eastAsia="仿宋_GB2312" w:cs="宋体"/>
                <w:color w:val="auto"/>
                <w:sz w:val="24"/>
                <w:highlight w:val="none"/>
              </w:rPr>
              <w:t>供应商</w:t>
            </w:r>
            <w:r>
              <w:rPr>
                <w:rFonts w:hint="eastAsia" w:ascii="仿宋_GB2312" w:hAnsi="仿宋" w:eastAsia="仿宋_GB2312" w:cs="仿宋_GB2312"/>
                <w:color w:val="auto"/>
                <w:sz w:val="24"/>
                <w:highlight w:val="none"/>
              </w:rPr>
              <w:t>在投标的全过程中要随时关注辽宁政府采购网，及时获取相关信息，否则由此造成的一切后果，由</w:t>
            </w:r>
            <w:r>
              <w:rPr>
                <w:rFonts w:hint="eastAsia" w:ascii="仿宋_GB2312" w:hAnsi="仿宋" w:eastAsia="仿宋_GB2312" w:cs="宋体"/>
                <w:color w:val="auto"/>
                <w:sz w:val="24"/>
                <w:highlight w:val="none"/>
              </w:rPr>
              <w:t>供应商</w:t>
            </w:r>
            <w:r>
              <w:rPr>
                <w:rFonts w:hint="eastAsia" w:ascii="仿宋_GB2312" w:hAnsi="仿宋" w:eastAsia="仿宋_GB2312" w:cs="仿宋_GB2312"/>
                <w:color w:val="auto"/>
                <w:sz w:val="24"/>
                <w:highlight w:val="none"/>
              </w:rPr>
              <w:t>自行承担。</w:t>
            </w:r>
          </w:p>
          <w:p w14:paraId="05A655C8">
            <w:pPr>
              <w:widowControl/>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辽宁省政府采购网技术咨询电话：400-128-8588</w:t>
            </w:r>
          </w:p>
          <w:p w14:paraId="5FAC1C14">
            <w:pPr>
              <w:spacing w:line="360" w:lineRule="auto"/>
              <w:ind w:firstLine="540"/>
              <w:jc w:val="left"/>
              <w:rPr>
                <w:rFonts w:ascii="仿宋_GB2312" w:hAnsi="仿宋" w:eastAsia="仿宋_GB2312"/>
                <w:color w:val="auto"/>
                <w:kern w:val="0"/>
                <w:sz w:val="24"/>
                <w:highlight w:val="none"/>
              </w:rPr>
            </w:pPr>
            <w:r>
              <w:rPr>
                <w:rFonts w:hint="eastAsia" w:ascii="仿宋_GB2312" w:hAnsi="仿宋" w:eastAsia="仿宋_GB2312" w:cs="仿宋_GB2312"/>
                <w:color w:val="auto"/>
                <w:sz w:val="24"/>
                <w:highlight w:val="none"/>
              </w:rPr>
              <w:t>CA数字证书办理咨询电话：024-26206677或15640359297</w:t>
            </w:r>
          </w:p>
        </w:tc>
      </w:tr>
      <w:tr w14:paraId="12813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 w:hRule="atLeast"/>
        </w:trPr>
        <w:tc>
          <w:tcPr>
            <w:tcW w:w="959" w:type="dxa"/>
            <w:vAlign w:val="center"/>
          </w:tcPr>
          <w:p w14:paraId="1FBED9FD">
            <w:pPr>
              <w:widowControl/>
              <w:snapToGrid w:val="0"/>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补充</w:t>
            </w:r>
          </w:p>
          <w:p w14:paraId="6353ED27">
            <w:pPr>
              <w:widowControl/>
              <w:snapToGrid w:val="0"/>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说明2</w:t>
            </w:r>
          </w:p>
        </w:tc>
        <w:tc>
          <w:tcPr>
            <w:tcW w:w="1762" w:type="dxa"/>
            <w:vAlign w:val="center"/>
          </w:tcPr>
          <w:p w14:paraId="4EC85DA8">
            <w:pPr>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采购标的对应的中小企业划分标准所属</w:t>
            </w:r>
          </w:p>
          <w:p w14:paraId="3E5285D9">
            <w:pPr>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行业</w:t>
            </w:r>
          </w:p>
        </w:tc>
        <w:tc>
          <w:tcPr>
            <w:tcW w:w="6068" w:type="dxa"/>
            <w:vAlign w:val="center"/>
          </w:tcPr>
          <w:p w14:paraId="476499B4">
            <w:pPr>
              <w:widowControl/>
              <w:snapToGrid w:val="0"/>
              <w:spacing w:line="360" w:lineRule="auto"/>
              <w:ind w:firstLine="480" w:firstLineChars="200"/>
              <w:rPr>
                <w:rFonts w:ascii="仿宋_GB2312" w:hAnsi="仿宋_GB2312" w:eastAsia="仿宋_GB2312" w:cs="仿宋_GB2312"/>
                <w:color w:val="auto"/>
                <w:sz w:val="24"/>
                <w:highlight w:val="none"/>
                <w:shd w:val="clear" w:color="auto" w:fill="FFFFFF"/>
              </w:rPr>
            </w:pPr>
            <w:r>
              <w:rPr>
                <w:rFonts w:hint="eastAsia" w:ascii="仿宋_GB2312" w:hAnsi="仿宋_GB2312" w:eastAsia="仿宋_GB2312" w:cs="仿宋_GB2312"/>
                <w:color w:val="auto"/>
                <w:sz w:val="24"/>
                <w:highlight w:val="none"/>
                <w:shd w:val="clear" w:color="auto" w:fill="FFFFFF"/>
              </w:rPr>
              <w:t>本项目中小企业划分标准所属行业为</w:t>
            </w:r>
            <w:r>
              <w:rPr>
                <w:rFonts w:hint="eastAsia" w:ascii="仿宋_GB2312" w:hAnsi="仿宋_GB2312" w:eastAsia="仿宋_GB2312" w:cs="仿宋_GB2312"/>
                <w:b/>
                <w:bCs/>
                <w:color w:val="auto"/>
                <w:sz w:val="24"/>
                <w:highlight w:val="none"/>
                <w:shd w:val="clear" w:color="auto" w:fill="FFFFFF"/>
              </w:rPr>
              <w:t>“工业（包括采矿业，制造业，电力、热力、燃气及水生产和供应业）”</w:t>
            </w:r>
            <w:r>
              <w:rPr>
                <w:rFonts w:hint="eastAsia" w:ascii="仿宋_GB2312" w:hAnsi="仿宋_GB2312" w:eastAsia="仿宋_GB2312" w:cs="仿宋_GB2312"/>
                <w:color w:val="auto"/>
                <w:sz w:val="24"/>
                <w:highlight w:val="none"/>
                <w:shd w:val="clear" w:color="auto" w:fill="FFFFFF"/>
              </w:rPr>
              <w:t>根据《工业和信息化部 统计局 发展改革委 财政部关于印发中小企业划型标准规定的通知》（工信部联企业〔2011〕300号）规定：</w:t>
            </w:r>
          </w:p>
          <w:p w14:paraId="561C89D2">
            <w:pPr>
              <w:widowControl/>
              <w:snapToGrid w:val="0"/>
              <w:spacing w:line="360" w:lineRule="auto"/>
              <w:ind w:firstLine="480" w:firstLineChars="200"/>
              <w:rPr>
                <w:rFonts w:ascii="仿宋_GB2312" w:hAnsi="仿宋" w:eastAsia="仿宋_GB2312"/>
                <w:color w:val="auto"/>
                <w:kern w:val="0"/>
                <w:sz w:val="24"/>
                <w:highlight w:val="none"/>
              </w:rPr>
            </w:pPr>
            <w:r>
              <w:rPr>
                <w:rFonts w:hint="eastAsia" w:ascii="仿宋_GB2312" w:hAnsi="仿宋_GB2312" w:eastAsia="仿宋_GB2312" w:cs="仿宋_GB2312"/>
                <w:b/>
                <w:bCs/>
                <w:color w:val="auto"/>
                <w:sz w:val="24"/>
                <w:highlight w:val="none"/>
                <w:shd w:val="clear" w:color="auto" w:fill="FFFFFF"/>
              </w:rPr>
              <w:t>工业（包括采矿业，制造业，电力、热力、燃气及水生产和供应业）：</w:t>
            </w:r>
            <w:r>
              <w:rPr>
                <w:rFonts w:hint="eastAsia" w:ascii="仿宋_GB2312" w:hAnsi="仿宋_GB2312" w:eastAsia="仿宋_GB2312" w:cs="仿宋_GB2312"/>
                <w:color w:val="auto"/>
                <w:sz w:val="24"/>
                <w:highlight w:val="none"/>
                <w:shd w:val="clear" w:color="auto" w:fill="FFFFFF"/>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02FA0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trPr>
        <w:tc>
          <w:tcPr>
            <w:tcW w:w="959" w:type="dxa"/>
            <w:vAlign w:val="center"/>
          </w:tcPr>
          <w:p w14:paraId="7CA78702">
            <w:pPr>
              <w:widowControl/>
              <w:snapToGrid w:val="0"/>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补充</w:t>
            </w:r>
          </w:p>
          <w:p w14:paraId="2C779FE5">
            <w:pPr>
              <w:widowControl/>
              <w:snapToGrid w:val="0"/>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说明3</w:t>
            </w:r>
          </w:p>
        </w:tc>
        <w:tc>
          <w:tcPr>
            <w:tcW w:w="1762" w:type="dxa"/>
            <w:vAlign w:val="center"/>
          </w:tcPr>
          <w:p w14:paraId="5CD8DCBE">
            <w:pPr>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计分原则</w:t>
            </w:r>
          </w:p>
        </w:tc>
        <w:tc>
          <w:tcPr>
            <w:tcW w:w="6068" w:type="dxa"/>
            <w:vAlign w:val="center"/>
          </w:tcPr>
          <w:p w14:paraId="419C3057">
            <w:pPr>
              <w:widowControl/>
              <w:snapToGrid w:val="0"/>
              <w:spacing w:before="156" w:beforeLines="50" w:line="360" w:lineRule="auto"/>
              <w:ind w:firstLine="480" w:firstLineChars="200"/>
              <w:jc w:val="left"/>
              <w:rPr>
                <w:rFonts w:ascii="仿宋_GB2312" w:hAnsi="仿宋" w:eastAsia="仿宋_GB2312"/>
                <w:color w:val="auto"/>
                <w:kern w:val="0"/>
                <w:sz w:val="24"/>
                <w:highlight w:val="none"/>
              </w:rPr>
            </w:pPr>
            <w:r>
              <w:rPr>
                <w:rFonts w:hint="eastAsia" w:ascii="仿宋_GB2312" w:hAnsi="仿宋" w:eastAsia="仿宋_GB2312"/>
                <w:color w:val="auto"/>
                <w:kern w:val="0"/>
                <w:sz w:val="24"/>
                <w:highlight w:val="none"/>
              </w:rPr>
              <w:t>评标委员会依照评标方法对每个有效投标文件进行打分。所有评标委员打分的算术平均值为投标人的最终得分（得分按四舍五入方式保留小数点后二位）。</w:t>
            </w:r>
          </w:p>
        </w:tc>
      </w:tr>
    </w:tbl>
    <w:p w14:paraId="4C87383E">
      <w:pPr>
        <w:rPr>
          <w:rFonts w:ascii="仿宋_GB2312" w:hAnsi="仿宋" w:eastAsia="仿宋_GB2312" w:cs="仿宋_GB2312"/>
          <w:color w:val="auto"/>
          <w:highlight w:val="none"/>
        </w:rPr>
      </w:pPr>
      <w:r>
        <w:rPr>
          <w:rFonts w:hint="eastAsia" w:ascii="仿宋_GB2312" w:hAnsi="仿宋_GB2312" w:eastAsia="仿宋_GB2312" w:cs="仿宋_GB2312"/>
          <w:color w:val="auto"/>
          <w:sz w:val="24"/>
          <w:highlight w:val="none"/>
        </w:rPr>
        <w:t>注：表格中“</w:t>
      </w:r>
      <w:r>
        <w:rPr>
          <w:rFonts w:hint="eastAsia" w:ascii="仿宋_GB2312" w:hAnsi="仿宋_GB2312" w:eastAsia="仿宋_GB2312" w:cs="仿宋_GB2312"/>
          <w:color w:val="auto"/>
          <w:sz w:val="24"/>
          <w:highlight w:val="none"/>
        </w:rPr>
        <w:sym w:font="Wingdings 2" w:char="0052"/>
      </w:r>
      <w:r>
        <w:rPr>
          <w:rFonts w:hint="eastAsia" w:ascii="仿宋_GB2312" w:hAnsi="仿宋_GB2312" w:eastAsia="仿宋_GB2312" w:cs="仿宋_GB2312"/>
          <w:color w:val="auto"/>
          <w:sz w:val="24"/>
          <w:highlight w:val="none"/>
        </w:rPr>
        <w:t>”项或“■”项为被选中项。</w:t>
      </w:r>
    </w:p>
    <w:p w14:paraId="73172DA4">
      <w:pPr>
        <w:pStyle w:val="3"/>
        <w:adjustRightInd w:val="0"/>
        <w:snapToGrid w:val="0"/>
        <w:spacing w:before="0" w:after="0" w:line="360" w:lineRule="auto"/>
        <w:rPr>
          <w:rFonts w:ascii="仿宋_GB2312" w:hAnsi="仿宋" w:eastAsia="仿宋_GB2312" w:cs="仿宋_GB2312"/>
          <w:color w:val="auto"/>
          <w:sz w:val="32"/>
          <w:szCs w:val="36"/>
          <w:highlight w:val="none"/>
        </w:rPr>
      </w:pPr>
      <w:r>
        <w:rPr>
          <w:rFonts w:hint="eastAsia" w:ascii="仿宋_GB2312" w:hAnsi="仿宋" w:eastAsia="仿宋_GB2312" w:cs="仿宋_GB2312"/>
          <w:color w:val="auto"/>
          <w:sz w:val="21"/>
          <w:szCs w:val="21"/>
          <w:highlight w:val="none"/>
        </w:rPr>
        <w:br w:type="page"/>
      </w:r>
      <w:bookmarkStart w:id="40" w:name="_Toc30384_WPSOffice_Level2"/>
      <w:r>
        <w:rPr>
          <w:rFonts w:hint="eastAsia" w:ascii="仿宋_GB2312" w:hAnsi="仿宋" w:eastAsia="仿宋_GB2312" w:cs="仿宋_GB2312"/>
          <w:color w:val="auto"/>
          <w:sz w:val="32"/>
          <w:szCs w:val="36"/>
          <w:highlight w:val="none"/>
        </w:rPr>
        <w:t>二 总则</w:t>
      </w:r>
      <w:bookmarkEnd w:id="40"/>
    </w:p>
    <w:p w14:paraId="47C0DDEE">
      <w:pPr>
        <w:adjustRightInd w:val="0"/>
        <w:snapToGrid w:val="0"/>
        <w:spacing w:line="360" w:lineRule="auto"/>
        <w:ind w:firstLine="480" w:firstLineChars="200"/>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1.采购人、采购组织机构及投标人</w:t>
      </w:r>
    </w:p>
    <w:p w14:paraId="0F10C781">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1.1采购人：是指依法进行政府采购的国家机关、事业单位、团体组织。本项目采购人见投标人须知表1.1款。</w:t>
      </w:r>
    </w:p>
    <w:p w14:paraId="67BFA8F7">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1.2采购组织机构：是指集中采购机构或从事采购代理业务的社会中介机构，本项目的采购组织机构见投标人须知表1.2款。</w:t>
      </w:r>
    </w:p>
    <w:p w14:paraId="3C15D365">
      <w:pPr>
        <w:adjustRightInd w:val="0"/>
        <w:snapToGrid w:val="0"/>
        <w:spacing w:line="360" w:lineRule="auto"/>
        <w:ind w:firstLine="240" w:firstLineChars="1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★1.3投标人：是指向采购人提供货物、工程或者服务的法人、非法人组织或者自然人。本项目的投标人及其投标货物须满足以下条件：</w:t>
      </w:r>
    </w:p>
    <w:p w14:paraId="6DC4469C">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1.3.1在中华人民共和国境内注册，能够独立承担民事责任，有生产或供应能力的本国投标人。</w:t>
      </w:r>
    </w:p>
    <w:p w14:paraId="482075ED">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1.3.2符合《中华人民共和国政府采购法》第二十二条关于供应商条件的规定，遵守本项目采购人本级和上级财政部门关于政府采购的有关规定。</w:t>
      </w:r>
    </w:p>
    <w:p w14:paraId="439D70C8">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1.3.3以采购组织机构认可的方式获得了本项目的招标文件。</w:t>
      </w:r>
    </w:p>
    <w:p w14:paraId="78B4BF46">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1.3.4符合投标人须知表1.3.4款中规定的资格条件。</w:t>
      </w:r>
    </w:p>
    <w:p w14:paraId="1B51AD28">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1.3.5若投标人须知表1.3.5款中写明允许采购进口产品（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认定为进口产品），投标人应保证所投进口产品可履行合法报通关手续进入中国关境内，但不限制满足招标文件要求的国内产品参与投标。</w:t>
      </w:r>
    </w:p>
    <w:p w14:paraId="0EDC544F">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若投标人须知表1.3.5款中未写明允许采购进口产品，如投标人所投产品为进口产品，其投标将被认定为</w:t>
      </w:r>
      <w:r>
        <w:rPr>
          <w:rFonts w:hint="eastAsia" w:ascii="仿宋_GB2312" w:hAnsi="仿宋" w:eastAsia="仿宋_GB2312" w:cs="仿宋_GB2312"/>
          <w:b/>
          <w:bCs/>
          <w:color w:val="auto"/>
          <w:sz w:val="24"/>
          <w:highlight w:val="none"/>
        </w:rPr>
        <w:t>投标无效</w:t>
      </w:r>
      <w:r>
        <w:rPr>
          <w:rFonts w:hint="eastAsia" w:ascii="仿宋_GB2312" w:hAnsi="仿宋" w:eastAsia="仿宋_GB2312" w:cs="仿宋_GB2312"/>
          <w:color w:val="auto"/>
          <w:sz w:val="24"/>
          <w:highlight w:val="none"/>
        </w:rPr>
        <w:t>。</w:t>
      </w:r>
    </w:p>
    <w:p w14:paraId="04C3A7FB">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1.3.6若投标人须知表1.3.6款中写明专门面向中小企业采购的，如投标人为非中小企业且所投产品为非中小企业产品，其投标将被认定为</w:t>
      </w:r>
      <w:r>
        <w:rPr>
          <w:rFonts w:hint="eastAsia" w:ascii="仿宋_GB2312" w:hAnsi="仿宋" w:eastAsia="仿宋_GB2312" w:cs="仿宋_GB2312"/>
          <w:b/>
          <w:bCs/>
          <w:color w:val="auto"/>
          <w:sz w:val="24"/>
          <w:highlight w:val="none"/>
        </w:rPr>
        <w:t>投标无效</w:t>
      </w:r>
      <w:r>
        <w:rPr>
          <w:rFonts w:hint="eastAsia" w:ascii="仿宋_GB2312" w:hAnsi="仿宋" w:eastAsia="仿宋_GB2312" w:cs="仿宋_GB2312"/>
          <w:color w:val="auto"/>
          <w:sz w:val="24"/>
          <w:highlight w:val="none"/>
        </w:rPr>
        <w:t>。</w:t>
      </w:r>
    </w:p>
    <w:p w14:paraId="5D930A7D">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1.3.7若投标人须知表1.3.7款中写明采购的产品属于实施政府强制采购范围的节能产品，如投标人所投产品不具备依据国家确定的认证机构出具的、处于有效期之内的节能产品认证证书，其投标将被认定为</w:t>
      </w:r>
      <w:r>
        <w:rPr>
          <w:rFonts w:hint="eastAsia" w:ascii="仿宋_GB2312" w:hAnsi="仿宋" w:eastAsia="仿宋_GB2312" w:cs="仿宋_GB2312"/>
          <w:b/>
          <w:bCs/>
          <w:color w:val="auto"/>
          <w:sz w:val="24"/>
          <w:highlight w:val="none"/>
        </w:rPr>
        <w:t>投标无效</w:t>
      </w:r>
      <w:r>
        <w:rPr>
          <w:rFonts w:hint="eastAsia" w:ascii="仿宋_GB2312" w:hAnsi="仿宋" w:eastAsia="仿宋_GB2312" w:cs="仿宋_GB2312"/>
          <w:color w:val="auto"/>
          <w:sz w:val="24"/>
          <w:highlight w:val="none"/>
        </w:rPr>
        <w:t>。</w:t>
      </w:r>
    </w:p>
    <w:p w14:paraId="0C49D23F">
      <w:pPr>
        <w:adjustRightInd w:val="0"/>
        <w:snapToGrid w:val="0"/>
        <w:spacing w:line="360" w:lineRule="auto"/>
        <w:ind w:firstLine="240" w:firstLineChars="1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★1.4如投标人须知表1.4款中允许联合体投标，对联合体规定如下：</w:t>
      </w:r>
    </w:p>
    <w:p w14:paraId="18326384">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1.4.1两个以上投标人可以组成一个投标联合体，以一个投标人的身份投标。</w:t>
      </w:r>
    </w:p>
    <w:p w14:paraId="71D56108">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1.4.2联合体各方均应符合《中华人民共和国政府采购法》第二十二条规定的条件。</w:t>
      </w:r>
    </w:p>
    <w:p w14:paraId="341B3EB1">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1.4.3采购人根据采购项目对投标人的特殊要求，联合体中至少应当有一方符合相关规定。</w:t>
      </w:r>
    </w:p>
    <w:p w14:paraId="6EF654B0">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1.4.4联合体各方应签订共同投标协议，明确约定联合体各方承担的工作和相应的责任。</w:t>
      </w:r>
    </w:p>
    <w:p w14:paraId="68DAC0C2">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1.4.5大中型企业、其他自然人、法人或者非法人组织与小型、微型企业组成联合体共同参加投标，共同投标协议中应写明小型、微型企业的协议合同金额占到共同投标协议投标总金额的比例。</w:t>
      </w:r>
    </w:p>
    <w:p w14:paraId="5680C684">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1.4.6联合体中有同类资质的投标人按照联合体分工承担相同工作的，按照较低的资质等级确定联合体的资质等级。</w:t>
      </w:r>
    </w:p>
    <w:p w14:paraId="43DDA985">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1.4.7以联合体形式参加政府采购活动的，联合体各方不得再单独参加或者与其他投标人另外组成联合体参加本项目投标，否则相关投标将被认定为</w:t>
      </w:r>
      <w:r>
        <w:rPr>
          <w:rFonts w:hint="eastAsia" w:ascii="仿宋_GB2312" w:hAnsi="仿宋" w:eastAsia="仿宋_GB2312" w:cs="仿宋_GB2312"/>
          <w:b/>
          <w:bCs/>
          <w:color w:val="auto"/>
          <w:sz w:val="24"/>
          <w:highlight w:val="none"/>
        </w:rPr>
        <w:t>投标无效</w:t>
      </w:r>
      <w:r>
        <w:rPr>
          <w:rFonts w:hint="eastAsia" w:ascii="仿宋_GB2312" w:hAnsi="仿宋" w:eastAsia="仿宋_GB2312" w:cs="仿宋_GB2312"/>
          <w:color w:val="auto"/>
          <w:sz w:val="24"/>
          <w:highlight w:val="none"/>
        </w:rPr>
        <w:t>。</w:t>
      </w:r>
    </w:p>
    <w:p w14:paraId="7EF231B3">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（1）两个以上的自然人、法人或者其他组织可以组成一个联合体，以一个投标人的身份共同参加政府采购活动。</w:t>
      </w:r>
    </w:p>
    <w:p w14:paraId="553304FE">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（2）联合体中标的，联合体各方应共同与采购人签订采购合同，就采购合同约定的事项对采购人承担连带责任。</w:t>
      </w:r>
    </w:p>
    <w:p w14:paraId="21083B0F">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1.4.8对联合体投标的其他资格要求见投标人须知表1.4.8款。</w:t>
      </w:r>
    </w:p>
    <w:p w14:paraId="08519C8C">
      <w:pPr>
        <w:adjustRightInd w:val="0"/>
        <w:snapToGrid w:val="0"/>
        <w:spacing w:line="360" w:lineRule="auto"/>
        <w:ind w:firstLine="240" w:firstLineChars="1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★1.5单位负责人为同一人或者存在直接控股、管理关系的不同供应商，其相关投标将被认定为</w:t>
      </w:r>
      <w:r>
        <w:rPr>
          <w:rFonts w:hint="eastAsia" w:ascii="仿宋_GB2312" w:hAnsi="仿宋" w:eastAsia="仿宋_GB2312" w:cs="仿宋_GB2312"/>
          <w:b/>
          <w:bCs/>
          <w:color w:val="auto"/>
          <w:sz w:val="24"/>
          <w:highlight w:val="none"/>
        </w:rPr>
        <w:t>投标无效</w:t>
      </w:r>
      <w:r>
        <w:rPr>
          <w:rFonts w:hint="eastAsia" w:ascii="仿宋_GB2312" w:hAnsi="仿宋" w:eastAsia="仿宋_GB2312" w:cs="仿宋_GB2312"/>
          <w:color w:val="auto"/>
          <w:sz w:val="24"/>
          <w:highlight w:val="none"/>
        </w:rPr>
        <w:t>。</w:t>
      </w:r>
    </w:p>
    <w:p w14:paraId="7695EA50">
      <w:pPr>
        <w:adjustRightInd w:val="0"/>
        <w:snapToGrid w:val="0"/>
        <w:spacing w:line="360" w:lineRule="auto"/>
        <w:ind w:firstLine="240" w:firstLineChars="1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★1.6为本项目提供过整体设计、规范编制或者项目管理、监理、检测等服务的供应商，不得再参加本项目上述服务以外的其他采购活动，否则其投标将被认定为</w:t>
      </w:r>
      <w:r>
        <w:rPr>
          <w:rFonts w:hint="eastAsia" w:ascii="仿宋_GB2312" w:hAnsi="仿宋" w:eastAsia="仿宋_GB2312" w:cs="仿宋_GB2312"/>
          <w:b/>
          <w:bCs/>
          <w:color w:val="auto"/>
          <w:sz w:val="24"/>
          <w:highlight w:val="none"/>
        </w:rPr>
        <w:t>投标无效</w:t>
      </w:r>
      <w:r>
        <w:rPr>
          <w:rFonts w:hint="eastAsia" w:ascii="仿宋_GB2312" w:hAnsi="仿宋" w:eastAsia="仿宋_GB2312" w:cs="仿宋_GB2312"/>
          <w:color w:val="auto"/>
          <w:sz w:val="24"/>
          <w:highlight w:val="none"/>
        </w:rPr>
        <w:t>。</w:t>
      </w:r>
    </w:p>
    <w:p w14:paraId="42B00E64">
      <w:pPr>
        <w:adjustRightInd w:val="0"/>
        <w:snapToGrid w:val="0"/>
        <w:spacing w:line="360" w:lineRule="auto"/>
        <w:ind w:firstLine="240" w:firstLineChars="1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★1.7投标人在投标过程中不得向采购人提供、给予任何有价值的物品，影响其正常决策行为。一经发现，其将被认定为</w:t>
      </w:r>
      <w:r>
        <w:rPr>
          <w:rFonts w:hint="eastAsia" w:ascii="仿宋_GB2312" w:hAnsi="仿宋" w:eastAsia="仿宋_GB2312" w:cs="仿宋_GB2312"/>
          <w:b/>
          <w:bCs/>
          <w:color w:val="auto"/>
          <w:sz w:val="24"/>
          <w:highlight w:val="none"/>
        </w:rPr>
        <w:t>投标无效</w:t>
      </w:r>
      <w:r>
        <w:rPr>
          <w:rFonts w:hint="eastAsia" w:ascii="仿宋_GB2312" w:hAnsi="仿宋" w:eastAsia="仿宋_GB2312" w:cs="仿宋_GB2312"/>
          <w:color w:val="auto"/>
          <w:sz w:val="24"/>
          <w:highlight w:val="none"/>
        </w:rPr>
        <w:t>。</w:t>
      </w:r>
    </w:p>
    <w:p w14:paraId="79E33F15">
      <w:pPr>
        <w:adjustRightInd w:val="0"/>
        <w:snapToGrid w:val="0"/>
        <w:spacing w:line="360" w:lineRule="auto"/>
        <w:ind w:firstLine="480" w:firstLineChars="200"/>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2.资金来源</w:t>
      </w:r>
    </w:p>
    <w:p w14:paraId="7E6E8418">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2.1本项目的采购人已获得足以支付本次招标后所签订的合同项下的资金（包括财政性资金和本项目采购中无法与财政性资金分割的非财政性资金）。</w:t>
      </w:r>
    </w:p>
    <w:p w14:paraId="4307D797">
      <w:pPr>
        <w:adjustRightInd w:val="0"/>
        <w:snapToGrid w:val="0"/>
        <w:spacing w:line="360" w:lineRule="auto"/>
        <w:ind w:firstLine="240" w:firstLineChars="100"/>
        <w:rPr>
          <w:rFonts w:ascii="仿宋_GB2312" w:hAnsi="仿宋" w:eastAsia="仿宋_GB2312" w:cs="仿宋_GB2312"/>
          <w:color w:val="auto"/>
          <w:sz w:val="24"/>
          <w:highlight w:val="none"/>
        </w:rPr>
      </w:pPr>
      <w:r>
        <w:rPr>
          <w:rFonts w:hint="eastAsia" w:ascii="仿宋_GB2312" w:hAnsi="仿宋" w:eastAsia="仿宋_GB2312" w:cs="仿宋_GB2312"/>
          <w:b/>
          <w:bCs/>
          <w:color w:val="auto"/>
          <w:sz w:val="24"/>
          <w:highlight w:val="none"/>
        </w:rPr>
        <w:t>★</w:t>
      </w:r>
      <w:r>
        <w:rPr>
          <w:rFonts w:hint="eastAsia" w:ascii="仿宋_GB2312" w:hAnsi="仿宋" w:eastAsia="仿宋_GB2312" w:cs="仿宋_GB2312"/>
          <w:color w:val="auto"/>
          <w:sz w:val="24"/>
          <w:highlight w:val="none"/>
        </w:rPr>
        <w:t>2.2项目预算金额和分项或分包最高限价见投标人须知表2.2款。</w:t>
      </w:r>
    </w:p>
    <w:p w14:paraId="2EC7BADB">
      <w:pPr>
        <w:adjustRightInd w:val="0"/>
        <w:snapToGrid w:val="0"/>
        <w:spacing w:line="360" w:lineRule="auto"/>
        <w:ind w:firstLine="240" w:firstLineChars="100"/>
        <w:rPr>
          <w:rFonts w:ascii="仿宋_GB2312" w:hAnsi="仿宋" w:eastAsia="仿宋_GB2312" w:cs="仿宋_GB2312"/>
          <w:color w:val="auto"/>
          <w:sz w:val="24"/>
          <w:highlight w:val="none"/>
        </w:rPr>
      </w:pPr>
      <w:r>
        <w:rPr>
          <w:rFonts w:hint="eastAsia" w:ascii="仿宋_GB2312" w:hAnsi="仿宋" w:eastAsia="仿宋_GB2312" w:cs="仿宋_GB2312"/>
          <w:b/>
          <w:bCs/>
          <w:color w:val="auto"/>
          <w:sz w:val="24"/>
          <w:highlight w:val="none"/>
        </w:rPr>
        <w:t>★</w:t>
      </w:r>
      <w:r>
        <w:rPr>
          <w:rFonts w:hint="eastAsia" w:ascii="仿宋_GB2312" w:hAnsi="仿宋" w:eastAsia="仿宋_GB2312" w:cs="仿宋_GB2312"/>
          <w:color w:val="auto"/>
          <w:sz w:val="24"/>
          <w:highlight w:val="none"/>
        </w:rPr>
        <w:t>2.3投标人报价超过招标文件规定的预算金额或者分项、分包最高限价的，其投标将被认定为</w:t>
      </w:r>
      <w:r>
        <w:rPr>
          <w:rFonts w:hint="eastAsia" w:ascii="仿宋_GB2312" w:hAnsi="仿宋" w:eastAsia="仿宋_GB2312" w:cs="仿宋_GB2312"/>
          <w:b/>
          <w:bCs/>
          <w:color w:val="auto"/>
          <w:sz w:val="24"/>
          <w:highlight w:val="none"/>
        </w:rPr>
        <w:t>投标无效</w:t>
      </w:r>
      <w:r>
        <w:rPr>
          <w:rFonts w:hint="eastAsia" w:ascii="仿宋_GB2312" w:hAnsi="仿宋" w:eastAsia="仿宋_GB2312" w:cs="仿宋_GB2312"/>
          <w:color w:val="auto"/>
          <w:sz w:val="24"/>
          <w:highlight w:val="none"/>
        </w:rPr>
        <w:t>。</w:t>
      </w:r>
    </w:p>
    <w:p w14:paraId="17541118">
      <w:pPr>
        <w:adjustRightInd w:val="0"/>
        <w:snapToGrid w:val="0"/>
        <w:spacing w:line="360" w:lineRule="auto"/>
        <w:ind w:firstLine="480" w:firstLineChars="200"/>
        <w:rPr>
          <w:rFonts w:ascii="仿宋_GB2312" w:hAnsi="仿宋" w:eastAsia="仿宋_GB2312" w:cs="仿宋_GB2312"/>
          <w:b/>
          <w:bCs/>
          <w:color w:val="auto"/>
          <w:sz w:val="24"/>
          <w:highlight w:val="none"/>
        </w:rPr>
      </w:pPr>
      <w:bookmarkStart w:id="41" w:name="_Toc266951048"/>
      <w:r>
        <w:rPr>
          <w:rFonts w:hint="eastAsia" w:ascii="仿宋_GB2312" w:hAnsi="仿宋" w:eastAsia="仿宋_GB2312" w:cs="仿宋_GB2312"/>
          <w:b/>
          <w:bCs/>
          <w:color w:val="auto"/>
          <w:sz w:val="24"/>
          <w:highlight w:val="none"/>
        </w:rPr>
        <w:t>3.语言文字</w:t>
      </w:r>
      <w:bookmarkEnd w:id="41"/>
    </w:p>
    <w:p w14:paraId="4691F45F">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除专用术语外，与投标有关的语言均使用中文。必要时专用术语应附有中文注释。对不同文字文本投标文件的解释发生异议的，以中文文本为准。</w:t>
      </w:r>
    </w:p>
    <w:p w14:paraId="436F1F00">
      <w:pPr>
        <w:adjustRightInd w:val="0"/>
        <w:snapToGrid w:val="0"/>
        <w:spacing w:line="360" w:lineRule="auto"/>
        <w:ind w:firstLine="240" w:firstLineChars="100"/>
        <w:rPr>
          <w:rFonts w:ascii="仿宋_GB2312" w:hAnsi="仿宋" w:eastAsia="仿宋_GB2312" w:cs="仿宋_GB2312"/>
          <w:b/>
          <w:bCs/>
          <w:color w:val="auto"/>
          <w:sz w:val="24"/>
          <w:highlight w:val="none"/>
        </w:rPr>
      </w:pPr>
      <w:bookmarkStart w:id="42" w:name="_1.8_计量单位"/>
      <w:bookmarkEnd w:id="42"/>
      <w:bookmarkStart w:id="43" w:name="_Toc266951049"/>
      <w:r>
        <w:rPr>
          <w:rFonts w:hint="eastAsia" w:ascii="仿宋_GB2312" w:hAnsi="仿宋" w:eastAsia="仿宋_GB2312" w:cs="仿宋_GB2312"/>
          <w:b/>
          <w:bCs/>
          <w:color w:val="auto"/>
          <w:sz w:val="24"/>
          <w:highlight w:val="none"/>
        </w:rPr>
        <w:t>★4.计量单位</w:t>
      </w:r>
      <w:bookmarkEnd w:id="43"/>
    </w:p>
    <w:p w14:paraId="3FEF3E7F">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除投标人须知表4款中有特殊要求外，投标文件中所使用的计量单位，应采用中华人民共和国法定计量单位。</w:t>
      </w:r>
    </w:p>
    <w:p w14:paraId="78436C75">
      <w:pPr>
        <w:adjustRightInd w:val="0"/>
        <w:snapToGrid w:val="0"/>
        <w:spacing w:line="360" w:lineRule="auto"/>
        <w:ind w:firstLine="240" w:firstLineChars="100"/>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★5.投标费用</w:t>
      </w:r>
    </w:p>
    <w:p w14:paraId="44D3767E">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不论投标的结果如何，投标人应承担所有与投标有关的费用。</w:t>
      </w:r>
    </w:p>
    <w:p w14:paraId="1EBBF83A">
      <w:pPr>
        <w:adjustRightInd w:val="0"/>
        <w:snapToGrid w:val="0"/>
        <w:spacing w:line="360" w:lineRule="auto"/>
        <w:ind w:firstLine="480" w:firstLineChars="200"/>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6.现场考察、开标前答疑会（本项目不适用）</w:t>
      </w:r>
    </w:p>
    <w:p w14:paraId="5F7961FA">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6.1</w:t>
      </w:r>
      <w:r>
        <w:rPr>
          <w:color w:val="auto"/>
          <w:highlight w:val="none"/>
        </w:rPr>
        <w:fldChar w:fldCharType="begin"/>
      </w:r>
      <w:r>
        <w:rPr>
          <w:color w:val="auto"/>
          <w:highlight w:val="none"/>
        </w:rPr>
        <w:instrText xml:space="preserve"> HYPERLINK \l "_踏勘现场" </w:instrText>
      </w:r>
      <w:r>
        <w:rPr>
          <w:color w:val="auto"/>
          <w:highlight w:val="none"/>
        </w:rPr>
        <w:fldChar w:fldCharType="separate"/>
      </w:r>
      <w:r>
        <w:rPr>
          <w:rFonts w:hint="eastAsia" w:ascii="仿宋_GB2312" w:hAnsi="仿宋" w:eastAsia="仿宋_GB2312" w:cs="仿宋_GB2312"/>
          <w:color w:val="auto"/>
          <w:sz w:val="24"/>
          <w:highlight w:val="none"/>
        </w:rPr>
        <w:t>投标人须知表</w:t>
      </w:r>
      <w:r>
        <w:rPr>
          <w:rFonts w:hint="eastAsia" w:ascii="仿宋_GB2312" w:hAnsi="仿宋" w:eastAsia="仿宋_GB2312" w:cs="仿宋_GB2312"/>
          <w:color w:val="auto"/>
          <w:sz w:val="24"/>
          <w:highlight w:val="none"/>
        </w:rPr>
        <w:fldChar w:fldCharType="end"/>
      </w:r>
      <w:r>
        <w:rPr>
          <w:rFonts w:hint="eastAsia" w:ascii="仿宋_GB2312" w:hAnsi="仿宋" w:eastAsia="仿宋_GB2312" w:cs="仿宋_GB2312"/>
          <w:color w:val="auto"/>
          <w:sz w:val="24"/>
          <w:highlight w:val="none"/>
        </w:rPr>
        <w:t>6.1款规定组织现场考察或开标前答疑会的，采购人按规定的时间、地点组织投标人现场考察或开标前答疑会，或者在领取招标文件期限截止后以书面形式通知所有获取招标文件的潜在投标人。</w:t>
      </w:r>
    </w:p>
    <w:p w14:paraId="1D62A3EE">
      <w:pPr>
        <w:adjustRightInd w:val="0"/>
        <w:snapToGrid w:val="0"/>
        <w:spacing w:line="360" w:lineRule="auto"/>
        <w:ind w:firstLine="480" w:firstLineChars="200"/>
        <w:rPr>
          <w:rFonts w:ascii="仿宋_GB2312" w:hAnsi="仿宋" w:eastAsia="仿宋_GB2312" w:cs="仿宋_GB2312"/>
          <w:b/>
          <w:bCs/>
          <w:color w:val="auto"/>
          <w:sz w:val="24"/>
          <w:highlight w:val="none"/>
        </w:rPr>
      </w:pPr>
      <w:bookmarkStart w:id="44" w:name="_1.10_投标预备会"/>
      <w:bookmarkEnd w:id="44"/>
      <w:r>
        <w:rPr>
          <w:rFonts w:hint="eastAsia" w:ascii="仿宋_GB2312" w:hAnsi="仿宋" w:eastAsia="仿宋_GB2312" w:cs="仿宋_GB2312"/>
          <w:color w:val="auto"/>
          <w:sz w:val="24"/>
          <w:highlight w:val="none"/>
        </w:rPr>
        <w:t>6.2</w:t>
      </w:r>
      <w:r>
        <w:rPr>
          <w:rFonts w:hint="eastAsia" w:ascii="仿宋_GB2312" w:hAnsi="仿宋" w:eastAsia="仿宋_GB2312" w:cs="仿宋_GB2312"/>
          <w:color w:val="auto"/>
          <w:kern w:val="0"/>
          <w:sz w:val="24"/>
          <w:highlight w:val="none"/>
        </w:rPr>
        <w:t>由于未参加现场考察或标前答疑而导致对项目实际情况不了解，影响技术文件编制、</w:t>
      </w:r>
      <w:r>
        <w:rPr>
          <w:color w:val="auto"/>
          <w:highlight w:val="none"/>
        </w:rPr>
        <w:fldChar w:fldCharType="begin"/>
      </w:r>
      <w:r>
        <w:rPr>
          <w:color w:val="auto"/>
          <w:highlight w:val="none"/>
        </w:rP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rPr>
          <w:color w:val="auto"/>
          <w:highlight w:val="none"/>
        </w:rPr>
        <w:fldChar w:fldCharType="separate"/>
      </w:r>
      <w:r>
        <w:rPr>
          <w:rFonts w:hint="eastAsia" w:ascii="仿宋_GB2312" w:hAnsi="仿宋" w:eastAsia="仿宋_GB2312" w:cs="仿宋_GB2312"/>
          <w:color w:val="auto"/>
          <w:kern w:val="0"/>
          <w:sz w:val="24"/>
          <w:highlight w:val="none"/>
        </w:rPr>
        <w:t>投标报价</w:t>
      </w:r>
      <w:r>
        <w:rPr>
          <w:rFonts w:hint="eastAsia" w:ascii="仿宋_GB2312" w:hAnsi="仿宋" w:eastAsia="仿宋_GB2312" w:cs="仿宋_GB2312"/>
          <w:color w:val="auto"/>
          <w:kern w:val="0"/>
          <w:sz w:val="24"/>
          <w:highlight w:val="none"/>
        </w:rPr>
        <w:fldChar w:fldCharType="end"/>
      </w:r>
      <w:r>
        <w:rPr>
          <w:rFonts w:hint="eastAsia" w:ascii="仿宋_GB2312" w:hAnsi="仿宋" w:eastAsia="仿宋_GB2312" w:cs="仿宋_GB2312"/>
          <w:color w:val="auto"/>
          <w:kern w:val="0"/>
          <w:sz w:val="24"/>
          <w:highlight w:val="none"/>
        </w:rPr>
        <w:t>准确性、综合因素响应不全面等问题的，由投标人自行承担相应后果。</w:t>
      </w:r>
    </w:p>
    <w:p w14:paraId="4BBA30AE">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6.3现场考察及参加标前答疑会所发生的费用及一切责任由投标人自行承担。</w:t>
      </w:r>
    </w:p>
    <w:p w14:paraId="7CA37FAC">
      <w:pPr>
        <w:adjustRightInd w:val="0"/>
        <w:snapToGrid w:val="0"/>
        <w:spacing w:line="360" w:lineRule="auto"/>
        <w:ind w:firstLine="480" w:firstLineChars="200"/>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7.适用法律</w:t>
      </w:r>
    </w:p>
    <w:p w14:paraId="21CFC6A4">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本项目的采购人、采购组织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14:paraId="214EE14D">
      <w:pPr>
        <w:pStyle w:val="3"/>
        <w:rPr>
          <w:rFonts w:ascii="仿宋_GB2312" w:hAnsi="仿宋" w:eastAsia="仿宋_GB2312" w:cs="仿宋_GB2312"/>
          <w:color w:val="auto"/>
          <w:sz w:val="32"/>
          <w:szCs w:val="28"/>
          <w:highlight w:val="none"/>
        </w:rPr>
      </w:pPr>
      <w:bookmarkStart w:id="45" w:name="_Toc10106_WPSOffice_Level2"/>
      <w:r>
        <w:rPr>
          <w:rFonts w:hint="eastAsia" w:ascii="仿宋_GB2312" w:hAnsi="仿宋" w:eastAsia="仿宋_GB2312" w:cs="仿宋_GB2312"/>
          <w:color w:val="auto"/>
          <w:sz w:val="32"/>
          <w:szCs w:val="28"/>
          <w:highlight w:val="none"/>
        </w:rPr>
        <w:t>三 招标文件</w:t>
      </w:r>
      <w:bookmarkEnd w:id="45"/>
    </w:p>
    <w:p w14:paraId="386348D6">
      <w:pPr>
        <w:tabs>
          <w:tab w:val="left" w:pos="312"/>
        </w:tabs>
        <w:adjustRightInd w:val="0"/>
        <w:snapToGrid w:val="0"/>
        <w:spacing w:line="360" w:lineRule="auto"/>
        <w:ind w:firstLine="480" w:firstLineChars="200"/>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8.招标文件构成</w:t>
      </w:r>
    </w:p>
    <w:p w14:paraId="62B44FAB">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8</w:t>
      </w:r>
      <w:r>
        <w:rPr>
          <w:rFonts w:ascii="仿宋_GB2312" w:hAnsi="仿宋" w:eastAsia="仿宋_GB2312" w:cs="仿宋_GB2312"/>
          <w:color w:val="auto"/>
          <w:sz w:val="24"/>
          <w:highlight w:val="none"/>
        </w:rPr>
        <w:t>.1</w:t>
      </w:r>
      <w:r>
        <w:rPr>
          <w:rFonts w:hint="eastAsia" w:ascii="仿宋_GB2312" w:hAnsi="仿宋" w:eastAsia="仿宋_GB2312" w:cs="仿宋_GB2312"/>
          <w:color w:val="auto"/>
          <w:sz w:val="24"/>
          <w:highlight w:val="none"/>
        </w:rPr>
        <w:t>招标文件内容如下:</w:t>
      </w:r>
    </w:p>
    <w:p w14:paraId="7E70B00D">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kern w:val="0"/>
          <w:sz w:val="24"/>
          <w:highlight w:val="none"/>
        </w:rPr>
        <w:t>招标</w:t>
      </w:r>
      <w:r>
        <w:rPr>
          <w:rFonts w:hint="eastAsia" w:ascii="仿宋_GB2312" w:hAnsi="仿宋" w:eastAsia="仿宋_GB2312" w:cs="仿宋_GB2312"/>
          <w:color w:val="auto"/>
          <w:sz w:val="24"/>
          <w:highlight w:val="none"/>
        </w:rPr>
        <w:t>公告</w:t>
      </w:r>
    </w:p>
    <w:p w14:paraId="79506EB4">
      <w:pPr>
        <w:adjustRightInd w:val="0"/>
        <w:snapToGrid w:val="0"/>
        <w:spacing w:line="360" w:lineRule="auto"/>
        <w:ind w:firstLine="480" w:firstLineChars="200"/>
        <w:rPr>
          <w:rFonts w:ascii="仿宋_GB2312" w:hAnsi="仿宋" w:eastAsia="仿宋_GB2312" w:cs="仿宋_GB2312"/>
          <w:color w:val="auto"/>
          <w:sz w:val="24"/>
          <w:highlight w:val="none"/>
        </w:rPr>
      </w:pPr>
      <w:bookmarkStart w:id="46" w:name="_Toc24604_WPSOffice_Level2"/>
      <w:bookmarkStart w:id="47" w:name="_Toc25935_WPSOffice_Level2"/>
      <w:bookmarkStart w:id="48" w:name="_Toc188_WPSOffice_Level2"/>
      <w:bookmarkStart w:id="49" w:name="_Toc4961_WPSOffice_Level2"/>
      <w:r>
        <w:rPr>
          <w:rFonts w:hint="eastAsia" w:ascii="仿宋_GB2312" w:hAnsi="仿宋" w:eastAsia="仿宋_GB2312" w:cs="仿宋_GB2312"/>
          <w:color w:val="auto"/>
          <w:sz w:val="24"/>
          <w:highlight w:val="none"/>
        </w:rPr>
        <w:t>第一章 投标人须知</w:t>
      </w:r>
      <w:bookmarkEnd w:id="46"/>
      <w:bookmarkEnd w:id="47"/>
      <w:bookmarkEnd w:id="48"/>
      <w:bookmarkEnd w:id="49"/>
    </w:p>
    <w:p w14:paraId="20E71D16">
      <w:pPr>
        <w:adjustRightInd w:val="0"/>
        <w:snapToGrid w:val="0"/>
        <w:spacing w:line="360" w:lineRule="auto"/>
        <w:ind w:firstLine="480" w:firstLineChars="200"/>
        <w:rPr>
          <w:rFonts w:ascii="仿宋_GB2312" w:hAnsi="仿宋" w:eastAsia="仿宋_GB2312" w:cs="仿宋_GB2312"/>
          <w:color w:val="auto"/>
          <w:sz w:val="24"/>
          <w:highlight w:val="none"/>
        </w:rPr>
      </w:pPr>
      <w:bookmarkStart w:id="50" w:name="_Toc13276_WPSOffice_Level2"/>
      <w:bookmarkStart w:id="51" w:name="_Toc32235_WPSOffice_Level2"/>
      <w:bookmarkStart w:id="52" w:name="_Toc2443_WPSOffice_Level2"/>
      <w:bookmarkStart w:id="53" w:name="_Toc31424_WPSOffice_Level2"/>
      <w:r>
        <w:rPr>
          <w:rFonts w:hint="eastAsia" w:ascii="仿宋_GB2312" w:hAnsi="仿宋" w:eastAsia="仿宋_GB2312" w:cs="仿宋_GB2312"/>
          <w:color w:val="auto"/>
          <w:sz w:val="24"/>
          <w:highlight w:val="none"/>
        </w:rPr>
        <w:t>第二章 投标文件内容及格式</w:t>
      </w:r>
      <w:bookmarkEnd w:id="50"/>
      <w:bookmarkEnd w:id="51"/>
      <w:bookmarkEnd w:id="52"/>
      <w:bookmarkEnd w:id="53"/>
    </w:p>
    <w:p w14:paraId="1860EC30">
      <w:pPr>
        <w:adjustRightInd w:val="0"/>
        <w:snapToGrid w:val="0"/>
        <w:spacing w:line="360" w:lineRule="auto"/>
        <w:ind w:firstLine="480" w:firstLineChars="200"/>
        <w:rPr>
          <w:rFonts w:ascii="仿宋_GB2312" w:hAnsi="仿宋" w:eastAsia="仿宋_GB2312" w:cs="仿宋_GB2312"/>
          <w:color w:val="auto"/>
          <w:sz w:val="24"/>
          <w:highlight w:val="none"/>
        </w:rPr>
      </w:pPr>
      <w:bookmarkStart w:id="54" w:name="_Toc4416_WPSOffice_Level2"/>
      <w:bookmarkStart w:id="55" w:name="_Toc24836_WPSOffice_Level2"/>
      <w:bookmarkStart w:id="56" w:name="_Toc16269_WPSOffice_Level2"/>
      <w:bookmarkStart w:id="57" w:name="_Toc7005_WPSOffice_Level2"/>
      <w:r>
        <w:rPr>
          <w:rFonts w:hint="eastAsia" w:ascii="仿宋_GB2312" w:hAnsi="仿宋" w:eastAsia="仿宋_GB2312" w:cs="仿宋_GB2312"/>
          <w:color w:val="auto"/>
          <w:sz w:val="24"/>
          <w:highlight w:val="none"/>
        </w:rPr>
        <w:t>第三章 货物需求</w:t>
      </w:r>
      <w:bookmarkEnd w:id="54"/>
      <w:bookmarkEnd w:id="55"/>
      <w:bookmarkEnd w:id="56"/>
      <w:bookmarkEnd w:id="57"/>
    </w:p>
    <w:p w14:paraId="23C146B9">
      <w:pPr>
        <w:adjustRightInd w:val="0"/>
        <w:snapToGrid w:val="0"/>
        <w:spacing w:line="360" w:lineRule="auto"/>
        <w:ind w:firstLine="480" w:firstLineChars="200"/>
        <w:rPr>
          <w:rFonts w:ascii="仿宋_GB2312" w:hAnsi="仿宋" w:eastAsia="仿宋_GB2312" w:cs="仿宋_GB2312"/>
          <w:color w:val="auto"/>
          <w:sz w:val="24"/>
          <w:highlight w:val="none"/>
        </w:rPr>
      </w:pPr>
      <w:bookmarkStart w:id="58" w:name="_Toc23459_WPSOffice_Level2"/>
      <w:bookmarkStart w:id="59" w:name="_Toc16294_WPSOffice_Level2"/>
      <w:bookmarkStart w:id="60" w:name="_Toc16119_WPSOffice_Level2"/>
      <w:bookmarkStart w:id="61" w:name="_Toc25382_WPSOffice_Level2"/>
      <w:r>
        <w:rPr>
          <w:rFonts w:hint="eastAsia" w:ascii="仿宋_GB2312" w:hAnsi="仿宋" w:eastAsia="仿宋_GB2312" w:cs="仿宋_GB2312"/>
          <w:color w:val="auto"/>
          <w:sz w:val="24"/>
          <w:highlight w:val="none"/>
        </w:rPr>
        <w:t>第四章 评标方法</w:t>
      </w:r>
      <w:bookmarkEnd w:id="58"/>
      <w:bookmarkEnd w:id="59"/>
      <w:bookmarkEnd w:id="60"/>
      <w:bookmarkEnd w:id="61"/>
    </w:p>
    <w:p w14:paraId="2C22C783">
      <w:pPr>
        <w:adjustRightInd w:val="0"/>
        <w:snapToGrid w:val="0"/>
        <w:spacing w:line="360" w:lineRule="auto"/>
        <w:ind w:firstLine="480" w:firstLineChars="200"/>
        <w:rPr>
          <w:rFonts w:ascii="仿宋_GB2312" w:hAnsi="仿宋" w:eastAsia="仿宋_GB2312" w:cs="仿宋_GB2312"/>
          <w:color w:val="auto"/>
          <w:sz w:val="24"/>
          <w:highlight w:val="none"/>
        </w:rPr>
      </w:pPr>
      <w:bookmarkStart w:id="62" w:name="_Toc17794_WPSOffice_Level2"/>
      <w:bookmarkStart w:id="63" w:name="_Toc28106_WPSOffice_Level2"/>
      <w:bookmarkStart w:id="64" w:name="_Toc9629_WPSOffice_Level2"/>
      <w:bookmarkStart w:id="65" w:name="_Toc16368_WPSOffice_Level2"/>
      <w:r>
        <w:rPr>
          <w:rFonts w:hint="eastAsia" w:ascii="仿宋_GB2312" w:hAnsi="仿宋" w:eastAsia="仿宋_GB2312" w:cs="仿宋_GB2312"/>
          <w:color w:val="auto"/>
          <w:sz w:val="24"/>
          <w:highlight w:val="none"/>
        </w:rPr>
        <w:t>第五章 政府采购合同</w:t>
      </w:r>
      <w:bookmarkEnd w:id="62"/>
      <w:bookmarkEnd w:id="63"/>
      <w:bookmarkEnd w:id="64"/>
      <w:bookmarkEnd w:id="65"/>
      <w:r>
        <w:rPr>
          <w:rFonts w:hint="eastAsia" w:ascii="仿宋_GB2312" w:hAnsi="仿宋" w:eastAsia="仿宋_GB2312" w:cs="仿宋_GB2312"/>
          <w:color w:val="auto"/>
          <w:sz w:val="24"/>
          <w:highlight w:val="none"/>
        </w:rPr>
        <w:t>条款及格式</w:t>
      </w:r>
    </w:p>
    <w:p w14:paraId="49B5AAF5">
      <w:pPr>
        <w:adjustRightInd w:val="0"/>
        <w:snapToGrid w:val="0"/>
        <w:spacing w:line="360" w:lineRule="auto"/>
        <w:ind w:firstLine="240" w:firstLineChars="1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★8.2投标人应认真阅读招标文件所有的事项、格式、条款等。如投标人没有按照招标文件要求提交资料，或者投标文件没有对招标文件做出实质性响应，可能导致其投标被认定为</w:t>
      </w:r>
      <w:r>
        <w:rPr>
          <w:rFonts w:hint="eastAsia" w:ascii="仿宋_GB2312" w:hAnsi="仿宋" w:eastAsia="仿宋_GB2312" w:cs="仿宋_GB2312"/>
          <w:b/>
          <w:bCs/>
          <w:color w:val="auto"/>
          <w:sz w:val="24"/>
          <w:highlight w:val="none"/>
        </w:rPr>
        <w:t>投标无效</w:t>
      </w:r>
      <w:r>
        <w:rPr>
          <w:rFonts w:hint="eastAsia" w:ascii="仿宋_GB2312" w:hAnsi="仿宋" w:eastAsia="仿宋_GB2312" w:cs="仿宋_GB2312"/>
          <w:color w:val="auto"/>
          <w:sz w:val="24"/>
          <w:highlight w:val="none"/>
        </w:rPr>
        <w:t>。</w:t>
      </w:r>
    </w:p>
    <w:p w14:paraId="4EA32895">
      <w:pPr>
        <w:adjustRightInd w:val="0"/>
        <w:snapToGrid w:val="0"/>
        <w:spacing w:line="360" w:lineRule="auto"/>
        <w:ind w:firstLine="480" w:firstLineChars="200"/>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9.招标文件的澄清与修改</w:t>
      </w:r>
    </w:p>
    <w:p w14:paraId="597C7888">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9.1采购人或者采购组织机构可以对已发出的招标文件进行澄清或者修改。澄清或者修改的内容可能影响投标文件编制的，应当在投标截止时间至少15日前，在原公告发布媒体上发布变更公告，并以书面形式通知所有获取招标文件的潜在投标人（即招标人将澄清文件内容在发布招标公告的网络媒介统一公布，投标人自行查阅，如因投标人未及时查阅造成的一切投标风险均由投标人自行承担）；不足15日的，采购人或者采购组织机构应当顺延提交投标文件的截止时间。</w:t>
      </w:r>
    </w:p>
    <w:p w14:paraId="5971FEF4">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9.2澄清或者修改的内容为招标文件的组成部分，对所有招标文件的收受人具有约束力。投标人在收到上述通知后，应及时向采购组织机构回函确认。</w:t>
      </w:r>
    </w:p>
    <w:p w14:paraId="4512A87D">
      <w:pPr>
        <w:pStyle w:val="3"/>
        <w:rPr>
          <w:rFonts w:ascii="仿宋_GB2312" w:hAnsi="仿宋" w:eastAsia="仿宋_GB2312" w:cs="仿宋_GB2312"/>
          <w:color w:val="auto"/>
          <w:sz w:val="32"/>
          <w:szCs w:val="32"/>
          <w:highlight w:val="none"/>
        </w:rPr>
      </w:pPr>
      <w:bookmarkStart w:id="66" w:name="_Toc7415_WPSOffice_Level2"/>
      <w:r>
        <w:rPr>
          <w:rFonts w:hint="eastAsia" w:ascii="仿宋_GB2312" w:hAnsi="仿宋" w:eastAsia="仿宋_GB2312" w:cs="仿宋_GB2312"/>
          <w:color w:val="auto"/>
          <w:sz w:val="32"/>
          <w:szCs w:val="32"/>
          <w:highlight w:val="none"/>
        </w:rPr>
        <w:t>四 投标文件的编制</w:t>
      </w:r>
      <w:bookmarkEnd w:id="66"/>
    </w:p>
    <w:p w14:paraId="2583C0D4">
      <w:pPr>
        <w:adjustRightInd w:val="0"/>
        <w:snapToGrid w:val="0"/>
        <w:spacing w:line="360" w:lineRule="auto"/>
        <w:ind w:firstLine="480" w:firstLineChars="200"/>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10.投标范围</w:t>
      </w:r>
    </w:p>
    <w:p w14:paraId="3C3B64BA">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10.1项目有分包的，投标人可对招标文件其中某一个分包或几个分包进行投标。</w:t>
      </w:r>
    </w:p>
    <w:p w14:paraId="57327F1A">
      <w:pPr>
        <w:adjustRightInd w:val="0"/>
        <w:snapToGrid w:val="0"/>
        <w:spacing w:line="360" w:lineRule="auto"/>
        <w:ind w:firstLine="240" w:firstLineChars="1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★10.2投标人应当对所投分包在招标文件中“货物需求”所列的所有货物内容进行投标，如仅响应分包中某一部分内容，其该包投标将被认定为</w:t>
      </w:r>
      <w:r>
        <w:rPr>
          <w:rFonts w:hint="eastAsia" w:ascii="仿宋_GB2312" w:hAnsi="仿宋" w:eastAsia="仿宋_GB2312" w:cs="仿宋_GB2312"/>
          <w:b/>
          <w:bCs/>
          <w:color w:val="auto"/>
          <w:sz w:val="24"/>
          <w:highlight w:val="none"/>
        </w:rPr>
        <w:t>投标无效</w:t>
      </w:r>
      <w:r>
        <w:rPr>
          <w:rFonts w:hint="eastAsia" w:ascii="仿宋_GB2312" w:hAnsi="仿宋" w:eastAsia="仿宋_GB2312" w:cs="仿宋_GB2312"/>
          <w:color w:val="auto"/>
          <w:sz w:val="24"/>
          <w:highlight w:val="none"/>
        </w:rPr>
        <w:t>。</w:t>
      </w:r>
    </w:p>
    <w:p w14:paraId="591E8F89">
      <w:pPr>
        <w:pStyle w:val="9"/>
        <w:adjustRightInd w:val="0"/>
        <w:snapToGrid w:val="0"/>
        <w:spacing w:line="360" w:lineRule="auto"/>
        <w:ind w:firstLine="240" w:firstLineChars="1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10.3如一个分包内包含多种产品的，采购人或采购组织机构将在投标人须知表10.3款中载明核心产品（非单一产品采购时，只能设一个核心产品），多家投标人提供的核心产品品牌相同的，按照第四章“评标办法”第4款“同一品牌产品”规定处理。</w:t>
      </w:r>
    </w:p>
    <w:p w14:paraId="15C95E7D">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10.4无论招标文件第三章货物需求中是否要求，投标人所投货物均应符合国家强制性标准。</w:t>
      </w:r>
    </w:p>
    <w:p w14:paraId="17ED330E">
      <w:pPr>
        <w:adjustRightInd w:val="0"/>
        <w:snapToGrid w:val="0"/>
        <w:spacing w:line="360" w:lineRule="auto"/>
        <w:ind w:firstLine="480" w:firstLineChars="200"/>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11.投标文件构成</w:t>
      </w:r>
    </w:p>
    <w:p w14:paraId="2E43A7D0">
      <w:pPr>
        <w:adjustRightInd w:val="0"/>
        <w:snapToGrid w:val="0"/>
        <w:spacing w:line="360" w:lineRule="auto"/>
        <w:ind w:firstLine="240" w:firstLineChars="1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★11.1投标人应完整地按招标文件提供的投标文件格式及要求编写投标文件。投标文件应包括资格证明文件、符合性证明文件、其它材料三部分。具体见第二章 投标文件内容及格式。</w:t>
      </w:r>
    </w:p>
    <w:p w14:paraId="7012371E">
      <w:pPr>
        <w:adjustRightInd w:val="0"/>
        <w:snapToGrid w:val="0"/>
        <w:spacing w:line="360" w:lineRule="auto"/>
        <w:ind w:firstLine="240" w:firstLineChars="1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★11.2投标人应按招标文件提供的格式编写投标文件。招标文件提供标准格式的按标准格式填列，未提供标准格式的可自行拟定。</w:t>
      </w:r>
    </w:p>
    <w:p w14:paraId="1C614385">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11.3样品或演示要求详见投标人须知表11.3款。</w:t>
      </w:r>
    </w:p>
    <w:p w14:paraId="61A66161">
      <w:pPr>
        <w:adjustRightInd w:val="0"/>
        <w:snapToGrid w:val="0"/>
        <w:spacing w:line="360" w:lineRule="auto"/>
        <w:ind w:firstLine="240" w:firstLineChars="100"/>
        <w:rPr>
          <w:rFonts w:ascii="仿宋_GB2312" w:hAnsi="仿宋" w:eastAsia="仿宋_GB2312" w:cs="仿宋_GB2312"/>
          <w:b/>
          <w:bCs/>
          <w:color w:val="auto"/>
          <w:sz w:val="24"/>
          <w:highlight w:val="none"/>
        </w:rPr>
      </w:pPr>
      <w:r>
        <w:rPr>
          <w:rFonts w:hint="eastAsia" w:ascii="仿宋_GB2312" w:hAnsi="仿宋" w:eastAsia="仿宋_GB2312" w:cs="仿宋_GB2312"/>
          <w:color w:val="auto"/>
          <w:sz w:val="24"/>
          <w:highlight w:val="none"/>
        </w:rPr>
        <w:t>★</w:t>
      </w:r>
      <w:r>
        <w:rPr>
          <w:rFonts w:hint="eastAsia" w:ascii="仿宋_GB2312" w:hAnsi="仿宋" w:eastAsia="仿宋_GB2312" w:cs="仿宋_GB2312"/>
          <w:b/>
          <w:bCs/>
          <w:color w:val="auto"/>
          <w:sz w:val="24"/>
          <w:highlight w:val="none"/>
        </w:rPr>
        <w:t>12.投标报价</w:t>
      </w:r>
    </w:p>
    <w:p w14:paraId="69728096">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12.1所有投标均按投标人须知表12.1款中要求货币进行报价。投标人的投标报价应遵守《中华人民共和国价格法》。同时，根据《中华人民共和国政府采购法》第三条的规定，为保证公平竞争，如有货物主体部分的赠与行为，其投标将被认定为</w:t>
      </w:r>
      <w:r>
        <w:rPr>
          <w:rFonts w:hint="eastAsia" w:ascii="仿宋_GB2312" w:hAnsi="仿宋" w:eastAsia="仿宋_GB2312" w:cs="仿宋_GB2312"/>
          <w:b/>
          <w:bCs/>
          <w:color w:val="auto"/>
          <w:sz w:val="24"/>
          <w:highlight w:val="none"/>
        </w:rPr>
        <w:t>投标无效</w:t>
      </w:r>
      <w:r>
        <w:rPr>
          <w:rFonts w:hint="eastAsia" w:ascii="仿宋_GB2312" w:hAnsi="仿宋" w:eastAsia="仿宋_GB2312" w:cs="仿宋_GB2312"/>
          <w:color w:val="auto"/>
          <w:sz w:val="24"/>
          <w:highlight w:val="none"/>
        </w:rPr>
        <w:t>。</w:t>
      </w:r>
    </w:p>
    <w:p w14:paraId="35C2E34A">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12.2投标价格（单价及总价）应为投标货物（包括备品备件、专用工具等）的出厂价格（包括已在中国国内的进口货物完税后的交货价）、购买货物和伴随服务需缴纳的所有税费、运输费、保险费、装卸费、安装及调试费、检验费、技术服务费和培训费等完成所需的一切费用。</w:t>
      </w:r>
    </w:p>
    <w:p w14:paraId="51DE60DF">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12.3投标人应按招标文件要求在相关表格中标明投标货物及伴随服务的单价和总价，并由法定代表人（非法人组织的负责人）或其委托代理人签署。</w:t>
      </w:r>
    </w:p>
    <w:p w14:paraId="387A83BB">
      <w:pPr>
        <w:adjustRightInd w:val="0"/>
        <w:snapToGrid w:val="0"/>
        <w:spacing w:line="360" w:lineRule="auto"/>
        <w:ind w:firstLine="480" w:firstLineChars="200"/>
        <w:rPr>
          <w:rFonts w:ascii="仿宋_GB2312" w:hAnsi="仿宋" w:eastAsia="仿宋_GB2312" w:cs="仿宋_GB2312"/>
          <w:b/>
          <w:bCs/>
          <w:color w:val="auto"/>
          <w:sz w:val="24"/>
          <w:highlight w:val="none"/>
        </w:rPr>
      </w:pPr>
      <w:r>
        <w:rPr>
          <w:rFonts w:hint="eastAsia" w:ascii="仿宋_GB2312" w:hAnsi="仿宋" w:eastAsia="仿宋_GB2312" w:cs="仿宋_GB2312"/>
          <w:color w:val="auto"/>
          <w:sz w:val="24"/>
          <w:highlight w:val="none"/>
        </w:rPr>
        <w:t>12.4投标人所报的各分项投标单价在合同履行过程中是固定不变的，不得以任何理由予以变更。任何包含价格调整要求的投标，其投标将被认定为</w:t>
      </w:r>
      <w:r>
        <w:rPr>
          <w:rFonts w:hint="eastAsia" w:ascii="仿宋_GB2312" w:hAnsi="仿宋" w:eastAsia="仿宋_GB2312" w:cs="仿宋_GB2312"/>
          <w:b/>
          <w:bCs/>
          <w:color w:val="auto"/>
          <w:sz w:val="24"/>
          <w:highlight w:val="none"/>
        </w:rPr>
        <w:t>投标无效。</w:t>
      </w:r>
    </w:p>
    <w:p w14:paraId="61929AED">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12.5每种货物只能有一个投标报价。采购人不接受具有附加条件的报价。</w:t>
      </w:r>
    </w:p>
    <w:p w14:paraId="22A3CE28">
      <w:pPr>
        <w:adjustRightInd w:val="0"/>
        <w:snapToGrid w:val="0"/>
        <w:spacing w:line="360" w:lineRule="auto"/>
        <w:ind w:firstLine="480" w:firstLineChars="200"/>
        <w:rPr>
          <w:rFonts w:ascii="仿宋_GB2312" w:hAnsi="仿宋" w:eastAsia="仿宋_GB2312" w:cs="仿宋_GB2312"/>
          <w:color w:val="auto"/>
          <w:sz w:val="24"/>
          <w:highlight w:val="none"/>
        </w:rPr>
      </w:pPr>
      <w:bookmarkStart w:id="67" w:name="_Toc22507_WPSOffice_Level2"/>
      <w:bookmarkStart w:id="68" w:name="_Toc31973_WPSOffice_Level2"/>
      <w:r>
        <w:rPr>
          <w:rFonts w:hint="eastAsia" w:ascii="仿宋_GB2312" w:hAnsi="仿宋" w:eastAsia="仿宋_GB2312" w:cs="仿宋_GB2312"/>
          <w:color w:val="auto"/>
          <w:sz w:val="24"/>
          <w:highlight w:val="none"/>
        </w:rPr>
        <w:t>12.6除非招标文件另有规定，报价原则上精确到小数点后两位。</w:t>
      </w:r>
      <w:bookmarkEnd w:id="67"/>
      <w:bookmarkEnd w:id="68"/>
    </w:p>
    <w:p w14:paraId="6403FF3A">
      <w:pPr>
        <w:adjustRightInd w:val="0"/>
        <w:snapToGrid w:val="0"/>
        <w:spacing w:line="360" w:lineRule="auto"/>
        <w:ind w:firstLine="240" w:firstLineChars="100"/>
        <w:rPr>
          <w:rFonts w:eastAsia="仿宋_GB2312"/>
          <w:color w:val="auto"/>
          <w:szCs w:val="21"/>
          <w:highlight w:val="none"/>
        </w:rPr>
      </w:pPr>
      <w:r>
        <w:rPr>
          <w:rFonts w:hint="eastAsia" w:ascii="仿宋_GB2312" w:hAnsi="仿宋" w:eastAsia="仿宋_GB2312" w:cs="仿宋_GB2312"/>
          <w:b/>
          <w:bCs/>
          <w:color w:val="auto"/>
          <w:sz w:val="24"/>
          <w:highlight w:val="none"/>
        </w:rPr>
        <w:t>★13.投标保证金</w:t>
      </w:r>
    </w:p>
    <w:p w14:paraId="1ADC091D">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13.1投标人应提交投标人须知表13.1款中规定的投标保证金，并作为其投标的一部分。</w:t>
      </w:r>
    </w:p>
    <w:p w14:paraId="66036602">
      <w:pPr>
        <w:adjustRightInd w:val="0"/>
        <w:snapToGrid w:val="0"/>
        <w:spacing w:line="360" w:lineRule="auto"/>
        <w:ind w:firstLine="480" w:firstLineChars="20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13.2投标保证金缴纳人、招标文件领取人、投标登记人和投标人必须为同一组织机构或联合体内不同成员单位，否则将视同未按招标文件规定交纳投标保证金。</w:t>
      </w:r>
    </w:p>
    <w:p w14:paraId="66740C14">
      <w:pPr>
        <w:adjustRightInd w:val="0"/>
        <w:snapToGrid w:val="0"/>
        <w:spacing w:line="360" w:lineRule="auto"/>
        <w:ind w:firstLine="480" w:firstLineChars="20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13.3投标人存在下列情形的，投标保证金不予退还：</w:t>
      </w:r>
    </w:p>
    <w:p w14:paraId="6D93CC95">
      <w:pPr>
        <w:adjustRightInd w:val="0"/>
        <w:snapToGrid w:val="0"/>
        <w:spacing w:line="360" w:lineRule="auto"/>
        <w:ind w:firstLine="480" w:firstLineChars="20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（1）在投标有效期内，投标人撤销投标的；</w:t>
      </w:r>
    </w:p>
    <w:p w14:paraId="6C96B193">
      <w:pPr>
        <w:adjustRightInd w:val="0"/>
        <w:snapToGrid w:val="0"/>
        <w:spacing w:line="360" w:lineRule="auto"/>
        <w:ind w:firstLine="480" w:firstLineChars="20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（2）中标后不按本须知第34款的规定与采购人签订合同的；</w:t>
      </w:r>
    </w:p>
    <w:p w14:paraId="79FFB0ED">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（3）中标后不按本须知第35款的规定提交履约保证金的；</w:t>
      </w:r>
    </w:p>
    <w:p w14:paraId="620A6DA7">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（4）中标后不按本须知第36款的规定缴纳采购代理服务费的；</w:t>
      </w:r>
    </w:p>
    <w:p w14:paraId="5BDDEE8A">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（5）存在其他违法违规行为的。</w:t>
      </w:r>
    </w:p>
    <w:p w14:paraId="31EFD50F">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13.4联合体投标的，可以由联合体中的一方或者共同提交投标保证金。以一方名义提交投标保证金的，对联合体各方均具有约束力。</w:t>
      </w:r>
    </w:p>
    <w:p w14:paraId="53C4A53F">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13.5投标保证金的退还</w:t>
      </w:r>
    </w:p>
    <w:p w14:paraId="0D164CE8">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13.5.1中标人应在与采购人签订合同之日起5个工作日内，及时联系保证金收受机构办理投标保证金退还手续。</w:t>
      </w:r>
    </w:p>
    <w:p w14:paraId="70DAF042">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13.5.2未中标投标人的投标保证金将在中标通知书发出之日暨中标结果公告公布之日起5个工作日内无息退还。投标人应及时联系保证金收受机构办理退还投标保证金手续。</w:t>
      </w:r>
    </w:p>
    <w:p w14:paraId="7D6803EF">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13.5.3投标人在投标截止时间前撤回已提交的投标文件的，投标人应自采购人或者采购组织机构收到投标人书面撤回通知之日起５个工作日内，及时联系保证金收受机构办理投标保证金退还手续。</w:t>
      </w:r>
    </w:p>
    <w:p w14:paraId="2C108A5A">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13.5.4政府采购投标担保函不予退回。</w:t>
      </w:r>
    </w:p>
    <w:p w14:paraId="3D9AD0C5">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13.6因投标人自身原因导致无法及时退还的，采购人或采购组织机构将不承担相应责任。</w:t>
      </w:r>
    </w:p>
    <w:p w14:paraId="1BD7D4DC">
      <w:pPr>
        <w:adjustRightInd w:val="0"/>
        <w:snapToGrid w:val="0"/>
        <w:spacing w:line="360" w:lineRule="auto"/>
        <w:ind w:firstLine="240" w:firstLineChars="100"/>
        <w:rPr>
          <w:rFonts w:ascii="仿宋_GB2312" w:hAnsi="仿宋" w:eastAsia="仿宋_GB2312" w:cs="仿宋_GB2312"/>
          <w:b/>
          <w:bCs/>
          <w:color w:val="auto"/>
          <w:sz w:val="24"/>
          <w:highlight w:val="none"/>
        </w:rPr>
      </w:pPr>
      <w:r>
        <w:rPr>
          <w:rFonts w:hint="eastAsia" w:ascii="仿宋_GB2312" w:hAnsi="仿宋" w:eastAsia="仿宋_GB2312" w:cs="仿宋_GB2312"/>
          <w:color w:val="auto"/>
          <w:sz w:val="24"/>
          <w:highlight w:val="none"/>
        </w:rPr>
        <w:t>★</w:t>
      </w:r>
      <w:r>
        <w:rPr>
          <w:rFonts w:hint="eastAsia" w:ascii="仿宋_GB2312" w:hAnsi="仿宋" w:eastAsia="仿宋_GB2312" w:cs="仿宋_GB2312"/>
          <w:b/>
          <w:bCs/>
          <w:color w:val="auto"/>
          <w:sz w:val="24"/>
          <w:highlight w:val="none"/>
        </w:rPr>
        <w:t>14.证明投标标的的合格性和符合招标文件规定的技术文件</w:t>
      </w:r>
    </w:p>
    <w:p w14:paraId="0423EFF2">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14.1投标人应提交证明文件，证明其投标内容符合招标文件规定。该证明文件是投标文件的一部分。</w:t>
      </w:r>
    </w:p>
    <w:p w14:paraId="67DD52CB">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14.2上款所述的证明文件，可以是文字资料、图纸和数据，它包括：</w:t>
      </w:r>
    </w:p>
    <w:p w14:paraId="4088E67C">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（1）货物主要技术指标和性能的详细说明；</w:t>
      </w:r>
    </w:p>
    <w:p w14:paraId="47ACED8E">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（2）货物从采购人开始使用至招标文件规定的保质期内正常、连续地使用所必须的备件和专用工具清单，包括备件和专用工具的货源及现行价格;</w:t>
      </w:r>
    </w:p>
    <w:p w14:paraId="47B5983C">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（3）对照招标文件技术规格，逐条说明所提供货物及伴随的工程和服务已对招标文件的技术规格做出了实质性的响应，或申明与技术规格条文的偏差和例外。</w:t>
      </w:r>
    </w:p>
    <w:p w14:paraId="63ED47B1">
      <w:pPr>
        <w:adjustRightInd w:val="0"/>
        <w:snapToGrid w:val="0"/>
        <w:spacing w:line="360" w:lineRule="auto"/>
        <w:ind w:firstLine="240" w:firstLineChars="100"/>
        <w:rPr>
          <w:rFonts w:ascii="仿宋_GB2312" w:hAnsi="仿宋" w:eastAsia="仿宋_GB2312" w:cs="仿宋_GB2312"/>
          <w:b/>
          <w:bCs/>
          <w:color w:val="auto"/>
          <w:sz w:val="24"/>
          <w:highlight w:val="none"/>
        </w:rPr>
      </w:pPr>
      <w:r>
        <w:rPr>
          <w:rFonts w:hint="eastAsia" w:ascii="仿宋_GB2312" w:hAnsi="仿宋" w:eastAsia="仿宋_GB2312" w:cs="仿宋_GB2312"/>
          <w:color w:val="auto"/>
          <w:sz w:val="24"/>
          <w:highlight w:val="none"/>
        </w:rPr>
        <w:t>★</w:t>
      </w:r>
      <w:r>
        <w:rPr>
          <w:rFonts w:hint="eastAsia" w:ascii="仿宋_GB2312" w:hAnsi="仿宋" w:eastAsia="仿宋_GB2312" w:cs="仿宋_GB2312"/>
          <w:b/>
          <w:bCs/>
          <w:color w:val="auto"/>
          <w:sz w:val="24"/>
          <w:highlight w:val="none"/>
        </w:rPr>
        <w:t>15.投标有效期</w:t>
      </w:r>
    </w:p>
    <w:p w14:paraId="3DEE095C">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15.1投标应在投标人须知表15.1款中规定的投标有效期内保持有效。投标有效期不满足要求的投标，其投标将被认定为</w:t>
      </w:r>
      <w:r>
        <w:rPr>
          <w:rFonts w:hint="eastAsia" w:ascii="仿宋_GB2312" w:hAnsi="仿宋" w:eastAsia="仿宋_GB2312" w:cs="仿宋_GB2312"/>
          <w:b/>
          <w:bCs/>
          <w:color w:val="auto"/>
          <w:sz w:val="24"/>
          <w:highlight w:val="none"/>
        </w:rPr>
        <w:t>投标无效</w:t>
      </w:r>
      <w:r>
        <w:rPr>
          <w:rFonts w:hint="eastAsia" w:ascii="仿宋_GB2312" w:hAnsi="仿宋" w:eastAsia="仿宋_GB2312" w:cs="仿宋_GB2312"/>
          <w:color w:val="auto"/>
          <w:sz w:val="24"/>
          <w:highlight w:val="none"/>
        </w:rPr>
        <w:t>。</w:t>
      </w:r>
    </w:p>
    <w:p w14:paraId="10C98B1C">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15.2在特殊情况下，采购人或采购组织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14:paraId="22814756">
      <w:pPr>
        <w:adjustRightInd w:val="0"/>
        <w:snapToGrid w:val="0"/>
        <w:spacing w:line="360" w:lineRule="auto"/>
        <w:ind w:firstLine="480" w:firstLineChars="200"/>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16.投标文件的签署及规定（适用于中标后递交纸质文件）</w:t>
      </w:r>
    </w:p>
    <w:p w14:paraId="403DB7F6">
      <w:pPr>
        <w:adjustRightInd w:val="0"/>
        <w:snapToGrid w:val="0"/>
        <w:spacing w:line="360" w:lineRule="auto"/>
        <w:ind w:firstLine="480" w:firstLineChars="200"/>
        <w:rPr>
          <w:rFonts w:ascii="仿宋_GB2312" w:hAnsi="仿宋" w:eastAsia="仿宋_GB2312" w:cs="仿宋_GB2312"/>
          <w:color w:val="auto"/>
          <w:sz w:val="24"/>
          <w:highlight w:val="none"/>
        </w:rPr>
      </w:pPr>
      <w:bookmarkStart w:id="69" w:name="_Toc27725_WPSOffice_Level2"/>
      <w:r>
        <w:rPr>
          <w:rFonts w:hint="eastAsia" w:ascii="仿宋_GB2312" w:hAnsi="仿宋" w:eastAsia="仿宋_GB2312" w:cs="仿宋_GB2312"/>
          <w:color w:val="auto"/>
          <w:sz w:val="24"/>
          <w:highlight w:val="none"/>
        </w:rPr>
        <w:t>16.1投标人应按投标人须知表16.1款中的规定，准备和递交投标文件正本、副本和电子文档。</w:t>
      </w:r>
    </w:p>
    <w:p w14:paraId="656651B9">
      <w:pPr>
        <w:adjustRightInd w:val="0"/>
        <w:snapToGrid w:val="0"/>
        <w:spacing w:line="360" w:lineRule="auto"/>
        <w:ind w:firstLine="240" w:firstLineChars="1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★16.2每份投标文件封皮须清楚地标明“正本”或“副本”。若正本和副本不符，以正本为准。</w:t>
      </w:r>
    </w:p>
    <w:p w14:paraId="4D3B821D">
      <w:pPr>
        <w:adjustRightInd w:val="0"/>
        <w:snapToGrid w:val="0"/>
        <w:spacing w:line="360" w:lineRule="auto"/>
        <w:ind w:firstLine="240" w:firstLineChars="1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16.3投标文件的正本需打印或用不褪色墨水书写，并由投标人的法定代表人（非法人组织负责人）或经其正式委托代理人按招标文件规定在投标文件上签字或盖章，并加盖单位印章。委托代理人须持有书面的“法定代表人（非法人组织负责人）授权委托书”，并将其附在投标文件中。如对投标文件进行了修改，则应由投标人的法定代表人（非法人组织负责人）或其委托代理人在每一修改处签字。投标文件的副本可采用正本的复印件。</w:t>
      </w:r>
    </w:p>
    <w:p w14:paraId="7EAFB94D">
      <w:pPr>
        <w:pStyle w:val="3"/>
        <w:rPr>
          <w:rFonts w:ascii="仿宋_GB2312" w:hAnsi="仿宋" w:eastAsia="仿宋_GB2312" w:cs="仿宋_GB2312"/>
          <w:color w:val="auto"/>
          <w:sz w:val="32"/>
          <w:szCs w:val="32"/>
          <w:highlight w:val="none"/>
        </w:rPr>
      </w:pPr>
      <w:r>
        <w:rPr>
          <w:rFonts w:hint="eastAsia" w:ascii="仿宋_GB2312" w:hAnsi="仿宋" w:eastAsia="仿宋_GB2312" w:cs="仿宋_GB2312"/>
          <w:color w:val="auto"/>
          <w:sz w:val="32"/>
          <w:szCs w:val="32"/>
          <w:highlight w:val="none"/>
        </w:rPr>
        <w:t>五 投标文件的递交</w:t>
      </w:r>
      <w:bookmarkEnd w:id="69"/>
    </w:p>
    <w:p w14:paraId="038A108C">
      <w:pPr>
        <w:adjustRightInd w:val="0"/>
        <w:snapToGrid w:val="0"/>
        <w:spacing w:line="360" w:lineRule="auto"/>
        <w:ind w:firstLine="480" w:firstLineChars="200"/>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17.投标文件的密封和标记</w:t>
      </w:r>
    </w:p>
    <w:p w14:paraId="57B79FBC">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17.1投标人应对现场递交U盘形式存储的电子投标文件进行密封包封。</w:t>
      </w:r>
    </w:p>
    <w:p w14:paraId="00B8B093">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17.2包装封皮上应：</w:t>
      </w:r>
    </w:p>
    <w:p w14:paraId="1746FFBE">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（1）注明项目名称、项目编号、包号、投标人名称。</w:t>
      </w:r>
    </w:p>
    <w:p w14:paraId="5B2AB7CA">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（2）加盖投标人单位公章。</w:t>
      </w:r>
    </w:p>
    <w:p w14:paraId="495A9817">
      <w:pPr>
        <w:adjustRightInd w:val="0"/>
        <w:snapToGrid w:val="0"/>
        <w:spacing w:line="360" w:lineRule="auto"/>
        <w:ind w:firstLine="240" w:firstLineChars="100"/>
        <w:rPr>
          <w:rFonts w:ascii="仿宋_GB2312" w:hAnsi="仿宋" w:eastAsia="仿宋_GB2312" w:cs="仿宋_GB2312"/>
          <w:b/>
          <w:bCs/>
          <w:color w:val="auto"/>
          <w:sz w:val="24"/>
          <w:highlight w:val="none"/>
        </w:rPr>
      </w:pPr>
      <w:r>
        <w:rPr>
          <w:rFonts w:hint="eastAsia" w:ascii="仿宋_GB2312" w:hAnsi="仿宋" w:eastAsia="仿宋_GB2312" w:cs="仿宋_GB2312"/>
          <w:color w:val="auto"/>
          <w:sz w:val="24"/>
          <w:highlight w:val="none"/>
        </w:rPr>
        <w:t>★</w:t>
      </w:r>
      <w:r>
        <w:rPr>
          <w:rFonts w:hint="eastAsia" w:ascii="仿宋_GB2312" w:hAnsi="仿宋" w:eastAsia="仿宋_GB2312" w:cs="仿宋_GB2312"/>
          <w:b/>
          <w:bCs/>
          <w:color w:val="auto"/>
          <w:sz w:val="24"/>
          <w:highlight w:val="none"/>
        </w:rPr>
        <w:t>18.投标截止</w:t>
      </w:r>
    </w:p>
    <w:p w14:paraId="6901FDBE">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18.1投标人应在投标人须知表18.1中规定的递交投标文件截止时间前，将投标文件递交到投标人须知表18.1款中规定的地点。</w:t>
      </w:r>
    </w:p>
    <w:p w14:paraId="5C74744D">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18.2采购人和采购组织机构有权按本须知的规定，延迟投标截止时间。在此情况下，采购人、采购组织机构和投标人受投标截止时间制约的所有权利和义务均应延长至新的截止时间。</w:t>
      </w:r>
    </w:p>
    <w:p w14:paraId="67D93ED0">
      <w:pPr>
        <w:adjustRightInd w:val="0"/>
        <w:snapToGrid w:val="0"/>
        <w:spacing w:line="360" w:lineRule="auto"/>
        <w:ind w:firstLine="240" w:firstLineChars="100"/>
        <w:rPr>
          <w:rFonts w:ascii="仿宋_GB2312" w:hAnsi="仿宋" w:eastAsia="仿宋_GB2312" w:cs="仿宋_GB2312"/>
          <w:b/>
          <w:bCs/>
          <w:color w:val="auto"/>
          <w:sz w:val="24"/>
          <w:highlight w:val="none"/>
        </w:rPr>
      </w:pPr>
      <w:r>
        <w:rPr>
          <w:rFonts w:hint="eastAsia" w:ascii="仿宋_GB2312" w:hAnsi="仿宋" w:eastAsia="仿宋_GB2312" w:cs="仿宋_GB2312"/>
          <w:color w:val="auto"/>
          <w:sz w:val="24"/>
          <w:highlight w:val="none"/>
        </w:rPr>
        <w:t>★</w:t>
      </w:r>
      <w:r>
        <w:rPr>
          <w:rFonts w:hint="eastAsia" w:ascii="仿宋_GB2312" w:hAnsi="仿宋" w:eastAsia="仿宋_GB2312" w:cs="仿宋_GB2312"/>
          <w:b/>
          <w:bCs/>
          <w:color w:val="auto"/>
          <w:sz w:val="24"/>
          <w:highlight w:val="none"/>
        </w:rPr>
        <w:t>19.投标文件的接收、修改与撤回</w:t>
      </w:r>
    </w:p>
    <w:p w14:paraId="6E4D78D8">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19.1在投标截止时间后送达的投标文件，采购人和采购组织机构将</w:t>
      </w:r>
      <w:r>
        <w:rPr>
          <w:rFonts w:hint="eastAsia" w:ascii="仿宋_GB2312" w:hAnsi="仿宋" w:eastAsia="仿宋_GB2312" w:cs="仿宋_GB2312"/>
          <w:b/>
          <w:bCs/>
          <w:color w:val="auto"/>
          <w:sz w:val="24"/>
          <w:highlight w:val="none"/>
        </w:rPr>
        <w:t>拒绝接收</w:t>
      </w:r>
      <w:r>
        <w:rPr>
          <w:rFonts w:hint="eastAsia" w:ascii="仿宋_GB2312" w:hAnsi="仿宋" w:eastAsia="仿宋_GB2312" w:cs="仿宋_GB2312"/>
          <w:color w:val="auto"/>
          <w:sz w:val="24"/>
          <w:highlight w:val="none"/>
        </w:rPr>
        <w:t>。</w:t>
      </w:r>
    </w:p>
    <w:p w14:paraId="3FFF4B1C">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19.2采购人或者采购组织机构收到投标文件后，应当如实记载投标文件的送达时间和密封情况，并向投标人出具以下签收回执。</w:t>
      </w:r>
    </w:p>
    <w:p w14:paraId="28DABEA4">
      <w:pPr>
        <w:adjustRightInd w:val="0"/>
        <w:snapToGrid w:val="0"/>
        <w:spacing w:line="360" w:lineRule="auto"/>
        <w:jc w:val="center"/>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接收投标文件回执单（不适用）</w:t>
      </w:r>
    </w:p>
    <w:tbl>
      <w:tblPr>
        <w:tblStyle w:val="24"/>
        <w:tblW w:w="84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5"/>
        <w:gridCol w:w="6454"/>
      </w:tblGrid>
      <w:tr w14:paraId="1EDCC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1965" w:type="dxa"/>
            <w:vAlign w:val="center"/>
          </w:tcPr>
          <w:p w14:paraId="5048885F">
            <w:pPr>
              <w:adjustRightInd w:val="0"/>
              <w:snapToGrid w:val="0"/>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项目编号</w:t>
            </w:r>
          </w:p>
        </w:tc>
        <w:tc>
          <w:tcPr>
            <w:tcW w:w="6454" w:type="dxa"/>
            <w:vAlign w:val="center"/>
          </w:tcPr>
          <w:p w14:paraId="3B5121EE">
            <w:pPr>
              <w:adjustRightInd w:val="0"/>
              <w:snapToGrid w:val="0"/>
              <w:jc w:val="center"/>
              <w:rPr>
                <w:rFonts w:ascii="仿宋_GB2312" w:hAnsi="仿宋" w:eastAsia="仿宋_GB2312" w:cs="仿宋_GB2312"/>
                <w:color w:val="auto"/>
                <w:sz w:val="24"/>
                <w:highlight w:val="none"/>
              </w:rPr>
            </w:pPr>
          </w:p>
        </w:tc>
      </w:tr>
      <w:tr w14:paraId="0E31E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965" w:type="dxa"/>
            <w:vAlign w:val="center"/>
          </w:tcPr>
          <w:p w14:paraId="56BF657C">
            <w:pPr>
              <w:adjustRightInd w:val="0"/>
              <w:snapToGrid w:val="0"/>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项目名称</w:t>
            </w:r>
          </w:p>
        </w:tc>
        <w:tc>
          <w:tcPr>
            <w:tcW w:w="6454" w:type="dxa"/>
            <w:vAlign w:val="center"/>
          </w:tcPr>
          <w:p w14:paraId="4D5A1CC8">
            <w:pPr>
              <w:adjustRightInd w:val="0"/>
              <w:snapToGrid w:val="0"/>
              <w:jc w:val="center"/>
              <w:rPr>
                <w:rFonts w:ascii="仿宋_GB2312" w:hAnsi="仿宋" w:eastAsia="仿宋_GB2312" w:cs="仿宋_GB2312"/>
                <w:color w:val="auto"/>
                <w:sz w:val="24"/>
                <w:highlight w:val="none"/>
              </w:rPr>
            </w:pPr>
          </w:p>
        </w:tc>
      </w:tr>
      <w:tr w14:paraId="2B7FE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1965" w:type="dxa"/>
            <w:vAlign w:val="center"/>
          </w:tcPr>
          <w:p w14:paraId="7FE5DFCC">
            <w:pPr>
              <w:adjustRightInd w:val="0"/>
              <w:snapToGrid w:val="0"/>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投标人名称</w:t>
            </w:r>
          </w:p>
        </w:tc>
        <w:tc>
          <w:tcPr>
            <w:tcW w:w="6454" w:type="dxa"/>
            <w:vAlign w:val="center"/>
          </w:tcPr>
          <w:p w14:paraId="39B5F072">
            <w:pPr>
              <w:adjustRightInd w:val="0"/>
              <w:snapToGrid w:val="0"/>
              <w:jc w:val="center"/>
              <w:rPr>
                <w:rFonts w:ascii="仿宋_GB2312" w:hAnsi="仿宋" w:eastAsia="仿宋_GB2312" w:cs="仿宋_GB2312"/>
                <w:color w:val="auto"/>
                <w:sz w:val="24"/>
                <w:highlight w:val="none"/>
              </w:rPr>
            </w:pPr>
          </w:p>
        </w:tc>
      </w:tr>
      <w:tr w14:paraId="3A525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965" w:type="dxa"/>
            <w:vAlign w:val="center"/>
          </w:tcPr>
          <w:p w14:paraId="7BBCC21D">
            <w:pPr>
              <w:adjustRightInd w:val="0"/>
              <w:snapToGrid w:val="0"/>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递交时间</w:t>
            </w:r>
          </w:p>
        </w:tc>
        <w:tc>
          <w:tcPr>
            <w:tcW w:w="6454" w:type="dxa"/>
            <w:vAlign w:val="center"/>
          </w:tcPr>
          <w:p w14:paraId="63726486">
            <w:pPr>
              <w:adjustRightInd w:val="0"/>
              <w:snapToGrid w:val="0"/>
              <w:jc w:val="center"/>
              <w:rPr>
                <w:rFonts w:ascii="仿宋_GB2312" w:hAnsi="仿宋" w:eastAsia="仿宋_GB2312" w:cs="仿宋_GB2312"/>
                <w:color w:val="auto"/>
                <w:sz w:val="24"/>
                <w:highlight w:val="none"/>
              </w:rPr>
            </w:pPr>
          </w:p>
        </w:tc>
      </w:tr>
      <w:tr w14:paraId="210A3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70" w:hRule="atLeast"/>
          <w:jc w:val="center"/>
        </w:trPr>
        <w:tc>
          <w:tcPr>
            <w:tcW w:w="1965" w:type="dxa"/>
            <w:vAlign w:val="center"/>
          </w:tcPr>
          <w:p w14:paraId="038A9F7F">
            <w:pPr>
              <w:adjustRightInd w:val="0"/>
              <w:snapToGrid w:val="0"/>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接收单位</w:t>
            </w:r>
          </w:p>
        </w:tc>
        <w:tc>
          <w:tcPr>
            <w:tcW w:w="6454" w:type="dxa"/>
            <w:vAlign w:val="center"/>
          </w:tcPr>
          <w:p w14:paraId="369B6166">
            <w:pPr>
              <w:adjustRightInd w:val="0"/>
              <w:snapToGrid w:val="0"/>
              <w:jc w:val="center"/>
              <w:rPr>
                <w:rFonts w:ascii="仿宋_GB2312" w:hAnsi="仿宋" w:eastAsia="仿宋_GB2312" w:cs="仿宋_GB2312"/>
                <w:color w:val="auto"/>
                <w:sz w:val="24"/>
                <w:highlight w:val="none"/>
              </w:rPr>
            </w:pPr>
          </w:p>
        </w:tc>
      </w:tr>
      <w:tr w14:paraId="1BEF5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965" w:type="dxa"/>
            <w:vAlign w:val="center"/>
          </w:tcPr>
          <w:p w14:paraId="077B0CD8">
            <w:pPr>
              <w:adjustRightInd w:val="0"/>
              <w:snapToGrid w:val="0"/>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接收人签字</w:t>
            </w:r>
          </w:p>
        </w:tc>
        <w:tc>
          <w:tcPr>
            <w:tcW w:w="6454" w:type="dxa"/>
            <w:vAlign w:val="center"/>
          </w:tcPr>
          <w:p w14:paraId="0BBE0662">
            <w:pPr>
              <w:adjustRightInd w:val="0"/>
              <w:snapToGrid w:val="0"/>
              <w:jc w:val="center"/>
              <w:rPr>
                <w:rFonts w:ascii="仿宋_GB2312" w:hAnsi="仿宋" w:eastAsia="仿宋_GB2312" w:cs="仿宋_GB2312"/>
                <w:color w:val="auto"/>
                <w:sz w:val="24"/>
                <w:highlight w:val="none"/>
              </w:rPr>
            </w:pPr>
          </w:p>
        </w:tc>
      </w:tr>
    </w:tbl>
    <w:p w14:paraId="5D3F7E7A">
      <w:pPr>
        <w:adjustRightInd w:val="0"/>
        <w:snapToGrid w:val="0"/>
        <w:spacing w:before="156" w:beforeLines="50"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19.3递交投标文件以后，如果投标人要进行修改或撤回投标，须提出书面申请并在投标截止时间前送达开标地点，投标人对投标文件的修改或撤回通知应按本须知规定编制、密封、标记。采购人和采购组织机构将予以接收，并视为投标文件的组成部分。否则，修改后的投标文件或撤回行为无效。</w:t>
      </w:r>
    </w:p>
    <w:p w14:paraId="1A1D2C93">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19.4在投标截止时间之后，投标人不得对其投标文件做任何修改。</w:t>
      </w:r>
    </w:p>
    <w:p w14:paraId="220945E8">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19.5采购人和采购组织机构对所接收并当众宣读投标内容的投标文件概不退回。</w:t>
      </w:r>
    </w:p>
    <w:p w14:paraId="5F661416">
      <w:pPr>
        <w:pStyle w:val="3"/>
        <w:spacing w:before="120" w:after="120"/>
        <w:rPr>
          <w:rFonts w:ascii="仿宋_GB2312" w:hAnsi="仿宋" w:eastAsia="仿宋_GB2312" w:cs="仿宋_GB2312"/>
          <w:color w:val="auto"/>
          <w:sz w:val="32"/>
          <w:szCs w:val="28"/>
          <w:highlight w:val="none"/>
        </w:rPr>
      </w:pPr>
      <w:bookmarkStart w:id="70" w:name="_Toc988_WPSOffice_Level2"/>
      <w:r>
        <w:rPr>
          <w:rFonts w:hint="eastAsia" w:ascii="仿宋_GB2312" w:hAnsi="仿宋" w:eastAsia="仿宋_GB2312" w:cs="仿宋_GB2312"/>
          <w:color w:val="auto"/>
          <w:sz w:val="32"/>
          <w:szCs w:val="28"/>
          <w:highlight w:val="none"/>
        </w:rPr>
        <w:t>六 开标及评标</w:t>
      </w:r>
      <w:bookmarkEnd w:id="70"/>
    </w:p>
    <w:p w14:paraId="6B94E44C">
      <w:pPr>
        <w:adjustRightInd w:val="0"/>
        <w:snapToGrid w:val="0"/>
        <w:spacing w:line="360" w:lineRule="auto"/>
        <w:ind w:firstLine="240" w:firstLineChars="100"/>
        <w:rPr>
          <w:rFonts w:ascii="仿宋_GB2312" w:hAnsi="仿宋" w:eastAsia="仿宋_GB2312" w:cs="仿宋_GB2312"/>
          <w:b/>
          <w:bCs/>
          <w:color w:val="auto"/>
          <w:sz w:val="24"/>
          <w:highlight w:val="none"/>
        </w:rPr>
      </w:pPr>
      <w:r>
        <w:rPr>
          <w:rFonts w:hint="eastAsia" w:ascii="仿宋_GB2312" w:hAnsi="仿宋" w:eastAsia="仿宋_GB2312" w:cs="仿宋_GB2312"/>
          <w:color w:val="auto"/>
          <w:sz w:val="24"/>
          <w:highlight w:val="none"/>
        </w:rPr>
        <w:t>★</w:t>
      </w:r>
      <w:r>
        <w:rPr>
          <w:rFonts w:hint="eastAsia" w:ascii="仿宋_GB2312" w:hAnsi="仿宋" w:eastAsia="仿宋_GB2312" w:cs="仿宋_GB2312"/>
          <w:b/>
          <w:bCs/>
          <w:color w:val="auto"/>
          <w:sz w:val="24"/>
          <w:highlight w:val="none"/>
        </w:rPr>
        <w:t>20.开标</w:t>
      </w:r>
    </w:p>
    <w:p w14:paraId="2A7FEC11">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20.1采购人和采购组织机构将按投标人须知表20.1款中规定的开标时间和地点组织公开开标并邀请所有投标人代表参加。</w:t>
      </w:r>
    </w:p>
    <w:p w14:paraId="020BFD18">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投标人不足3家的，不得开标。评标委员会成员不得参加开标活动。</w:t>
      </w:r>
    </w:p>
    <w:p w14:paraId="314BE8B9">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20.2开标时，由投标人或其推选的代表检查投标文件的密封情况，经记录后，由采购人或采购组织机构当众拆封投标文件，宣读投标人名称、投标价格及招标文件规定的内容。对于投标人在投标截止时间前递交的投标声明，在开标时当众宣读，评标时有效。</w:t>
      </w:r>
    </w:p>
    <w:p w14:paraId="721DD179">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未宣读投标价格、价格折扣等实质内容，评标时不予承认。</w:t>
      </w:r>
    </w:p>
    <w:p w14:paraId="2D2F40FA">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20.3采购人或采购组织机构将对开标过程进行记录，由参加开标的各投标人代表和相关工作人员签字确认，并存档备查。投标人未参加开标或未签字确认的，视同认可开标结果。</w:t>
      </w:r>
    </w:p>
    <w:p w14:paraId="39CCF235">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20.4投标人代表对开标过程和开标记录有疑义，以及认为采购人、采购组织机构相关工作人员有需要回避的情形的，应当场提出询问或者回避申请。</w:t>
      </w:r>
    </w:p>
    <w:p w14:paraId="1948E68E">
      <w:pPr>
        <w:adjustRightInd w:val="0"/>
        <w:snapToGrid w:val="0"/>
        <w:spacing w:line="360" w:lineRule="auto"/>
        <w:ind w:firstLine="240" w:firstLineChars="100"/>
        <w:rPr>
          <w:rFonts w:ascii="仿宋_GB2312" w:hAnsi="仿宋" w:eastAsia="仿宋_GB2312" w:cs="仿宋_GB2312"/>
          <w:b/>
          <w:bCs/>
          <w:color w:val="auto"/>
          <w:sz w:val="24"/>
          <w:highlight w:val="none"/>
        </w:rPr>
      </w:pPr>
      <w:r>
        <w:rPr>
          <w:rFonts w:hint="eastAsia" w:ascii="仿宋_GB2312" w:hAnsi="仿宋" w:eastAsia="仿宋_GB2312" w:cs="仿宋_GB2312"/>
          <w:color w:val="auto"/>
          <w:sz w:val="24"/>
          <w:highlight w:val="none"/>
        </w:rPr>
        <w:t>★</w:t>
      </w:r>
      <w:r>
        <w:rPr>
          <w:rFonts w:hint="eastAsia" w:ascii="仿宋_GB2312" w:hAnsi="仿宋" w:eastAsia="仿宋_GB2312" w:cs="仿宋_GB2312"/>
          <w:b/>
          <w:bCs/>
          <w:color w:val="auto"/>
          <w:sz w:val="24"/>
          <w:highlight w:val="none"/>
        </w:rPr>
        <w:t>21.组建评标委员会</w:t>
      </w:r>
    </w:p>
    <w:p w14:paraId="4DD6D0FF">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按照《中华人民共和国政府采购法》、《中华人民共和国政府采购法实施条例》有关规定依法组建评标委员会，负责本项目评标工作。本项目评标委员会组成详见投标人须知表21款。</w:t>
      </w:r>
    </w:p>
    <w:p w14:paraId="6005B7E0">
      <w:pPr>
        <w:adjustRightInd w:val="0"/>
        <w:snapToGrid w:val="0"/>
        <w:spacing w:line="360" w:lineRule="auto"/>
        <w:ind w:firstLine="240" w:firstLineChars="1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w:t>
      </w:r>
      <w:r>
        <w:rPr>
          <w:rFonts w:hint="eastAsia" w:ascii="仿宋_GB2312" w:hAnsi="仿宋" w:eastAsia="仿宋_GB2312" w:cs="仿宋_GB2312"/>
          <w:b/>
          <w:bCs/>
          <w:color w:val="auto"/>
          <w:sz w:val="24"/>
          <w:highlight w:val="none"/>
        </w:rPr>
        <w:t>22.资格审查</w:t>
      </w:r>
    </w:p>
    <w:p w14:paraId="11794553">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22.1采购人或采购组织机构依据法律法规和招标文件中规定的内容，对投标人的资格进行审查，投标人应按照第二章《投标文件内容及格式》中的相应要求提交资格证明材料。未通过资格审查的投标人不能进入评标，其投标将被认定为</w:t>
      </w:r>
      <w:r>
        <w:rPr>
          <w:rFonts w:hint="eastAsia" w:ascii="仿宋_GB2312" w:hAnsi="仿宋" w:eastAsia="仿宋_GB2312" w:cs="仿宋_GB2312"/>
          <w:b/>
          <w:bCs/>
          <w:color w:val="auto"/>
          <w:sz w:val="24"/>
          <w:highlight w:val="none"/>
        </w:rPr>
        <w:t>投标无效</w:t>
      </w:r>
      <w:r>
        <w:rPr>
          <w:rFonts w:hint="eastAsia" w:ascii="仿宋_GB2312" w:hAnsi="仿宋" w:eastAsia="仿宋_GB2312" w:cs="仿宋_GB2312"/>
          <w:color w:val="auto"/>
          <w:sz w:val="24"/>
          <w:highlight w:val="none"/>
        </w:rPr>
        <w:t>；通过资格审查的投标人不足3家的，不得评标。</w:t>
      </w:r>
    </w:p>
    <w:p w14:paraId="5D9ADD99">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22.2采购人或采购组织机构将在递交投标文件截止时间前一个工作日至资格审查结束前查询投标人的信用记录。投标人存在不良信用记录的，其投标将被认定为</w:t>
      </w:r>
      <w:r>
        <w:rPr>
          <w:rFonts w:hint="eastAsia" w:ascii="仿宋_GB2312" w:hAnsi="仿宋" w:eastAsia="仿宋_GB2312" w:cs="仿宋_GB2312"/>
          <w:b/>
          <w:bCs/>
          <w:color w:val="auto"/>
          <w:sz w:val="24"/>
          <w:highlight w:val="none"/>
        </w:rPr>
        <w:t>投标无效</w:t>
      </w:r>
      <w:r>
        <w:rPr>
          <w:rFonts w:hint="eastAsia" w:ascii="仿宋_GB2312" w:hAnsi="仿宋" w:eastAsia="仿宋_GB2312" w:cs="仿宋_GB2312"/>
          <w:color w:val="auto"/>
          <w:sz w:val="24"/>
          <w:highlight w:val="none"/>
        </w:rPr>
        <w:t>。</w:t>
      </w:r>
    </w:p>
    <w:p w14:paraId="1873B82A">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22.2.1不良信用记录指：投标人在中国政府采购网（www.ccgp.gov.cn）被列入政府采购严重违法失信行为记录名单，或在“信用中国”网站（www.creditchina.gov.cn）</w:t>
      </w:r>
      <w:r>
        <w:rPr>
          <w:rFonts w:hint="eastAsia" w:ascii="仿宋_GB2312" w:hAnsi="仿宋" w:eastAsia="仿宋_GB2312" w:cs="仿宋_GB2312"/>
          <w:color w:val="auto"/>
          <w:sz w:val="24"/>
          <w:szCs w:val="21"/>
          <w:highlight w:val="none"/>
        </w:rPr>
        <w:t>被列入失信被执行人、重大税收违法失信主体、政府采购严重违法失信行为记录名单，</w:t>
      </w:r>
      <w:r>
        <w:rPr>
          <w:rFonts w:hint="eastAsia" w:ascii="仿宋_GB2312" w:hAnsi="仿宋" w:eastAsia="仿宋_GB2312" w:cs="仿宋_GB2312"/>
          <w:color w:val="auto"/>
          <w:sz w:val="24"/>
          <w:highlight w:val="none"/>
        </w:rPr>
        <w:t>以及存在《中华人民共和国政府采购法实施条例》第十九条规定的行政处罚记录。</w:t>
      </w:r>
    </w:p>
    <w:p w14:paraId="5DF33F5C">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以联合体形式参加投标的，联合体任何成员存在以上不良信用记录的，联合体投标将被认定为</w:t>
      </w:r>
      <w:r>
        <w:rPr>
          <w:rFonts w:hint="eastAsia" w:ascii="仿宋_GB2312" w:hAnsi="仿宋" w:eastAsia="仿宋_GB2312" w:cs="仿宋_GB2312"/>
          <w:b/>
          <w:bCs/>
          <w:color w:val="auto"/>
          <w:sz w:val="24"/>
          <w:highlight w:val="none"/>
        </w:rPr>
        <w:t>投标无效</w:t>
      </w:r>
      <w:r>
        <w:rPr>
          <w:rFonts w:hint="eastAsia" w:ascii="仿宋_GB2312" w:hAnsi="仿宋" w:eastAsia="仿宋_GB2312" w:cs="仿宋_GB2312"/>
          <w:color w:val="auto"/>
          <w:sz w:val="24"/>
          <w:highlight w:val="none"/>
        </w:rPr>
        <w:t>。</w:t>
      </w:r>
    </w:p>
    <w:p w14:paraId="59957E94">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22.2.2查询及记录方式：采购人或采购组织机构经办人将查询网页打印并存档备查。投标人不良信用记录以采购人或采购组织机构查询结果为准。</w:t>
      </w:r>
    </w:p>
    <w:p w14:paraId="04A08902">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在本招标文件规定的查询时间之后，网站信息发生的任何变更均不再作为评标依据。</w:t>
      </w:r>
    </w:p>
    <w:p w14:paraId="69FA18F5">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投标人自行提供的与网站信息不一致的其他证明材料亦不作为资格审查依据。</w:t>
      </w:r>
    </w:p>
    <w:p w14:paraId="18D3E281">
      <w:pPr>
        <w:adjustRightInd w:val="0"/>
        <w:snapToGrid w:val="0"/>
        <w:spacing w:line="360" w:lineRule="auto"/>
        <w:ind w:firstLine="240" w:firstLineChars="100"/>
        <w:rPr>
          <w:rFonts w:ascii="仿宋_GB2312" w:hAnsi="仿宋" w:eastAsia="仿宋_GB2312" w:cs="仿宋_GB2312"/>
          <w:b/>
          <w:bCs/>
          <w:color w:val="auto"/>
          <w:sz w:val="24"/>
          <w:highlight w:val="none"/>
        </w:rPr>
      </w:pPr>
      <w:r>
        <w:rPr>
          <w:rFonts w:hint="eastAsia" w:ascii="仿宋_GB2312" w:hAnsi="仿宋" w:eastAsia="仿宋_GB2312" w:cs="仿宋_GB2312"/>
          <w:color w:val="auto"/>
          <w:sz w:val="24"/>
          <w:highlight w:val="none"/>
        </w:rPr>
        <w:t>★</w:t>
      </w:r>
      <w:r>
        <w:rPr>
          <w:rFonts w:hint="eastAsia" w:ascii="仿宋_GB2312" w:hAnsi="仿宋" w:eastAsia="仿宋_GB2312" w:cs="仿宋_GB2312"/>
          <w:b/>
          <w:bCs/>
          <w:color w:val="auto"/>
          <w:sz w:val="24"/>
          <w:highlight w:val="none"/>
        </w:rPr>
        <w:t>23.符合性审查</w:t>
      </w:r>
    </w:p>
    <w:p w14:paraId="254F8554">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hint="eastAsia" w:ascii="仿宋_GB2312" w:hAnsi="仿宋" w:eastAsia="仿宋_GB2312" w:cs="仿宋_GB2312"/>
          <w:b/>
          <w:bCs/>
          <w:color w:val="auto"/>
          <w:sz w:val="24"/>
          <w:highlight w:val="none"/>
        </w:rPr>
        <w:t>投标无效</w:t>
      </w:r>
      <w:r>
        <w:rPr>
          <w:rFonts w:hint="eastAsia" w:ascii="仿宋_GB2312" w:hAnsi="仿宋" w:eastAsia="仿宋_GB2312" w:cs="仿宋_GB2312"/>
          <w:color w:val="auto"/>
          <w:sz w:val="24"/>
          <w:highlight w:val="none"/>
        </w:rPr>
        <w:t>；通过符合性审查的投标人数量不足3家的，不得作进一步的比较和评价。</w:t>
      </w:r>
    </w:p>
    <w:p w14:paraId="0091B011">
      <w:pPr>
        <w:adjustRightInd w:val="0"/>
        <w:snapToGrid w:val="0"/>
        <w:spacing w:line="360" w:lineRule="auto"/>
        <w:ind w:firstLine="240" w:firstLineChars="100"/>
        <w:rPr>
          <w:rFonts w:ascii="仿宋_GB2312" w:hAnsi="仿宋" w:eastAsia="仿宋_GB2312" w:cs="仿宋_GB2312"/>
          <w:b/>
          <w:bCs/>
          <w:color w:val="auto"/>
          <w:sz w:val="24"/>
          <w:highlight w:val="none"/>
        </w:rPr>
      </w:pPr>
      <w:r>
        <w:rPr>
          <w:rFonts w:hint="eastAsia" w:ascii="仿宋_GB2312" w:hAnsi="仿宋" w:eastAsia="仿宋_GB2312" w:cs="仿宋_GB2312"/>
          <w:color w:val="auto"/>
          <w:sz w:val="24"/>
          <w:highlight w:val="none"/>
        </w:rPr>
        <w:t>★</w:t>
      </w:r>
      <w:r>
        <w:rPr>
          <w:rFonts w:hint="eastAsia" w:ascii="仿宋_GB2312" w:hAnsi="仿宋" w:eastAsia="仿宋_GB2312" w:cs="仿宋_GB2312"/>
          <w:b/>
          <w:bCs/>
          <w:color w:val="auto"/>
          <w:sz w:val="24"/>
          <w:highlight w:val="none"/>
        </w:rPr>
        <w:t>24.投标文件的澄清</w:t>
      </w:r>
    </w:p>
    <w:p w14:paraId="45275577">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24.1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14:paraId="5A42CB8C">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24.2投标人的澄清、说明或补正将作为投标文件的一部分。</w:t>
      </w:r>
    </w:p>
    <w:p w14:paraId="19076280">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24.3投标文件报价出现前后不一致的，按照下列规定修正：</w:t>
      </w:r>
    </w:p>
    <w:p w14:paraId="1CE01622">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（1）投标文件中开标一览表内容与投标文件中相应内容不一致的，以开标一览表为准；</w:t>
      </w:r>
    </w:p>
    <w:p w14:paraId="026A6EB8">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（2）大写金额和小写金额不一致的，以大写金额为准；</w:t>
      </w:r>
    </w:p>
    <w:p w14:paraId="07832A99">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（3）单价金额小数点或者百分比有明显错位的，以开标一览表的总价为准，并修改单价；</w:t>
      </w:r>
    </w:p>
    <w:p w14:paraId="138FAEE7">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（4）总价金额与按单价汇总金额不一致的，以单价金额计算结果为准。</w:t>
      </w:r>
    </w:p>
    <w:p w14:paraId="5B3A878B">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同时出现两种以上不一致的，按照前款规定的顺序修正。修正后的报价经投标人确认后产生约束力，投标人不确认的，其投标将被认定为</w:t>
      </w:r>
      <w:r>
        <w:rPr>
          <w:rFonts w:hint="eastAsia" w:ascii="仿宋_GB2312" w:hAnsi="仿宋" w:eastAsia="仿宋_GB2312" w:cs="仿宋_GB2312"/>
          <w:b/>
          <w:bCs/>
          <w:color w:val="auto"/>
          <w:sz w:val="24"/>
          <w:highlight w:val="none"/>
        </w:rPr>
        <w:t>投标无效</w:t>
      </w:r>
      <w:r>
        <w:rPr>
          <w:rFonts w:hint="eastAsia" w:ascii="仿宋_GB2312" w:hAnsi="仿宋" w:eastAsia="仿宋_GB2312" w:cs="仿宋_GB2312"/>
          <w:color w:val="auto"/>
          <w:sz w:val="24"/>
          <w:highlight w:val="none"/>
        </w:rPr>
        <w:t>。</w:t>
      </w:r>
    </w:p>
    <w:p w14:paraId="2FDA09BF">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24.4</w:t>
      </w:r>
      <w:r>
        <w:rPr>
          <w:rFonts w:hint="eastAsia" w:ascii="仿宋_GB2312" w:hAnsi="仿宋" w:eastAsia="仿宋_GB2312" w:cs="仿宋_GB2312"/>
          <w:b/>
          <w:bCs/>
          <w:color w:val="auto"/>
          <w:sz w:val="24"/>
          <w:highlight w:val="none"/>
        </w:rPr>
        <w:t>评标委员会认为</w:t>
      </w:r>
      <w:r>
        <w:rPr>
          <w:rFonts w:hint="eastAsia" w:ascii="仿宋_GB2312" w:hAnsi="仿宋" w:eastAsia="仿宋_GB2312" w:cs="仿宋_GB2312"/>
          <w:color w:val="auto"/>
          <w:sz w:val="24"/>
          <w:highlight w:val="none"/>
        </w:rPr>
        <w:t>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仿宋_GB2312" w:hAnsi="仿宋" w:eastAsia="仿宋_GB2312" w:cs="仿宋_GB2312"/>
          <w:b/>
          <w:bCs/>
          <w:color w:val="auto"/>
          <w:sz w:val="24"/>
          <w:highlight w:val="none"/>
        </w:rPr>
        <w:t>无效投标</w:t>
      </w:r>
      <w:r>
        <w:rPr>
          <w:rFonts w:hint="eastAsia" w:ascii="仿宋_GB2312" w:hAnsi="仿宋" w:eastAsia="仿宋_GB2312" w:cs="仿宋_GB2312"/>
          <w:color w:val="auto"/>
          <w:sz w:val="24"/>
          <w:highlight w:val="none"/>
        </w:rPr>
        <w:t>处理。提交证明材料的合理时间按第四章 评标方法规定执行。</w:t>
      </w:r>
    </w:p>
    <w:p w14:paraId="495920C9">
      <w:pPr>
        <w:adjustRightInd w:val="0"/>
        <w:snapToGrid w:val="0"/>
        <w:spacing w:line="360" w:lineRule="auto"/>
        <w:ind w:firstLine="480" w:firstLineChars="200"/>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25.样品及演示（本项目不适用）</w:t>
      </w:r>
    </w:p>
    <w:p w14:paraId="52654C25">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25.1投标人须知表11.3款中要求投标人提供样品的，按照投标人须知表25.1款中样品的评审方法以及评审标准进行评审。</w:t>
      </w:r>
    </w:p>
    <w:p w14:paraId="6D743F13">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25.2采购活动结束后，对于未中标人提供的样品，应当及时退还或者经未中标人同意后自行处理；对于中标人提供的样品，应当按招标文件规定进行保管、封存，并作为履约验收的参考。具体内容见投标人须知表11.3条。</w:t>
      </w:r>
    </w:p>
    <w:p w14:paraId="110E785A">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25.3演示的评审方法以及评审标准具体内容见投标人须知表25.1款。</w:t>
      </w:r>
    </w:p>
    <w:p w14:paraId="569A6F9C">
      <w:pPr>
        <w:adjustRightInd w:val="0"/>
        <w:snapToGrid w:val="0"/>
        <w:spacing w:line="360" w:lineRule="auto"/>
        <w:ind w:firstLine="240" w:firstLineChars="100"/>
        <w:rPr>
          <w:rFonts w:ascii="仿宋_GB2312" w:hAnsi="仿宋" w:eastAsia="仿宋_GB2312" w:cs="仿宋_GB2312"/>
          <w:b/>
          <w:bCs/>
          <w:color w:val="auto"/>
          <w:sz w:val="24"/>
          <w:highlight w:val="none"/>
        </w:rPr>
      </w:pPr>
      <w:r>
        <w:rPr>
          <w:rFonts w:hint="eastAsia" w:ascii="仿宋_GB2312" w:hAnsi="仿宋" w:eastAsia="仿宋_GB2312" w:cs="仿宋_GB2312"/>
          <w:color w:val="auto"/>
          <w:sz w:val="24"/>
          <w:highlight w:val="none"/>
        </w:rPr>
        <w:t>★</w:t>
      </w:r>
      <w:r>
        <w:rPr>
          <w:rFonts w:hint="eastAsia" w:ascii="仿宋_GB2312" w:hAnsi="仿宋" w:eastAsia="仿宋_GB2312" w:cs="仿宋_GB2312"/>
          <w:b/>
          <w:bCs/>
          <w:color w:val="auto"/>
          <w:sz w:val="24"/>
          <w:highlight w:val="none"/>
        </w:rPr>
        <w:t>26.投标无效</w:t>
      </w:r>
    </w:p>
    <w:p w14:paraId="48308844">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26.1在比较与评价之前，根据本须知的规定，评标委员会将审查每份投标文件是否实质上响应了招标文件的要求。</w:t>
      </w:r>
    </w:p>
    <w:p w14:paraId="30BC2F5B">
      <w:pPr>
        <w:adjustRightInd w:val="0"/>
        <w:snapToGrid w:val="0"/>
        <w:spacing w:line="360" w:lineRule="auto"/>
        <w:ind w:firstLine="480" w:firstLineChars="200"/>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实质性要求是指招标文件中带有★号标识内容（包括本级及其下级编号中所有内容）等文字说明的要求。</w:t>
      </w:r>
    </w:p>
    <w:p w14:paraId="05480F5E">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kern w:val="0"/>
          <w:sz w:val="24"/>
          <w:highlight w:val="none"/>
        </w:rPr>
        <w:t>对招标文件的实质性要求进行响应是指与招标文件中带有★号标识内容的文字说明、条款、条件和规格等要求相符。</w:t>
      </w:r>
    </w:p>
    <w:p w14:paraId="083AAF89">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如果投标文件没有对招标文件的实质性要求进行响应，将作为</w:t>
      </w:r>
      <w:r>
        <w:rPr>
          <w:rFonts w:hint="eastAsia" w:ascii="仿宋_GB2312" w:hAnsi="仿宋" w:eastAsia="仿宋_GB2312" w:cs="仿宋_GB2312"/>
          <w:b/>
          <w:bCs/>
          <w:color w:val="auto"/>
          <w:sz w:val="24"/>
          <w:highlight w:val="none"/>
        </w:rPr>
        <w:t>无效投标</w:t>
      </w:r>
      <w:r>
        <w:rPr>
          <w:rFonts w:hint="eastAsia" w:ascii="仿宋_GB2312" w:hAnsi="仿宋" w:eastAsia="仿宋_GB2312" w:cs="仿宋_GB2312"/>
          <w:color w:val="auto"/>
          <w:sz w:val="24"/>
          <w:highlight w:val="none"/>
        </w:rPr>
        <w:t>处理，投标人不得再对投标文件进行任何修正从而使其投标成为实质上响应的投标。</w:t>
      </w:r>
    </w:p>
    <w:p w14:paraId="7AED27CF">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评标委员会决定投标的响应性只根据招标文件要求、投标文件内容及财政主管部门指定媒体发布的相关信息。</w:t>
      </w:r>
    </w:p>
    <w:p w14:paraId="7EBE3F16">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26.2如发现下列情况之一的，其投标将被认定为</w:t>
      </w:r>
      <w:r>
        <w:rPr>
          <w:rFonts w:hint="eastAsia" w:ascii="仿宋_GB2312" w:hAnsi="仿宋" w:eastAsia="仿宋_GB2312" w:cs="仿宋_GB2312"/>
          <w:b/>
          <w:bCs/>
          <w:color w:val="auto"/>
          <w:sz w:val="24"/>
          <w:highlight w:val="none"/>
        </w:rPr>
        <w:t>投标无效</w:t>
      </w:r>
      <w:r>
        <w:rPr>
          <w:rFonts w:hint="eastAsia" w:ascii="仿宋_GB2312" w:hAnsi="仿宋" w:eastAsia="仿宋_GB2312" w:cs="仿宋_GB2312"/>
          <w:color w:val="auto"/>
          <w:sz w:val="24"/>
          <w:highlight w:val="none"/>
        </w:rPr>
        <w:t>：</w:t>
      </w:r>
    </w:p>
    <w:p w14:paraId="1BA03EBA">
      <w:pPr>
        <w:adjustRightInd w:val="0"/>
        <w:snapToGrid w:val="0"/>
        <w:spacing w:line="360" w:lineRule="auto"/>
        <w:ind w:firstLine="480" w:firstLineChars="200"/>
        <w:rPr>
          <w:rFonts w:ascii="仿宋_GB2312" w:hAnsi="仿宋" w:eastAsia="仿宋_GB2312" w:cs="仿宋_GB2312"/>
          <w:b/>
          <w:color w:val="auto"/>
          <w:sz w:val="24"/>
          <w:highlight w:val="none"/>
        </w:rPr>
      </w:pPr>
      <w:r>
        <w:rPr>
          <w:rFonts w:hint="eastAsia" w:ascii="仿宋_GB2312" w:hAnsi="仿宋" w:eastAsia="仿宋_GB2312" w:cs="仿宋_GB2312"/>
          <w:b/>
          <w:color w:val="auto"/>
          <w:sz w:val="24"/>
          <w:highlight w:val="none"/>
        </w:rPr>
        <w:t>（1）未按招标文件的规定提交投标保证金的；</w:t>
      </w:r>
    </w:p>
    <w:p w14:paraId="4EAB0E68">
      <w:pPr>
        <w:adjustRightInd w:val="0"/>
        <w:snapToGrid w:val="0"/>
        <w:spacing w:line="360" w:lineRule="auto"/>
        <w:ind w:firstLine="480" w:firstLineChars="200"/>
        <w:rPr>
          <w:rFonts w:ascii="仿宋_GB2312" w:hAnsi="仿宋" w:eastAsia="仿宋_GB2312" w:cs="仿宋_GB2312"/>
          <w:b/>
          <w:color w:val="auto"/>
          <w:sz w:val="24"/>
          <w:highlight w:val="none"/>
        </w:rPr>
      </w:pPr>
      <w:r>
        <w:rPr>
          <w:rFonts w:hint="eastAsia" w:ascii="仿宋_GB2312" w:hAnsi="仿宋" w:eastAsia="仿宋_GB2312" w:cs="仿宋_GB2312"/>
          <w:b/>
          <w:color w:val="auto"/>
          <w:sz w:val="24"/>
          <w:highlight w:val="none"/>
        </w:rPr>
        <w:t>（2）未按照招标文件规定要求签署、盖章的；</w:t>
      </w:r>
    </w:p>
    <w:p w14:paraId="068234DB">
      <w:pPr>
        <w:adjustRightInd w:val="0"/>
        <w:snapToGrid w:val="0"/>
        <w:spacing w:line="360" w:lineRule="auto"/>
        <w:ind w:firstLine="480" w:firstLineChars="200"/>
        <w:rPr>
          <w:rFonts w:ascii="仿宋_GB2312" w:hAnsi="仿宋" w:eastAsia="仿宋_GB2312" w:cs="仿宋_GB2312"/>
          <w:b/>
          <w:color w:val="auto"/>
          <w:sz w:val="24"/>
          <w:highlight w:val="none"/>
        </w:rPr>
      </w:pPr>
      <w:r>
        <w:rPr>
          <w:rFonts w:hint="eastAsia" w:ascii="仿宋_GB2312" w:hAnsi="仿宋" w:eastAsia="仿宋_GB2312" w:cs="仿宋_GB2312"/>
          <w:b/>
          <w:color w:val="auto"/>
          <w:sz w:val="24"/>
          <w:highlight w:val="none"/>
        </w:rPr>
        <w:t>（3）投标人的报价超过了招标文件中规定的预算金额或者最高限价的；</w:t>
      </w:r>
    </w:p>
    <w:p w14:paraId="6757A3C2">
      <w:pPr>
        <w:adjustRightInd w:val="0"/>
        <w:snapToGrid w:val="0"/>
        <w:spacing w:line="360" w:lineRule="auto"/>
        <w:ind w:firstLine="480" w:firstLineChars="200"/>
        <w:rPr>
          <w:rFonts w:ascii="仿宋_GB2312" w:hAnsi="仿宋" w:eastAsia="仿宋_GB2312" w:cs="仿宋_GB2312"/>
          <w:b/>
          <w:color w:val="auto"/>
          <w:sz w:val="24"/>
          <w:highlight w:val="none"/>
        </w:rPr>
      </w:pPr>
      <w:r>
        <w:rPr>
          <w:rFonts w:hint="eastAsia" w:ascii="仿宋_GB2312" w:hAnsi="仿宋" w:eastAsia="仿宋_GB2312" w:cs="仿宋_GB2312"/>
          <w:b/>
          <w:color w:val="auto"/>
          <w:sz w:val="24"/>
          <w:highlight w:val="none"/>
        </w:rPr>
        <w:t>（4）不具备招标文件中规定的资格要求的；</w:t>
      </w:r>
    </w:p>
    <w:p w14:paraId="604D7231">
      <w:pPr>
        <w:adjustRightInd w:val="0"/>
        <w:snapToGrid w:val="0"/>
        <w:spacing w:line="360" w:lineRule="auto"/>
        <w:ind w:firstLine="480" w:firstLineChars="200"/>
        <w:rPr>
          <w:rFonts w:ascii="仿宋_GB2312" w:hAnsi="仿宋" w:eastAsia="仿宋_GB2312" w:cs="仿宋_GB2312"/>
          <w:b/>
          <w:color w:val="auto"/>
          <w:sz w:val="24"/>
          <w:highlight w:val="none"/>
        </w:rPr>
      </w:pPr>
      <w:r>
        <w:rPr>
          <w:rFonts w:hint="eastAsia" w:ascii="仿宋_GB2312" w:hAnsi="仿宋" w:eastAsia="仿宋_GB2312" w:cs="仿宋_GB2312"/>
          <w:b/>
          <w:color w:val="auto"/>
          <w:sz w:val="24"/>
          <w:highlight w:val="none"/>
        </w:rPr>
        <w:t>（5）不符合法律、法规和招标文件中规定的其他实质性要求的；</w:t>
      </w:r>
    </w:p>
    <w:p w14:paraId="2FBE79F2">
      <w:pPr>
        <w:adjustRightInd w:val="0"/>
        <w:snapToGrid w:val="0"/>
        <w:spacing w:line="360" w:lineRule="auto"/>
        <w:ind w:firstLine="480" w:firstLineChars="200"/>
        <w:rPr>
          <w:rFonts w:ascii="仿宋_GB2312" w:hAnsi="仿宋" w:eastAsia="仿宋_GB2312" w:cs="仿宋_GB2312"/>
          <w:b/>
          <w:color w:val="auto"/>
          <w:sz w:val="24"/>
          <w:highlight w:val="none"/>
        </w:rPr>
      </w:pPr>
      <w:r>
        <w:rPr>
          <w:rFonts w:hint="eastAsia" w:ascii="仿宋_GB2312" w:hAnsi="仿宋" w:eastAsia="仿宋_GB2312" w:cs="仿宋_GB2312"/>
          <w:b/>
          <w:color w:val="auto"/>
          <w:sz w:val="24"/>
          <w:highlight w:val="none"/>
        </w:rPr>
        <w:t>（6）与其他投标人串通投标或者与采购人串通投标的；</w:t>
      </w:r>
    </w:p>
    <w:p w14:paraId="7FBDF6E3">
      <w:pPr>
        <w:adjustRightInd w:val="0"/>
        <w:snapToGrid w:val="0"/>
        <w:spacing w:line="360" w:lineRule="auto"/>
        <w:ind w:firstLine="480" w:firstLineChars="200"/>
        <w:rPr>
          <w:rFonts w:ascii="仿宋_GB2312" w:hAnsi="仿宋" w:eastAsia="仿宋_GB2312" w:cs="仿宋_GB2312"/>
          <w:b/>
          <w:color w:val="auto"/>
          <w:sz w:val="24"/>
          <w:highlight w:val="none"/>
        </w:rPr>
      </w:pPr>
      <w:r>
        <w:rPr>
          <w:rFonts w:hint="eastAsia" w:ascii="仿宋_GB2312" w:hAnsi="仿宋" w:eastAsia="仿宋_GB2312" w:cs="仿宋_GB2312"/>
          <w:b/>
          <w:color w:val="auto"/>
          <w:sz w:val="24"/>
          <w:highlight w:val="none"/>
        </w:rPr>
        <w:t>（7）评标委员会认为投标人的报价明显低于其他通过符合性审查投标人的报价，有可能影响履约的，且投标人未按照规定证明其报价合理性的；</w:t>
      </w:r>
    </w:p>
    <w:p w14:paraId="70C364C5">
      <w:pPr>
        <w:adjustRightInd w:val="0"/>
        <w:snapToGrid w:val="0"/>
        <w:spacing w:line="360" w:lineRule="auto"/>
        <w:ind w:firstLine="480" w:firstLineChars="200"/>
        <w:rPr>
          <w:rFonts w:ascii="仿宋_GB2312" w:hAnsi="仿宋" w:eastAsia="仿宋_GB2312" w:cs="仿宋_GB2312"/>
          <w:b/>
          <w:color w:val="auto"/>
          <w:sz w:val="24"/>
          <w:highlight w:val="none"/>
        </w:rPr>
      </w:pPr>
      <w:r>
        <w:rPr>
          <w:rFonts w:hint="eastAsia" w:ascii="仿宋_GB2312" w:hAnsi="仿宋" w:eastAsia="仿宋_GB2312" w:cs="仿宋_GB2312"/>
          <w:b/>
          <w:color w:val="auto"/>
          <w:sz w:val="24"/>
          <w:highlight w:val="none"/>
        </w:rPr>
        <w:t>（8）投标文件含有采购人不能接受的附加条件的；</w:t>
      </w:r>
    </w:p>
    <w:p w14:paraId="2064DED6">
      <w:pPr>
        <w:adjustRightInd w:val="0"/>
        <w:snapToGrid w:val="0"/>
        <w:spacing w:line="360" w:lineRule="auto"/>
        <w:ind w:firstLine="480" w:firstLineChars="200"/>
        <w:rPr>
          <w:rFonts w:ascii="仿宋_GB2312" w:hAnsi="仿宋" w:eastAsia="仿宋_GB2312" w:cs="仿宋_GB2312"/>
          <w:b/>
          <w:color w:val="auto"/>
          <w:sz w:val="24"/>
          <w:highlight w:val="none"/>
        </w:rPr>
      </w:pPr>
      <w:r>
        <w:rPr>
          <w:rFonts w:hint="eastAsia" w:ascii="仿宋_GB2312" w:hAnsi="仿宋" w:eastAsia="仿宋_GB2312" w:cs="仿宋_GB2312"/>
          <w:b/>
          <w:color w:val="auto"/>
          <w:sz w:val="24"/>
          <w:highlight w:val="none"/>
        </w:rPr>
        <w:t>（9）属于法律、法规和招标文件规定的其他投标无效情形的。</w:t>
      </w:r>
    </w:p>
    <w:p w14:paraId="41B8401D">
      <w:pPr>
        <w:adjustRightInd w:val="0"/>
        <w:snapToGrid w:val="0"/>
        <w:spacing w:line="360" w:lineRule="auto"/>
        <w:ind w:firstLine="480" w:firstLineChars="200"/>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27.比较与评价</w:t>
      </w:r>
    </w:p>
    <w:p w14:paraId="6E1A254C">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27.1经符合性审查合格的投标文件，评标委员会将根据招标文件确定的评标方法和标准，对其技术部分和商务部分作进一步的比较和评价。</w:t>
      </w:r>
    </w:p>
    <w:p w14:paraId="50F391CA">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27.2评标严格按照招标文件的要求和条件进行。根据实际情况，在投标人须知表27.2款中规定采用下列一种评标方法，详细评标标准见第四章 评标方法。</w:t>
      </w:r>
    </w:p>
    <w:p w14:paraId="2871F095">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（1）最低评标价法，是指投标文件满足招标文件全部实质性要求，且投标报价最低的投标人为中标候选人的评标方法。</w:t>
      </w:r>
    </w:p>
    <w:p w14:paraId="6F6A7E12">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（2）综合评分法，是指投标文件满足招标文件全部实质性要求，且按照评审因素的量化指标评审得分最高的投标人为中标候选人的评标方法。</w:t>
      </w:r>
    </w:p>
    <w:p w14:paraId="3E81A08C">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27.3根据《财政部 工业和信息化部关于印发&lt;政府采购促进中小企业发展管理办法&gt;的通知》（财库[2020]46号）、《财政部司法部关于政府采购支持监狱企业发展有关问题的通知》（财库〔2014〕68 号）和《三部门联合发布关于促进残疾人就业政府采购政策的通知》（财库〔2017〕141 号）的规定，对于非专门面向中小企业的项目，在满足价格扣除条件且在投标文件中提交了《中小企业声明函》，或省级以上监狱管理局、戒毒管理局（含新疆生产建设兵团）出具的属于监狱企业的证明文件的投标人，其投标报价扣除10-20%后参与评审。具体详见第四章 评标方法。</w:t>
      </w:r>
    </w:p>
    <w:p w14:paraId="1FE73D78">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27.4依据国家确定的认证机构出具的、处于有效期之内的节能产品、环境标志产品认证证书实施政府优先采购。具体优先采购办法详见第四章 评标方法。</w:t>
      </w:r>
    </w:p>
    <w:p w14:paraId="5106D70B">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27.5根据财政部、辽宁省财政厅相关规定，对于列入《辽宁省创新产品和服务目录》内的产品、服务实施政府优先采购。具体优先采购办法详见第四章 评标方法。</w:t>
      </w:r>
    </w:p>
    <w:p w14:paraId="130EC42C">
      <w:pPr>
        <w:adjustRightInd w:val="0"/>
        <w:snapToGrid w:val="0"/>
        <w:spacing w:line="360" w:lineRule="auto"/>
        <w:ind w:firstLine="240" w:firstLineChars="100"/>
        <w:rPr>
          <w:rFonts w:ascii="仿宋_GB2312" w:hAnsi="仿宋" w:eastAsia="仿宋_GB2312" w:cs="仿宋_GB2312"/>
          <w:b/>
          <w:bCs/>
          <w:color w:val="auto"/>
          <w:sz w:val="24"/>
          <w:highlight w:val="none"/>
        </w:rPr>
      </w:pPr>
      <w:r>
        <w:rPr>
          <w:rFonts w:hint="eastAsia" w:ascii="仿宋_GB2312" w:hAnsi="仿宋" w:eastAsia="仿宋_GB2312" w:cs="仿宋_GB2312"/>
          <w:color w:val="auto"/>
          <w:sz w:val="24"/>
          <w:highlight w:val="none"/>
        </w:rPr>
        <w:t>★</w:t>
      </w:r>
      <w:r>
        <w:rPr>
          <w:rFonts w:hint="eastAsia" w:ascii="仿宋_GB2312" w:hAnsi="仿宋" w:eastAsia="仿宋_GB2312" w:cs="仿宋_GB2312"/>
          <w:b/>
          <w:bCs/>
          <w:color w:val="auto"/>
          <w:sz w:val="24"/>
          <w:highlight w:val="none"/>
        </w:rPr>
        <w:t>28.废标</w:t>
      </w:r>
    </w:p>
    <w:p w14:paraId="182EFE68">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出现下列情形之一，将导致项目</w:t>
      </w:r>
      <w:r>
        <w:rPr>
          <w:rFonts w:hint="eastAsia" w:ascii="仿宋_GB2312" w:hAnsi="仿宋" w:eastAsia="仿宋_GB2312" w:cs="仿宋_GB2312"/>
          <w:b/>
          <w:bCs/>
          <w:color w:val="auto"/>
          <w:sz w:val="24"/>
          <w:highlight w:val="none"/>
        </w:rPr>
        <w:t>废标</w:t>
      </w:r>
      <w:r>
        <w:rPr>
          <w:rFonts w:hint="eastAsia" w:ascii="仿宋_GB2312" w:hAnsi="仿宋" w:eastAsia="仿宋_GB2312" w:cs="仿宋_GB2312"/>
          <w:color w:val="auto"/>
          <w:sz w:val="24"/>
          <w:highlight w:val="none"/>
        </w:rPr>
        <w:t>：</w:t>
      </w:r>
    </w:p>
    <w:p w14:paraId="239626D8">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（1）符合专业条件的投标人或者对招标文件做实质性响应的投标人不足3家的；</w:t>
      </w:r>
    </w:p>
    <w:p w14:paraId="1B35B4C5">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（2）出现影响采购公正的违法、违规行为的；</w:t>
      </w:r>
    </w:p>
    <w:p w14:paraId="5E578B3A">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（3）投标人的报价均超过了采购预算或最高限价，采购人不能支付的；</w:t>
      </w:r>
    </w:p>
    <w:p w14:paraId="1ACAD705">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（4）因重大变故，采购任务取消的。</w:t>
      </w:r>
    </w:p>
    <w:p w14:paraId="754E37F1">
      <w:pPr>
        <w:adjustRightInd w:val="0"/>
        <w:snapToGrid w:val="0"/>
        <w:spacing w:line="360" w:lineRule="auto"/>
        <w:ind w:firstLine="480" w:firstLineChars="200"/>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29.中标候选人的推荐原则及标准</w:t>
      </w:r>
    </w:p>
    <w:p w14:paraId="05F9047B">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29.1除第32条规定外，评标委员会将根据评标标准，对实质上响应招标文件的投标人按下列方法进行排序，推荐中标候选人：</w:t>
      </w:r>
    </w:p>
    <w:p w14:paraId="0FB5651C">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采用最低评标价法的，除了算数修正和落实政府采购政策需进行的价格扣除外，不对投标人的投标价格进行任何调整。评标结果按修正和扣除后的投标报价由低到高顺序排序。报价相同的，按第四章评标办法规定执行。</w:t>
      </w:r>
    </w:p>
    <w:p w14:paraId="0EFBD616">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（2）采用综合评分法的，评标结果按评审后得分由高到低顺序排序。得分相同的，按第四章评标办法规定执行。</w:t>
      </w:r>
    </w:p>
    <w:p w14:paraId="38C2CD2F">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29.2评标委员会将根据评标标准，按投标人须知表29.2款中规定的数量推荐中标候选人。</w:t>
      </w:r>
    </w:p>
    <w:p w14:paraId="0486AAC6">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29.3因推荐中标候选人名单产生其他问题，由评标委员会集体研究处理。</w:t>
      </w:r>
    </w:p>
    <w:p w14:paraId="122C373F">
      <w:pPr>
        <w:adjustRightInd w:val="0"/>
        <w:snapToGrid w:val="0"/>
        <w:spacing w:line="360" w:lineRule="auto"/>
        <w:ind w:firstLine="240" w:firstLineChars="100"/>
        <w:rPr>
          <w:rFonts w:ascii="仿宋_GB2312" w:hAnsi="仿宋" w:eastAsia="仿宋_GB2312" w:cs="仿宋_GB2312"/>
          <w:b/>
          <w:bCs/>
          <w:color w:val="auto"/>
          <w:sz w:val="24"/>
          <w:highlight w:val="none"/>
        </w:rPr>
      </w:pPr>
      <w:r>
        <w:rPr>
          <w:rFonts w:hint="eastAsia" w:ascii="仿宋_GB2312" w:hAnsi="仿宋" w:eastAsia="仿宋_GB2312" w:cs="仿宋_GB2312"/>
          <w:color w:val="auto"/>
          <w:sz w:val="24"/>
          <w:highlight w:val="none"/>
        </w:rPr>
        <w:t>★</w:t>
      </w:r>
      <w:r>
        <w:rPr>
          <w:rFonts w:hint="eastAsia" w:ascii="仿宋_GB2312" w:hAnsi="仿宋" w:eastAsia="仿宋_GB2312" w:cs="仿宋_GB2312"/>
          <w:b/>
          <w:bCs/>
          <w:color w:val="auto"/>
          <w:sz w:val="24"/>
          <w:highlight w:val="none"/>
        </w:rPr>
        <w:t>30.保密原则</w:t>
      </w:r>
    </w:p>
    <w:p w14:paraId="1CB4E3DC">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30.1评标将在严格保密的情况下进行。</w:t>
      </w:r>
    </w:p>
    <w:p w14:paraId="774CA7C5">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30.2有关人员应当遵守评标工作纪律，不得泄露评审文件、评标情况和评标过程中获悉的国家秘密、商业秘密。</w:t>
      </w:r>
    </w:p>
    <w:p w14:paraId="65717BFC">
      <w:pPr>
        <w:pStyle w:val="3"/>
        <w:spacing w:before="120" w:after="120"/>
        <w:rPr>
          <w:rFonts w:ascii="仿宋_GB2312" w:hAnsi="仿宋" w:eastAsia="仿宋_GB2312" w:cs="仿宋_GB2312"/>
          <w:color w:val="auto"/>
          <w:sz w:val="32"/>
          <w:szCs w:val="28"/>
          <w:highlight w:val="none"/>
        </w:rPr>
      </w:pPr>
      <w:bookmarkStart w:id="71" w:name="_Toc4544_WPSOffice_Level2"/>
      <w:r>
        <w:rPr>
          <w:rFonts w:hint="eastAsia" w:ascii="仿宋_GB2312" w:hAnsi="仿宋" w:eastAsia="仿宋_GB2312" w:cs="仿宋_GB2312"/>
          <w:color w:val="auto"/>
          <w:sz w:val="32"/>
          <w:szCs w:val="28"/>
          <w:highlight w:val="none"/>
        </w:rPr>
        <w:t>七 确定中标</w:t>
      </w:r>
      <w:bookmarkEnd w:id="71"/>
    </w:p>
    <w:p w14:paraId="74E184AB">
      <w:pPr>
        <w:adjustRightInd w:val="0"/>
        <w:snapToGrid w:val="0"/>
        <w:spacing w:line="360" w:lineRule="auto"/>
        <w:ind w:firstLine="480" w:firstLineChars="200"/>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31.确定中标人</w:t>
      </w:r>
    </w:p>
    <w:p w14:paraId="179E16B4">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由采购人或者采购人委托评标委员会按照投标人须知表31中规定的方式确定中标人。</w:t>
      </w:r>
    </w:p>
    <w:p w14:paraId="544AD38C">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采购人在收到评标报告5个工作日内未按评标报告推荐的中标候选人顺序确定中标人，又不能说明合法理由的，视同按评标报告推荐的顺序确定排名第一的中标候选人为中标人。</w:t>
      </w:r>
    </w:p>
    <w:p w14:paraId="3B36614B">
      <w:pPr>
        <w:adjustRightInd w:val="0"/>
        <w:snapToGrid w:val="0"/>
        <w:spacing w:line="360" w:lineRule="auto"/>
        <w:ind w:firstLine="240" w:firstLineChars="100"/>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★32.采购任务取消</w:t>
      </w:r>
    </w:p>
    <w:p w14:paraId="66D13C02">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因重大变故采购任务取消时，采购人有权拒绝任何供应商中标，且对受影响的投标人不承担任何责任。</w:t>
      </w:r>
    </w:p>
    <w:p w14:paraId="40177733">
      <w:pPr>
        <w:adjustRightInd w:val="0"/>
        <w:snapToGrid w:val="0"/>
        <w:spacing w:line="360" w:lineRule="auto"/>
        <w:ind w:firstLine="480" w:firstLineChars="200"/>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33.中标通知书</w:t>
      </w:r>
    </w:p>
    <w:p w14:paraId="33FE2F2D">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33.1采购人或者采购组织机构应当自中标人确定之日起2个工作日内，在辽宁政府采购网及其地方分网媒体上公告中标结果。同时向中标人发出中标通知书。</w:t>
      </w:r>
    </w:p>
    <w:p w14:paraId="14A92E71">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33.2中标通知书是合同的组成部分。</w:t>
      </w:r>
    </w:p>
    <w:p w14:paraId="5880668D">
      <w:pPr>
        <w:adjustRightInd w:val="0"/>
        <w:snapToGrid w:val="0"/>
        <w:spacing w:line="360" w:lineRule="auto"/>
        <w:ind w:firstLine="240" w:firstLineChars="100"/>
        <w:rPr>
          <w:rFonts w:ascii="仿宋_GB2312" w:hAnsi="仿宋" w:eastAsia="仿宋_GB2312" w:cs="仿宋_GB2312"/>
          <w:b/>
          <w:bCs/>
          <w:color w:val="auto"/>
          <w:sz w:val="24"/>
          <w:highlight w:val="none"/>
        </w:rPr>
      </w:pPr>
      <w:r>
        <w:rPr>
          <w:rFonts w:hint="eastAsia" w:ascii="仿宋_GB2312" w:hAnsi="仿宋" w:eastAsia="仿宋_GB2312" w:cs="仿宋_GB2312"/>
          <w:color w:val="auto"/>
          <w:sz w:val="24"/>
          <w:highlight w:val="none"/>
        </w:rPr>
        <w:t>★</w:t>
      </w:r>
      <w:r>
        <w:rPr>
          <w:rFonts w:hint="eastAsia" w:ascii="仿宋_GB2312" w:hAnsi="仿宋" w:eastAsia="仿宋_GB2312" w:cs="仿宋_GB2312"/>
          <w:b/>
          <w:bCs/>
          <w:color w:val="auto"/>
          <w:sz w:val="24"/>
          <w:highlight w:val="none"/>
        </w:rPr>
        <w:t>34.签订合同</w:t>
      </w:r>
    </w:p>
    <w:p w14:paraId="399CF2EB">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34.1中标人应当自发出中标通知书之日起30日内，与采购人签订书面合同。</w:t>
      </w:r>
    </w:p>
    <w:p w14:paraId="4D6B5987">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14:paraId="2BBD7132">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34.3中标人拒绝与采购人签订合同的，采购人可以按照评标报告推荐的中标候选人名单排序，确定下一中标候选人为中标人，也可以重新开展政府采购活动。</w:t>
      </w:r>
    </w:p>
    <w:p w14:paraId="4183F712">
      <w:pPr>
        <w:adjustRightInd w:val="0"/>
        <w:snapToGrid w:val="0"/>
        <w:spacing w:line="360" w:lineRule="auto"/>
        <w:ind w:firstLine="240" w:firstLineChars="100"/>
        <w:rPr>
          <w:rFonts w:ascii="仿宋_GB2312" w:hAnsi="仿宋" w:eastAsia="仿宋_GB2312" w:cs="仿宋_GB2312"/>
          <w:b/>
          <w:bCs/>
          <w:color w:val="auto"/>
          <w:sz w:val="24"/>
          <w:highlight w:val="none"/>
        </w:rPr>
      </w:pPr>
      <w:r>
        <w:rPr>
          <w:rFonts w:hint="eastAsia" w:ascii="仿宋_GB2312" w:hAnsi="仿宋" w:eastAsia="仿宋_GB2312" w:cs="仿宋_GB2312"/>
          <w:color w:val="auto"/>
          <w:sz w:val="24"/>
          <w:highlight w:val="none"/>
        </w:rPr>
        <w:t>★</w:t>
      </w:r>
      <w:r>
        <w:rPr>
          <w:rFonts w:hint="eastAsia" w:ascii="仿宋_GB2312" w:hAnsi="仿宋" w:eastAsia="仿宋_GB2312" w:cs="仿宋_GB2312"/>
          <w:b/>
          <w:bCs/>
          <w:color w:val="auto"/>
          <w:sz w:val="24"/>
          <w:highlight w:val="none"/>
        </w:rPr>
        <w:t>35.履约保证金（本项目不适用）</w:t>
      </w:r>
    </w:p>
    <w:p w14:paraId="34C01066">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35.1中标人应按照投标人须知表35.1款规定向采购人缴纳履约保证金。</w:t>
      </w:r>
    </w:p>
    <w:p w14:paraId="5D199D0C">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35.2如果中标人没有按照上述履约保证金的规定执行，将视为拒绝签订合同并放弃中标资格，中标人的投标保证金将不予退还。在此情况下，采购人可确定下一中标候选人为中标人，也可以重新开展采购活动。</w:t>
      </w:r>
    </w:p>
    <w:p w14:paraId="373F0D6A">
      <w:pPr>
        <w:adjustRightInd w:val="0"/>
        <w:snapToGrid w:val="0"/>
        <w:spacing w:line="360" w:lineRule="auto"/>
        <w:ind w:firstLine="240" w:firstLineChars="100"/>
        <w:rPr>
          <w:rFonts w:ascii="仿宋_GB2312" w:hAnsi="仿宋" w:eastAsia="仿宋_GB2312" w:cs="仿宋_GB2312"/>
          <w:b/>
          <w:bCs/>
          <w:color w:val="auto"/>
          <w:sz w:val="24"/>
          <w:highlight w:val="none"/>
        </w:rPr>
      </w:pPr>
      <w:r>
        <w:rPr>
          <w:rFonts w:hint="eastAsia" w:ascii="仿宋_GB2312" w:hAnsi="仿宋" w:eastAsia="仿宋_GB2312" w:cs="仿宋_GB2312"/>
          <w:color w:val="auto"/>
          <w:sz w:val="24"/>
          <w:highlight w:val="none"/>
        </w:rPr>
        <w:t>★</w:t>
      </w:r>
      <w:r>
        <w:rPr>
          <w:rFonts w:hint="eastAsia" w:ascii="仿宋_GB2312" w:hAnsi="仿宋" w:eastAsia="仿宋_GB2312" w:cs="仿宋_GB2312"/>
          <w:b/>
          <w:bCs/>
          <w:color w:val="auto"/>
          <w:sz w:val="24"/>
          <w:highlight w:val="none"/>
        </w:rPr>
        <w:t>36.采购代理服务费（本项目不适用）</w:t>
      </w:r>
    </w:p>
    <w:p w14:paraId="4D69E027">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中标人须按照投标须知表36款规定，向采购组织机构支付采购代理服务费。</w:t>
      </w:r>
    </w:p>
    <w:p w14:paraId="42CAAAAC">
      <w:pPr>
        <w:adjustRightInd w:val="0"/>
        <w:snapToGrid w:val="0"/>
        <w:spacing w:line="360" w:lineRule="auto"/>
        <w:ind w:firstLine="480" w:firstLineChars="200"/>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37.廉洁自律规定</w:t>
      </w:r>
    </w:p>
    <w:p w14:paraId="634FC4ED">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37.1采购组织机构工作人员不得以不正当手段获取政府采购代理业务，不得与采购人、投标人恶意串通操纵政府采购活动。</w:t>
      </w:r>
    </w:p>
    <w:p w14:paraId="01DBD3FE">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37.2采购组织机构工作人员不得接受采购人或者投标人组织的宴请、旅游、娱乐，不得收受礼品、现金、有价证券等，不得向采购人或者投标人报销应当由个人承担的费用。</w:t>
      </w:r>
    </w:p>
    <w:p w14:paraId="13B5A99A">
      <w:pPr>
        <w:adjustRightInd w:val="0"/>
        <w:snapToGrid w:val="0"/>
        <w:spacing w:line="360" w:lineRule="auto"/>
        <w:ind w:firstLine="480" w:firstLineChars="200"/>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38.人员回避</w:t>
      </w:r>
    </w:p>
    <w:p w14:paraId="3C089D7D">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投标人认为采购人及其相关人员有法律法规所列与其他投标人有利害关系的，可以向采购人或采购组织机构书面提出回避申请，并说明理由。</w:t>
      </w:r>
    </w:p>
    <w:p w14:paraId="0CAF48D8">
      <w:pPr>
        <w:adjustRightInd w:val="0"/>
        <w:snapToGrid w:val="0"/>
        <w:spacing w:line="360" w:lineRule="auto"/>
        <w:ind w:firstLine="480" w:firstLineChars="200"/>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39.质疑与接收</w:t>
      </w:r>
    </w:p>
    <w:p w14:paraId="059F4566">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39.1投标人认为招标文件、招标过程和中标结果使自己的权益受到损害的，可以根据《中华人民共和国政府采购法》、《中华人民共和国政府采购法实施条例》和《政府采购质疑和投诉办法》的有关规定，依法向采购人或其委托的采购组织机构提出质疑。</w:t>
      </w:r>
    </w:p>
    <w:p w14:paraId="5607878C">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39.2质疑投标人应按照财政部门制定的《政府采购质疑函范本》格式（详见辽宁政府采购网）和《政府采购质疑和投诉办法》的要求，在法定质疑期内以纸质形式提出质疑，针对同一采购程序环节的质疑应一次性提出。</w:t>
      </w:r>
    </w:p>
    <w:p w14:paraId="3341F429">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超出法定质疑期的、重复提出的、分次提出的或内容、形式不符合《政府采购质疑和投诉办法》的，质疑投标人将依法承担不利后果。</w:t>
      </w:r>
    </w:p>
    <w:p w14:paraId="2AF1C148">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39.3采购组织机构质疑函接收部门、联系电话和通讯地址, 见投标人须知表39.3款。</w:t>
      </w:r>
    </w:p>
    <w:p w14:paraId="3DC23F10">
      <w:pPr>
        <w:adjustRightInd w:val="0"/>
        <w:snapToGrid w:val="0"/>
        <w:spacing w:line="360" w:lineRule="auto"/>
        <w:ind w:firstLine="480" w:firstLineChars="200"/>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40.履约验收</w:t>
      </w:r>
    </w:p>
    <w:p w14:paraId="08649BF3">
      <w:pPr>
        <w:adjustRightInd w:val="0"/>
        <w:snapToGrid w:val="0"/>
        <w:spacing w:line="360" w:lineRule="auto"/>
        <w:ind w:firstLine="456" w:firstLineChars="200"/>
        <w:rPr>
          <w:rFonts w:ascii="仿宋_GB2312" w:hAnsi="仿宋" w:eastAsia="仿宋_GB2312" w:cs="仿宋_GB2312"/>
          <w:b/>
          <w:color w:val="auto"/>
          <w:sz w:val="24"/>
          <w:szCs w:val="32"/>
          <w:highlight w:val="none"/>
        </w:rPr>
        <w:sectPr>
          <w:footerReference r:id="rId6" w:type="default"/>
          <w:pgSz w:w="11906" w:h="16838"/>
          <w:pgMar w:top="1594" w:right="1800" w:bottom="1440" w:left="1800" w:header="993" w:footer="992" w:gutter="0"/>
          <w:pgNumType w:start="1"/>
          <w:cols w:space="720" w:num="1"/>
          <w:docGrid w:type="linesAndChars" w:linePitch="312" w:charSpace="0"/>
        </w:sectPr>
      </w:pPr>
      <w:r>
        <w:rPr>
          <w:rFonts w:hint="eastAsia" w:ascii="仿宋_GB2312" w:hAnsi="仿宋" w:eastAsia="仿宋_GB2312" w:cs="仿宋_GB2312"/>
          <w:color w:val="auto"/>
          <w:spacing w:val="-6"/>
          <w:sz w:val="24"/>
          <w:highlight w:val="none"/>
        </w:rPr>
        <w:t>本项目采购人及其委托的采购组织机构将严格按照政府采购相关法律法规以及《辽宁省政府采购履约验收管理办法》（辽财采〔2017〕603号）的要求进行验收</w:t>
      </w:r>
      <w:r>
        <w:rPr>
          <w:rFonts w:hint="eastAsia" w:ascii="仿宋_GB2312" w:hAnsi="仿宋" w:eastAsia="仿宋_GB2312" w:cs="仿宋_GB2312"/>
          <w:color w:val="auto"/>
          <w:sz w:val="24"/>
          <w:highlight w:val="none"/>
        </w:rPr>
        <w:t>。</w:t>
      </w:r>
    </w:p>
    <w:p w14:paraId="7833708D">
      <w:pPr>
        <w:pStyle w:val="2"/>
        <w:adjustRightInd w:val="0"/>
        <w:snapToGrid w:val="0"/>
        <w:spacing w:before="0" w:after="0"/>
        <w:rPr>
          <w:rFonts w:ascii="方正小标宋简体" w:hAnsi="仿宋" w:eastAsia="方正小标宋简体" w:cs="仿宋_GB2312"/>
          <w:b w:val="0"/>
          <w:bCs/>
          <w:color w:val="auto"/>
          <w:highlight w:val="none"/>
        </w:rPr>
      </w:pPr>
      <w:bookmarkStart w:id="72" w:name="_Toc21783"/>
      <w:bookmarkStart w:id="73" w:name="_Toc111013452"/>
      <w:bookmarkStart w:id="74" w:name="_Toc17725_WPSOffice_Level1"/>
      <w:bookmarkStart w:id="75" w:name="_Toc25206_WPSOffice_Level2"/>
      <w:bookmarkStart w:id="76" w:name="sys_资格性证明材料：Document"/>
      <w:bookmarkStart w:id="77" w:name="_Toc22359_WPSOffice_Level2"/>
      <w:bookmarkStart w:id="78" w:name="资格性证明材料：Document"/>
      <w:r>
        <w:rPr>
          <w:rFonts w:hint="eastAsia" w:ascii="方正小标宋简体" w:hAnsi="仿宋" w:eastAsia="方正小标宋简体" w:cs="仿宋_GB2312"/>
          <w:b w:val="0"/>
          <w:bCs/>
          <w:color w:val="auto"/>
          <w:highlight w:val="none"/>
        </w:rPr>
        <w:t>第二章 投标文件内容及格式</w:t>
      </w:r>
      <w:bookmarkEnd w:id="72"/>
      <w:bookmarkEnd w:id="73"/>
      <w:bookmarkEnd w:id="74"/>
    </w:p>
    <w:p w14:paraId="42BC2692">
      <w:pPr>
        <w:spacing w:before="159" w:beforeLines="50"/>
        <w:rPr>
          <w:rFonts w:ascii="仿宋_GB2312" w:hAnsi="仿宋" w:eastAsia="仿宋_GB2312" w:cs="仿宋_GB2312"/>
          <w:b/>
          <w:color w:val="auto"/>
          <w:sz w:val="24"/>
          <w:highlight w:val="none"/>
        </w:rPr>
      </w:pPr>
      <w:bookmarkStart w:id="79" w:name="sys_投标文件内容及格式：Block"/>
      <w:bookmarkEnd w:id="79"/>
      <w:bookmarkStart w:id="80" w:name="投标文件内容及格式：Block"/>
      <w:bookmarkEnd w:id="80"/>
      <w:bookmarkStart w:id="81" w:name="_Toc1538_WPSOffice_Level2"/>
      <w:bookmarkStart w:id="82" w:name="_Toc2481_WPSOffice_Level2"/>
      <w:r>
        <w:rPr>
          <w:rFonts w:hint="eastAsia" w:ascii="仿宋_GB2312" w:hAnsi="仿宋" w:eastAsia="仿宋_GB2312" w:cs="仿宋_GB2312"/>
          <w:b/>
          <w:color w:val="auto"/>
          <w:sz w:val="24"/>
          <w:highlight w:val="none"/>
        </w:rPr>
        <w:t>一、投标文件、电子文档的外封面、封口、封皮及目录</w:t>
      </w:r>
      <w:bookmarkEnd w:id="81"/>
      <w:bookmarkEnd w:id="82"/>
    </w:p>
    <w:tbl>
      <w:tblPr>
        <w:tblStyle w:val="24"/>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6868"/>
        <w:gridCol w:w="738"/>
      </w:tblGrid>
      <w:tr w14:paraId="60304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blHeader/>
          <w:jc w:val="center"/>
        </w:trPr>
        <w:tc>
          <w:tcPr>
            <w:tcW w:w="753" w:type="dxa"/>
            <w:vAlign w:val="center"/>
          </w:tcPr>
          <w:p w14:paraId="45D77D7F">
            <w:pPr>
              <w:widowControl/>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序号</w:t>
            </w:r>
          </w:p>
        </w:tc>
        <w:tc>
          <w:tcPr>
            <w:tcW w:w="6868" w:type="dxa"/>
            <w:vAlign w:val="center"/>
          </w:tcPr>
          <w:p w14:paraId="4273E8DF">
            <w:pPr>
              <w:widowControl/>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内容</w:t>
            </w:r>
          </w:p>
        </w:tc>
        <w:tc>
          <w:tcPr>
            <w:tcW w:w="738" w:type="dxa"/>
            <w:vAlign w:val="center"/>
          </w:tcPr>
          <w:p w14:paraId="5634B871">
            <w:pPr>
              <w:widowControl/>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格式</w:t>
            </w:r>
          </w:p>
        </w:tc>
      </w:tr>
      <w:tr w14:paraId="2EFF5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753" w:type="dxa"/>
            <w:vAlign w:val="center"/>
          </w:tcPr>
          <w:p w14:paraId="6CBADF49">
            <w:pPr>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1</w:t>
            </w:r>
          </w:p>
        </w:tc>
        <w:tc>
          <w:tcPr>
            <w:tcW w:w="6868" w:type="dxa"/>
            <w:vAlign w:val="center"/>
          </w:tcPr>
          <w:p w14:paraId="62EDE2A9">
            <w:pPr>
              <w:widowControl/>
              <w:adjustRightInd w:val="0"/>
              <w:snapToGrid w:val="0"/>
              <w:jc w:val="left"/>
              <w:rPr>
                <w:rFonts w:ascii="仿宋_GB2312" w:hAnsi="仿宋" w:eastAsia="仿宋_GB2312" w:cs="仿宋_GB2312"/>
                <w:b/>
                <w:color w:val="auto"/>
                <w:kern w:val="0"/>
                <w:sz w:val="24"/>
                <w:highlight w:val="none"/>
              </w:rPr>
            </w:pPr>
            <w:r>
              <w:rPr>
                <w:rFonts w:hint="eastAsia" w:ascii="仿宋_GB2312" w:hAnsi="仿宋" w:eastAsia="仿宋_GB2312" w:cs="仿宋_GB2312"/>
                <w:color w:val="auto"/>
                <w:kern w:val="0"/>
                <w:sz w:val="24"/>
                <w:highlight w:val="none"/>
              </w:rPr>
              <w:t>投标文件、电子文档的外封面及封口</w:t>
            </w:r>
          </w:p>
        </w:tc>
        <w:tc>
          <w:tcPr>
            <w:tcW w:w="738" w:type="dxa"/>
            <w:vAlign w:val="center"/>
          </w:tcPr>
          <w:p w14:paraId="0D6A5C4D">
            <w:pPr>
              <w:widowControl/>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1</w:t>
            </w:r>
          </w:p>
        </w:tc>
      </w:tr>
      <w:tr w14:paraId="468CB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753" w:type="dxa"/>
            <w:vAlign w:val="center"/>
          </w:tcPr>
          <w:p w14:paraId="04F64A41">
            <w:pPr>
              <w:widowControl/>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2</w:t>
            </w:r>
          </w:p>
        </w:tc>
        <w:tc>
          <w:tcPr>
            <w:tcW w:w="6868" w:type="dxa"/>
            <w:vAlign w:val="center"/>
          </w:tcPr>
          <w:p w14:paraId="184D6D9B">
            <w:pPr>
              <w:widowControl/>
              <w:adjustRightInd w:val="0"/>
              <w:snapToGrid w:val="0"/>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投标文件的封皮</w:t>
            </w:r>
          </w:p>
        </w:tc>
        <w:tc>
          <w:tcPr>
            <w:tcW w:w="738" w:type="dxa"/>
            <w:vAlign w:val="center"/>
          </w:tcPr>
          <w:p w14:paraId="4C893A39">
            <w:pPr>
              <w:widowControl/>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2</w:t>
            </w:r>
          </w:p>
        </w:tc>
      </w:tr>
      <w:tr w14:paraId="5F4C4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753" w:type="dxa"/>
            <w:vAlign w:val="center"/>
          </w:tcPr>
          <w:p w14:paraId="44275E6D">
            <w:pPr>
              <w:widowControl/>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3</w:t>
            </w:r>
          </w:p>
        </w:tc>
        <w:tc>
          <w:tcPr>
            <w:tcW w:w="6868" w:type="dxa"/>
            <w:vAlign w:val="center"/>
          </w:tcPr>
          <w:p w14:paraId="6896CBB7">
            <w:pPr>
              <w:widowControl/>
              <w:adjustRightInd w:val="0"/>
              <w:snapToGrid w:val="0"/>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投标文件的目录</w:t>
            </w:r>
          </w:p>
        </w:tc>
        <w:tc>
          <w:tcPr>
            <w:tcW w:w="738" w:type="dxa"/>
            <w:vAlign w:val="center"/>
          </w:tcPr>
          <w:p w14:paraId="5E65EAD0">
            <w:pPr>
              <w:widowControl/>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3</w:t>
            </w:r>
          </w:p>
        </w:tc>
      </w:tr>
    </w:tbl>
    <w:p w14:paraId="36D4E704">
      <w:pPr>
        <w:snapToGrid w:val="0"/>
        <w:spacing w:before="159" w:beforeLines="50"/>
        <w:rPr>
          <w:rFonts w:ascii="仿宋_GB2312" w:hAnsi="仿宋" w:eastAsia="仿宋_GB2312" w:cs="仿宋_GB2312"/>
          <w:b/>
          <w:color w:val="auto"/>
          <w:sz w:val="24"/>
          <w:highlight w:val="none"/>
        </w:rPr>
      </w:pPr>
      <w:bookmarkStart w:id="83" w:name="_Toc1266_WPSOffice_Level2"/>
      <w:bookmarkStart w:id="84" w:name="_Toc31052_WPSOffice_Level2"/>
      <w:r>
        <w:rPr>
          <w:rFonts w:hint="eastAsia" w:ascii="仿宋_GB2312" w:hAnsi="仿宋" w:eastAsia="仿宋_GB2312" w:cs="仿宋_GB2312"/>
          <w:b/>
          <w:color w:val="auto"/>
          <w:sz w:val="24"/>
          <w:highlight w:val="none"/>
        </w:rPr>
        <w:t>二、资格证明材料</w:t>
      </w:r>
      <w:bookmarkEnd w:id="83"/>
      <w:bookmarkEnd w:id="84"/>
      <w:r>
        <w:rPr>
          <w:rFonts w:hint="eastAsia" w:ascii="仿宋_GB2312" w:hAnsi="仿宋" w:eastAsia="仿宋_GB2312" w:cs="仿宋_GB2312"/>
          <w:b/>
          <w:color w:val="auto"/>
          <w:sz w:val="24"/>
          <w:highlight w:val="none"/>
        </w:rPr>
        <w:t>（有一项不符合要求，不能进入下一阶段评审）</w:t>
      </w:r>
    </w:p>
    <w:tbl>
      <w:tblPr>
        <w:tblStyle w:val="24"/>
        <w:tblW w:w="8419" w:type="dxa"/>
        <w:jc w:val="center"/>
        <w:tblLayout w:type="fixed"/>
        <w:tblCellMar>
          <w:top w:w="0" w:type="dxa"/>
          <w:left w:w="0" w:type="dxa"/>
          <w:bottom w:w="0" w:type="dxa"/>
          <w:right w:w="0" w:type="dxa"/>
        </w:tblCellMar>
      </w:tblPr>
      <w:tblGrid>
        <w:gridCol w:w="768"/>
        <w:gridCol w:w="6896"/>
        <w:gridCol w:w="755"/>
      </w:tblGrid>
      <w:tr w14:paraId="03ADE8C2">
        <w:tblPrEx>
          <w:tblCellMar>
            <w:top w:w="0" w:type="dxa"/>
            <w:left w:w="0" w:type="dxa"/>
            <w:bottom w:w="0" w:type="dxa"/>
            <w:right w:w="0" w:type="dxa"/>
          </w:tblCellMar>
        </w:tblPrEx>
        <w:trPr>
          <w:trHeight w:val="482" w:hRule="atLeast"/>
          <w:tblHeader/>
          <w:jc w:val="center"/>
        </w:trPr>
        <w:tc>
          <w:tcPr>
            <w:tcW w:w="76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558C2B7">
            <w:pPr>
              <w:adjustRightInd w:val="0"/>
              <w:snapToGrid w:val="0"/>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序号</w:t>
            </w:r>
          </w:p>
        </w:tc>
        <w:tc>
          <w:tcPr>
            <w:tcW w:w="689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0F7D29F">
            <w:pPr>
              <w:adjustRightInd w:val="0"/>
              <w:snapToGrid w:val="0"/>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资格证明材料</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9F86EAF">
            <w:pPr>
              <w:adjustRightInd w:val="0"/>
              <w:snapToGrid w:val="0"/>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格式</w:t>
            </w:r>
          </w:p>
        </w:tc>
      </w:tr>
      <w:tr w14:paraId="64F547D3">
        <w:tblPrEx>
          <w:tblCellMar>
            <w:top w:w="0" w:type="dxa"/>
            <w:left w:w="0" w:type="dxa"/>
            <w:bottom w:w="0" w:type="dxa"/>
            <w:right w:w="0" w:type="dxa"/>
          </w:tblCellMar>
        </w:tblPrEx>
        <w:trPr>
          <w:trHeight w:val="887" w:hRule="atLeast"/>
          <w:jc w:val="center"/>
        </w:trPr>
        <w:tc>
          <w:tcPr>
            <w:tcW w:w="76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3CEDCCF">
            <w:pPr>
              <w:adjustRightInd w:val="0"/>
              <w:snapToGrid w:val="0"/>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w:t>
            </w:r>
          </w:p>
        </w:tc>
        <w:tc>
          <w:tcPr>
            <w:tcW w:w="689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FE22B32">
            <w:pPr>
              <w:adjustRightInd w:val="0"/>
              <w:snapToGrid w:val="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营业执照或事业单位法人证书或执业许可证等证明文件复印件或自然人的身份证明复印件（自然人身份证明仅在自然人作为投标主体时适用）</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9E19B86">
            <w:pPr>
              <w:adjustRightInd w:val="0"/>
              <w:snapToGrid w:val="0"/>
              <w:jc w:val="center"/>
              <w:rPr>
                <w:rFonts w:ascii="仿宋_GB2312" w:hAnsi="仿宋" w:eastAsia="仿宋_GB2312" w:cs="仿宋_GB2312"/>
                <w:color w:val="auto"/>
                <w:sz w:val="24"/>
                <w:highlight w:val="none"/>
              </w:rPr>
            </w:pPr>
          </w:p>
        </w:tc>
      </w:tr>
      <w:tr w14:paraId="78154F7E">
        <w:tblPrEx>
          <w:tblCellMar>
            <w:top w:w="0" w:type="dxa"/>
            <w:left w:w="0" w:type="dxa"/>
            <w:bottom w:w="0" w:type="dxa"/>
            <w:right w:w="0" w:type="dxa"/>
          </w:tblCellMar>
        </w:tblPrEx>
        <w:trPr>
          <w:trHeight w:val="700" w:hRule="atLeast"/>
          <w:jc w:val="center"/>
        </w:trPr>
        <w:tc>
          <w:tcPr>
            <w:tcW w:w="76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AEED8FF">
            <w:pPr>
              <w:adjustRightInd w:val="0"/>
              <w:snapToGrid w:val="0"/>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w:t>
            </w:r>
          </w:p>
        </w:tc>
        <w:tc>
          <w:tcPr>
            <w:tcW w:w="689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2DFC8EE">
            <w:pPr>
              <w:widowControl/>
              <w:adjustRightInd w:val="0"/>
              <w:snapToGrid w:val="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法定代表人（或非法人组织负责人）身份证明书（自然人投标的无需提供）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A544AC4">
            <w:pPr>
              <w:adjustRightInd w:val="0"/>
              <w:snapToGrid w:val="0"/>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4</w:t>
            </w:r>
          </w:p>
        </w:tc>
      </w:tr>
      <w:tr w14:paraId="0AE5C096">
        <w:tblPrEx>
          <w:tblCellMar>
            <w:top w:w="0" w:type="dxa"/>
            <w:left w:w="0" w:type="dxa"/>
            <w:bottom w:w="0" w:type="dxa"/>
            <w:right w:w="0" w:type="dxa"/>
          </w:tblCellMar>
        </w:tblPrEx>
        <w:trPr>
          <w:trHeight w:val="598" w:hRule="atLeast"/>
          <w:jc w:val="center"/>
        </w:trPr>
        <w:tc>
          <w:tcPr>
            <w:tcW w:w="76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C2E07D5">
            <w:pPr>
              <w:adjustRightInd w:val="0"/>
              <w:snapToGrid w:val="0"/>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3</w:t>
            </w:r>
          </w:p>
        </w:tc>
        <w:tc>
          <w:tcPr>
            <w:tcW w:w="689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FBDF595">
            <w:pPr>
              <w:widowControl/>
              <w:adjustRightInd w:val="0"/>
              <w:snapToGrid w:val="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法定代表人（或非法人组织负责人）授权委托书（授权委托人参加投标的须提供）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F2E908B">
            <w:pPr>
              <w:adjustRightInd w:val="0"/>
              <w:snapToGrid w:val="0"/>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5</w:t>
            </w:r>
          </w:p>
        </w:tc>
      </w:tr>
      <w:tr w14:paraId="2A564B66">
        <w:tblPrEx>
          <w:tblCellMar>
            <w:top w:w="0" w:type="dxa"/>
            <w:left w:w="0" w:type="dxa"/>
            <w:bottom w:w="0" w:type="dxa"/>
            <w:right w:w="0" w:type="dxa"/>
          </w:tblCellMar>
        </w:tblPrEx>
        <w:trPr>
          <w:trHeight w:val="529" w:hRule="atLeast"/>
          <w:jc w:val="center"/>
        </w:trPr>
        <w:tc>
          <w:tcPr>
            <w:tcW w:w="76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F459A80">
            <w:pPr>
              <w:adjustRightInd w:val="0"/>
              <w:snapToGrid w:val="0"/>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4</w:t>
            </w:r>
          </w:p>
        </w:tc>
        <w:tc>
          <w:tcPr>
            <w:tcW w:w="689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55B40AA">
            <w:pPr>
              <w:widowControl/>
              <w:adjustRightInd w:val="0"/>
              <w:snapToGrid w:val="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具有良好的商业信誉和健全的财务会计制度的承诺函</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D5F6B88">
            <w:pPr>
              <w:adjustRightInd w:val="0"/>
              <w:snapToGrid w:val="0"/>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6</w:t>
            </w:r>
          </w:p>
        </w:tc>
      </w:tr>
      <w:tr w14:paraId="6B65322C">
        <w:tblPrEx>
          <w:tblCellMar>
            <w:top w:w="0" w:type="dxa"/>
            <w:left w:w="0" w:type="dxa"/>
            <w:bottom w:w="0" w:type="dxa"/>
            <w:right w:w="0" w:type="dxa"/>
          </w:tblCellMar>
        </w:tblPrEx>
        <w:trPr>
          <w:trHeight w:val="887" w:hRule="atLeast"/>
          <w:jc w:val="center"/>
        </w:trPr>
        <w:tc>
          <w:tcPr>
            <w:tcW w:w="76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59ACF42">
            <w:pPr>
              <w:adjustRightInd w:val="0"/>
              <w:snapToGrid w:val="0"/>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5</w:t>
            </w:r>
          </w:p>
        </w:tc>
        <w:tc>
          <w:tcPr>
            <w:tcW w:w="689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EDB3CF4">
            <w:pPr>
              <w:adjustRightInd w:val="0"/>
              <w:snapToGrid w:val="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开标时间前六个月内任一个月的依法缴纳税收的缴款凭据</w:t>
            </w:r>
            <w:r>
              <w:rPr>
                <w:rFonts w:hint="eastAsia" w:ascii="仿宋_GB2312" w:hAnsi="仿宋" w:eastAsia="仿宋_GB2312" w:cs="仿宋_GB2312"/>
                <w:b/>
                <w:bCs/>
                <w:color w:val="auto"/>
                <w:sz w:val="24"/>
                <w:highlight w:val="none"/>
              </w:rPr>
              <w:t>（增值税等）</w:t>
            </w:r>
            <w:r>
              <w:rPr>
                <w:rFonts w:hint="eastAsia" w:ascii="仿宋_GB2312" w:hAnsi="仿宋" w:eastAsia="仿宋_GB2312" w:cs="仿宋_GB2312"/>
                <w:color w:val="auto"/>
                <w:sz w:val="24"/>
                <w:highlight w:val="none"/>
              </w:rPr>
              <w:t>复印件加盖公章（注：依法免税的投标人，应提供相关证明材料，包括相关法规要求原文及加盖单位公章的情况说明）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EE618D7">
            <w:pPr>
              <w:adjustRightInd w:val="0"/>
              <w:snapToGrid w:val="0"/>
              <w:jc w:val="center"/>
              <w:rPr>
                <w:rFonts w:ascii="仿宋_GB2312" w:hAnsi="仿宋" w:eastAsia="仿宋_GB2312" w:cs="仿宋_GB2312"/>
                <w:color w:val="auto"/>
                <w:sz w:val="24"/>
                <w:highlight w:val="none"/>
              </w:rPr>
            </w:pPr>
          </w:p>
        </w:tc>
      </w:tr>
      <w:tr w14:paraId="352C916E">
        <w:tblPrEx>
          <w:tblCellMar>
            <w:top w:w="0" w:type="dxa"/>
            <w:left w:w="0" w:type="dxa"/>
            <w:bottom w:w="0" w:type="dxa"/>
            <w:right w:w="0" w:type="dxa"/>
          </w:tblCellMar>
        </w:tblPrEx>
        <w:trPr>
          <w:trHeight w:val="1180" w:hRule="atLeast"/>
          <w:jc w:val="center"/>
        </w:trPr>
        <w:tc>
          <w:tcPr>
            <w:tcW w:w="76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3D093E5">
            <w:pPr>
              <w:adjustRightInd w:val="0"/>
              <w:snapToGrid w:val="0"/>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6</w:t>
            </w:r>
          </w:p>
        </w:tc>
        <w:tc>
          <w:tcPr>
            <w:tcW w:w="689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AB3918E">
            <w:pPr>
              <w:widowControl/>
              <w:adjustRightInd w:val="0"/>
              <w:snapToGrid w:val="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开标时间前六个月内任一个月的依法缴纳社会保障资金的缴款凭据复印件加盖公章（注：依法不需要缴纳社会保障资金的投标人，应提供相关证明材料，包括相关法规要求原文及加盖公章的情况说明）</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7F64F60">
            <w:pPr>
              <w:adjustRightInd w:val="0"/>
              <w:snapToGrid w:val="0"/>
              <w:jc w:val="center"/>
              <w:rPr>
                <w:rFonts w:ascii="仿宋_GB2312" w:hAnsi="仿宋" w:eastAsia="仿宋_GB2312" w:cs="仿宋_GB2312"/>
                <w:color w:val="auto"/>
                <w:sz w:val="24"/>
                <w:highlight w:val="none"/>
              </w:rPr>
            </w:pPr>
          </w:p>
        </w:tc>
      </w:tr>
      <w:tr w14:paraId="0B16D6A5">
        <w:tblPrEx>
          <w:tblCellMar>
            <w:top w:w="0" w:type="dxa"/>
            <w:left w:w="0" w:type="dxa"/>
            <w:bottom w:w="0" w:type="dxa"/>
            <w:right w:w="0" w:type="dxa"/>
          </w:tblCellMar>
        </w:tblPrEx>
        <w:trPr>
          <w:trHeight w:val="440" w:hRule="atLeast"/>
          <w:jc w:val="center"/>
        </w:trPr>
        <w:tc>
          <w:tcPr>
            <w:tcW w:w="76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D7F47FE">
            <w:pPr>
              <w:adjustRightInd w:val="0"/>
              <w:snapToGrid w:val="0"/>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7</w:t>
            </w:r>
          </w:p>
        </w:tc>
        <w:tc>
          <w:tcPr>
            <w:tcW w:w="689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4B6498E">
            <w:pPr>
              <w:adjustRightInd w:val="0"/>
              <w:snapToGrid w:val="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具备履行合同所必需的设备和专业技术能力声明函</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B57A762">
            <w:pPr>
              <w:adjustRightInd w:val="0"/>
              <w:snapToGrid w:val="0"/>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7</w:t>
            </w:r>
          </w:p>
        </w:tc>
      </w:tr>
      <w:tr w14:paraId="138BEA5D">
        <w:tblPrEx>
          <w:tblCellMar>
            <w:top w:w="0" w:type="dxa"/>
            <w:left w:w="0" w:type="dxa"/>
            <w:bottom w:w="0" w:type="dxa"/>
            <w:right w:w="0" w:type="dxa"/>
          </w:tblCellMar>
        </w:tblPrEx>
        <w:trPr>
          <w:trHeight w:val="677" w:hRule="atLeast"/>
          <w:jc w:val="center"/>
        </w:trPr>
        <w:tc>
          <w:tcPr>
            <w:tcW w:w="76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3EA3108">
            <w:pPr>
              <w:adjustRightInd w:val="0"/>
              <w:snapToGrid w:val="0"/>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8</w:t>
            </w:r>
          </w:p>
        </w:tc>
        <w:tc>
          <w:tcPr>
            <w:tcW w:w="689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AD7AB44">
            <w:pPr>
              <w:adjustRightInd w:val="0"/>
              <w:snapToGrid w:val="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参加政府采购活动前3年内在经营活动中没有重大违法记录的声明</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F220569">
            <w:pPr>
              <w:adjustRightInd w:val="0"/>
              <w:snapToGrid w:val="0"/>
              <w:jc w:val="center"/>
              <w:rPr>
                <w:rFonts w:ascii="仿宋_GB2312" w:hAnsi="仿宋" w:eastAsia="仿宋_GB2312" w:cs="仿宋_GB2312"/>
                <w:color w:val="auto"/>
                <w:sz w:val="24"/>
                <w:highlight w:val="none"/>
              </w:rPr>
            </w:pPr>
            <w:r>
              <w:rPr>
                <w:rFonts w:ascii="仿宋_GB2312" w:hAnsi="仿宋" w:eastAsia="仿宋_GB2312" w:cs="仿宋_GB2312"/>
                <w:color w:val="auto"/>
                <w:sz w:val="24"/>
                <w:highlight w:val="none"/>
              </w:rPr>
              <w:t>8</w:t>
            </w:r>
          </w:p>
        </w:tc>
      </w:tr>
      <w:tr w14:paraId="0F534E01">
        <w:tblPrEx>
          <w:tblCellMar>
            <w:top w:w="0" w:type="dxa"/>
            <w:left w:w="0" w:type="dxa"/>
            <w:bottom w:w="0" w:type="dxa"/>
            <w:right w:w="0" w:type="dxa"/>
          </w:tblCellMar>
        </w:tblPrEx>
        <w:trPr>
          <w:trHeight w:val="644" w:hRule="atLeast"/>
          <w:jc w:val="center"/>
        </w:trPr>
        <w:tc>
          <w:tcPr>
            <w:tcW w:w="76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A695C43">
            <w:pPr>
              <w:adjustRightInd w:val="0"/>
              <w:snapToGrid w:val="0"/>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9</w:t>
            </w:r>
          </w:p>
        </w:tc>
        <w:tc>
          <w:tcPr>
            <w:tcW w:w="689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4896C14">
            <w:pPr>
              <w:adjustRightInd w:val="0"/>
              <w:snapToGrid w:val="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信用记录(采购人或采购代理机构将在招标文件规定的审查期间内进行查询)</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57348B3">
            <w:pPr>
              <w:adjustRightInd w:val="0"/>
              <w:snapToGrid w:val="0"/>
              <w:jc w:val="center"/>
              <w:rPr>
                <w:rFonts w:ascii="仿宋_GB2312" w:hAnsi="仿宋" w:eastAsia="仿宋_GB2312" w:cs="仿宋_GB2312"/>
                <w:color w:val="auto"/>
                <w:sz w:val="24"/>
                <w:highlight w:val="none"/>
              </w:rPr>
            </w:pPr>
          </w:p>
        </w:tc>
      </w:tr>
      <w:tr w14:paraId="02DEC7DE">
        <w:tblPrEx>
          <w:tblCellMar>
            <w:top w:w="0" w:type="dxa"/>
            <w:left w:w="0" w:type="dxa"/>
            <w:bottom w:w="0" w:type="dxa"/>
            <w:right w:w="0" w:type="dxa"/>
          </w:tblCellMar>
        </w:tblPrEx>
        <w:trPr>
          <w:trHeight w:val="645" w:hRule="atLeast"/>
          <w:jc w:val="center"/>
        </w:trPr>
        <w:tc>
          <w:tcPr>
            <w:tcW w:w="76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505260E">
            <w:pPr>
              <w:adjustRightInd w:val="0"/>
              <w:snapToGrid w:val="0"/>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10</w:t>
            </w:r>
          </w:p>
        </w:tc>
        <w:tc>
          <w:tcPr>
            <w:tcW w:w="689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C38FCBD">
            <w:pPr>
              <w:adjustRightInd w:val="0"/>
              <w:snapToGrid w:val="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联合体协议书（本项目不适用）</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4094116">
            <w:pPr>
              <w:adjustRightInd w:val="0"/>
              <w:snapToGrid w:val="0"/>
              <w:jc w:val="center"/>
              <w:rPr>
                <w:rFonts w:ascii="仿宋_GB2312" w:hAnsi="仿宋" w:eastAsia="仿宋_GB2312" w:cs="仿宋_GB2312"/>
                <w:color w:val="auto"/>
                <w:sz w:val="24"/>
                <w:highlight w:val="none"/>
              </w:rPr>
            </w:pPr>
            <w:r>
              <w:rPr>
                <w:rFonts w:ascii="仿宋_GB2312" w:hAnsi="仿宋" w:eastAsia="仿宋_GB2312" w:cs="仿宋_GB2312"/>
                <w:color w:val="auto"/>
                <w:sz w:val="24"/>
                <w:highlight w:val="none"/>
              </w:rPr>
              <w:t>9</w:t>
            </w:r>
          </w:p>
        </w:tc>
      </w:tr>
      <w:tr w14:paraId="5D7214E1">
        <w:tblPrEx>
          <w:tblCellMar>
            <w:top w:w="0" w:type="dxa"/>
            <w:left w:w="0" w:type="dxa"/>
            <w:bottom w:w="0" w:type="dxa"/>
            <w:right w:w="0" w:type="dxa"/>
          </w:tblCellMar>
        </w:tblPrEx>
        <w:trPr>
          <w:trHeight w:val="645" w:hRule="atLeast"/>
          <w:jc w:val="center"/>
        </w:trPr>
        <w:tc>
          <w:tcPr>
            <w:tcW w:w="76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84112BB">
            <w:pPr>
              <w:adjustRightInd w:val="0"/>
              <w:snapToGrid w:val="0"/>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11</w:t>
            </w:r>
          </w:p>
        </w:tc>
        <w:tc>
          <w:tcPr>
            <w:tcW w:w="689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A9E50F2">
            <w:pPr>
              <w:adjustRightInd w:val="0"/>
              <w:snapToGrid w:val="0"/>
              <w:jc w:val="left"/>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（1）若投标人为制造商的，须具备下列条件a或b</w:t>
            </w:r>
            <w:r>
              <w:rPr>
                <w:rFonts w:hint="eastAsia" w:ascii="仿宋_GB2312" w:hAnsi="仿宋" w:eastAsia="仿宋_GB2312" w:cs="仿宋_GB2312"/>
                <w:b/>
                <w:bCs/>
                <w:color w:val="auto"/>
                <w:sz w:val="24"/>
                <w:highlight w:val="none"/>
                <w:lang w:eastAsia="zh-CN"/>
              </w:rPr>
              <w:t>（</w:t>
            </w:r>
            <w:r>
              <w:rPr>
                <w:rFonts w:hint="eastAsia" w:ascii="仿宋_GB2312" w:hAnsi="仿宋" w:eastAsia="仿宋_GB2312" w:cs="仿宋_GB2312"/>
                <w:b/>
                <w:bCs/>
                <w:color w:val="auto"/>
                <w:sz w:val="24"/>
                <w:highlight w:val="none"/>
                <w:lang w:val="en-US" w:eastAsia="zh-CN"/>
              </w:rPr>
              <w:t>须按要求提供相关证书复印件加盖公章</w:t>
            </w:r>
            <w:r>
              <w:rPr>
                <w:rFonts w:hint="eastAsia" w:ascii="仿宋_GB2312" w:hAnsi="仿宋" w:eastAsia="仿宋_GB2312" w:cs="仿宋_GB2312"/>
                <w:b/>
                <w:bCs/>
                <w:color w:val="auto"/>
                <w:sz w:val="24"/>
                <w:highlight w:val="none"/>
                <w:lang w:eastAsia="zh-CN"/>
              </w:rPr>
              <w:t>）</w:t>
            </w:r>
            <w:r>
              <w:rPr>
                <w:rFonts w:hint="eastAsia" w:ascii="仿宋_GB2312" w:hAnsi="仿宋" w:eastAsia="仿宋_GB2312" w:cs="仿宋_GB2312"/>
                <w:b/>
                <w:bCs/>
                <w:color w:val="auto"/>
                <w:sz w:val="24"/>
                <w:highlight w:val="none"/>
              </w:rPr>
              <w:t>：</w:t>
            </w:r>
          </w:p>
          <w:p w14:paraId="50E5D0C8">
            <w:pPr>
              <w:adjustRightInd w:val="0"/>
              <w:snapToGrid w:val="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a.具有有效期内的《中华人民共和国特种设备生产许可证》（许可项目包括电梯制造（含安装、修理、改造），许可子项目含曳引驱动乘客电梯）（新证）。</w:t>
            </w:r>
          </w:p>
          <w:p w14:paraId="7C7EE377">
            <w:pPr>
              <w:adjustRightInd w:val="0"/>
              <w:snapToGrid w:val="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b.同时具有有效期内的《中华人民共和国特种设备制造许可证》（电梯）B级及以上资质（旧证）和《中华人民共和国特种设备安装改造维修许可证》（电梯）B级及以上资质（旧证）。</w:t>
            </w:r>
          </w:p>
          <w:p w14:paraId="6958CBA2">
            <w:pPr>
              <w:adjustRightInd w:val="0"/>
              <w:snapToGrid w:val="0"/>
              <w:jc w:val="left"/>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（2）若投标人为代理商的，须具备下列条件a和b</w:t>
            </w:r>
            <w:r>
              <w:rPr>
                <w:rFonts w:hint="eastAsia" w:ascii="仿宋_GB2312" w:hAnsi="仿宋" w:eastAsia="仿宋_GB2312" w:cs="仿宋_GB2312"/>
                <w:b/>
                <w:bCs/>
                <w:color w:val="auto"/>
                <w:sz w:val="24"/>
                <w:highlight w:val="none"/>
                <w:lang w:eastAsia="zh-CN"/>
              </w:rPr>
              <w:t>（</w:t>
            </w:r>
            <w:r>
              <w:rPr>
                <w:rFonts w:hint="eastAsia" w:ascii="仿宋_GB2312" w:hAnsi="仿宋" w:eastAsia="仿宋_GB2312" w:cs="仿宋_GB2312"/>
                <w:b/>
                <w:bCs/>
                <w:color w:val="auto"/>
                <w:sz w:val="24"/>
                <w:highlight w:val="none"/>
                <w:lang w:val="en-US" w:eastAsia="zh-CN"/>
              </w:rPr>
              <w:t>须按要求提供相关证书复印件加盖公章</w:t>
            </w:r>
            <w:r>
              <w:rPr>
                <w:rFonts w:hint="eastAsia" w:ascii="仿宋_GB2312" w:hAnsi="仿宋" w:eastAsia="仿宋_GB2312" w:cs="仿宋_GB2312"/>
                <w:b/>
                <w:bCs/>
                <w:color w:val="auto"/>
                <w:sz w:val="24"/>
                <w:highlight w:val="none"/>
                <w:lang w:eastAsia="zh-CN"/>
              </w:rPr>
              <w:t>）</w:t>
            </w:r>
            <w:r>
              <w:rPr>
                <w:rFonts w:hint="eastAsia" w:ascii="仿宋_GB2312" w:hAnsi="仿宋" w:eastAsia="仿宋_GB2312" w:cs="仿宋_GB2312"/>
                <w:b/>
                <w:bCs/>
                <w:color w:val="auto"/>
                <w:sz w:val="24"/>
                <w:highlight w:val="none"/>
              </w:rPr>
              <w:t>：</w:t>
            </w:r>
          </w:p>
          <w:p w14:paraId="5BE64784">
            <w:pPr>
              <w:adjustRightInd w:val="0"/>
              <w:snapToGrid w:val="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a.具有有效期内的《中华人民共和国特种设备安装改造维修许可证》（电梯）B级及以上资质（旧证）或《中华人民共和国特种设备生产许可证》（许可项目包括电梯安装（含修理），许可子项目含曳引驱动乘客电梯）（新证）。</w:t>
            </w:r>
          </w:p>
          <w:p w14:paraId="14D8A2AC">
            <w:pPr>
              <w:adjustRightInd w:val="0"/>
              <w:snapToGrid w:val="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b.具有经所投电梯生产制造商同意的委托合同并提供该制造商的《中华人民共和国特种设备制造许可证》（电梯）B级资质（旧证）或《中华人民共和国特种设备生产许可证》（许可项目包括电梯制造（含安装、修理、改造），许可子项目曳引驱动乘客电梯）（新证）。</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C09D45F">
            <w:pPr>
              <w:adjustRightInd w:val="0"/>
              <w:snapToGrid w:val="0"/>
              <w:jc w:val="center"/>
              <w:rPr>
                <w:rFonts w:ascii="仿宋_GB2312" w:hAnsi="仿宋" w:eastAsia="仿宋_GB2312" w:cs="仿宋_GB2312"/>
                <w:color w:val="auto"/>
                <w:sz w:val="24"/>
                <w:highlight w:val="none"/>
              </w:rPr>
            </w:pPr>
          </w:p>
        </w:tc>
      </w:tr>
      <w:bookmarkEnd w:id="75"/>
      <w:bookmarkEnd w:id="76"/>
      <w:bookmarkEnd w:id="77"/>
      <w:bookmarkEnd w:id="78"/>
    </w:tbl>
    <w:p w14:paraId="24398C79">
      <w:pPr>
        <w:snapToGrid w:val="0"/>
        <w:spacing w:before="159" w:beforeLines="50"/>
        <w:rPr>
          <w:rFonts w:ascii="仿宋_GB2312" w:hAnsi="仿宋" w:eastAsia="仿宋_GB2312" w:cs="仿宋_GB2312"/>
          <w:b/>
          <w:color w:val="auto"/>
          <w:sz w:val="24"/>
          <w:highlight w:val="none"/>
        </w:rPr>
      </w:pPr>
      <w:r>
        <w:rPr>
          <w:rFonts w:hint="eastAsia" w:ascii="仿宋_GB2312" w:hAnsi="仿宋" w:eastAsia="仿宋_GB2312" w:cs="仿宋_GB2312"/>
          <w:b/>
          <w:color w:val="auto"/>
          <w:sz w:val="24"/>
          <w:highlight w:val="none"/>
        </w:rPr>
        <w:t>三、符合性证明材料（有一项不符合要求，不能进入下一阶段评审）</w:t>
      </w:r>
    </w:p>
    <w:tbl>
      <w:tblPr>
        <w:tblStyle w:val="24"/>
        <w:tblW w:w="83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6866"/>
        <w:gridCol w:w="752"/>
      </w:tblGrid>
      <w:tr w14:paraId="6D361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blHeader/>
          <w:jc w:val="center"/>
        </w:trPr>
        <w:tc>
          <w:tcPr>
            <w:tcW w:w="760" w:type="dxa"/>
            <w:vAlign w:val="center"/>
          </w:tcPr>
          <w:p w14:paraId="52EBC553">
            <w:pPr>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序号</w:t>
            </w:r>
          </w:p>
        </w:tc>
        <w:tc>
          <w:tcPr>
            <w:tcW w:w="6866" w:type="dxa"/>
            <w:vAlign w:val="center"/>
          </w:tcPr>
          <w:p w14:paraId="5DA04661">
            <w:pPr>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符合性证明材料</w:t>
            </w:r>
          </w:p>
        </w:tc>
        <w:tc>
          <w:tcPr>
            <w:tcW w:w="752" w:type="dxa"/>
            <w:vAlign w:val="center"/>
          </w:tcPr>
          <w:p w14:paraId="1ADD1243">
            <w:pPr>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格式</w:t>
            </w:r>
          </w:p>
        </w:tc>
      </w:tr>
      <w:tr w14:paraId="4DD30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760" w:type="dxa"/>
            <w:vAlign w:val="center"/>
          </w:tcPr>
          <w:p w14:paraId="65E7B9BB">
            <w:pPr>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1</w:t>
            </w:r>
          </w:p>
        </w:tc>
        <w:tc>
          <w:tcPr>
            <w:tcW w:w="6866" w:type="dxa"/>
            <w:vAlign w:val="center"/>
          </w:tcPr>
          <w:p w14:paraId="4F785FD0">
            <w:pPr>
              <w:adjustRightInd w:val="0"/>
              <w:snapToGrid w:val="0"/>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投标函</w:t>
            </w:r>
          </w:p>
        </w:tc>
        <w:tc>
          <w:tcPr>
            <w:tcW w:w="752" w:type="dxa"/>
            <w:vAlign w:val="center"/>
          </w:tcPr>
          <w:p w14:paraId="7220D16B">
            <w:pPr>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10</w:t>
            </w:r>
          </w:p>
        </w:tc>
      </w:tr>
      <w:tr w14:paraId="124DC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760" w:type="dxa"/>
            <w:vAlign w:val="center"/>
          </w:tcPr>
          <w:p w14:paraId="3C3F3D97">
            <w:pPr>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2</w:t>
            </w:r>
          </w:p>
        </w:tc>
        <w:tc>
          <w:tcPr>
            <w:tcW w:w="6866" w:type="dxa"/>
            <w:vAlign w:val="center"/>
          </w:tcPr>
          <w:p w14:paraId="5A1B230A">
            <w:pPr>
              <w:adjustRightInd w:val="0"/>
              <w:snapToGrid w:val="0"/>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递交投标保证金证明材料</w:t>
            </w:r>
          </w:p>
        </w:tc>
        <w:tc>
          <w:tcPr>
            <w:tcW w:w="752" w:type="dxa"/>
            <w:vAlign w:val="center"/>
          </w:tcPr>
          <w:p w14:paraId="1CB4A768">
            <w:pPr>
              <w:adjustRightInd w:val="0"/>
              <w:snapToGrid w:val="0"/>
              <w:jc w:val="center"/>
              <w:rPr>
                <w:rFonts w:ascii="仿宋_GB2312" w:hAnsi="仿宋" w:eastAsia="仿宋_GB2312" w:cs="仿宋_GB2312"/>
                <w:color w:val="auto"/>
                <w:kern w:val="0"/>
                <w:sz w:val="24"/>
                <w:highlight w:val="none"/>
              </w:rPr>
            </w:pPr>
          </w:p>
        </w:tc>
      </w:tr>
      <w:tr w14:paraId="184F5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760" w:type="dxa"/>
            <w:vAlign w:val="center"/>
          </w:tcPr>
          <w:p w14:paraId="7BABEA80">
            <w:pPr>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3</w:t>
            </w:r>
          </w:p>
        </w:tc>
        <w:tc>
          <w:tcPr>
            <w:tcW w:w="6866" w:type="dxa"/>
            <w:vAlign w:val="center"/>
          </w:tcPr>
          <w:p w14:paraId="5B37DCD5">
            <w:pPr>
              <w:adjustRightInd w:val="0"/>
              <w:snapToGrid w:val="0"/>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开标一览表</w:t>
            </w:r>
          </w:p>
        </w:tc>
        <w:tc>
          <w:tcPr>
            <w:tcW w:w="752" w:type="dxa"/>
            <w:vAlign w:val="center"/>
          </w:tcPr>
          <w:p w14:paraId="6BDBCA41">
            <w:pPr>
              <w:adjustRightInd w:val="0"/>
              <w:snapToGrid w:val="0"/>
              <w:jc w:val="center"/>
              <w:rPr>
                <w:rFonts w:ascii="仿宋_GB2312" w:hAnsi="仿宋" w:eastAsia="仿宋_GB2312" w:cs="仿宋_GB2312"/>
                <w:color w:val="auto"/>
                <w:kern w:val="0"/>
                <w:sz w:val="24"/>
                <w:highlight w:val="none"/>
              </w:rPr>
            </w:pPr>
            <w:r>
              <w:rPr>
                <w:rFonts w:ascii="仿宋_GB2312" w:hAnsi="仿宋" w:eastAsia="仿宋_GB2312" w:cs="仿宋_GB2312"/>
                <w:color w:val="auto"/>
                <w:kern w:val="0"/>
                <w:sz w:val="24"/>
                <w:highlight w:val="none"/>
              </w:rPr>
              <w:t>1</w:t>
            </w:r>
            <w:r>
              <w:rPr>
                <w:rFonts w:hint="eastAsia" w:ascii="仿宋_GB2312" w:hAnsi="仿宋" w:eastAsia="仿宋_GB2312" w:cs="仿宋_GB2312"/>
                <w:color w:val="auto"/>
                <w:kern w:val="0"/>
                <w:sz w:val="24"/>
                <w:highlight w:val="none"/>
              </w:rPr>
              <w:t>1</w:t>
            </w:r>
          </w:p>
        </w:tc>
      </w:tr>
      <w:tr w14:paraId="2CF97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760" w:type="dxa"/>
            <w:vAlign w:val="center"/>
          </w:tcPr>
          <w:p w14:paraId="6589FA7C">
            <w:pPr>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4</w:t>
            </w:r>
          </w:p>
        </w:tc>
        <w:tc>
          <w:tcPr>
            <w:tcW w:w="6866" w:type="dxa"/>
            <w:vAlign w:val="center"/>
          </w:tcPr>
          <w:p w14:paraId="25534152">
            <w:pPr>
              <w:adjustRightInd w:val="0"/>
              <w:snapToGrid w:val="0"/>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分项报价表</w:t>
            </w:r>
          </w:p>
        </w:tc>
        <w:tc>
          <w:tcPr>
            <w:tcW w:w="752" w:type="dxa"/>
            <w:vAlign w:val="center"/>
          </w:tcPr>
          <w:p w14:paraId="76F24B63">
            <w:pPr>
              <w:adjustRightInd w:val="0"/>
              <w:snapToGrid w:val="0"/>
              <w:jc w:val="center"/>
              <w:rPr>
                <w:rFonts w:ascii="仿宋_GB2312" w:hAnsi="仿宋" w:eastAsia="仿宋_GB2312" w:cs="仿宋_GB2312"/>
                <w:color w:val="auto"/>
                <w:kern w:val="0"/>
                <w:sz w:val="24"/>
                <w:highlight w:val="none"/>
              </w:rPr>
            </w:pPr>
            <w:r>
              <w:rPr>
                <w:rFonts w:ascii="仿宋_GB2312" w:hAnsi="仿宋" w:eastAsia="仿宋_GB2312" w:cs="仿宋_GB2312"/>
                <w:color w:val="auto"/>
                <w:kern w:val="0"/>
                <w:sz w:val="24"/>
                <w:highlight w:val="none"/>
              </w:rPr>
              <w:t>1</w:t>
            </w:r>
            <w:r>
              <w:rPr>
                <w:rFonts w:hint="eastAsia" w:ascii="仿宋_GB2312" w:hAnsi="仿宋" w:eastAsia="仿宋_GB2312" w:cs="仿宋_GB2312"/>
                <w:color w:val="auto"/>
                <w:kern w:val="0"/>
                <w:sz w:val="24"/>
                <w:highlight w:val="none"/>
              </w:rPr>
              <w:t>2</w:t>
            </w:r>
          </w:p>
        </w:tc>
      </w:tr>
      <w:tr w14:paraId="3CA3B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760" w:type="dxa"/>
            <w:vAlign w:val="center"/>
          </w:tcPr>
          <w:p w14:paraId="54E5E44B">
            <w:pPr>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5</w:t>
            </w:r>
          </w:p>
        </w:tc>
        <w:tc>
          <w:tcPr>
            <w:tcW w:w="6866" w:type="dxa"/>
            <w:vAlign w:val="center"/>
          </w:tcPr>
          <w:p w14:paraId="015DE83B">
            <w:pPr>
              <w:adjustRightInd w:val="0"/>
              <w:snapToGrid w:val="0"/>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技术规格偏离表</w:t>
            </w:r>
          </w:p>
        </w:tc>
        <w:tc>
          <w:tcPr>
            <w:tcW w:w="752" w:type="dxa"/>
            <w:vAlign w:val="center"/>
          </w:tcPr>
          <w:p w14:paraId="6973509B">
            <w:pPr>
              <w:adjustRightInd w:val="0"/>
              <w:snapToGrid w:val="0"/>
              <w:jc w:val="center"/>
              <w:rPr>
                <w:rFonts w:ascii="仿宋_GB2312" w:hAnsi="仿宋" w:eastAsia="仿宋_GB2312" w:cs="仿宋_GB2312"/>
                <w:color w:val="auto"/>
                <w:kern w:val="0"/>
                <w:sz w:val="24"/>
                <w:highlight w:val="none"/>
              </w:rPr>
            </w:pPr>
            <w:r>
              <w:rPr>
                <w:rFonts w:ascii="仿宋_GB2312" w:hAnsi="仿宋" w:eastAsia="仿宋_GB2312" w:cs="仿宋_GB2312"/>
                <w:color w:val="auto"/>
                <w:kern w:val="0"/>
                <w:sz w:val="24"/>
                <w:highlight w:val="none"/>
              </w:rPr>
              <w:t>1</w:t>
            </w:r>
            <w:r>
              <w:rPr>
                <w:rFonts w:hint="eastAsia" w:ascii="仿宋_GB2312" w:hAnsi="仿宋" w:eastAsia="仿宋_GB2312" w:cs="仿宋_GB2312"/>
                <w:color w:val="auto"/>
                <w:kern w:val="0"/>
                <w:sz w:val="24"/>
                <w:highlight w:val="none"/>
              </w:rPr>
              <w:t>3</w:t>
            </w:r>
          </w:p>
        </w:tc>
      </w:tr>
      <w:tr w14:paraId="1D506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760" w:type="dxa"/>
            <w:vAlign w:val="center"/>
          </w:tcPr>
          <w:p w14:paraId="4C309B37">
            <w:pPr>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6</w:t>
            </w:r>
          </w:p>
        </w:tc>
        <w:tc>
          <w:tcPr>
            <w:tcW w:w="6866" w:type="dxa"/>
            <w:vAlign w:val="center"/>
          </w:tcPr>
          <w:p w14:paraId="49B41BD3">
            <w:pPr>
              <w:adjustRightInd w:val="0"/>
              <w:snapToGrid w:val="0"/>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商务条款偏离表</w:t>
            </w:r>
          </w:p>
        </w:tc>
        <w:tc>
          <w:tcPr>
            <w:tcW w:w="752" w:type="dxa"/>
            <w:vAlign w:val="center"/>
          </w:tcPr>
          <w:p w14:paraId="72C63504">
            <w:pPr>
              <w:adjustRightInd w:val="0"/>
              <w:snapToGrid w:val="0"/>
              <w:jc w:val="center"/>
              <w:rPr>
                <w:rFonts w:ascii="仿宋_GB2312" w:hAnsi="仿宋" w:eastAsia="仿宋_GB2312" w:cs="仿宋_GB2312"/>
                <w:color w:val="auto"/>
                <w:kern w:val="0"/>
                <w:sz w:val="24"/>
                <w:highlight w:val="none"/>
              </w:rPr>
            </w:pPr>
            <w:r>
              <w:rPr>
                <w:rFonts w:ascii="仿宋_GB2312" w:hAnsi="仿宋" w:eastAsia="仿宋_GB2312" w:cs="仿宋_GB2312"/>
                <w:color w:val="auto"/>
                <w:kern w:val="0"/>
                <w:sz w:val="24"/>
                <w:highlight w:val="none"/>
              </w:rPr>
              <w:t>1</w:t>
            </w:r>
            <w:r>
              <w:rPr>
                <w:rFonts w:hint="eastAsia" w:ascii="仿宋_GB2312" w:hAnsi="仿宋" w:eastAsia="仿宋_GB2312" w:cs="仿宋_GB2312"/>
                <w:color w:val="auto"/>
                <w:kern w:val="0"/>
                <w:sz w:val="24"/>
                <w:highlight w:val="none"/>
              </w:rPr>
              <w:t>4</w:t>
            </w:r>
          </w:p>
        </w:tc>
      </w:tr>
      <w:tr w14:paraId="095CC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760" w:type="dxa"/>
            <w:vAlign w:val="center"/>
          </w:tcPr>
          <w:p w14:paraId="74095B8B">
            <w:pPr>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7</w:t>
            </w:r>
          </w:p>
        </w:tc>
        <w:tc>
          <w:tcPr>
            <w:tcW w:w="6866" w:type="dxa"/>
            <w:vAlign w:val="center"/>
          </w:tcPr>
          <w:p w14:paraId="5214EBB9">
            <w:pPr>
              <w:adjustRightInd w:val="0"/>
              <w:snapToGrid w:val="0"/>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投标人关联单位说明</w:t>
            </w:r>
          </w:p>
        </w:tc>
        <w:tc>
          <w:tcPr>
            <w:tcW w:w="752" w:type="dxa"/>
            <w:vAlign w:val="center"/>
          </w:tcPr>
          <w:p w14:paraId="128A9CEE">
            <w:pPr>
              <w:adjustRightInd w:val="0"/>
              <w:snapToGrid w:val="0"/>
              <w:jc w:val="center"/>
              <w:rPr>
                <w:rFonts w:ascii="仿宋_GB2312" w:hAnsi="仿宋" w:eastAsia="仿宋_GB2312" w:cs="仿宋_GB2312"/>
                <w:color w:val="auto"/>
                <w:kern w:val="0"/>
                <w:sz w:val="24"/>
                <w:highlight w:val="none"/>
              </w:rPr>
            </w:pPr>
            <w:r>
              <w:rPr>
                <w:rFonts w:ascii="仿宋_GB2312" w:hAnsi="仿宋" w:eastAsia="仿宋_GB2312" w:cs="仿宋_GB2312"/>
                <w:color w:val="auto"/>
                <w:kern w:val="0"/>
                <w:sz w:val="24"/>
                <w:highlight w:val="none"/>
              </w:rPr>
              <w:t>1</w:t>
            </w:r>
            <w:r>
              <w:rPr>
                <w:rFonts w:hint="eastAsia" w:ascii="仿宋_GB2312" w:hAnsi="仿宋" w:eastAsia="仿宋_GB2312" w:cs="仿宋_GB2312"/>
                <w:color w:val="auto"/>
                <w:kern w:val="0"/>
                <w:sz w:val="24"/>
                <w:highlight w:val="none"/>
              </w:rPr>
              <w:t>5</w:t>
            </w:r>
          </w:p>
        </w:tc>
      </w:tr>
      <w:tr w14:paraId="08FFF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760" w:type="dxa"/>
            <w:vAlign w:val="center"/>
          </w:tcPr>
          <w:p w14:paraId="2C6D7174">
            <w:pPr>
              <w:adjustRightInd w:val="0"/>
              <w:snapToGrid w:val="0"/>
              <w:jc w:val="center"/>
              <w:rPr>
                <w:rFonts w:ascii="仿宋_GB2312" w:hAnsi="仿宋" w:eastAsia="仿宋_GB2312" w:cs="仿宋_GB2312"/>
                <w:color w:val="auto"/>
                <w:kern w:val="0"/>
                <w:sz w:val="24"/>
                <w:highlight w:val="none"/>
              </w:rPr>
            </w:pPr>
            <w:bookmarkStart w:id="85" w:name="_Toc27769_WPSOffice_Level2"/>
            <w:bookmarkStart w:id="86" w:name="_Toc24432_WPSOffice_Level2"/>
            <w:r>
              <w:rPr>
                <w:rFonts w:hint="eastAsia" w:ascii="仿宋_GB2312" w:hAnsi="仿宋" w:eastAsia="仿宋_GB2312" w:cs="仿宋_GB2312"/>
                <w:color w:val="auto"/>
                <w:kern w:val="0"/>
                <w:sz w:val="24"/>
                <w:highlight w:val="none"/>
              </w:rPr>
              <w:t>8</w:t>
            </w:r>
          </w:p>
        </w:tc>
        <w:tc>
          <w:tcPr>
            <w:tcW w:w="6866" w:type="dxa"/>
            <w:vAlign w:val="center"/>
          </w:tcPr>
          <w:p w14:paraId="779E31FB">
            <w:pPr>
              <w:adjustRightInd w:val="0"/>
              <w:snapToGrid w:val="0"/>
              <w:rPr>
                <w:rFonts w:ascii="仿宋_GB2312" w:hAnsi="仿宋"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文件一致性承诺函</w:t>
            </w:r>
          </w:p>
        </w:tc>
        <w:tc>
          <w:tcPr>
            <w:tcW w:w="752" w:type="dxa"/>
            <w:vAlign w:val="center"/>
          </w:tcPr>
          <w:p w14:paraId="107081F6">
            <w:pPr>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16</w:t>
            </w:r>
          </w:p>
        </w:tc>
      </w:tr>
    </w:tbl>
    <w:p w14:paraId="0ED54DB2">
      <w:pPr>
        <w:snapToGrid w:val="0"/>
        <w:spacing w:before="159" w:beforeLines="50"/>
        <w:rPr>
          <w:rFonts w:ascii="仿宋_GB2312" w:hAnsi="仿宋" w:eastAsia="仿宋_GB2312" w:cs="仿宋_GB2312"/>
          <w:b/>
          <w:color w:val="auto"/>
          <w:sz w:val="24"/>
          <w:highlight w:val="none"/>
        </w:rPr>
      </w:pPr>
      <w:r>
        <w:rPr>
          <w:rFonts w:hint="eastAsia" w:ascii="仿宋_GB2312" w:hAnsi="仿宋" w:eastAsia="仿宋_GB2312" w:cs="仿宋_GB2312"/>
          <w:b/>
          <w:color w:val="auto"/>
          <w:sz w:val="24"/>
          <w:highlight w:val="none"/>
        </w:rPr>
        <w:t>四、其他材料</w:t>
      </w:r>
      <w:bookmarkEnd w:id="85"/>
      <w:bookmarkEnd w:id="86"/>
      <w:r>
        <w:rPr>
          <w:rFonts w:hint="eastAsia" w:ascii="仿宋_GB2312" w:hAnsi="仿宋" w:eastAsia="仿宋_GB2312" w:cs="仿宋_GB2312"/>
          <w:b/>
          <w:color w:val="auto"/>
          <w:sz w:val="24"/>
          <w:highlight w:val="none"/>
        </w:rPr>
        <w:t>（如有，请提供；如未提供，投标文件不作无效处理）</w:t>
      </w:r>
    </w:p>
    <w:tbl>
      <w:tblPr>
        <w:tblStyle w:val="24"/>
        <w:tblW w:w="84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6900"/>
        <w:gridCol w:w="755"/>
      </w:tblGrid>
      <w:tr w14:paraId="6FEFE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blHeader/>
          <w:jc w:val="center"/>
        </w:trPr>
        <w:tc>
          <w:tcPr>
            <w:tcW w:w="763" w:type="dxa"/>
            <w:vAlign w:val="center"/>
          </w:tcPr>
          <w:p w14:paraId="4F783EB2">
            <w:pPr>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序号</w:t>
            </w:r>
          </w:p>
        </w:tc>
        <w:tc>
          <w:tcPr>
            <w:tcW w:w="6900" w:type="dxa"/>
            <w:vAlign w:val="center"/>
          </w:tcPr>
          <w:p w14:paraId="46C4BD35">
            <w:pPr>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其他材料</w:t>
            </w:r>
          </w:p>
        </w:tc>
        <w:tc>
          <w:tcPr>
            <w:tcW w:w="755" w:type="dxa"/>
            <w:vAlign w:val="center"/>
          </w:tcPr>
          <w:p w14:paraId="57D7F8F4">
            <w:pPr>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格式</w:t>
            </w:r>
          </w:p>
        </w:tc>
      </w:tr>
      <w:tr w14:paraId="38B19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63" w:type="dxa"/>
            <w:vAlign w:val="center"/>
          </w:tcPr>
          <w:p w14:paraId="2FF7CB11">
            <w:pPr>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1</w:t>
            </w:r>
          </w:p>
        </w:tc>
        <w:tc>
          <w:tcPr>
            <w:tcW w:w="6900" w:type="dxa"/>
            <w:vAlign w:val="center"/>
          </w:tcPr>
          <w:p w14:paraId="555C8ACD">
            <w:pPr>
              <w:adjustRightInd w:val="0"/>
              <w:snapToGrid w:val="0"/>
              <w:ind w:left="25" w:leftChars="12"/>
              <w:rPr>
                <w:rFonts w:ascii="仿宋_GB2312" w:hAnsi="仿宋" w:eastAsia="仿宋_GB2312" w:cs="仿宋_GB2312"/>
                <w:color w:val="auto"/>
                <w:kern w:val="0"/>
                <w:sz w:val="24"/>
                <w:highlight w:val="none"/>
              </w:rPr>
            </w:pPr>
            <w:r>
              <w:rPr>
                <w:rFonts w:hint="eastAsia" w:ascii="仿宋_GB2312" w:hAnsi="仿宋" w:eastAsia="仿宋_GB2312" w:cs="仿宋_GB2312"/>
                <w:color w:val="auto"/>
                <w:sz w:val="24"/>
                <w:highlight w:val="none"/>
              </w:rPr>
              <w:t>进口产品的制造厂家的授权书（本项目不适用）</w:t>
            </w:r>
          </w:p>
        </w:tc>
        <w:tc>
          <w:tcPr>
            <w:tcW w:w="755" w:type="dxa"/>
            <w:vAlign w:val="center"/>
          </w:tcPr>
          <w:p w14:paraId="047212E8">
            <w:pPr>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17</w:t>
            </w:r>
          </w:p>
        </w:tc>
      </w:tr>
      <w:tr w14:paraId="41B6F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63" w:type="dxa"/>
            <w:vAlign w:val="center"/>
          </w:tcPr>
          <w:p w14:paraId="3FC57696">
            <w:pPr>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2</w:t>
            </w:r>
          </w:p>
        </w:tc>
        <w:tc>
          <w:tcPr>
            <w:tcW w:w="6900" w:type="dxa"/>
            <w:vAlign w:val="center"/>
          </w:tcPr>
          <w:p w14:paraId="2AAC1FD3">
            <w:pPr>
              <w:adjustRightInd w:val="0"/>
              <w:snapToGrid w:val="0"/>
              <w:ind w:left="25" w:leftChars="12"/>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监狱企业证明文件</w:t>
            </w:r>
          </w:p>
        </w:tc>
        <w:tc>
          <w:tcPr>
            <w:tcW w:w="755" w:type="dxa"/>
            <w:vAlign w:val="center"/>
          </w:tcPr>
          <w:p w14:paraId="7D59D4A4">
            <w:pPr>
              <w:adjustRightInd w:val="0"/>
              <w:snapToGrid w:val="0"/>
              <w:jc w:val="center"/>
              <w:rPr>
                <w:rFonts w:ascii="仿宋_GB2312" w:hAnsi="仿宋" w:eastAsia="仿宋_GB2312" w:cs="仿宋_GB2312"/>
                <w:color w:val="auto"/>
                <w:kern w:val="0"/>
                <w:sz w:val="24"/>
                <w:highlight w:val="none"/>
              </w:rPr>
            </w:pPr>
          </w:p>
        </w:tc>
      </w:tr>
      <w:tr w14:paraId="0D97A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63" w:type="dxa"/>
            <w:vAlign w:val="center"/>
          </w:tcPr>
          <w:p w14:paraId="27700403">
            <w:pPr>
              <w:adjustRightInd w:val="0"/>
              <w:snapToGrid w:val="0"/>
              <w:jc w:val="center"/>
              <w:rPr>
                <w:rFonts w:ascii="仿宋_GB2312" w:hAnsi="仿宋" w:eastAsia="仿宋_GB2312" w:cs="仿宋_GB2312"/>
                <w:color w:val="auto"/>
                <w:kern w:val="0"/>
                <w:sz w:val="24"/>
                <w:highlight w:val="none"/>
              </w:rPr>
            </w:pPr>
            <w:bookmarkStart w:id="87" w:name="_Toc23127_WPSOffice_Level2"/>
            <w:bookmarkStart w:id="88" w:name="_Toc24011_WPSOffice_Level2"/>
            <w:r>
              <w:rPr>
                <w:rFonts w:hint="eastAsia" w:ascii="仿宋_GB2312" w:hAnsi="仿宋" w:eastAsia="仿宋_GB2312" w:cs="仿宋_GB2312"/>
                <w:color w:val="auto"/>
                <w:kern w:val="0"/>
                <w:sz w:val="24"/>
                <w:highlight w:val="none"/>
              </w:rPr>
              <w:t>3</w:t>
            </w:r>
          </w:p>
        </w:tc>
        <w:tc>
          <w:tcPr>
            <w:tcW w:w="6900" w:type="dxa"/>
            <w:vAlign w:val="center"/>
          </w:tcPr>
          <w:p w14:paraId="66398191">
            <w:pPr>
              <w:adjustRightInd w:val="0"/>
              <w:snapToGrid w:val="0"/>
              <w:ind w:left="25" w:leftChars="12"/>
              <w:rPr>
                <w:rFonts w:ascii="仿宋_GB2312" w:hAnsi="仿宋" w:eastAsia="仿宋_GB2312" w:cs="仿宋_GB2312"/>
                <w:color w:val="auto"/>
                <w:sz w:val="24"/>
                <w:highlight w:val="none"/>
              </w:rPr>
            </w:pPr>
            <w:r>
              <w:rPr>
                <w:rFonts w:hint="eastAsia" w:ascii="仿宋_GB2312" w:hAnsi="仿宋" w:eastAsia="仿宋_GB2312" w:cs="仿宋_GB2312"/>
                <w:color w:val="auto"/>
                <w:kern w:val="0"/>
                <w:sz w:val="24"/>
                <w:highlight w:val="none"/>
              </w:rPr>
              <w:t>中小企业声明函</w:t>
            </w:r>
          </w:p>
        </w:tc>
        <w:tc>
          <w:tcPr>
            <w:tcW w:w="755" w:type="dxa"/>
            <w:vAlign w:val="center"/>
          </w:tcPr>
          <w:p w14:paraId="338EA571">
            <w:pPr>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18</w:t>
            </w:r>
          </w:p>
        </w:tc>
      </w:tr>
      <w:tr w14:paraId="443E3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63" w:type="dxa"/>
            <w:vAlign w:val="center"/>
          </w:tcPr>
          <w:p w14:paraId="242BA74A">
            <w:pPr>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4</w:t>
            </w:r>
          </w:p>
        </w:tc>
        <w:tc>
          <w:tcPr>
            <w:tcW w:w="6900" w:type="dxa"/>
            <w:vAlign w:val="center"/>
          </w:tcPr>
          <w:p w14:paraId="1F315E24">
            <w:pPr>
              <w:adjustRightInd w:val="0"/>
              <w:snapToGrid w:val="0"/>
              <w:ind w:left="25" w:leftChars="12"/>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残疾人福利性单位声明函</w:t>
            </w:r>
          </w:p>
        </w:tc>
        <w:tc>
          <w:tcPr>
            <w:tcW w:w="755" w:type="dxa"/>
            <w:vAlign w:val="center"/>
          </w:tcPr>
          <w:p w14:paraId="61C7C877">
            <w:pPr>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19</w:t>
            </w:r>
          </w:p>
        </w:tc>
      </w:tr>
      <w:tr w14:paraId="5CE98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63" w:type="dxa"/>
            <w:vAlign w:val="center"/>
          </w:tcPr>
          <w:p w14:paraId="521CE5D2">
            <w:pPr>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5</w:t>
            </w:r>
          </w:p>
        </w:tc>
        <w:tc>
          <w:tcPr>
            <w:tcW w:w="6900" w:type="dxa"/>
            <w:vAlign w:val="center"/>
          </w:tcPr>
          <w:p w14:paraId="56765BDA">
            <w:pPr>
              <w:adjustRightInd w:val="0"/>
              <w:snapToGrid w:val="0"/>
              <w:ind w:left="25" w:leftChars="12"/>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承诺书（如有）</w:t>
            </w:r>
          </w:p>
        </w:tc>
        <w:tc>
          <w:tcPr>
            <w:tcW w:w="755" w:type="dxa"/>
            <w:vAlign w:val="center"/>
          </w:tcPr>
          <w:p w14:paraId="7B26B193">
            <w:pPr>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20</w:t>
            </w:r>
          </w:p>
        </w:tc>
      </w:tr>
      <w:tr w14:paraId="446BE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63" w:type="dxa"/>
            <w:vAlign w:val="center"/>
          </w:tcPr>
          <w:p w14:paraId="4445BFFC">
            <w:pPr>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6</w:t>
            </w:r>
          </w:p>
        </w:tc>
        <w:tc>
          <w:tcPr>
            <w:tcW w:w="6900" w:type="dxa"/>
            <w:vAlign w:val="center"/>
          </w:tcPr>
          <w:p w14:paraId="421A17F5">
            <w:pPr>
              <w:adjustRightInd w:val="0"/>
              <w:snapToGrid w:val="0"/>
              <w:ind w:left="25" w:leftChars="12"/>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保证金退还明细表（电汇）</w:t>
            </w:r>
          </w:p>
        </w:tc>
        <w:tc>
          <w:tcPr>
            <w:tcW w:w="755" w:type="dxa"/>
            <w:vAlign w:val="center"/>
          </w:tcPr>
          <w:p w14:paraId="74E426E1">
            <w:pPr>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21</w:t>
            </w:r>
          </w:p>
        </w:tc>
      </w:tr>
      <w:tr w14:paraId="74638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763" w:type="dxa"/>
            <w:vAlign w:val="center"/>
          </w:tcPr>
          <w:p w14:paraId="18923EE5">
            <w:pPr>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7</w:t>
            </w:r>
          </w:p>
        </w:tc>
        <w:tc>
          <w:tcPr>
            <w:tcW w:w="6900" w:type="dxa"/>
            <w:vAlign w:val="center"/>
          </w:tcPr>
          <w:p w14:paraId="303CBB73">
            <w:pPr>
              <w:adjustRightInd w:val="0"/>
              <w:snapToGrid w:val="0"/>
              <w:ind w:left="25" w:leftChars="12"/>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投标人基本情况</w:t>
            </w:r>
          </w:p>
        </w:tc>
        <w:tc>
          <w:tcPr>
            <w:tcW w:w="755" w:type="dxa"/>
            <w:vAlign w:val="center"/>
          </w:tcPr>
          <w:p w14:paraId="54592EFF">
            <w:pPr>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22</w:t>
            </w:r>
          </w:p>
        </w:tc>
      </w:tr>
    </w:tbl>
    <w:p w14:paraId="3B7E93C6">
      <w:pPr>
        <w:adjustRightInd w:val="0"/>
        <w:snapToGrid w:val="0"/>
        <w:spacing w:before="159" w:beforeLines="50" w:line="360" w:lineRule="auto"/>
        <w:ind w:firstLine="480" w:firstLineChars="200"/>
        <w:rPr>
          <w:rFonts w:ascii="仿宋_GB2312" w:hAnsi="仿宋" w:eastAsia="仿宋_GB2312" w:cs="仿宋_GB2312"/>
          <w:b/>
          <w:color w:val="auto"/>
          <w:sz w:val="24"/>
          <w:highlight w:val="none"/>
        </w:rPr>
      </w:pPr>
      <w:r>
        <w:rPr>
          <w:rFonts w:hint="eastAsia" w:ascii="仿宋_GB2312" w:hAnsi="仿宋" w:eastAsia="仿宋_GB2312" w:cs="仿宋_GB2312"/>
          <w:b/>
          <w:color w:val="auto"/>
          <w:sz w:val="24"/>
          <w:highlight w:val="none"/>
        </w:rPr>
        <w:t>重要提示：</w:t>
      </w:r>
      <w:bookmarkEnd w:id="87"/>
      <w:bookmarkEnd w:id="88"/>
    </w:p>
    <w:p w14:paraId="6D057390">
      <w:pPr>
        <w:adjustRightInd w:val="0"/>
        <w:snapToGrid w:val="0"/>
        <w:spacing w:before="159" w:beforeLines="50"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1.投标人提供的证明材料，除需要投标人填报或有特殊说明外，均须按要求提供。</w:t>
      </w:r>
    </w:p>
    <w:p w14:paraId="1237457F">
      <w:pPr>
        <w:adjustRightInd w:val="0"/>
        <w:snapToGrid w:val="0"/>
        <w:spacing w:line="360" w:lineRule="auto"/>
        <w:ind w:firstLine="480" w:firstLineChars="20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2.投标人在编制投标文件时，对于给定格式的文件内容，必须按照给定的标准格式进行填报；对于没有给定标准格式的文件内容，可以由投标人自行设计。</w:t>
      </w:r>
    </w:p>
    <w:p w14:paraId="7A72BC08">
      <w:pPr>
        <w:adjustRightInd w:val="0"/>
        <w:snapToGrid w:val="0"/>
        <w:spacing w:line="360" w:lineRule="auto"/>
        <w:ind w:firstLine="480" w:firstLineChars="20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3.投标文件应用中文书写。投标文件中所附或所引用的材料不是中文时，应附中文译本，并加盖单位公章（自然人投标的，无需加盖单位公章，需要签字）。</w:t>
      </w:r>
    </w:p>
    <w:p w14:paraId="399392B3">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4.</w:t>
      </w:r>
      <w:r>
        <w:rPr>
          <w:rFonts w:hint="eastAsia" w:ascii="仿宋_GB2312" w:hAnsi="仿宋" w:eastAsia="仿宋_GB2312" w:cs="仿宋_GB2312"/>
          <w:b/>
          <w:bCs/>
          <w:color w:val="auto"/>
          <w:sz w:val="24"/>
          <w:highlight w:val="none"/>
        </w:rPr>
        <w:t>“资格证明材料”</w:t>
      </w:r>
      <w:r>
        <w:rPr>
          <w:rFonts w:hint="eastAsia" w:ascii="仿宋_GB2312" w:hAnsi="仿宋" w:eastAsia="仿宋_GB2312" w:cs="仿宋_GB2312"/>
          <w:color w:val="auto"/>
          <w:sz w:val="24"/>
          <w:highlight w:val="none"/>
        </w:rPr>
        <w:t>所列内容即为采购项目的资格审查条件，有一项不符合要求，不能进入下一阶段评审。</w:t>
      </w:r>
    </w:p>
    <w:p w14:paraId="4B0F3294">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5.</w:t>
      </w:r>
      <w:r>
        <w:rPr>
          <w:rFonts w:hint="eastAsia" w:ascii="仿宋_GB2312" w:hAnsi="仿宋" w:eastAsia="仿宋_GB2312" w:cs="仿宋_GB2312"/>
          <w:b/>
          <w:bCs/>
          <w:color w:val="auto"/>
          <w:sz w:val="24"/>
          <w:highlight w:val="none"/>
        </w:rPr>
        <w:t>“符合性证明材料”</w:t>
      </w:r>
      <w:r>
        <w:rPr>
          <w:rFonts w:hint="eastAsia" w:ascii="仿宋_GB2312" w:hAnsi="仿宋" w:eastAsia="仿宋_GB2312" w:cs="仿宋_GB2312"/>
          <w:color w:val="auto"/>
          <w:sz w:val="24"/>
          <w:highlight w:val="none"/>
        </w:rPr>
        <w:t>所列内容即为采购项目的符合性审查条件，有一项不符合要求，不能进入下一阶段评审。</w:t>
      </w:r>
    </w:p>
    <w:p w14:paraId="1D9DCE14">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6</w:t>
      </w:r>
      <w:r>
        <w:rPr>
          <w:rFonts w:ascii="仿宋_GB2312" w:hAnsi="仿宋" w:eastAsia="仿宋_GB2312" w:cs="仿宋_GB2312"/>
          <w:color w:val="auto"/>
          <w:sz w:val="24"/>
          <w:highlight w:val="none"/>
        </w:rPr>
        <w:t>.</w:t>
      </w:r>
      <w:r>
        <w:rPr>
          <w:rFonts w:hint="eastAsia" w:ascii="仿宋_GB2312" w:hAnsi="仿宋" w:eastAsia="仿宋_GB2312" w:cs="仿宋_GB2312"/>
          <w:color w:val="auto"/>
          <w:sz w:val="24"/>
          <w:highlight w:val="none"/>
        </w:rPr>
        <w:t>“其他材料”</w:t>
      </w:r>
    </w:p>
    <w:p w14:paraId="3AA4B49E">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w:t>
      </w:r>
      <w:r>
        <w:rPr>
          <w:rFonts w:hint="eastAsia" w:ascii="仿宋_GB2312" w:hAnsi="仿宋" w:eastAsia="仿宋_GB2312" w:cs="仿宋_GB2312"/>
          <w:color w:val="auto"/>
          <w:kern w:val="0"/>
          <w:sz w:val="24"/>
          <w:highlight w:val="none"/>
        </w:rPr>
        <w:t>综合评分法：</w:t>
      </w:r>
      <w:r>
        <w:rPr>
          <w:rFonts w:hint="eastAsia" w:ascii="仿宋_GB2312" w:hAnsi="仿宋" w:eastAsia="仿宋_GB2312" w:cs="仿宋_GB2312"/>
          <w:color w:val="auto"/>
          <w:sz w:val="24"/>
          <w:highlight w:val="none"/>
        </w:rPr>
        <w:t>投标人可就</w:t>
      </w:r>
      <w:r>
        <w:rPr>
          <w:rFonts w:hint="eastAsia" w:ascii="仿宋_GB2312" w:hAnsi="仿宋" w:eastAsia="仿宋_GB2312" w:cs="仿宋_GB2312"/>
          <w:color w:val="auto"/>
          <w:kern w:val="0"/>
          <w:sz w:val="24"/>
          <w:highlight w:val="none"/>
        </w:rPr>
        <w:t>招标文件要求以及评分细则中各项要求提供相应材料。</w:t>
      </w:r>
    </w:p>
    <w:p w14:paraId="4DF7202E">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w:t>
      </w:r>
      <w:r>
        <w:rPr>
          <w:rFonts w:hint="eastAsia" w:ascii="仿宋_GB2312" w:hAnsi="仿宋" w:eastAsia="仿宋_GB2312" w:cs="仿宋_GB2312"/>
          <w:color w:val="auto"/>
          <w:kern w:val="0"/>
          <w:sz w:val="24"/>
          <w:highlight w:val="none"/>
        </w:rPr>
        <w:t>最低评标价法：</w:t>
      </w:r>
      <w:r>
        <w:rPr>
          <w:rFonts w:hint="eastAsia" w:ascii="仿宋_GB2312" w:hAnsi="仿宋" w:eastAsia="仿宋_GB2312" w:cs="仿宋_GB2312"/>
          <w:color w:val="auto"/>
          <w:sz w:val="24"/>
          <w:highlight w:val="none"/>
        </w:rPr>
        <w:t>投标人可就</w:t>
      </w:r>
      <w:r>
        <w:rPr>
          <w:rFonts w:hint="eastAsia" w:ascii="仿宋_GB2312" w:hAnsi="仿宋" w:eastAsia="仿宋_GB2312" w:cs="仿宋_GB2312"/>
          <w:color w:val="auto"/>
          <w:kern w:val="0"/>
          <w:sz w:val="24"/>
          <w:highlight w:val="none"/>
        </w:rPr>
        <w:t>招标文件要求提供相应材料。</w:t>
      </w:r>
    </w:p>
    <w:p w14:paraId="42751427">
      <w:pPr>
        <w:pStyle w:val="3"/>
        <w:adjustRightInd w:val="0"/>
        <w:snapToGrid w:val="0"/>
        <w:spacing w:before="0" w:after="0" w:line="240" w:lineRule="auto"/>
        <w:jc w:val="left"/>
        <w:rPr>
          <w:rFonts w:ascii="仿宋_GB2312" w:hAnsi="仿宋" w:eastAsia="仿宋_GB2312" w:cs="仿宋_GB2312"/>
          <w:color w:val="auto"/>
          <w:szCs w:val="28"/>
          <w:highlight w:val="none"/>
        </w:rPr>
      </w:pPr>
      <w:r>
        <w:rPr>
          <w:rFonts w:hint="eastAsia"/>
          <w:color w:val="auto"/>
          <w:highlight w:val="none"/>
        </w:rPr>
        <w:br w:type="page"/>
      </w:r>
      <w:r>
        <w:rPr>
          <w:rFonts w:hint="eastAsia" w:ascii="仿宋_GB2312" w:hAnsi="仿宋" w:eastAsia="仿宋_GB2312" w:cs="仿宋_GB2312"/>
          <w:color w:val="auto"/>
          <w:szCs w:val="28"/>
          <w:highlight w:val="none"/>
        </w:rPr>
        <w:t>格式1</w:t>
      </w:r>
    </w:p>
    <w:p w14:paraId="6B99AC2F">
      <w:pPr>
        <w:spacing w:before="159" w:beforeLines="50" w:after="159" w:afterLines="50" w:line="360" w:lineRule="auto"/>
        <w:ind w:right="-21" w:rightChars="-10"/>
        <w:jc w:val="center"/>
        <w:rPr>
          <w:rFonts w:ascii="方正小标宋简体" w:hAnsi="仿宋_GB2312" w:eastAsia="方正小标宋简体" w:cs="仿宋_GB2312"/>
          <w:color w:val="auto"/>
          <w:sz w:val="32"/>
          <w:szCs w:val="32"/>
          <w:highlight w:val="none"/>
        </w:rPr>
      </w:pPr>
      <w:bookmarkStart w:id="89" w:name="_Toc26322_WPSOffice_Level2"/>
      <w:bookmarkStart w:id="90" w:name="_Toc21090_WPSOffice_Level2"/>
      <w:r>
        <w:rPr>
          <w:rFonts w:hint="eastAsia" w:ascii="方正小标宋简体" w:hAnsi="仿宋_GB2312" w:eastAsia="方正小标宋简体" w:cs="仿宋_GB2312"/>
          <w:color w:val="auto"/>
          <w:sz w:val="32"/>
          <w:szCs w:val="32"/>
          <w:highlight w:val="none"/>
        </w:rPr>
        <w:t>投标文件、电子文档外封面、封口格式</w:t>
      </w:r>
      <w:bookmarkEnd w:id="89"/>
      <w:bookmarkEnd w:id="90"/>
    </w:p>
    <w:p w14:paraId="4443D17A">
      <w:pPr>
        <w:spacing w:before="159" w:beforeLines="50" w:after="159" w:afterLines="50" w:line="360" w:lineRule="auto"/>
        <w:jc w:val="center"/>
        <w:rPr>
          <w:color w:val="auto"/>
          <w:highlight w:val="none"/>
        </w:rPr>
      </w:pPr>
      <w:r>
        <w:rPr>
          <w:rFonts w:hint="eastAsia" w:ascii="方正小标宋简体" w:hAnsi="仿宋_GB2312" w:eastAsia="方正小标宋简体" w:cs="仿宋_GB2312"/>
          <w:color w:val="auto"/>
          <w:sz w:val="32"/>
          <w:szCs w:val="32"/>
          <w:highlight w:val="none"/>
        </w:rPr>
        <w:t>（仅供参考）</w:t>
      </w:r>
    </w:p>
    <w:p w14:paraId="7B0938C5">
      <w:pPr>
        <w:rPr>
          <w:rFonts w:ascii="仿宋_GB2312" w:hAnsi="仿宋" w:eastAsia="仿宋_GB2312" w:cs="仿宋_GB2312"/>
          <w:color w:val="auto"/>
          <w:highlight w:val="none"/>
        </w:rPr>
      </w:pPr>
      <w:r>
        <w:rPr>
          <w:rFonts w:hint="eastAsia" w:ascii="仿宋_GB2312" w:hAnsi="仿宋" w:eastAsia="仿宋_GB2312" w:cs="仿宋_GB2312"/>
          <w:color w:val="auto"/>
          <w:sz w:val="28"/>
          <w:szCs w:val="28"/>
          <w:highlight w:val="none"/>
        </w:rPr>
        <w:t>封面格式：</w:t>
      </w:r>
    </w:p>
    <w:tbl>
      <w:tblPr>
        <w:tblStyle w:val="24"/>
        <w:tblW w:w="84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53"/>
      </w:tblGrid>
      <w:tr w14:paraId="3B8DD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7" w:hRule="atLeast"/>
          <w:jc w:val="center"/>
        </w:trPr>
        <w:tc>
          <w:tcPr>
            <w:tcW w:w="8453" w:type="dxa"/>
          </w:tcPr>
          <w:p w14:paraId="6B0B3754">
            <w:pPr>
              <w:jc w:val="center"/>
              <w:rPr>
                <w:rFonts w:ascii="仿宋_GB2312" w:hAnsi="仿宋" w:eastAsia="仿宋_GB2312" w:cs="仿宋_GB2312"/>
                <w:b/>
                <w:bCs/>
                <w:color w:val="auto"/>
                <w:highlight w:val="none"/>
              </w:rPr>
            </w:pPr>
          </w:p>
          <w:p w14:paraId="776ABCD1">
            <w:pPr>
              <w:jc w:val="center"/>
              <w:rPr>
                <w:rFonts w:ascii="仿宋_GB2312" w:hAnsi="仿宋" w:eastAsia="仿宋_GB2312" w:cs="仿宋_GB2312"/>
                <w:b/>
                <w:bCs/>
                <w:color w:val="auto"/>
                <w:highlight w:val="none"/>
              </w:rPr>
            </w:pPr>
          </w:p>
          <w:p w14:paraId="0C6B75CE">
            <w:pPr>
              <w:jc w:val="center"/>
              <w:rPr>
                <w:rFonts w:ascii="仿宋_GB2312" w:hAnsi="仿宋" w:eastAsia="仿宋_GB2312" w:cs="仿宋_GB2312"/>
                <w:b/>
                <w:bCs/>
                <w:color w:val="auto"/>
                <w:highlight w:val="none"/>
              </w:rPr>
            </w:pPr>
          </w:p>
          <w:p w14:paraId="44BA97EF">
            <w:pPr>
              <w:jc w:val="center"/>
              <w:rPr>
                <w:rFonts w:ascii="仿宋_GB2312" w:hAnsi="仿宋" w:eastAsia="仿宋_GB2312" w:cs="仿宋_GB2312"/>
                <w:b/>
                <w:bCs/>
                <w:color w:val="auto"/>
                <w:highlight w:val="none"/>
              </w:rPr>
            </w:pPr>
          </w:p>
          <w:p w14:paraId="235325C7">
            <w:pPr>
              <w:jc w:val="center"/>
              <w:rPr>
                <w:rFonts w:ascii="仿宋_GB2312" w:hAnsi="仿宋" w:eastAsia="仿宋_GB2312" w:cs="仿宋_GB2312"/>
                <w:b/>
                <w:bCs/>
                <w:color w:val="auto"/>
                <w:highlight w:val="none"/>
              </w:rPr>
            </w:pPr>
          </w:p>
          <w:p w14:paraId="04C7017A">
            <w:pPr>
              <w:jc w:val="center"/>
              <w:rPr>
                <w:rFonts w:ascii="黑体" w:hAnsi="黑体" w:eastAsia="黑体" w:cs="仿宋_GB2312"/>
                <w:b/>
                <w:bCs/>
                <w:color w:val="auto"/>
                <w:sz w:val="56"/>
                <w:szCs w:val="96"/>
                <w:highlight w:val="none"/>
              </w:rPr>
            </w:pPr>
            <w:r>
              <w:rPr>
                <w:rFonts w:hint="eastAsia" w:ascii="黑体" w:hAnsi="黑体" w:eastAsia="黑体" w:cs="仿宋_GB2312"/>
                <w:b/>
                <w:bCs/>
                <w:color w:val="auto"/>
                <w:sz w:val="56"/>
                <w:szCs w:val="96"/>
                <w:highlight w:val="none"/>
              </w:rPr>
              <w:t>投标文件/电子文档</w:t>
            </w:r>
          </w:p>
          <w:p w14:paraId="19FA443C">
            <w:pPr>
              <w:jc w:val="left"/>
              <w:rPr>
                <w:rFonts w:ascii="仿宋_GB2312" w:hAnsi="仿宋" w:eastAsia="仿宋_GB2312" w:cs="仿宋_GB2312"/>
                <w:color w:val="auto"/>
                <w:highlight w:val="none"/>
              </w:rPr>
            </w:pPr>
          </w:p>
          <w:p w14:paraId="58D994D1">
            <w:pPr>
              <w:jc w:val="left"/>
              <w:rPr>
                <w:rFonts w:ascii="仿宋_GB2312" w:hAnsi="仿宋" w:eastAsia="仿宋_GB2312" w:cs="仿宋_GB2312"/>
                <w:color w:val="auto"/>
                <w:highlight w:val="none"/>
              </w:rPr>
            </w:pPr>
          </w:p>
          <w:p w14:paraId="13CDA31F">
            <w:pPr>
              <w:jc w:val="left"/>
              <w:rPr>
                <w:rFonts w:ascii="仿宋_GB2312" w:hAnsi="仿宋" w:eastAsia="仿宋_GB2312" w:cs="仿宋_GB2312"/>
                <w:color w:val="auto"/>
                <w:highlight w:val="none"/>
              </w:rPr>
            </w:pPr>
          </w:p>
          <w:p w14:paraId="1E899782">
            <w:pPr>
              <w:jc w:val="left"/>
              <w:rPr>
                <w:rFonts w:ascii="仿宋_GB2312" w:hAnsi="仿宋" w:eastAsia="仿宋_GB2312" w:cs="仿宋_GB2312"/>
                <w:color w:val="auto"/>
                <w:highlight w:val="none"/>
              </w:rPr>
            </w:pPr>
          </w:p>
          <w:p w14:paraId="6526A687">
            <w:pPr>
              <w:jc w:val="left"/>
              <w:rPr>
                <w:rFonts w:ascii="仿宋_GB2312" w:hAnsi="仿宋" w:eastAsia="仿宋_GB2312" w:cs="仿宋_GB2312"/>
                <w:color w:val="auto"/>
                <w:highlight w:val="none"/>
              </w:rPr>
            </w:pPr>
          </w:p>
          <w:p w14:paraId="25D5CDB3">
            <w:pPr>
              <w:jc w:val="left"/>
              <w:rPr>
                <w:rFonts w:ascii="仿宋_GB2312" w:hAnsi="仿宋" w:eastAsia="仿宋_GB2312" w:cs="仿宋_GB2312"/>
                <w:color w:val="auto"/>
                <w:highlight w:val="none"/>
              </w:rPr>
            </w:pPr>
          </w:p>
          <w:p w14:paraId="7B76BAA6">
            <w:pPr>
              <w:jc w:val="left"/>
              <w:rPr>
                <w:rFonts w:ascii="仿宋_GB2312" w:hAnsi="仿宋" w:eastAsia="仿宋_GB2312" w:cs="仿宋_GB2312"/>
                <w:color w:val="auto"/>
                <w:highlight w:val="none"/>
              </w:rPr>
            </w:pPr>
          </w:p>
          <w:p w14:paraId="43444347">
            <w:pPr>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所投包号：第</w:t>
            </w:r>
            <w:r>
              <w:rPr>
                <w:rFonts w:ascii="仿宋_GB2312" w:hAnsi="仿宋" w:eastAsia="仿宋_GB2312" w:cs="仿宋_GB2312"/>
                <w:color w:val="auto"/>
                <w:sz w:val="24"/>
                <w:highlight w:val="none"/>
              </w:rPr>
              <w:t xml:space="preserve">   </w:t>
            </w:r>
            <w:r>
              <w:rPr>
                <w:rFonts w:hint="eastAsia" w:ascii="仿宋_GB2312" w:hAnsi="仿宋" w:eastAsia="仿宋_GB2312" w:cs="仿宋_GB2312"/>
                <w:color w:val="auto"/>
                <w:sz w:val="24"/>
                <w:highlight w:val="none"/>
              </w:rPr>
              <w:t>包</w:t>
            </w:r>
          </w:p>
          <w:p w14:paraId="63FFDA46">
            <w:pPr>
              <w:jc w:val="left"/>
              <w:rPr>
                <w:rFonts w:ascii="仿宋_GB2312" w:hAnsi="仿宋" w:eastAsia="仿宋_GB2312" w:cs="仿宋_GB2312"/>
                <w:color w:val="auto"/>
                <w:sz w:val="24"/>
                <w:highlight w:val="none"/>
              </w:rPr>
            </w:pPr>
          </w:p>
          <w:p w14:paraId="6510DD1F">
            <w:pPr>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项目名称：</w:t>
            </w:r>
          </w:p>
          <w:p w14:paraId="10B1FEEE">
            <w:pPr>
              <w:jc w:val="left"/>
              <w:rPr>
                <w:rFonts w:ascii="仿宋_GB2312" w:hAnsi="仿宋" w:eastAsia="仿宋_GB2312" w:cs="仿宋_GB2312"/>
                <w:color w:val="auto"/>
                <w:sz w:val="24"/>
                <w:highlight w:val="none"/>
              </w:rPr>
            </w:pPr>
          </w:p>
          <w:p w14:paraId="03BFDD77">
            <w:pPr>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项目编号：</w:t>
            </w:r>
          </w:p>
          <w:p w14:paraId="65A150BD">
            <w:pPr>
              <w:jc w:val="center"/>
              <w:rPr>
                <w:rFonts w:ascii="仿宋_GB2312" w:hAnsi="仿宋" w:eastAsia="仿宋_GB2312" w:cs="仿宋_GB2312"/>
                <w:color w:val="auto"/>
                <w:sz w:val="24"/>
                <w:highlight w:val="none"/>
              </w:rPr>
            </w:pPr>
          </w:p>
          <w:p w14:paraId="43D3872B">
            <w:pPr>
              <w:jc w:val="center"/>
              <w:rPr>
                <w:rFonts w:ascii="仿宋_GB2312" w:hAnsi="仿宋" w:eastAsia="仿宋_GB2312" w:cs="仿宋_GB2312"/>
                <w:color w:val="auto"/>
                <w:sz w:val="24"/>
                <w:highlight w:val="none"/>
              </w:rPr>
            </w:pPr>
          </w:p>
          <w:p w14:paraId="029D1928">
            <w:pPr>
              <w:jc w:val="center"/>
              <w:rPr>
                <w:rFonts w:ascii="仿宋_GB2312" w:hAnsi="仿宋" w:eastAsia="仿宋_GB2312" w:cs="仿宋_GB2312"/>
                <w:color w:val="auto"/>
                <w:sz w:val="24"/>
                <w:highlight w:val="none"/>
              </w:rPr>
            </w:pPr>
          </w:p>
          <w:p w14:paraId="6FE58D6D">
            <w:pPr>
              <w:jc w:val="left"/>
              <w:rPr>
                <w:rFonts w:ascii="仿宋_GB2312" w:hAnsi="仿宋" w:eastAsia="仿宋_GB2312" w:cs="仿宋_GB2312"/>
                <w:color w:val="auto"/>
                <w:highlight w:val="none"/>
              </w:rPr>
            </w:pPr>
            <w:r>
              <w:rPr>
                <w:rFonts w:hint="eastAsia" w:ascii="仿宋_GB2312" w:hAnsi="仿宋" w:eastAsia="仿宋_GB2312" w:cs="仿宋_GB2312"/>
                <w:color w:val="auto"/>
                <w:sz w:val="24"/>
                <w:highlight w:val="none"/>
              </w:rPr>
              <w:t>投标人名称（加盖单位公章）</w:t>
            </w:r>
          </w:p>
        </w:tc>
      </w:tr>
    </w:tbl>
    <w:p w14:paraId="482A689B">
      <w:pPr>
        <w:rPr>
          <w:rFonts w:ascii="仿宋_GB2312" w:hAnsi="仿宋" w:eastAsia="仿宋_GB2312" w:cs="仿宋_GB2312"/>
          <w:color w:val="auto"/>
          <w:highlight w:val="none"/>
        </w:rPr>
      </w:pPr>
    </w:p>
    <w:p w14:paraId="20637F43">
      <w:pPr>
        <w:rPr>
          <w:rFonts w:ascii="仿宋_GB2312" w:hAnsi="仿宋" w:eastAsia="仿宋_GB2312" w:cs="仿宋_GB2312"/>
          <w:color w:val="auto"/>
          <w:highlight w:val="none"/>
        </w:rPr>
      </w:pPr>
      <w:r>
        <w:rPr>
          <w:rFonts w:hint="eastAsia" w:ascii="仿宋_GB2312" w:hAnsi="仿宋" w:eastAsia="仿宋_GB2312" w:cs="仿宋_GB2312"/>
          <w:color w:val="auto"/>
          <w:sz w:val="24"/>
          <w:szCs w:val="32"/>
          <w:highlight w:val="none"/>
        </w:rPr>
        <w:t>封口格式：</w:t>
      </w:r>
    </w:p>
    <w:tbl>
      <w:tblPr>
        <w:tblStyle w:val="24"/>
        <w:tblW w:w="84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7"/>
      </w:tblGrid>
      <w:tr w14:paraId="27979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8467" w:type="dxa"/>
            <w:tcBorders>
              <w:top w:val="single" w:color="auto" w:sz="4" w:space="0"/>
              <w:left w:val="single" w:color="auto" w:sz="4" w:space="0"/>
              <w:bottom w:val="single" w:color="auto" w:sz="4" w:space="0"/>
              <w:right w:val="single" w:color="auto" w:sz="4" w:space="0"/>
            </w:tcBorders>
            <w:vAlign w:val="center"/>
          </w:tcPr>
          <w:p w14:paraId="2EF3238C">
            <w:pPr>
              <w:jc w:val="center"/>
              <w:rPr>
                <w:rFonts w:ascii="仿宋_GB2312" w:hAnsi="仿宋" w:eastAsia="仿宋_GB2312" w:cs="仿宋_GB2312"/>
                <w:color w:val="auto"/>
                <w:highlight w:val="none"/>
              </w:rPr>
            </w:pPr>
            <w:r>
              <w:rPr>
                <w:rFonts w:hint="eastAsia" w:ascii="仿宋_GB2312" w:hAnsi="仿宋" w:eastAsia="仿宋_GB2312" w:cs="仿宋_GB2312"/>
                <w:color w:val="auto"/>
                <w:sz w:val="24"/>
                <w:highlight w:val="none"/>
              </w:rPr>
              <w:t>——于</w:t>
            </w:r>
            <w:r>
              <w:rPr>
                <w:rFonts w:hint="eastAsia" w:ascii="仿宋_GB2312" w:eastAsia="仿宋_GB2312"/>
                <w:color w:val="auto"/>
                <w:sz w:val="24"/>
                <w:highlight w:val="none"/>
              </w:rPr>
              <w:t>  </w:t>
            </w:r>
            <w:r>
              <w:rPr>
                <w:rFonts w:hint="eastAsia" w:ascii="仿宋_GB2312" w:hAnsi="仿宋" w:eastAsia="仿宋_GB2312" w:cs="仿宋_GB2312"/>
                <w:color w:val="auto"/>
                <w:sz w:val="24"/>
                <w:highlight w:val="none"/>
              </w:rPr>
              <w:t xml:space="preserve"> 年</w:t>
            </w:r>
            <w:r>
              <w:rPr>
                <w:rFonts w:hint="eastAsia" w:ascii="仿宋_GB2312" w:eastAsia="仿宋_GB2312"/>
                <w:color w:val="auto"/>
                <w:sz w:val="24"/>
                <w:highlight w:val="none"/>
              </w:rPr>
              <w:t> </w:t>
            </w:r>
            <w:r>
              <w:rPr>
                <w:rFonts w:hint="eastAsia" w:ascii="仿宋_GB2312" w:hAnsi="仿宋" w:eastAsia="仿宋_GB2312" w:cs="仿宋_GB2312"/>
                <w:color w:val="auto"/>
                <w:sz w:val="24"/>
                <w:highlight w:val="none"/>
              </w:rPr>
              <w:t xml:space="preserve"> 月</w:t>
            </w:r>
            <w:r>
              <w:rPr>
                <w:rFonts w:hint="eastAsia" w:ascii="仿宋_GB2312" w:eastAsia="仿宋_GB2312"/>
                <w:color w:val="auto"/>
                <w:sz w:val="24"/>
                <w:highlight w:val="none"/>
              </w:rPr>
              <w:t> </w:t>
            </w:r>
            <w:r>
              <w:rPr>
                <w:rFonts w:hint="eastAsia" w:ascii="仿宋_GB2312" w:hAnsi="仿宋" w:eastAsia="仿宋_GB2312" w:cs="仿宋_GB2312"/>
                <w:color w:val="auto"/>
                <w:sz w:val="24"/>
                <w:highlight w:val="none"/>
              </w:rPr>
              <w:t xml:space="preserve"> 日</w:t>
            </w:r>
            <w:r>
              <w:rPr>
                <w:rFonts w:hint="eastAsia" w:ascii="仿宋_GB2312" w:eastAsia="仿宋_GB2312"/>
                <w:color w:val="auto"/>
                <w:sz w:val="24"/>
                <w:highlight w:val="none"/>
              </w:rPr>
              <w:t>  </w:t>
            </w:r>
            <w:r>
              <w:rPr>
                <w:rFonts w:hint="eastAsia" w:ascii="仿宋_GB2312" w:hAnsi="仿宋" w:eastAsia="仿宋_GB2312" w:cs="仿宋_GB2312"/>
                <w:color w:val="auto"/>
                <w:sz w:val="24"/>
                <w:highlight w:val="none"/>
              </w:rPr>
              <w:t xml:space="preserve"> 时之前不准启封（公章）——</w:t>
            </w:r>
          </w:p>
        </w:tc>
      </w:tr>
    </w:tbl>
    <w:p w14:paraId="0A4D22B4">
      <w:pPr>
        <w:rPr>
          <w:rFonts w:ascii="仿宋_GB2312" w:hAnsi="仿宋" w:eastAsia="仿宋_GB2312" w:cs="仿宋_GB2312"/>
          <w:color w:val="auto"/>
          <w:highlight w:val="none"/>
        </w:rPr>
      </w:pPr>
      <w:r>
        <w:rPr>
          <w:rFonts w:hint="eastAsia" w:ascii="仿宋_GB2312" w:hAnsi="仿宋_GB2312" w:eastAsia="仿宋_GB2312" w:cs="仿宋_GB2312"/>
          <w:b/>
          <w:bCs/>
          <w:color w:val="auto"/>
          <w:sz w:val="24"/>
          <w:highlight w:val="none"/>
        </w:rPr>
        <w:t>特别说明:电子文档外封面、封口格式仅供参考。</w:t>
      </w:r>
    </w:p>
    <w:p w14:paraId="34877D89">
      <w:pPr>
        <w:pStyle w:val="3"/>
        <w:adjustRightInd w:val="0"/>
        <w:snapToGrid w:val="0"/>
        <w:spacing w:before="0" w:after="0" w:line="240" w:lineRule="auto"/>
        <w:jc w:val="left"/>
        <w:rPr>
          <w:rFonts w:ascii="仿宋_GB2312" w:hAnsi="仿宋" w:eastAsia="仿宋_GB2312" w:cs="仿宋_GB2312"/>
          <w:color w:val="auto"/>
          <w:szCs w:val="28"/>
          <w:highlight w:val="none"/>
        </w:rPr>
      </w:pPr>
      <w:r>
        <w:rPr>
          <w:rFonts w:hint="eastAsia" w:ascii="仿宋_GB2312" w:hAnsi="仿宋" w:eastAsia="仿宋_GB2312" w:cs="仿宋_GB2312"/>
          <w:b w:val="0"/>
          <w:color w:val="auto"/>
          <w:szCs w:val="28"/>
          <w:highlight w:val="none"/>
        </w:rPr>
        <w:br w:type="page"/>
      </w:r>
      <w:r>
        <w:rPr>
          <w:rFonts w:hint="eastAsia" w:ascii="仿宋_GB2312" w:hAnsi="仿宋" w:eastAsia="仿宋_GB2312" w:cs="仿宋_GB2312"/>
          <w:color w:val="auto"/>
          <w:szCs w:val="28"/>
          <w:highlight w:val="none"/>
        </w:rPr>
        <w:t>格式2</w:t>
      </w:r>
    </w:p>
    <w:p w14:paraId="411D77FA">
      <w:pPr>
        <w:spacing w:before="159" w:beforeLines="50" w:after="159" w:afterLines="50" w:line="360" w:lineRule="auto"/>
        <w:ind w:right="-21" w:rightChars="-10"/>
        <w:jc w:val="center"/>
        <w:rPr>
          <w:rFonts w:ascii="方正小标宋简体" w:hAnsi="仿宋" w:eastAsia="方正小标宋简体" w:cs="仿宋_GB2312"/>
          <w:color w:val="auto"/>
          <w:sz w:val="32"/>
          <w:szCs w:val="32"/>
          <w:highlight w:val="none"/>
        </w:rPr>
      </w:pPr>
      <w:r>
        <w:rPr>
          <w:rFonts w:hint="eastAsia" w:ascii="方正小标宋简体" w:hAnsi="仿宋_GB2312" w:eastAsia="方正小标宋简体" w:cs="仿宋_GB2312"/>
          <w:color w:val="auto"/>
          <w:sz w:val="32"/>
          <w:szCs w:val="32"/>
          <w:highlight w:val="none"/>
        </w:rPr>
        <mc:AlternateContent>
          <mc:Choice Requires="wps">
            <w:drawing>
              <wp:anchor distT="0" distB="0" distL="114300" distR="114300" simplePos="0" relativeHeight="251659264" behindDoc="0" locked="0" layoutInCell="1" allowOverlap="1">
                <wp:simplePos x="0" y="0"/>
                <wp:positionH relativeFrom="column">
                  <wp:posOffset>3878580</wp:posOffset>
                </wp:positionH>
                <wp:positionV relativeFrom="paragraph">
                  <wp:posOffset>361315</wp:posOffset>
                </wp:positionV>
                <wp:extent cx="1253490" cy="563245"/>
                <wp:effectExtent l="5080" t="4445" r="6350" b="11430"/>
                <wp:wrapNone/>
                <wp:docPr id="2" name="文本框 2"/>
                <wp:cNvGraphicFramePr/>
                <a:graphic xmlns:a="http://schemas.openxmlformats.org/drawingml/2006/main">
                  <a:graphicData uri="http://schemas.microsoft.com/office/word/2010/wordprocessingShape">
                    <wps:wsp>
                      <wps:cNvSpPr txBox="1"/>
                      <wps:spPr>
                        <a:xfrm>
                          <a:off x="0" y="0"/>
                          <a:ext cx="1253490" cy="56324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07204CB0">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wps:txbx>
                      <wps:bodyPr wrap="square" upright="1"/>
                    </wps:wsp>
                  </a:graphicData>
                </a:graphic>
              </wp:anchor>
            </w:drawing>
          </mc:Choice>
          <mc:Fallback>
            <w:pict>
              <v:shape id="_x0000_s1026" o:spid="_x0000_s1026" o:spt="202" type="#_x0000_t202" style="position:absolute;left:0pt;margin-left:305.4pt;margin-top:28.45pt;height:44.35pt;width:98.7pt;z-index:251659264;mso-width-relative:page;mso-height-relative:page;" fillcolor="#FFFFFF" filled="t" stroked="t" coordsize="21600,21600" o:gfxdata="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XXs+2QAAAAoB&#10;AAAPAAAAAAAAAAEAIAAAACIAAABkcnMvZG93bnJldi54bWxQSwECFAAUAAAACACHTuJAIeVfCRoC&#10;AABSBAAADgAAAAAAAAABACAAAAAoAQAAZHJzL2Uyb0RvYy54bWxQSwUGAAAAAAYABgBZAQAAtAUA&#10;AAAA&#10;">
                <v:fill on="t" focussize="0,0"/>
                <v:stroke color="#000000" joinstyle="miter"/>
                <v:imagedata o:title=""/>
                <o:lock v:ext="edit" aspectratio="f"/>
                <v:textbox>
                  <w:txbxContent>
                    <w:p w14:paraId="07204CB0">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v:textbox>
              </v:shape>
            </w:pict>
          </mc:Fallback>
        </mc:AlternateContent>
      </w:r>
      <w:r>
        <w:rPr>
          <w:rFonts w:hint="eastAsia" w:ascii="方正小标宋简体" w:hAnsi="仿宋_GB2312" w:eastAsia="方正小标宋简体" w:cs="仿宋_GB2312"/>
          <w:color w:val="auto"/>
          <w:sz w:val="32"/>
          <w:szCs w:val="32"/>
          <w:highlight w:val="none"/>
        </w:rPr>
        <w:t>投标文件的封皮</w:t>
      </w:r>
    </w:p>
    <w:p w14:paraId="5792C403">
      <w:pPr>
        <w:rPr>
          <w:rFonts w:ascii="仿宋_GB2312" w:hAnsi="仿宋" w:eastAsia="仿宋_GB2312" w:cs="仿宋_GB2312"/>
          <w:color w:val="auto"/>
          <w:highlight w:val="none"/>
        </w:rPr>
      </w:pPr>
    </w:p>
    <w:p w14:paraId="73BE4221">
      <w:pPr>
        <w:rPr>
          <w:rFonts w:ascii="仿宋_GB2312" w:hAnsi="仿宋" w:eastAsia="仿宋_GB2312" w:cs="仿宋_GB2312"/>
          <w:color w:val="auto"/>
          <w:highlight w:val="none"/>
        </w:rPr>
      </w:pPr>
    </w:p>
    <w:p w14:paraId="7AC703A2">
      <w:pPr>
        <w:rPr>
          <w:rFonts w:ascii="仿宋_GB2312" w:hAnsi="仿宋" w:eastAsia="仿宋_GB2312" w:cs="仿宋_GB2312"/>
          <w:color w:val="auto"/>
          <w:highlight w:val="none"/>
        </w:rPr>
      </w:pPr>
    </w:p>
    <w:p w14:paraId="37BF23C5">
      <w:pPr>
        <w:rPr>
          <w:rFonts w:ascii="仿宋_GB2312" w:hAnsi="仿宋" w:eastAsia="仿宋_GB2312" w:cs="仿宋_GB2312"/>
          <w:color w:val="auto"/>
          <w:highlight w:val="none"/>
        </w:rPr>
      </w:pPr>
    </w:p>
    <w:p w14:paraId="674F7FC7">
      <w:pPr>
        <w:rPr>
          <w:rFonts w:ascii="仿宋_GB2312" w:hAnsi="仿宋" w:eastAsia="仿宋_GB2312" w:cs="仿宋_GB2312"/>
          <w:color w:val="auto"/>
          <w:highlight w:val="none"/>
        </w:rPr>
      </w:pPr>
    </w:p>
    <w:p w14:paraId="49BA6E1D">
      <w:pPr>
        <w:rPr>
          <w:rFonts w:ascii="仿宋_GB2312" w:hAnsi="仿宋" w:eastAsia="仿宋_GB2312" w:cs="仿宋_GB2312"/>
          <w:color w:val="auto"/>
          <w:highlight w:val="none"/>
        </w:rPr>
      </w:pPr>
    </w:p>
    <w:p w14:paraId="7FA3689F">
      <w:pPr>
        <w:rPr>
          <w:rFonts w:ascii="仿宋_GB2312" w:hAnsi="仿宋" w:eastAsia="仿宋_GB2312" w:cs="仿宋_GB2312"/>
          <w:color w:val="auto"/>
          <w:highlight w:val="none"/>
        </w:rPr>
      </w:pPr>
    </w:p>
    <w:p w14:paraId="107603D3">
      <w:pPr>
        <w:rPr>
          <w:rFonts w:ascii="仿宋_GB2312" w:hAnsi="仿宋" w:eastAsia="仿宋_GB2312" w:cs="仿宋_GB2312"/>
          <w:color w:val="auto"/>
          <w:highlight w:val="none"/>
        </w:rPr>
      </w:pPr>
    </w:p>
    <w:p w14:paraId="66A4055B">
      <w:pPr>
        <w:pStyle w:val="23"/>
        <w:rPr>
          <w:color w:val="auto"/>
          <w:highlight w:val="none"/>
        </w:rPr>
      </w:pPr>
    </w:p>
    <w:p w14:paraId="179C3ED0">
      <w:pPr>
        <w:rPr>
          <w:rFonts w:ascii="仿宋_GB2312" w:hAnsi="仿宋" w:eastAsia="仿宋_GB2312" w:cs="仿宋_GB2312"/>
          <w:color w:val="auto"/>
          <w:highlight w:val="none"/>
        </w:rPr>
      </w:pPr>
    </w:p>
    <w:p w14:paraId="13C818F8">
      <w:pPr>
        <w:rPr>
          <w:rFonts w:ascii="仿宋_GB2312" w:hAnsi="仿宋" w:eastAsia="仿宋_GB2312" w:cs="仿宋_GB2312"/>
          <w:color w:val="auto"/>
          <w:highlight w:val="none"/>
        </w:rPr>
      </w:pPr>
    </w:p>
    <w:p w14:paraId="676F3C4A">
      <w:pPr>
        <w:jc w:val="center"/>
        <w:rPr>
          <w:rFonts w:ascii="黑体" w:hAnsi="黑体" w:eastAsia="黑体" w:cs="仿宋_GB2312"/>
          <w:b/>
          <w:bCs/>
          <w:color w:val="auto"/>
          <w:sz w:val="72"/>
          <w:szCs w:val="72"/>
          <w:highlight w:val="none"/>
        </w:rPr>
      </w:pPr>
      <w:r>
        <w:rPr>
          <w:rFonts w:hint="eastAsia" w:ascii="黑体" w:hAnsi="黑体" w:eastAsia="黑体" w:cs="仿宋_GB2312"/>
          <w:b/>
          <w:bCs/>
          <w:color w:val="auto"/>
          <w:sz w:val="72"/>
          <w:szCs w:val="72"/>
          <w:highlight w:val="none"/>
        </w:rPr>
        <w:t>投  标  文  件</w:t>
      </w:r>
    </w:p>
    <w:p w14:paraId="447D2F4D">
      <w:pPr>
        <w:rPr>
          <w:rFonts w:ascii="仿宋_GB2312" w:hAnsi="仿宋" w:eastAsia="仿宋_GB2312" w:cs="仿宋_GB2312"/>
          <w:color w:val="auto"/>
          <w:highlight w:val="none"/>
        </w:rPr>
      </w:pPr>
    </w:p>
    <w:p w14:paraId="5E302F59">
      <w:pPr>
        <w:rPr>
          <w:rFonts w:ascii="仿宋_GB2312" w:hAnsi="仿宋" w:eastAsia="仿宋_GB2312" w:cs="仿宋_GB2312"/>
          <w:color w:val="auto"/>
          <w:highlight w:val="none"/>
        </w:rPr>
      </w:pPr>
    </w:p>
    <w:p w14:paraId="7C9B999F">
      <w:pPr>
        <w:rPr>
          <w:rFonts w:ascii="仿宋_GB2312" w:hAnsi="仿宋" w:eastAsia="仿宋_GB2312" w:cs="仿宋_GB2312"/>
          <w:color w:val="auto"/>
          <w:highlight w:val="none"/>
        </w:rPr>
      </w:pPr>
    </w:p>
    <w:p w14:paraId="4B7F33F2">
      <w:pPr>
        <w:rPr>
          <w:rFonts w:ascii="仿宋_GB2312" w:hAnsi="仿宋" w:eastAsia="仿宋_GB2312" w:cs="仿宋_GB2312"/>
          <w:color w:val="auto"/>
          <w:sz w:val="28"/>
          <w:szCs w:val="28"/>
          <w:highlight w:val="none"/>
        </w:rPr>
      </w:pPr>
    </w:p>
    <w:p w14:paraId="7C5F6A29">
      <w:pPr>
        <w:rPr>
          <w:rFonts w:ascii="仿宋_GB2312" w:hAnsi="仿宋" w:eastAsia="仿宋_GB2312" w:cs="仿宋_GB2312"/>
          <w:color w:val="auto"/>
          <w:sz w:val="28"/>
          <w:szCs w:val="28"/>
          <w:highlight w:val="none"/>
        </w:rPr>
      </w:pPr>
    </w:p>
    <w:p w14:paraId="04E72889">
      <w:pPr>
        <w:rPr>
          <w:rFonts w:ascii="仿宋_GB2312" w:hAnsi="仿宋" w:eastAsia="仿宋_GB2312" w:cs="仿宋_GB2312"/>
          <w:color w:val="auto"/>
          <w:sz w:val="28"/>
          <w:szCs w:val="28"/>
          <w:highlight w:val="none"/>
        </w:rPr>
      </w:pPr>
    </w:p>
    <w:p w14:paraId="576D0356">
      <w:pPr>
        <w:pStyle w:val="14"/>
        <w:rPr>
          <w:rFonts w:ascii="仿宋_GB2312" w:hAnsi="仿宋" w:eastAsia="仿宋_GB2312" w:cs="仿宋_GB2312"/>
          <w:color w:val="auto"/>
          <w:sz w:val="28"/>
          <w:szCs w:val="28"/>
          <w:highlight w:val="none"/>
        </w:rPr>
      </w:pPr>
    </w:p>
    <w:p w14:paraId="0D764BC2">
      <w:pPr>
        <w:pStyle w:val="14"/>
        <w:rPr>
          <w:rFonts w:ascii="仿宋_GB2312" w:hAnsi="仿宋" w:eastAsia="仿宋_GB2312" w:cs="仿宋_GB2312"/>
          <w:color w:val="auto"/>
          <w:sz w:val="28"/>
          <w:szCs w:val="28"/>
          <w:highlight w:val="none"/>
        </w:rPr>
      </w:pPr>
    </w:p>
    <w:p w14:paraId="1B199233">
      <w:pPr>
        <w:pStyle w:val="14"/>
        <w:rPr>
          <w:rFonts w:ascii="仿宋_GB2312" w:hAnsi="仿宋" w:eastAsia="仿宋_GB2312" w:cs="仿宋_GB2312"/>
          <w:color w:val="auto"/>
          <w:sz w:val="28"/>
          <w:szCs w:val="28"/>
          <w:highlight w:val="none"/>
        </w:rPr>
      </w:pPr>
    </w:p>
    <w:p w14:paraId="382A82FC">
      <w:pPr>
        <w:rPr>
          <w:rFonts w:ascii="仿宋_GB2312" w:hAnsi="仿宋" w:eastAsia="仿宋_GB2312" w:cs="仿宋_GB2312"/>
          <w:color w:val="auto"/>
          <w:sz w:val="28"/>
          <w:szCs w:val="28"/>
          <w:highlight w:val="none"/>
        </w:rPr>
      </w:pPr>
      <w:r>
        <w:rPr>
          <w:rFonts w:hint="eastAsia" w:ascii="仿宋_GB2312" w:hAnsi="仿宋" w:eastAsia="仿宋_GB2312" w:cs="仿宋_GB2312"/>
          <w:color w:val="auto"/>
          <w:sz w:val="28"/>
          <w:szCs w:val="28"/>
          <w:highlight w:val="none"/>
        </w:rPr>
        <w:t>所投包号：第</w:t>
      </w:r>
      <w:r>
        <w:rPr>
          <w:rFonts w:ascii="仿宋_GB2312" w:hAnsi="仿宋" w:eastAsia="仿宋_GB2312" w:cs="仿宋_GB2312"/>
          <w:color w:val="auto"/>
          <w:sz w:val="28"/>
          <w:szCs w:val="28"/>
          <w:highlight w:val="none"/>
        </w:rPr>
        <w:t xml:space="preserve">  </w:t>
      </w:r>
      <w:r>
        <w:rPr>
          <w:rFonts w:hint="eastAsia" w:ascii="仿宋_GB2312" w:hAnsi="仿宋" w:eastAsia="仿宋_GB2312" w:cs="仿宋_GB2312"/>
          <w:color w:val="auto"/>
          <w:sz w:val="28"/>
          <w:szCs w:val="28"/>
          <w:highlight w:val="none"/>
        </w:rPr>
        <w:t>包</w:t>
      </w:r>
    </w:p>
    <w:p w14:paraId="08CD3973">
      <w:pPr>
        <w:rPr>
          <w:rFonts w:ascii="仿宋_GB2312" w:hAnsi="仿宋" w:eastAsia="仿宋_GB2312" w:cs="仿宋_GB2312"/>
          <w:color w:val="auto"/>
          <w:sz w:val="28"/>
          <w:szCs w:val="28"/>
          <w:highlight w:val="none"/>
        </w:rPr>
      </w:pPr>
      <w:r>
        <w:rPr>
          <w:rFonts w:hint="eastAsia" w:ascii="仿宋_GB2312" w:hAnsi="仿宋" w:eastAsia="仿宋_GB2312" w:cs="仿宋_GB2312"/>
          <w:color w:val="auto"/>
          <w:sz w:val="28"/>
          <w:szCs w:val="28"/>
          <w:highlight w:val="none"/>
        </w:rPr>
        <w:t>项目名称：</w:t>
      </w:r>
    </w:p>
    <w:p w14:paraId="64EEF79C">
      <w:pPr>
        <w:rPr>
          <w:rFonts w:ascii="仿宋_GB2312" w:hAnsi="仿宋" w:eastAsia="仿宋_GB2312" w:cs="仿宋_GB2312"/>
          <w:color w:val="auto"/>
          <w:sz w:val="28"/>
          <w:szCs w:val="28"/>
          <w:highlight w:val="none"/>
        </w:rPr>
      </w:pPr>
      <w:r>
        <w:rPr>
          <w:rFonts w:hint="eastAsia" w:ascii="仿宋_GB2312" w:hAnsi="仿宋" w:eastAsia="仿宋_GB2312" w:cs="仿宋_GB2312"/>
          <w:color w:val="auto"/>
          <w:sz w:val="28"/>
          <w:szCs w:val="28"/>
          <w:highlight w:val="none"/>
        </w:rPr>
        <w:t>项目编号：</w:t>
      </w:r>
    </w:p>
    <w:p w14:paraId="489DF90A">
      <w:pPr>
        <w:rPr>
          <w:rFonts w:ascii="仿宋_GB2312" w:hAnsi="仿宋" w:eastAsia="仿宋_GB2312" w:cs="仿宋_GB2312"/>
          <w:color w:val="auto"/>
          <w:sz w:val="28"/>
          <w:szCs w:val="28"/>
          <w:highlight w:val="none"/>
        </w:rPr>
      </w:pPr>
      <w:r>
        <w:rPr>
          <w:rFonts w:hint="eastAsia" w:ascii="仿宋_GB2312" w:hAnsi="仿宋" w:eastAsia="仿宋_GB2312" w:cs="仿宋_GB2312"/>
          <w:color w:val="auto"/>
          <w:sz w:val="28"/>
          <w:szCs w:val="28"/>
          <w:highlight w:val="none"/>
        </w:rPr>
        <w:t>投标人名称：</w:t>
      </w:r>
    </w:p>
    <w:p w14:paraId="0991A5E2">
      <w:pPr>
        <w:pStyle w:val="3"/>
        <w:adjustRightInd w:val="0"/>
        <w:snapToGrid w:val="0"/>
        <w:spacing w:before="0" w:after="0" w:line="240" w:lineRule="auto"/>
        <w:jc w:val="left"/>
        <w:rPr>
          <w:rFonts w:ascii="仿宋_GB2312" w:hAnsi="仿宋" w:eastAsia="仿宋_GB2312" w:cs="仿宋_GB2312"/>
          <w:color w:val="auto"/>
          <w:szCs w:val="28"/>
          <w:highlight w:val="none"/>
        </w:rPr>
      </w:pPr>
      <w:r>
        <w:rPr>
          <w:rFonts w:hint="eastAsia" w:ascii="仿宋_GB2312" w:hAnsi="仿宋" w:eastAsia="仿宋_GB2312" w:cs="仿宋_GB2312"/>
          <w:color w:val="auto"/>
          <w:szCs w:val="28"/>
          <w:highlight w:val="none"/>
        </w:rPr>
        <w:br w:type="page"/>
      </w:r>
      <w:r>
        <w:rPr>
          <w:rFonts w:hint="eastAsia" w:ascii="仿宋_GB2312" w:hAnsi="仿宋" w:eastAsia="仿宋_GB2312" w:cs="仿宋_GB2312"/>
          <w:color w:val="auto"/>
          <w:szCs w:val="28"/>
          <w:highlight w:val="none"/>
        </w:rPr>
        <w:t>格式3</w:t>
      </w:r>
    </w:p>
    <w:p w14:paraId="782FFB17">
      <w:pPr>
        <w:spacing w:before="159" w:beforeLines="50" w:after="159" w:afterLines="50" w:line="360" w:lineRule="auto"/>
        <w:ind w:right="-21" w:rightChars="-10"/>
        <w:jc w:val="center"/>
        <w:rPr>
          <w:rFonts w:ascii="方正小标宋简体" w:hAnsi="仿宋_GB2312" w:eastAsia="方正小标宋简体" w:cs="仿宋_GB2312"/>
          <w:color w:val="auto"/>
          <w:sz w:val="32"/>
          <w:szCs w:val="32"/>
          <w:highlight w:val="none"/>
        </w:rPr>
      </w:pPr>
      <w:bookmarkStart w:id="91" w:name="_Toc2304_WPSOffice_Level2"/>
      <w:bookmarkStart w:id="92" w:name="_Toc21414_WPSOffice_Level2"/>
      <w:r>
        <w:rPr>
          <w:rFonts w:hint="eastAsia" w:ascii="方正小标宋简体" w:hAnsi="仿宋_GB2312" w:eastAsia="方正小标宋简体" w:cs="仿宋_GB2312"/>
          <w:color w:val="auto"/>
          <w:sz w:val="32"/>
          <w:szCs w:val="32"/>
          <w:highlight w:val="none"/>
        </w:rPr>
        <w:t>目  录</w:t>
      </w:r>
      <w:bookmarkEnd w:id="91"/>
      <w:bookmarkEnd w:id="92"/>
    </w:p>
    <w:p w14:paraId="5A928F49">
      <w:pPr>
        <w:rPr>
          <w:rFonts w:ascii="仿宋_GB2312" w:hAnsi="仿宋" w:eastAsia="仿宋_GB2312" w:cs="仿宋_GB2312"/>
          <w:bCs/>
          <w:color w:val="auto"/>
          <w:sz w:val="24"/>
          <w:highlight w:val="none"/>
        </w:rPr>
      </w:pPr>
      <w:bookmarkStart w:id="93" w:name="_Toc7636_WPSOffice_Level2"/>
      <w:bookmarkStart w:id="94" w:name="_Toc30940_WPSOffice_Level2"/>
      <w:r>
        <w:rPr>
          <w:rFonts w:hint="eastAsia" w:ascii="仿宋_GB2312" w:hAnsi="仿宋" w:eastAsia="仿宋_GB2312" w:cs="仿宋_GB2312"/>
          <w:bCs/>
          <w:color w:val="auto"/>
          <w:sz w:val="24"/>
          <w:highlight w:val="none"/>
        </w:rPr>
        <w:t>一、资格证明材料</w:t>
      </w:r>
      <w:bookmarkEnd w:id="93"/>
      <w:bookmarkEnd w:id="94"/>
    </w:p>
    <w:p w14:paraId="5A0E18E8">
      <w:pPr>
        <w:spacing w:line="300" w:lineRule="auto"/>
        <w:ind w:firstLine="420" w:firstLineChars="200"/>
        <w:rPr>
          <w:rFonts w:ascii="仿宋_GB2312" w:hAnsi="仿宋" w:eastAsia="仿宋_GB2312" w:cs="仿宋_GB2312"/>
          <w:color w:val="auto"/>
          <w:highlight w:val="none"/>
        </w:rPr>
      </w:pPr>
      <w:bookmarkStart w:id="95" w:name="_Hlk80971012"/>
      <w:bookmarkStart w:id="96" w:name="_Toc31702_WPSOffice_Level2"/>
      <w:bookmarkStart w:id="97" w:name="_Toc13950_WPSOffice_Level2"/>
      <w:r>
        <w:rPr>
          <w:rFonts w:hint="eastAsia" w:ascii="仿宋_GB2312" w:hAnsi="仿宋" w:eastAsia="仿宋_GB2312" w:cs="仿宋_GB2312"/>
          <w:color w:val="auto"/>
          <w:highlight w:val="none"/>
        </w:rPr>
        <w:t>1.1营业执照………………………………………………………………………所在页码</w:t>
      </w:r>
    </w:p>
    <w:p w14:paraId="7E7A4D7E">
      <w:pPr>
        <w:spacing w:line="300" w:lineRule="auto"/>
        <w:ind w:firstLine="420" w:firstLineChars="200"/>
        <w:rPr>
          <w:rFonts w:ascii="仿宋_GB2312" w:hAnsi="仿宋" w:eastAsia="仿宋_GB2312" w:cs="仿宋_GB2312"/>
          <w:color w:val="auto"/>
          <w:highlight w:val="none"/>
        </w:rPr>
      </w:pPr>
      <w:r>
        <w:rPr>
          <w:rFonts w:hint="eastAsia" w:ascii="仿宋_GB2312" w:hAnsi="仿宋" w:eastAsia="仿宋_GB2312" w:cs="仿宋_GB2312"/>
          <w:color w:val="auto"/>
          <w:highlight w:val="none"/>
        </w:rPr>
        <w:t>1.2法定代表人（或非法人组织负责人）身份证明书…………………………所在页码</w:t>
      </w:r>
    </w:p>
    <w:p w14:paraId="58F08ADF">
      <w:pPr>
        <w:spacing w:line="300" w:lineRule="auto"/>
        <w:ind w:firstLine="420" w:firstLineChars="200"/>
        <w:rPr>
          <w:rFonts w:ascii="仿宋_GB2312" w:hAnsi="仿宋" w:eastAsia="仿宋_GB2312" w:cs="仿宋_GB2312"/>
          <w:color w:val="auto"/>
          <w:highlight w:val="none"/>
        </w:rPr>
      </w:pPr>
      <w:r>
        <w:rPr>
          <w:rFonts w:hint="eastAsia" w:ascii="仿宋_GB2312" w:hAnsi="仿宋" w:eastAsia="仿宋_GB2312" w:cs="仿宋_GB2312"/>
          <w:color w:val="auto"/>
          <w:highlight w:val="none"/>
        </w:rPr>
        <w:t>1.3法定代表人（或非法人组织负责人）授权委托书…………………………所在页码</w:t>
      </w:r>
    </w:p>
    <w:p w14:paraId="19E16F73">
      <w:pPr>
        <w:spacing w:line="300" w:lineRule="auto"/>
        <w:ind w:firstLine="420" w:firstLineChars="200"/>
        <w:rPr>
          <w:rFonts w:ascii="仿宋_GB2312" w:hAnsi="仿宋" w:eastAsia="仿宋_GB2312" w:cs="仿宋_GB2312"/>
          <w:color w:val="auto"/>
          <w:highlight w:val="none"/>
        </w:rPr>
      </w:pPr>
      <w:r>
        <w:rPr>
          <w:rFonts w:hint="eastAsia" w:ascii="仿宋_GB2312" w:hAnsi="仿宋" w:eastAsia="仿宋_GB2312" w:cs="仿宋_GB2312"/>
          <w:color w:val="auto"/>
          <w:highlight w:val="none"/>
        </w:rPr>
        <w:t>1.4商业信誉和健全的财务会计制度的承诺函…………………………………所在页码</w:t>
      </w:r>
    </w:p>
    <w:p w14:paraId="50799938">
      <w:pPr>
        <w:adjustRightInd w:val="0"/>
        <w:snapToGrid w:val="0"/>
        <w:spacing w:line="300" w:lineRule="auto"/>
        <w:ind w:left="840" w:leftChars="200" w:hanging="420" w:hangingChars="200"/>
        <w:jc w:val="left"/>
        <w:rPr>
          <w:rFonts w:ascii="仿宋_GB2312" w:hAnsi="仿宋" w:eastAsia="仿宋_GB2312" w:cs="仿宋_GB2312"/>
          <w:color w:val="auto"/>
          <w:szCs w:val="21"/>
          <w:highlight w:val="none"/>
        </w:rPr>
      </w:pPr>
      <w:r>
        <w:rPr>
          <w:rFonts w:hint="eastAsia" w:ascii="仿宋_GB2312" w:hAnsi="仿宋" w:eastAsia="仿宋_GB2312" w:cs="仿宋_GB2312"/>
          <w:color w:val="auto"/>
          <w:szCs w:val="21"/>
          <w:highlight w:val="none"/>
        </w:rPr>
        <w:t>1.5开标时间前六个月内任一个月的依法缴纳税收的缴款凭据复印件加盖</w:t>
      </w:r>
      <w:r>
        <w:rPr>
          <w:rFonts w:hint="eastAsia" w:ascii="仿宋_GB2312" w:hAnsi="仿宋" w:eastAsia="仿宋_GB2312" w:cs="仿宋_GB2312"/>
          <w:color w:val="auto"/>
          <w:szCs w:val="21"/>
          <w:highlight w:val="none"/>
        </w:rPr>
        <w:br w:type="textWrapping"/>
      </w:r>
      <w:r>
        <w:rPr>
          <w:rFonts w:hint="eastAsia" w:ascii="仿宋_GB2312" w:hAnsi="仿宋" w:eastAsia="仿宋_GB2312" w:cs="仿宋_GB2312"/>
          <w:color w:val="auto"/>
          <w:szCs w:val="21"/>
          <w:highlight w:val="none"/>
        </w:rPr>
        <w:t>公章</w:t>
      </w:r>
      <w:r>
        <w:rPr>
          <w:rFonts w:hint="eastAsia" w:ascii="仿宋_GB2312" w:hAnsi="仿宋" w:eastAsia="仿宋_GB2312" w:cs="仿宋_GB2312"/>
          <w:color w:val="auto"/>
          <w:highlight w:val="none"/>
        </w:rPr>
        <w:t>……………………………………………………………………………所在页码</w:t>
      </w:r>
    </w:p>
    <w:p w14:paraId="1683728F">
      <w:pPr>
        <w:adjustRightInd w:val="0"/>
        <w:snapToGrid w:val="0"/>
        <w:spacing w:line="300" w:lineRule="auto"/>
        <w:ind w:firstLine="420" w:firstLineChars="200"/>
        <w:jc w:val="left"/>
        <w:rPr>
          <w:rFonts w:ascii="仿宋_GB2312" w:hAnsi="仿宋" w:eastAsia="仿宋_GB2312" w:cs="仿宋_GB2312"/>
          <w:color w:val="auto"/>
          <w:szCs w:val="21"/>
          <w:highlight w:val="none"/>
        </w:rPr>
      </w:pPr>
      <w:r>
        <w:rPr>
          <w:rFonts w:hint="eastAsia" w:ascii="仿宋_GB2312" w:hAnsi="仿宋" w:eastAsia="仿宋_GB2312" w:cs="仿宋_GB2312"/>
          <w:color w:val="auto"/>
          <w:highlight w:val="none"/>
        </w:rPr>
        <w:t>1.6</w:t>
      </w:r>
      <w:r>
        <w:rPr>
          <w:rFonts w:hint="eastAsia" w:ascii="仿宋_GB2312" w:hAnsi="仿宋" w:eastAsia="仿宋_GB2312" w:cs="仿宋_GB2312"/>
          <w:color w:val="auto"/>
          <w:szCs w:val="21"/>
          <w:highlight w:val="none"/>
        </w:rPr>
        <w:t>开标时间前六个月内任一个月的依法缴纳社会保障资金的缴款凭据</w:t>
      </w:r>
    </w:p>
    <w:p w14:paraId="37409E8E">
      <w:pPr>
        <w:adjustRightInd w:val="0"/>
        <w:snapToGrid w:val="0"/>
        <w:spacing w:line="300" w:lineRule="auto"/>
        <w:ind w:firstLine="840" w:firstLineChars="400"/>
        <w:jc w:val="left"/>
        <w:rPr>
          <w:rFonts w:ascii="仿宋_GB2312" w:hAnsi="仿宋" w:eastAsia="仿宋_GB2312" w:cs="仿宋_GB2312"/>
          <w:color w:val="auto"/>
          <w:szCs w:val="21"/>
          <w:highlight w:val="none"/>
        </w:rPr>
      </w:pPr>
      <w:r>
        <w:rPr>
          <w:rFonts w:hint="eastAsia" w:ascii="仿宋_GB2312" w:hAnsi="仿宋" w:eastAsia="仿宋_GB2312" w:cs="仿宋_GB2312"/>
          <w:color w:val="auto"/>
          <w:szCs w:val="21"/>
          <w:highlight w:val="none"/>
        </w:rPr>
        <w:t>复印件加盖公章</w:t>
      </w:r>
      <w:r>
        <w:rPr>
          <w:rFonts w:hint="eastAsia" w:ascii="仿宋_GB2312" w:hAnsi="仿宋" w:eastAsia="仿宋_GB2312" w:cs="仿宋_GB2312"/>
          <w:color w:val="auto"/>
          <w:highlight w:val="none"/>
        </w:rPr>
        <w:t>………………………………………………………………所在页码</w:t>
      </w:r>
    </w:p>
    <w:p w14:paraId="27A427CD">
      <w:pPr>
        <w:spacing w:line="300" w:lineRule="auto"/>
        <w:ind w:firstLine="420" w:firstLineChars="200"/>
        <w:rPr>
          <w:rFonts w:ascii="仿宋_GB2312" w:hAnsi="仿宋" w:eastAsia="仿宋_GB2312" w:cs="仿宋_GB2312"/>
          <w:color w:val="auto"/>
          <w:highlight w:val="none"/>
        </w:rPr>
      </w:pPr>
      <w:r>
        <w:rPr>
          <w:rFonts w:hint="eastAsia" w:ascii="仿宋_GB2312" w:hAnsi="仿宋" w:eastAsia="仿宋_GB2312" w:cs="仿宋_GB2312"/>
          <w:color w:val="auto"/>
          <w:highlight w:val="none"/>
        </w:rPr>
        <w:t>1.7</w:t>
      </w:r>
      <w:r>
        <w:rPr>
          <w:rFonts w:hint="eastAsia" w:ascii="仿宋_GB2312" w:hAnsi="仿宋" w:eastAsia="仿宋_GB2312" w:cs="仿宋_GB2312"/>
          <w:color w:val="auto"/>
          <w:szCs w:val="21"/>
          <w:highlight w:val="none"/>
        </w:rPr>
        <w:t>履行合同所必需的设备和专业技术能力声明函</w:t>
      </w:r>
      <w:r>
        <w:rPr>
          <w:rFonts w:hint="eastAsia" w:ascii="仿宋_GB2312" w:hAnsi="仿宋" w:eastAsia="仿宋_GB2312" w:cs="仿宋_GB2312"/>
          <w:color w:val="auto"/>
          <w:highlight w:val="none"/>
        </w:rPr>
        <w:t>……………………………所在页码</w:t>
      </w:r>
    </w:p>
    <w:p w14:paraId="7F261354">
      <w:pPr>
        <w:spacing w:line="300" w:lineRule="auto"/>
        <w:ind w:left="420" w:leftChars="200"/>
        <w:rPr>
          <w:rFonts w:ascii="仿宋_GB2312" w:hAnsi="仿宋" w:eastAsia="仿宋_GB2312" w:cs="仿宋_GB2312"/>
          <w:color w:val="auto"/>
          <w:highlight w:val="none"/>
        </w:rPr>
      </w:pPr>
      <w:r>
        <w:rPr>
          <w:rFonts w:hint="eastAsia" w:ascii="仿宋_GB2312" w:hAnsi="仿宋" w:eastAsia="仿宋_GB2312" w:cs="仿宋_GB2312"/>
          <w:color w:val="auto"/>
          <w:highlight w:val="none"/>
        </w:rPr>
        <w:t>1.8</w:t>
      </w:r>
      <w:r>
        <w:rPr>
          <w:rFonts w:hint="eastAsia" w:ascii="仿宋_GB2312" w:hAnsi="仿宋" w:eastAsia="仿宋_GB2312" w:cs="仿宋_GB2312"/>
          <w:color w:val="auto"/>
          <w:szCs w:val="21"/>
          <w:highlight w:val="none"/>
        </w:rPr>
        <w:t>政府采购活动前3年内在经营活动中没有重大违法记录的书面声明</w:t>
      </w:r>
      <w:r>
        <w:rPr>
          <w:rFonts w:hint="eastAsia" w:ascii="仿宋_GB2312" w:hAnsi="仿宋" w:eastAsia="仿宋_GB2312" w:cs="仿宋_GB2312"/>
          <w:color w:val="auto"/>
          <w:highlight w:val="none"/>
        </w:rPr>
        <w:t>……所在页码1.9.资质证书</w:t>
      </w:r>
      <w:r>
        <w:rPr>
          <w:rFonts w:hint="eastAsia" w:ascii="仿宋_GB2312" w:hAnsi="仿宋" w:eastAsia="仿宋_GB2312" w:cs="仿宋_GB2312"/>
          <w:color w:val="auto"/>
          <w:highlight w:val="none"/>
          <w:lang w:val="en-US" w:eastAsia="zh-CN"/>
        </w:rPr>
        <w:t>复印件加盖公章</w:t>
      </w:r>
      <w:r>
        <w:rPr>
          <w:rFonts w:hint="eastAsia" w:ascii="仿宋_GB2312" w:hAnsi="仿宋" w:eastAsia="仿宋_GB2312" w:cs="仿宋_GB2312"/>
          <w:color w:val="auto"/>
          <w:highlight w:val="none"/>
        </w:rPr>
        <w:t>……………………………………………………所在页码</w:t>
      </w:r>
    </w:p>
    <w:bookmarkEnd w:id="95"/>
    <w:p w14:paraId="46C5C161">
      <w:pPr>
        <w:rPr>
          <w:rFonts w:ascii="仿宋_GB2312" w:hAnsi="仿宋" w:eastAsia="仿宋_GB2312" w:cs="仿宋_GB2312"/>
          <w:bCs/>
          <w:color w:val="auto"/>
          <w:sz w:val="24"/>
          <w:highlight w:val="none"/>
        </w:rPr>
      </w:pPr>
      <w:r>
        <w:rPr>
          <w:rFonts w:hint="eastAsia" w:ascii="仿宋_GB2312" w:hAnsi="仿宋" w:eastAsia="仿宋_GB2312" w:cs="仿宋_GB2312"/>
          <w:bCs/>
          <w:color w:val="auto"/>
          <w:sz w:val="24"/>
          <w:highlight w:val="none"/>
        </w:rPr>
        <w:t>二、符合性证明材料</w:t>
      </w:r>
      <w:bookmarkEnd w:id="96"/>
      <w:bookmarkEnd w:id="97"/>
    </w:p>
    <w:p w14:paraId="66BBB04B">
      <w:pPr>
        <w:spacing w:line="300" w:lineRule="auto"/>
        <w:ind w:firstLine="420" w:firstLineChars="200"/>
        <w:rPr>
          <w:rFonts w:ascii="仿宋_GB2312" w:hAnsi="仿宋" w:eastAsia="仿宋_GB2312" w:cs="仿宋_GB2312"/>
          <w:color w:val="auto"/>
          <w:kern w:val="0"/>
          <w:szCs w:val="21"/>
          <w:highlight w:val="none"/>
        </w:rPr>
      </w:pPr>
      <w:bookmarkStart w:id="98" w:name="_Hlk80971027"/>
      <w:r>
        <w:rPr>
          <w:rFonts w:hint="eastAsia" w:ascii="仿宋_GB2312" w:hAnsi="仿宋" w:eastAsia="仿宋_GB2312" w:cs="仿宋_GB2312"/>
          <w:color w:val="auto"/>
          <w:highlight w:val="none"/>
        </w:rPr>
        <w:t>2.1</w:t>
      </w:r>
      <w:r>
        <w:rPr>
          <w:rFonts w:hint="eastAsia" w:ascii="仿宋_GB2312" w:hAnsi="仿宋" w:eastAsia="仿宋_GB2312" w:cs="仿宋_GB2312"/>
          <w:color w:val="auto"/>
          <w:kern w:val="0"/>
          <w:szCs w:val="21"/>
          <w:highlight w:val="none"/>
        </w:rPr>
        <w:t>投标函</w:t>
      </w:r>
      <w:r>
        <w:rPr>
          <w:rFonts w:hint="eastAsia" w:ascii="仿宋_GB2312" w:hAnsi="仿宋" w:eastAsia="仿宋_GB2312" w:cs="仿宋_GB2312"/>
          <w:color w:val="auto"/>
          <w:highlight w:val="none"/>
        </w:rPr>
        <w:t>…………………………………………………………………………所在页码</w:t>
      </w:r>
    </w:p>
    <w:p w14:paraId="3FB78CDC">
      <w:pPr>
        <w:spacing w:line="300" w:lineRule="auto"/>
        <w:ind w:firstLine="420" w:firstLineChars="200"/>
        <w:rPr>
          <w:rFonts w:ascii="仿宋_GB2312" w:hAnsi="仿宋" w:eastAsia="仿宋_GB2312" w:cs="仿宋_GB2312"/>
          <w:color w:val="auto"/>
          <w:kern w:val="0"/>
          <w:szCs w:val="21"/>
          <w:highlight w:val="none"/>
        </w:rPr>
      </w:pPr>
      <w:r>
        <w:rPr>
          <w:rFonts w:hint="eastAsia" w:ascii="仿宋_GB2312" w:hAnsi="仿宋" w:eastAsia="仿宋_GB2312" w:cs="仿宋_GB2312"/>
          <w:color w:val="auto"/>
          <w:kern w:val="0"/>
          <w:szCs w:val="21"/>
          <w:highlight w:val="none"/>
        </w:rPr>
        <w:t>2.2递交投标保证金证明材料</w:t>
      </w:r>
      <w:r>
        <w:rPr>
          <w:rFonts w:hint="eastAsia" w:ascii="仿宋_GB2312" w:hAnsi="仿宋" w:eastAsia="仿宋_GB2312" w:cs="仿宋_GB2312"/>
          <w:color w:val="auto"/>
          <w:highlight w:val="none"/>
        </w:rPr>
        <w:t>……………………………………………………所在页码</w:t>
      </w:r>
    </w:p>
    <w:p w14:paraId="23E013CD">
      <w:pPr>
        <w:spacing w:line="300" w:lineRule="auto"/>
        <w:ind w:firstLine="420" w:firstLineChars="200"/>
        <w:rPr>
          <w:rFonts w:ascii="仿宋_GB2312" w:hAnsi="仿宋" w:eastAsia="仿宋_GB2312" w:cs="仿宋_GB2312"/>
          <w:color w:val="auto"/>
          <w:kern w:val="0"/>
          <w:szCs w:val="21"/>
          <w:highlight w:val="none"/>
        </w:rPr>
      </w:pPr>
      <w:r>
        <w:rPr>
          <w:rFonts w:hint="eastAsia" w:ascii="仿宋_GB2312" w:hAnsi="仿宋" w:eastAsia="仿宋_GB2312" w:cs="仿宋_GB2312"/>
          <w:color w:val="auto"/>
          <w:kern w:val="0"/>
          <w:szCs w:val="21"/>
          <w:highlight w:val="none"/>
        </w:rPr>
        <w:t>2.3开标一览表</w:t>
      </w:r>
      <w:r>
        <w:rPr>
          <w:rFonts w:hint="eastAsia" w:ascii="仿宋_GB2312" w:hAnsi="仿宋" w:eastAsia="仿宋_GB2312" w:cs="仿宋_GB2312"/>
          <w:color w:val="auto"/>
          <w:highlight w:val="none"/>
        </w:rPr>
        <w:t>……………………………………………………………………所在页码</w:t>
      </w:r>
    </w:p>
    <w:p w14:paraId="1339622A">
      <w:pPr>
        <w:spacing w:line="300" w:lineRule="auto"/>
        <w:ind w:firstLine="420" w:firstLineChars="200"/>
        <w:rPr>
          <w:rFonts w:ascii="仿宋_GB2312" w:hAnsi="仿宋" w:eastAsia="仿宋_GB2312" w:cs="仿宋_GB2312"/>
          <w:color w:val="auto"/>
          <w:kern w:val="0"/>
          <w:szCs w:val="21"/>
          <w:highlight w:val="none"/>
        </w:rPr>
      </w:pPr>
      <w:r>
        <w:rPr>
          <w:rFonts w:hint="eastAsia" w:ascii="仿宋_GB2312" w:hAnsi="仿宋" w:eastAsia="仿宋_GB2312" w:cs="仿宋_GB2312"/>
          <w:color w:val="auto"/>
          <w:kern w:val="0"/>
          <w:szCs w:val="21"/>
          <w:highlight w:val="none"/>
        </w:rPr>
        <w:t>2.4分项报价表</w:t>
      </w:r>
      <w:r>
        <w:rPr>
          <w:rFonts w:hint="eastAsia" w:ascii="仿宋_GB2312" w:hAnsi="仿宋" w:eastAsia="仿宋_GB2312" w:cs="仿宋_GB2312"/>
          <w:color w:val="auto"/>
          <w:highlight w:val="none"/>
        </w:rPr>
        <w:t>……………………………………………………………………所在页码</w:t>
      </w:r>
    </w:p>
    <w:p w14:paraId="74C4F807">
      <w:pPr>
        <w:spacing w:line="300" w:lineRule="auto"/>
        <w:ind w:firstLine="420" w:firstLineChars="200"/>
        <w:rPr>
          <w:rFonts w:ascii="仿宋_GB2312" w:hAnsi="仿宋" w:eastAsia="仿宋_GB2312" w:cs="仿宋_GB2312"/>
          <w:color w:val="auto"/>
          <w:kern w:val="0"/>
          <w:szCs w:val="21"/>
          <w:highlight w:val="none"/>
        </w:rPr>
      </w:pPr>
      <w:r>
        <w:rPr>
          <w:rFonts w:hint="eastAsia" w:ascii="仿宋_GB2312" w:hAnsi="仿宋" w:eastAsia="仿宋_GB2312" w:cs="仿宋_GB2312"/>
          <w:color w:val="auto"/>
          <w:kern w:val="0"/>
          <w:szCs w:val="21"/>
          <w:highlight w:val="none"/>
        </w:rPr>
        <w:t>2.5技术规格偏离表</w:t>
      </w:r>
      <w:r>
        <w:rPr>
          <w:rFonts w:hint="eastAsia" w:ascii="仿宋_GB2312" w:hAnsi="仿宋" w:eastAsia="仿宋_GB2312" w:cs="仿宋_GB2312"/>
          <w:color w:val="auto"/>
          <w:highlight w:val="none"/>
        </w:rPr>
        <w:t>………………………………………………………………所在页码</w:t>
      </w:r>
    </w:p>
    <w:p w14:paraId="652FA0BF">
      <w:pPr>
        <w:spacing w:line="300" w:lineRule="auto"/>
        <w:ind w:firstLine="420" w:firstLineChars="200"/>
        <w:rPr>
          <w:rFonts w:ascii="仿宋_GB2312" w:hAnsi="仿宋" w:eastAsia="仿宋_GB2312" w:cs="仿宋_GB2312"/>
          <w:color w:val="auto"/>
          <w:kern w:val="0"/>
          <w:szCs w:val="21"/>
          <w:highlight w:val="none"/>
        </w:rPr>
      </w:pPr>
      <w:r>
        <w:rPr>
          <w:rFonts w:hint="eastAsia" w:ascii="仿宋_GB2312" w:hAnsi="仿宋" w:eastAsia="仿宋_GB2312" w:cs="仿宋_GB2312"/>
          <w:color w:val="auto"/>
          <w:kern w:val="0"/>
          <w:szCs w:val="21"/>
          <w:highlight w:val="none"/>
        </w:rPr>
        <w:t>2.6商务条款偏离表</w:t>
      </w:r>
      <w:r>
        <w:rPr>
          <w:rFonts w:hint="eastAsia" w:ascii="仿宋_GB2312" w:hAnsi="仿宋" w:eastAsia="仿宋_GB2312" w:cs="仿宋_GB2312"/>
          <w:color w:val="auto"/>
          <w:highlight w:val="none"/>
        </w:rPr>
        <w:t>………………………………………………………………所在页码</w:t>
      </w:r>
    </w:p>
    <w:p w14:paraId="11EBE658">
      <w:pPr>
        <w:spacing w:line="300" w:lineRule="auto"/>
        <w:ind w:firstLine="420" w:firstLineChars="200"/>
        <w:rPr>
          <w:rFonts w:ascii="仿宋_GB2312" w:hAnsi="仿宋" w:eastAsia="仿宋_GB2312" w:cs="仿宋_GB2312"/>
          <w:color w:val="auto"/>
          <w:kern w:val="0"/>
          <w:szCs w:val="21"/>
          <w:highlight w:val="none"/>
        </w:rPr>
      </w:pPr>
      <w:r>
        <w:rPr>
          <w:rFonts w:hint="eastAsia" w:ascii="仿宋_GB2312" w:hAnsi="仿宋" w:eastAsia="仿宋_GB2312" w:cs="仿宋_GB2312"/>
          <w:color w:val="auto"/>
          <w:kern w:val="0"/>
          <w:szCs w:val="21"/>
          <w:highlight w:val="none"/>
        </w:rPr>
        <w:t>2.7投标人关联单位说明…………………………………………………………所在页码</w:t>
      </w:r>
    </w:p>
    <w:p w14:paraId="6AEA0A19">
      <w:pPr>
        <w:spacing w:line="300" w:lineRule="auto"/>
        <w:ind w:firstLine="420" w:firstLineChars="200"/>
        <w:rPr>
          <w:rFonts w:ascii="仿宋_GB2312" w:hAnsi="仿宋" w:eastAsia="仿宋_GB2312" w:cs="仿宋_GB2312"/>
          <w:color w:val="auto"/>
          <w:kern w:val="0"/>
          <w:szCs w:val="21"/>
          <w:highlight w:val="none"/>
        </w:rPr>
      </w:pPr>
      <w:r>
        <w:rPr>
          <w:rFonts w:hint="eastAsia" w:ascii="仿宋_GB2312" w:hAnsi="仿宋" w:eastAsia="仿宋_GB2312" w:cs="仿宋_GB2312"/>
          <w:color w:val="auto"/>
          <w:kern w:val="0"/>
          <w:szCs w:val="21"/>
          <w:highlight w:val="none"/>
        </w:rPr>
        <w:t>2.8文件一致性承诺函……………………………………………………………所在页码</w:t>
      </w:r>
    </w:p>
    <w:bookmarkEnd w:id="98"/>
    <w:p w14:paraId="56808B85">
      <w:pPr>
        <w:rPr>
          <w:rFonts w:ascii="仿宋_GB2312" w:hAnsi="仿宋" w:eastAsia="仿宋_GB2312" w:cs="仿宋_GB2312"/>
          <w:bCs/>
          <w:color w:val="auto"/>
          <w:sz w:val="24"/>
          <w:highlight w:val="none"/>
        </w:rPr>
      </w:pPr>
      <w:bookmarkStart w:id="99" w:name="_Toc9090_WPSOffice_Level2"/>
      <w:bookmarkStart w:id="100" w:name="_Toc14854_WPSOffice_Level2"/>
      <w:r>
        <w:rPr>
          <w:rFonts w:hint="eastAsia" w:ascii="仿宋_GB2312" w:hAnsi="仿宋" w:eastAsia="仿宋_GB2312" w:cs="仿宋_GB2312"/>
          <w:bCs/>
          <w:color w:val="auto"/>
          <w:sz w:val="24"/>
          <w:highlight w:val="none"/>
        </w:rPr>
        <w:t>三、其它材料</w:t>
      </w:r>
      <w:bookmarkEnd w:id="99"/>
      <w:bookmarkEnd w:id="100"/>
      <w:r>
        <w:rPr>
          <w:rFonts w:hint="eastAsia" w:ascii="仿宋_GB2312" w:hAnsi="仿宋" w:eastAsia="仿宋_GB2312" w:cs="仿宋_GB2312"/>
          <w:color w:val="auto"/>
          <w:sz w:val="24"/>
          <w:szCs w:val="32"/>
          <w:highlight w:val="none"/>
        </w:rPr>
        <w:t>（投标人基本情况等）</w:t>
      </w:r>
    </w:p>
    <w:p w14:paraId="7E9C5270">
      <w:pPr>
        <w:snapToGrid w:val="0"/>
        <w:spacing w:before="159" w:beforeLines="50"/>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w:t>
      </w:r>
    </w:p>
    <w:p w14:paraId="4C0EEDE6">
      <w:pPr>
        <w:rPr>
          <w:rFonts w:ascii="仿宋_GB2312" w:hAnsi="仿宋" w:eastAsia="仿宋_GB2312" w:cs="仿宋_GB2312"/>
          <w:color w:val="auto"/>
          <w:sz w:val="24"/>
          <w:highlight w:val="none"/>
        </w:rPr>
      </w:pPr>
    </w:p>
    <w:p w14:paraId="3108CF59">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我单位的投标文件由资格证明材料、符合性证明材料和其它材料三部分组成，在此加盖单位公章并由法定代表人（或非法人组织负责人）或其授权委托人签字，保证投标文件中所有材料真实、有效。</w:t>
      </w:r>
    </w:p>
    <w:p w14:paraId="6D91E615">
      <w:pPr>
        <w:rPr>
          <w:rFonts w:ascii="仿宋_GB2312" w:hAnsi="仿宋" w:eastAsia="仿宋_GB2312" w:cs="仿宋_GB2312"/>
          <w:color w:val="auto"/>
          <w:sz w:val="24"/>
          <w:highlight w:val="none"/>
        </w:rPr>
      </w:pPr>
    </w:p>
    <w:p w14:paraId="7262DD18">
      <w:pPr>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投标人名称（加盖单位公章）：</w:t>
      </w:r>
      <w:r>
        <w:rPr>
          <w:rFonts w:hint="eastAsia" w:ascii="仿宋_GB2312" w:hAnsi="仿宋" w:eastAsia="仿宋_GB2312" w:cs="仿宋_GB2312"/>
          <w:color w:val="auto"/>
          <w:sz w:val="24"/>
          <w:highlight w:val="none"/>
          <w:u w:val="single"/>
        </w:rPr>
        <w:t xml:space="preserve">           </w:t>
      </w:r>
    </w:p>
    <w:p w14:paraId="747EEAEC">
      <w:pPr>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法定代表人（或非法人组织负责人）或其授权委托人(签字或盖章)：</w:t>
      </w:r>
      <w:r>
        <w:rPr>
          <w:rFonts w:hint="eastAsia" w:ascii="仿宋_GB2312" w:hAnsi="仿宋" w:eastAsia="仿宋_GB2312" w:cs="仿宋_GB2312"/>
          <w:color w:val="auto"/>
          <w:sz w:val="24"/>
          <w:highlight w:val="none"/>
          <w:u w:val="single"/>
        </w:rPr>
        <w:t xml:space="preserve">           </w:t>
      </w:r>
    </w:p>
    <w:p w14:paraId="5F161622">
      <w:pPr>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日      期：</w:t>
      </w:r>
      <w:r>
        <w:rPr>
          <w:rFonts w:hint="eastAsia" w:ascii="仿宋_GB2312" w:hAnsi="仿宋" w:eastAsia="仿宋_GB2312" w:cs="仿宋_GB2312"/>
          <w:color w:val="auto"/>
          <w:sz w:val="24"/>
          <w:highlight w:val="none"/>
          <w:u w:val="single"/>
        </w:rPr>
        <w:t xml:space="preserve">                </w:t>
      </w:r>
    </w:p>
    <w:p w14:paraId="5121E1A6">
      <w:pPr>
        <w:pStyle w:val="3"/>
        <w:adjustRightInd w:val="0"/>
        <w:snapToGrid w:val="0"/>
        <w:spacing w:before="0" w:after="0" w:line="240" w:lineRule="auto"/>
        <w:jc w:val="left"/>
        <w:rPr>
          <w:rFonts w:ascii="仿宋_GB2312" w:hAnsi="仿宋" w:eastAsia="仿宋_GB2312" w:cs="仿宋_GB2312"/>
          <w:color w:val="auto"/>
          <w:szCs w:val="28"/>
          <w:highlight w:val="none"/>
        </w:rPr>
      </w:pPr>
      <w:r>
        <w:rPr>
          <w:rFonts w:hint="eastAsia" w:ascii="仿宋_GB2312" w:hAnsi="仿宋" w:eastAsia="仿宋_GB2312" w:cs="仿宋_GB2312"/>
          <w:color w:val="auto"/>
          <w:szCs w:val="28"/>
          <w:highlight w:val="none"/>
        </w:rPr>
        <w:t>格式4</w:t>
      </w:r>
    </w:p>
    <w:p w14:paraId="63173982">
      <w:pPr>
        <w:spacing w:before="159" w:beforeLines="50" w:after="159" w:afterLines="50" w:line="360" w:lineRule="auto"/>
        <w:ind w:right="-21" w:rightChars="-10"/>
        <w:jc w:val="center"/>
        <w:rPr>
          <w:rFonts w:ascii="方正小标宋简体" w:hAnsi="仿宋_GB2312" w:eastAsia="方正小标宋简体" w:cs="仿宋_GB2312"/>
          <w:color w:val="auto"/>
          <w:sz w:val="32"/>
          <w:szCs w:val="32"/>
          <w:highlight w:val="none"/>
        </w:rPr>
      </w:pPr>
      <w:bookmarkStart w:id="101" w:name="_Toc3401_WPSOffice_Level2"/>
      <w:bookmarkStart w:id="102" w:name="_Toc16924_WPSOffice_Level2"/>
      <w:r>
        <w:rPr>
          <w:rFonts w:hint="eastAsia" w:ascii="方正小标宋简体" w:hAnsi="仿宋_GB2312" w:eastAsia="方正小标宋简体" w:cs="仿宋_GB2312"/>
          <w:color w:val="auto"/>
          <w:sz w:val="32"/>
          <w:szCs w:val="32"/>
          <w:highlight w:val="none"/>
        </w:rPr>
        <w:t>法定代表人（或非法人组织负责人）身份证明书</w:t>
      </w:r>
      <w:bookmarkEnd w:id="101"/>
      <w:bookmarkEnd w:id="102"/>
    </w:p>
    <w:p w14:paraId="6F12C1D7">
      <w:pPr>
        <w:spacing w:line="360" w:lineRule="auto"/>
        <w:ind w:firstLine="480" w:firstLineChars="200"/>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姓名：</w:t>
      </w:r>
      <w:r>
        <w:rPr>
          <w:rFonts w:hint="eastAsia"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rPr>
        <w:t>，性别：</w:t>
      </w:r>
      <w:r>
        <w:rPr>
          <w:rFonts w:hint="eastAsia"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rPr>
        <w:t>，出生日期：</w:t>
      </w:r>
      <w:r>
        <w:rPr>
          <w:rFonts w:hint="eastAsia"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rPr>
        <w:t>，现任职务：</w:t>
      </w:r>
      <w:r>
        <w:rPr>
          <w:rFonts w:hint="eastAsia"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rPr>
        <w:t>，系</w:t>
      </w:r>
      <w:r>
        <w:rPr>
          <w:rFonts w:hint="eastAsia"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rPr>
        <w:t>（投标人名称）的法定代表人（或非法人组织负责人）。</w:t>
      </w:r>
    </w:p>
    <w:p w14:paraId="07427F2D">
      <w:pPr>
        <w:rPr>
          <w:rFonts w:ascii="仿宋_GB2312" w:hAnsi="仿宋" w:eastAsia="仿宋_GB2312" w:cs="仿宋_GB2312"/>
          <w:color w:val="auto"/>
          <w:sz w:val="24"/>
          <w:szCs w:val="21"/>
          <w:highlight w:val="none"/>
        </w:rPr>
      </w:pPr>
    </w:p>
    <w:p w14:paraId="0A6549A3">
      <w:pP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特此证明。</w:t>
      </w:r>
    </w:p>
    <w:p w14:paraId="0BE3B04F">
      <w:pPr>
        <w:rPr>
          <w:rFonts w:ascii="仿宋_GB2312" w:hAnsi="仿宋" w:eastAsia="仿宋_GB2312" w:cs="仿宋_GB2312"/>
          <w:color w:val="auto"/>
          <w:sz w:val="24"/>
          <w:szCs w:val="21"/>
          <w:highlight w:val="none"/>
        </w:rPr>
      </w:pPr>
    </w:p>
    <w:p w14:paraId="448CC55C">
      <w:pPr>
        <w:rPr>
          <w:rFonts w:ascii="仿宋_GB2312" w:hAnsi="仿宋" w:eastAsia="仿宋_GB2312" w:cs="仿宋_GB2312"/>
          <w:color w:val="auto"/>
          <w:sz w:val="24"/>
          <w:szCs w:val="21"/>
          <w:highlight w:val="none"/>
        </w:rPr>
      </w:pPr>
    </w:p>
    <w:p w14:paraId="20708352">
      <w:pPr>
        <w:rPr>
          <w:rFonts w:ascii="仿宋_GB2312" w:hAnsi="仿宋" w:eastAsia="仿宋_GB2312" w:cs="仿宋_GB2312"/>
          <w:color w:val="auto"/>
          <w:sz w:val="24"/>
          <w:szCs w:val="21"/>
          <w:highlight w:val="none"/>
        </w:rPr>
      </w:pPr>
    </w:p>
    <w:tbl>
      <w:tblPr>
        <w:tblStyle w:val="24"/>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25895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520" w:hRule="atLeast"/>
          <w:jc w:val="center"/>
        </w:trPr>
        <w:tc>
          <w:tcPr>
            <w:tcW w:w="8228" w:type="dxa"/>
          </w:tcPr>
          <w:p w14:paraId="2CC10639">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（※法定代表人（或非法人组织负责人）身份证正、反面复印件※）</w:t>
            </w:r>
          </w:p>
        </w:tc>
      </w:tr>
    </w:tbl>
    <w:p w14:paraId="12485923">
      <w:pPr>
        <w:rPr>
          <w:rFonts w:ascii="仿宋_GB2312" w:hAnsi="仿宋" w:eastAsia="仿宋_GB2312" w:cs="仿宋_GB2312"/>
          <w:color w:val="auto"/>
          <w:sz w:val="24"/>
          <w:szCs w:val="21"/>
          <w:highlight w:val="none"/>
        </w:rPr>
      </w:pPr>
    </w:p>
    <w:p w14:paraId="70BD32F3">
      <w:pPr>
        <w:rPr>
          <w:rFonts w:ascii="仿宋_GB2312" w:hAnsi="仿宋" w:eastAsia="仿宋_GB2312" w:cs="仿宋_GB2312"/>
          <w:color w:val="auto"/>
          <w:sz w:val="24"/>
          <w:szCs w:val="21"/>
          <w:highlight w:val="none"/>
        </w:rPr>
      </w:pPr>
    </w:p>
    <w:p w14:paraId="7FEAF644">
      <w:pPr>
        <w:rPr>
          <w:rFonts w:ascii="仿宋_GB2312" w:hAnsi="仿宋" w:eastAsia="仿宋_GB2312" w:cs="仿宋_GB2312"/>
          <w:color w:val="auto"/>
          <w:sz w:val="24"/>
          <w:szCs w:val="21"/>
          <w:highlight w:val="none"/>
        </w:rPr>
      </w:pPr>
    </w:p>
    <w:p w14:paraId="041205E6">
      <w:pPr>
        <w:rPr>
          <w:rFonts w:ascii="仿宋_GB2312" w:hAnsi="仿宋" w:eastAsia="仿宋_GB2312" w:cs="仿宋_GB2312"/>
          <w:color w:val="auto"/>
          <w:sz w:val="24"/>
          <w:szCs w:val="21"/>
          <w:highlight w:val="none"/>
        </w:rPr>
      </w:pPr>
    </w:p>
    <w:p w14:paraId="549E4C06">
      <w:pPr>
        <w:rPr>
          <w:rFonts w:ascii="仿宋_GB2312" w:hAnsi="仿宋" w:eastAsia="仿宋_GB2312" w:cs="仿宋_GB2312"/>
          <w:color w:val="auto"/>
          <w:sz w:val="24"/>
          <w:szCs w:val="21"/>
          <w:highlight w:val="none"/>
        </w:rPr>
      </w:pPr>
    </w:p>
    <w:p w14:paraId="1F222231">
      <w:pPr>
        <w:rPr>
          <w:rFonts w:ascii="仿宋_GB2312" w:hAnsi="仿宋" w:eastAsia="仿宋_GB2312" w:cs="仿宋_GB2312"/>
          <w:color w:val="auto"/>
          <w:sz w:val="24"/>
          <w:szCs w:val="21"/>
          <w:highlight w:val="none"/>
        </w:rPr>
      </w:pPr>
    </w:p>
    <w:p w14:paraId="1F39649B">
      <w:pPr>
        <w:spacing w:line="480" w:lineRule="auto"/>
        <w:rPr>
          <w:rFonts w:ascii="仿宋_GB2312" w:hAnsi="仿宋" w:eastAsia="仿宋_GB2312" w:cs="仿宋_GB2312"/>
          <w:color w:val="auto"/>
          <w:sz w:val="24"/>
          <w:szCs w:val="21"/>
          <w:highlight w:val="none"/>
          <w:u w:val="single"/>
        </w:rPr>
      </w:pPr>
      <w:r>
        <w:rPr>
          <w:rFonts w:hint="eastAsia" w:ascii="仿宋_GB2312" w:hAnsi="仿宋" w:eastAsia="仿宋_GB2312" w:cs="仿宋_GB2312"/>
          <w:color w:val="auto"/>
          <w:sz w:val="24"/>
          <w:szCs w:val="21"/>
          <w:highlight w:val="none"/>
        </w:rPr>
        <w:t>投标人名称（加盖单位公章）：</w:t>
      </w:r>
      <w:r>
        <w:rPr>
          <w:rFonts w:hint="eastAsia" w:ascii="仿宋_GB2312" w:hAnsi="仿宋" w:eastAsia="仿宋_GB2312" w:cs="仿宋_GB2312"/>
          <w:color w:val="auto"/>
          <w:sz w:val="24"/>
          <w:szCs w:val="21"/>
          <w:highlight w:val="none"/>
          <w:u w:val="single"/>
        </w:rPr>
        <w:t xml:space="preserve">           </w:t>
      </w:r>
    </w:p>
    <w:p w14:paraId="1878250E">
      <w:pPr>
        <w:spacing w:line="480" w:lineRule="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日      期：</w:t>
      </w:r>
      <w:r>
        <w:rPr>
          <w:rFonts w:hint="eastAsia" w:ascii="仿宋_GB2312" w:hAnsi="仿宋" w:eastAsia="仿宋_GB2312" w:cs="仿宋_GB2312"/>
          <w:color w:val="auto"/>
          <w:sz w:val="24"/>
          <w:szCs w:val="21"/>
          <w:highlight w:val="none"/>
          <w:u w:val="single"/>
        </w:rPr>
        <w:t xml:space="preserve">               </w:t>
      </w:r>
    </w:p>
    <w:p w14:paraId="2C37379A">
      <w:pPr>
        <w:rPr>
          <w:rFonts w:ascii="仿宋_GB2312" w:hAnsi="仿宋" w:eastAsia="仿宋_GB2312" w:cs="仿宋_GB2312"/>
          <w:color w:val="auto"/>
          <w:szCs w:val="21"/>
          <w:highlight w:val="none"/>
        </w:rPr>
      </w:pPr>
    </w:p>
    <w:p w14:paraId="03670831">
      <w:pPr>
        <w:pStyle w:val="3"/>
        <w:adjustRightInd w:val="0"/>
        <w:snapToGrid w:val="0"/>
        <w:spacing w:before="0" w:after="0" w:line="240" w:lineRule="auto"/>
        <w:jc w:val="left"/>
        <w:rPr>
          <w:rFonts w:ascii="仿宋_GB2312" w:hAnsi="仿宋" w:eastAsia="仿宋_GB2312" w:cs="仿宋_GB2312"/>
          <w:color w:val="auto"/>
          <w:szCs w:val="28"/>
          <w:highlight w:val="none"/>
        </w:rPr>
      </w:pPr>
      <w:r>
        <w:rPr>
          <w:rFonts w:hint="eastAsia" w:ascii="仿宋_GB2312" w:hAnsi="仿宋" w:eastAsia="仿宋_GB2312" w:cs="仿宋_GB2312"/>
          <w:color w:val="auto"/>
          <w:szCs w:val="21"/>
          <w:highlight w:val="none"/>
        </w:rPr>
        <w:br w:type="page"/>
      </w:r>
      <w:r>
        <w:rPr>
          <w:rFonts w:hint="eastAsia" w:ascii="仿宋_GB2312" w:hAnsi="仿宋" w:eastAsia="仿宋_GB2312" w:cs="仿宋_GB2312"/>
          <w:color w:val="auto"/>
          <w:szCs w:val="28"/>
          <w:highlight w:val="none"/>
        </w:rPr>
        <w:t>格式5</w:t>
      </w:r>
      <w:bookmarkStart w:id="103" w:name="_Toc21833_WPSOffice_Level2"/>
      <w:bookmarkStart w:id="104" w:name="_Toc122_WPSOffice_Level2"/>
    </w:p>
    <w:p w14:paraId="2BEECEA8">
      <w:pPr>
        <w:spacing w:before="159" w:beforeLines="50" w:after="159" w:afterLines="50" w:line="360" w:lineRule="auto"/>
        <w:ind w:right="-21" w:rightChars="-10"/>
        <w:jc w:val="center"/>
        <w:rPr>
          <w:rFonts w:ascii="方正小标宋简体" w:hAnsi="仿宋_GB2312" w:eastAsia="方正小标宋简体" w:cs="仿宋_GB2312"/>
          <w:color w:val="auto"/>
          <w:sz w:val="32"/>
          <w:szCs w:val="32"/>
          <w:highlight w:val="none"/>
        </w:rPr>
      </w:pPr>
      <w:r>
        <w:rPr>
          <w:rFonts w:hint="eastAsia" w:ascii="方正小标宋简体" w:hAnsi="仿宋_GB2312" w:eastAsia="方正小标宋简体" w:cs="仿宋_GB2312"/>
          <w:color w:val="auto"/>
          <w:sz w:val="32"/>
          <w:szCs w:val="32"/>
          <w:highlight w:val="none"/>
        </w:rPr>
        <w:t>法定代表人（或非法人组织负责人）授权委托书</w:t>
      </w:r>
      <w:bookmarkEnd w:id="103"/>
      <w:bookmarkEnd w:id="104"/>
    </w:p>
    <w:p w14:paraId="0A4C5B5C">
      <w:pPr>
        <w:spacing w:line="360" w:lineRule="auto"/>
        <w:ind w:firstLine="480" w:firstLineChars="200"/>
        <w:rPr>
          <w:rFonts w:ascii="仿宋_GB2312" w:hAnsi="仿宋" w:eastAsia="仿宋_GB2312" w:cs="仿宋_GB2312"/>
          <w:color w:val="auto"/>
          <w:sz w:val="24"/>
          <w:szCs w:val="21"/>
          <w:highlight w:val="none"/>
          <w:u w:val="single"/>
        </w:rPr>
      </w:pPr>
      <w:r>
        <w:rPr>
          <w:rFonts w:hint="eastAsia" w:ascii="仿宋_GB2312" w:hAnsi="仿宋" w:eastAsia="仿宋_GB2312" w:cs="仿宋_GB2312"/>
          <w:color w:val="auto"/>
          <w:sz w:val="24"/>
          <w:szCs w:val="21"/>
          <w:highlight w:val="none"/>
        </w:rPr>
        <w:t>单位名称：</w:t>
      </w:r>
      <w:r>
        <w:rPr>
          <w:rFonts w:hint="eastAsia" w:ascii="仿宋_GB2312" w:hAnsi="仿宋" w:eastAsia="仿宋_GB2312" w:cs="仿宋_GB2312"/>
          <w:color w:val="auto"/>
          <w:sz w:val="24"/>
          <w:szCs w:val="21"/>
          <w:highlight w:val="none"/>
          <w:u w:val="single"/>
        </w:rPr>
        <w:t xml:space="preserve">    </w:t>
      </w:r>
      <w:r>
        <w:rPr>
          <w:rFonts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u w:val="single"/>
        </w:rPr>
        <w:t xml:space="preserve">            </w:t>
      </w:r>
    </w:p>
    <w:p w14:paraId="27E74DC6">
      <w:pPr>
        <w:spacing w:line="360" w:lineRule="auto"/>
        <w:ind w:firstLine="480" w:firstLineChars="200"/>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法定代表人（或非法人组织负责人）姓名：</w:t>
      </w:r>
      <w:r>
        <w:rPr>
          <w:rFonts w:hint="eastAsia"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rPr>
        <w:t xml:space="preserve"> </w:t>
      </w:r>
    </w:p>
    <w:p w14:paraId="203A1A14">
      <w:pPr>
        <w:spacing w:line="360" w:lineRule="auto"/>
        <w:ind w:firstLine="480" w:firstLineChars="200"/>
        <w:rPr>
          <w:rFonts w:ascii="仿宋_GB2312" w:hAnsi="仿宋" w:eastAsia="仿宋_GB2312" w:cs="仿宋_GB2312"/>
          <w:color w:val="auto"/>
          <w:sz w:val="24"/>
          <w:szCs w:val="21"/>
          <w:highlight w:val="none"/>
          <w:u w:val="single"/>
        </w:rPr>
      </w:pPr>
      <w:r>
        <w:rPr>
          <w:rFonts w:hint="eastAsia" w:ascii="仿宋_GB2312" w:hAnsi="仿宋" w:eastAsia="仿宋_GB2312" w:cs="仿宋_GB2312"/>
          <w:color w:val="auto"/>
          <w:sz w:val="24"/>
          <w:szCs w:val="21"/>
          <w:highlight w:val="none"/>
        </w:rPr>
        <w:t>身份证号码：</w:t>
      </w:r>
      <w:r>
        <w:rPr>
          <w:rFonts w:hint="eastAsia" w:ascii="仿宋_GB2312" w:hAnsi="仿宋" w:eastAsia="仿宋_GB2312" w:cs="仿宋_GB2312"/>
          <w:color w:val="auto"/>
          <w:sz w:val="24"/>
          <w:szCs w:val="21"/>
          <w:highlight w:val="none"/>
          <w:u w:val="single"/>
        </w:rPr>
        <w:t xml:space="preserve">     </w:t>
      </w:r>
      <w:r>
        <w:rPr>
          <w:rFonts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u w:val="single"/>
        </w:rPr>
        <w:t xml:space="preserve">    </w:t>
      </w:r>
    </w:p>
    <w:p w14:paraId="6F0BA883">
      <w:pPr>
        <w:tabs>
          <w:tab w:val="left" w:pos="5205"/>
        </w:tabs>
        <w:spacing w:line="360" w:lineRule="auto"/>
        <w:ind w:firstLine="480" w:firstLineChars="200"/>
        <w:rPr>
          <w:rFonts w:ascii="仿宋_GB2312" w:hAnsi="仿宋" w:eastAsia="仿宋_GB2312" w:cs="仿宋_GB2312"/>
          <w:color w:val="auto"/>
          <w:sz w:val="24"/>
          <w:szCs w:val="21"/>
          <w:highlight w:val="none"/>
          <w:u w:val="single"/>
        </w:rPr>
      </w:pPr>
      <w:r>
        <w:rPr>
          <w:rFonts w:hint="eastAsia" w:ascii="仿宋_GB2312" w:hAnsi="仿宋" w:eastAsia="仿宋_GB2312" w:cs="仿宋_GB2312"/>
          <w:color w:val="auto"/>
          <w:sz w:val="24"/>
          <w:szCs w:val="21"/>
          <w:highlight w:val="none"/>
        </w:rPr>
        <w:t>住所地：</w:t>
      </w:r>
      <w:r>
        <w:rPr>
          <w:rFonts w:hint="eastAsia" w:ascii="仿宋_GB2312" w:hAnsi="仿宋" w:eastAsia="仿宋_GB2312" w:cs="仿宋_GB2312"/>
          <w:color w:val="auto"/>
          <w:sz w:val="24"/>
          <w:szCs w:val="21"/>
          <w:highlight w:val="none"/>
          <w:u w:val="single"/>
        </w:rPr>
        <w:t xml:space="preserve">         </w:t>
      </w:r>
      <w:r>
        <w:rPr>
          <w:rFonts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u w:val="single"/>
        </w:rPr>
        <w:t xml:space="preserve">          </w:t>
      </w:r>
    </w:p>
    <w:p w14:paraId="5514DFA9">
      <w:pPr>
        <w:tabs>
          <w:tab w:val="left" w:pos="5205"/>
        </w:tabs>
        <w:spacing w:line="360" w:lineRule="auto"/>
        <w:ind w:firstLine="480" w:firstLineChars="200"/>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授权</w:t>
      </w:r>
      <w:r>
        <w:rPr>
          <w:rFonts w:hint="eastAsia" w:ascii="仿宋_GB2312" w:hAnsi="仿宋" w:eastAsia="仿宋_GB2312" w:cs="仿宋_GB2312"/>
          <w:color w:val="auto"/>
          <w:sz w:val="24"/>
          <w:highlight w:val="none"/>
        </w:rPr>
        <w:t>委托</w:t>
      </w:r>
      <w:r>
        <w:rPr>
          <w:rFonts w:hint="eastAsia" w:ascii="仿宋_GB2312" w:hAnsi="仿宋" w:eastAsia="仿宋_GB2312" w:cs="仿宋_GB2312"/>
          <w:color w:val="auto"/>
          <w:sz w:val="24"/>
          <w:szCs w:val="21"/>
          <w:highlight w:val="none"/>
        </w:rPr>
        <w:t>人姓名：</w:t>
      </w:r>
      <w:r>
        <w:rPr>
          <w:rFonts w:hint="eastAsia"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rPr>
        <w:t xml:space="preserve">                   </w:t>
      </w:r>
    </w:p>
    <w:p w14:paraId="2E117C09">
      <w:pPr>
        <w:spacing w:line="360" w:lineRule="auto"/>
        <w:ind w:firstLine="480" w:firstLineChars="200"/>
        <w:rPr>
          <w:rFonts w:ascii="仿宋_GB2312" w:hAnsi="仿宋" w:eastAsia="仿宋_GB2312" w:cs="仿宋_GB2312"/>
          <w:color w:val="auto"/>
          <w:sz w:val="24"/>
          <w:szCs w:val="21"/>
          <w:highlight w:val="none"/>
          <w:u w:val="single"/>
        </w:rPr>
      </w:pPr>
      <w:r>
        <w:rPr>
          <w:rFonts w:hint="eastAsia" w:ascii="仿宋_GB2312" w:hAnsi="仿宋" w:eastAsia="仿宋_GB2312" w:cs="仿宋_GB2312"/>
          <w:color w:val="auto"/>
          <w:sz w:val="24"/>
          <w:szCs w:val="21"/>
          <w:highlight w:val="none"/>
        </w:rPr>
        <w:t>身份证号码：</w:t>
      </w:r>
      <w:r>
        <w:rPr>
          <w:rFonts w:hint="eastAsia" w:ascii="仿宋_GB2312" w:hAnsi="仿宋" w:eastAsia="仿宋_GB2312" w:cs="仿宋_GB2312"/>
          <w:color w:val="auto"/>
          <w:sz w:val="24"/>
          <w:szCs w:val="21"/>
          <w:highlight w:val="none"/>
          <w:u w:val="single"/>
        </w:rPr>
        <w:t xml:space="preserve">       </w:t>
      </w:r>
      <w:r>
        <w:rPr>
          <w:rFonts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u w:val="single"/>
        </w:rPr>
        <w:t xml:space="preserve">  </w:t>
      </w:r>
    </w:p>
    <w:p w14:paraId="489A24DC">
      <w:pPr>
        <w:spacing w:line="360" w:lineRule="auto"/>
        <w:ind w:firstLine="480" w:firstLineChars="200"/>
        <w:rPr>
          <w:rFonts w:ascii="仿宋_GB2312" w:hAnsi="仿宋" w:eastAsia="仿宋_GB2312" w:cs="仿宋_GB2312"/>
          <w:color w:val="auto"/>
          <w:sz w:val="24"/>
          <w:szCs w:val="21"/>
          <w:highlight w:val="none"/>
          <w:u w:val="single"/>
        </w:rPr>
      </w:pPr>
      <w:r>
        <w:rPr>
          <w:rFonts w:hint="eastAsia" w:ascii="仿宋_GB2312" w:hAnsi="仿宋" w:eastAsia="仿宋_GB2312" w:cs="仿宋_GB2312"/>
          <w:color w:val="auto"/>
          <w:sz w:val="24"/>
          <w:szCs w:val="21"/>
          <w:highlight w:val="none"/>
        </w:rPr>
        <w:t>工作单位：</w:t>
      </w:r>
      <w:r>
        <w:rPr>
          <w:rFonts w:hint="eastAsia" w:ascii="仿宋_GB2312" w:hAnsi="仿宋" w:eastAsia="仿宋_GB2312" w:cs="仿宋_GB2312"/>
          <w:color w:val="auto"/>
          <w:sz w:val="24"/>
          <w:szCs w:val="21"/>
          <w:highlight w:val="none"/>
          <w:u w:val="single"/>
        </w:rPr>
        <w:t xml:space="preserve">      </w:t>
      </w:r>
      <w:r>
        <w:rPr>
          <w:rFonts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u w:val="single"/>
        </w:rPr>
        <w:t xml:space="preserve">       </w:t>
      </w:r>
    </w:p>
    <w:p w14:paraId="260B6E16">
      <w:pPr>
        <w:spacing w:line="360" w:lineRule="auto"/>
        <w:ind w:firstLine="480" w:firstLineChars="200"/>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住址：</w:t>
      </w:r>
      <w:r>
        <w:rPr>
          <w:rFonts w:hint="eastAsia" w:ascii="仿宋_GB2312" w:hAnsi="仿宋" w:eastAsia="仿宋_GB2312" w:cs="仿宋_GB2312"/>
          <w:color w:val="auto"/>
          <w:sz w:val="24"/>
          <w:szCs w:val="21"/>
          <w:highlight w:val="none"/>
          <w:u w:val="single"/>
        </w:rPr>
        <w:t xml:space="preserve">          </w:t>
      </w:r>
      <w:r>
        <w:rPr>
          <w:rFonts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rPr>
        <w:t xml:space="preserve">                   </w:t>
      </w:r>
    </w:p>
    <w:p w14:paraId="614D6324">
      <w:pPr>
        <w:spacing w:line="360" w:lineRule="auto"/>
        <w:ind w:firstLine="480" w:firstLineChars="200"/>
        <w:rPr>
          <w:rFonts w:ascii="仿宋_GB2312" w:hAnsi="仿宋" w:eastAsia="仿宋_GB2312" w:cs="仿宋_GB2312"/>
          <w:color w:val="auto"/>
          <w:sz w:val="24"/>
          <w:szCs w:val="21"/>
          <w:highlight w:val="none"/>
          <w:u w:val="single"/>
        </w:rPr>
      </w:pPr>
      <w:r>
        <w:rPr>
          <w:rFonts w:hint="eastAsia" w:ascii="仿宋_GB2312" w:hAnsi="仿宋" w:eastAsia="仿宋_GB2312" w:cs="仿宋_GB2312"/>
          <w:color w:val="auto"/>
          <w:sz w:val="24"/>
          <w:szCs w:val="21"/>
          <w:highlight w:val="none"/>
        </w:rPr>
        <w:t>电话：</w:t>
      </w:r>
      <w:r>
        <w:rPr>
          <w:rFonts w:hint="eastAsia" w:ascii="仿宋_GB2312" w:hAnsi="仿宋" w:eastAsia="仿宋_GB2312" w:cs="仿宋_GB2312"/>
          <w:color w:val="auto"/>
          <w:sz w:val="24"/>
          <w:szCs w:val="21"/>
          <w:highlight w:val="none"/>
          <w:u w:val="single"/>
        </w:rPr>
        <w:t xml:space="preserve">            </w:t>
      </w:r>
      <w:r>
        <w:rPr>
          <w:rFonts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u w:val="single"/>
        </w:rPr>
        <w:t xml:space="preserve">   </w:t>
      </w:r>
    </w:p>
    <w:p w14:paraId="05F87430">
      <w:pPr>
        <w:spacing w:line="360" w:lineRule="auto"/>
        <w:ind w:firstLine="480" w:firstLineChars="200"/>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现委托</w:t>
      </w:r>
      <w:r>
        <w:rPr>
          <w:rFonts w:hint="eastAsia"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rPr>
        <w:t>就</w:t>
      </w:r>
      <w:r>
        <w:rPr>
          <w:rFonts w:hint="eastAsia" w:ascii="仿宋_GB2312" w:hAnsi="仿宋" w:eastAsia="仿宋_GB2312" w:cs="仿宋_GB2312"/>
          <w:color w:val="auto"/>
          <w:sz w:val="24"/>
          <w:szCs w:val="21"/>
          <w:highlight w:val="none"/>
          <w:u w:val="single"/>
        </w:rPr>
        <w:t>（项目编号、项目名称、包号）</w:t>
      </w:r>
      <w:r>
        <w:rPr>
          <w:rFonts w:hint="eastAsia" w:ascii="仿宋_GB2312" w:hAnsi="仿宋" w:eastAsia="仿宋_GB2312" w:cs="仿宋_GB2312"/>
          <w:color w:val="auto"/>
          <w:sz w:val="24"/>
          <w:szCs w:val="21"/>
          <w:highlight w:val="none"/>
        </w:rPr>
        <w:t>投标中，以我单位名义处理一切与之有关的事务。</w:t>
      </w:r>
    </w:p>
    <w:p w14:paraId="0D1006C5">
      <w:pPr>
        <w:spacing w:line="360" w:lineRule="auto"/>
        <w:ind w:firstLine="480" w:firstLineChars="200"/>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本授权书于</w:t>
      </w:r>
      <w:r>
        <w:rPr>
          <w:rFonts w:hint="eastAsia"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rPr>
        <w:t>年</w:t>
      </w:r>
      <w:r>
        <w:rPr>
          <w:rFonts w:hint="eastAsia"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rPr>
        <w:t>月</w:t>
      </w:r>
      <w:r>
        <w:rPr>
          <w:rFonts w:hint="eastAsia"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rPr>
        <w:t>日签字或盖章生效，无转委托，特此声明。</w:t>
      </w:r>
    </w:p>
    <w:tbl>
      <w:tblPr>
        <w:tblStyle w:val="24"/>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4662D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14:paraId="189D1D18">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（※授权</w:t>
            </w:r>
            <w:r>
              <w:rPr>
                <w:rFonts w:hint="eastAsia" w:ascii="仿宋_GB2312" w:hAnsi="仿宋" w:eastAsia="仿宋_GB2312" w:cs="仿宋_GB2312"/>
                <w:color w:val="auto"/>
                <w:sz w:val="24"/>
                <w:highlight w:val="none"/>
              </w:rPr>
              <w:t>委托</w:t>
            </w:r>
            <w:r>
              <w:rPr>
                <w:rFonts w:hint="eastAsia" w:ascii="仿宋_GB2312" w:hAnsi="仿宋" w:eastAsia="仿宋_GB2312" w:cs="仿宋_GB2312"/>
                <w:color w:val="auto"/>
                <w:sz w:val="24"/>
                <w:szCs w:val="21"/>
                <w:highlight w:val="none"/>
              </w:rPr>
              <w:t>人身份证正、反面复印件※）</w:t>
            </w:r>
          </w:p>
        </w:tc>
      </w:tr>
    </w:tbl>
    <w:p w14:paraId="615253C3">
      <w:pPr>
        <w:spacing w:line="360" w:lineRule="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委  托  人（加盖单位公章）：</w:t>
      </w:r>
      <w:r>
        <w:rPr>
          <w:rFonts w:hint="eastAsia" w:ascii="仿宋_GB2312" w:hAnsi="仿宋" w:eastAsia="仿宋_GB2312" w:cs="仿宋_GB2312"/>
          <w:color w:val="auto"/>
          <w:sz w:val="24"/>
          <w:szCs w:val="21"/>
          <w:highlight w:val="none"/>
          <w:u w:val="single"/>
        </w:rPr>
        <w:t xml:space="preserve">              </w:t>
      </w:r>
    </w:p>
    <w:p w14:paraId="7E645DED">
      <w:pPr>
        <w:spacing w:line="360" w:lineRule="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法定代表人（或非法人组织负责人）（签字或盖章）：</w:t>
      </w:r>
      <w:r>
        <w:rPr>
          <w:rFonts w:hint="eastAsia"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rPr>
        <w:t xml:space="preserve"> </w:t>
      </w:r>
    </w:p>
    <w:p w14:paraId="0BB5F76B">
      <w:pPr>
        <w:spacing w:line="360" w:lineRule="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授权</w:t>
      </w:r>
      <w:r>
        <w:rPr>
          <w:rFonts w:hint="eastAsia" w:ascii="仿宋_GB2312" w:hAnsi="仿宋" w:eastAsia="仿宋_GB2312" w:cs="仿宋_GB2312"/>
          <w:color w:val="auto"/>
          <w:sz w:val="24"/>
          <w:highlight w:val="none"/>
        </w:rPr>
        <w:t>委托</w:t>
      </w:r>
      <w:r>
        <w:rPr>
          <w:rFonts w:hint="eastAsia" w:ascii="仿宋_GB2312" w:hAnsi="仿宋" w:eastAsia="仿宋_GB2312" w:cs="仿宋_GB2312"/>
          <w:color w:val="auto"/>
          <w:sz w:val="24"/>
          <w:szCs w:val="21"/>
          <w:highlight w:val="none"/>
        </w:rPr>
        <w:t>人（签字或盖章）：</w:t>
      </w:r>
      <w:r>
        <w:rPr>
          <w:rFonts w:hint="eastAsia" w:ascii="仿宋_GB2312" w:hAnsi="仿宋" w:eastAsia="仿宋_GB2312" w:cs="仿宋_GB2312"/>
          <w:color w:val="auto"/>
          <w:sz w:val="24"/>
          <w:szCs w:val="21"/>
          <w:highlight w:val="none"/>
          <w:u w:val="single"/>
        </w:rPr>
        <w:t xml:space="preserve">              </w:t>
      </w:r>
    </w:p>
    <w:p w14:paraId="01422DE2">
      <w:pPr>
        <w:spacing w:line="360" w:lineRule="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详细通讯地址：</w:t>
      </w:r>
      <w:r>
        <w:rPr>
          <w:rFonts w:hint="eastAsia"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rPr>
        <w:t xml:space="preserve">      邮政编码 ：</w:t>
      </w:r>
      <w:r>
        <w:rPr>
          <w:rFonts w:hint="eastAsia" w:ascii="仿宋_GB2312" w:hAnsi="仿宋" w:eastAsia="仿宋_GB2312" w:cs="仿宋_GB2312"/>
          <w:color w:val="auto"/>
          <w:sz w:val="24"/>
          <w:szCs w:val="21"/>
          <w:highlight w:val="none"/>
          <w:u w:val="single"/>
        </w:rPr>
        <w:t xml:space="preserve">              </w:t>
      </w:r>
    </w:p>
    <w:p w14:paraId="681B3A68">
      <w:pPr>
        <w:spacing w:line="360" w:lineRule="auto"/>
        <w:rPr>
          <w:rFonts w:ascii="仿宋_GB2312" w:hAnsi="仿宋" w:eastAsia="仿宋_GB2312" w:cs="仿宋_GB2312"/>
          <w:color w:val="auto"/>
          <w:sz w:val="24"/>
          <w:szCs w:val="21"/>
          <w:highlight w:val="none"/>
          <w:u w:val="single"/>
        </w:rPr>
      </w:pPr>
      <w:r>
        <w:rPr>
          <w:rFonts w:hint="eastAsia" w:ascii="仿宋_GB2312" w:hAnsi="仿宋" w:eastAsia="仿宋_GB2312" w:cs="仿宋_GB2312"/>
          <w:color w:val="auto"/>
          <w:sz w:val="24"/>
          <w:szCs w:val="21"/>
          <w:highlight w:val="none"/>
        </w:rPr>
        <w:t>传        真：</w:t>
      </w:r>
      <w:r>
        <w:rPr>
          <w:rFonts w:hint="eastAsia"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rPr>
        <w:t xml:space="preserve">      电     话：</w:t>
      </w:r>
      <w:r>
        <w:rPr>
          <w:rFonts w:hint="eastAsia" w:ascii="仿宋_GB2312" w:hAnsi="仿宋" w:eastAsia="仿宋_GB2312" w:cs="仿宋_GB2312"/>
          <w:color w:val="auto"/>
          <w:sz w:val="24"/>
          <w:szCs w:val="21"/>
          <w:highlight w:val="none"/>
          <w:u w:val="single"/>
        </w:rPr>
        <w:t xml:space="preserve">              </w:t>
      </w:r>
    </w:p>
    <w:p w14:paraId="16D9B067">
      <w:pPr>
        <w:spacing w:line="360" w:lineRule="auto"/>
        <w:rPr>
          <w:rFonts w:ascii="仿宋_GB2312" w:hAnsi="仿宋" w:eastAsia="仿宋_GB2312" w:cs="仿宋_GB2312"/>
          <w:color w:val="auto"/>
          <w:sz w:val="24"/>
          <w:szCs w:val="21"/>
          <w:highlight w:val="none"/>
          <w:u w:val="single"/>
        </w:rPr>
      </w:pPr>
      <w:r>
        <w:rPr>
          <w:rFonts w:hint="eastAsia" w:ascii="仿宋_GB2312" w:hAnsi="仿宋" w:eastAsia="仿宋_GB2312" w:cs="仿宋_GB2312"/>
          <w:color w:val="auto"/>
          <w:sz w:val="24"/>
          <w:szCs w:val="21"/>
          <w:highlight w:val="none"/>
        </w:rPr>
        <w:t>日        期:</w:t>
      </w:r>
      <w:r>
        <w:rPr>
          <w:rFonts w:hint="eastAsia" w:ascii="仿宋_GB2312" w:hAnsi="仿宋" w:eastAsia="仿宋_GB2312" w:cs="仿宋_GB2312"/>
          <w:color w:val="auto"/>
          <w:sz w:val="24"/>
          <w:szCs w:val="21"/>
          <w:highlight w:val="none"/>
          <w:u w:val="single"/>
        </w:rPr>
        <w:t xml:space="preserve">                       </w:t>
      </w:r>
    </w:p>
    <w:p w14:paraId="2BB73074">
      <w:pPr>
        <w:pStyle w:val="3"/>
        <w:adjustRightInd w:val="0"/>
        <w:snapToGrid w:val="0"/>
        <w:spacing w:before="0" w:after="0" w:line="240" w:lineRule="auto"/>
        <w:jc w:val="left"/>
        <w:rPr>
          <w:rFonts w:ascii="仿宋_GB2312" w:hAnsi="仿宋" w:eastAsia="仿宋_GB2312" w:cs="仿宋_GB2312"/>
          <w:color w:val="auto"/>
          <w:szCs w:val="28"/>
          <w:highlight w:val="none"/>
        </w:rPr>
      </w:pPr>
      <w:r>
        <w:rPr>
          <w:rFonts w:hint="eastAsia" w:ascii="仿宋_GB2312" w:hAnsi="仿宋" w:eastAsia="仿宋_GB2312" w:cs="仿宋_GB2312"/>
          <w:color w:val="auto"/>
          <w:szCs w:val="28"/>
          <w:highlight w:val="none"/>
        </w:rPr>
        <w:br w:type="page"/>
      </w:r>
      <w:r>
        <w:rPr>
          <w:rFonts w:hint="eastAsia" w:ascii="仿宋_GB2312" w:hAnsi="仿宋" w:eastAsia="仿宋_GB2312" w:cs="仿宋_GB2312"/>
          <w:color w:val="auto"/>
          <w:szCs w:val="28"/>
          <w:highlight w:val="none"/>
        </w:rPr>
        <w:t>格式6</w:t>
      </w:r>
    </w:p>
    <w:p w14:paraId="23A8AC51">
      <w:pPr>
        <w:spacing w:before="159" w:beforeLines="50" w:after="159" w:afterLines="50" w:line="360" w:lineRule="auto"/>
        <w:ind w:right="-21" w:rightChars="-10"/>
        <w:jc w:val="center"/>
        <w:rPr>
          <w:rFonts w:ascii="方正小标宋简体" w:hAnsi="仿宋_GB2312" w:eastAsia="方正小标宋简体" w:cs="仿宋_GB2312"/>
          <w:color w:val="auto"/>
          <w:sz w:val="32"/>
          <w:szCs w:val="32"/>
          <w:highlight w:val="none"/>
        </w:rPr>
      </w:pPr>
      <w:r>
        <w:rPr>
          <w:rFonts w:hint="eastAsia" w:ascii="方正小标宋简体" w:hAnsi="仿宋_GB2312" w:eastAsia="方正小标宋简体" w:cs="仿宋_GB2312"/>
          <w:color w:val="auto"/>
          <w:sz w:val="32"/>
          <w:szCs w:val="32"/>
          <w:highlight w:val="none"/>
        </w:rPr>
        <w:t>具有良好的商业信誉和健全的财务会计制度的承诺函</w:t>
      </w:r>
    </w:p>
    <w:p w14:paraId="6ECBDE03">
      <w:pPr>
        <w:spacing w:before="319" w:beforeLines="100" w:after="319" w:afterLines="100" w:line="480" w:lineRule="exact"/>
        <w:ind w:right="630" w:rightChars="300"/>
        <w:jc w:val="center"/>
        <w:rPr>
          <w:rFonts w:ascii="仿宋_GB2312" w:hAnsi="仿宋" w:eastAsia="仿宋_GB2312" w:cs="仿宋_GB2312"/>
          <w:color w:val="auto"/>
          <w:sz w:val="28"/>
          <w:szCs w:val="28"/>
          <w:highlight w:val="none"/>
        </w:rPr>
      </w:pPr>
      <w:r>
        <w:rPr>
          <w:rFonts w:hint="eastAsia" w:ascii="仿宋_GB2312" w:hAnsi="仿宋" w:eastAsia="仿宋_GB2312" w:cs="仿宋_GB2312"/>
          <w:color w:val="auto"/>
          <w:sz w:val="28"/>
          <w:szCs w:val="28"/>
          <w:highlight w:val="none"/>
        </w:rPr>
        <w:t>（格式自拟）</w:t>
      </w:r>
    </w:p>
    <w:p w14:paraId="4E76157C">
      <w:pPr>
        <w:adjustRightInd w:val="0"/>
        <w:snapToGrid w:val="0"/>
        <w:spacing w:line="360" w:lineRule="auto"/>
        <w:ind w:right="105" w:rightChars="50" w:firstLine="476" w:firstLineChars="227"/>
        <w:jc w:val="left"/>
        <w:rPr>
          <w:rFonts w:ascii="仿宋_GB2312" w:hAnsi="仿宋" w:eastAsia="仿宋_GB2312" w:cs="仿宋_GB2312"/>
          <w:color w:val="auto"/>
          <w:szCs w:val="21"/>
          <w:highlight w:val="none"/>
        </w:rPr>
      </w:pPr>
    </w:p>
    <w:p w14:paraId="6F98723C">
      <w:pPr>
        <w:adjustRightInd w:val="0"/>
        <w:snapToGrid w:val="0"/>
        <w:spacing w:line="360" w:lineRule="auto"/>
        <w:ind w:right="105" w:rightChars="50" w:firstLine="476" w:firstLineChars="227"/>
        <w:jc w:val="left"/>
        <w:rPr>
          <w:rFonts w:ascii="仿宋_GB2312" w:hAnsi="仿宋" w:eastAsia="仿宋_GB2312" w:cs="仿宋_GB2312"/>
          <w:color w:val="auto"/>
          <w:szCs w:val="21"/>
          <w:highlight w:val="none"/>
        </w:rPr>
      </w:pPr>
    </w:p>
    <w:p w14:paraId="23848D74">
      <w:pPr>
        <w:adjustRightInd w:val="0"/>
        <w:snapToGrid w:val="0"/>
        <w:spacing w:line="360" w:lineRule="auto"/>
        <w:ind w:right="105" w:rightChars="50" w:firstLine="476" w:firstLineChars="227"/>
        <w:jc w:val="left"/>
        <w:rPr>
          <w:rFonts w:ascii="仿宋_GB2312" w:hAnsi="仿宋" w:eastAsia="仿宋_GB2312" w:cs="仿宋_GB2312"/>
          <w:color w:val="auto"/>
          <w:szCs w:val="21"/>
          <w:highlight w:val="none"/>
        </w:rPr>
      </w:pPr>
    </w:p>
    <w:p w14:paraId="0B0D371D">
      <w:pPr>
        <w:adjustRightInd w:val="0"/>
        <w:snapToGrid w:val="0"/>
        <w:spacing w:line="360" w:lineRule="auto"/>
        <w:ind w:right="105" w:rightChars="50" w:firstLine="476" w:firstLineChars="227"/>
        <w:jc w:val="left"/>
        <w:rPr>
          <w:rFonts w:ascii="仿宋_GB2312" w:hAnsi="仿宋" w:eastAsia="仿宋_GB2312" w:cs="仿宋_GB2312"/>
          <w:color w:val="auto"/>
          <w:szCs w:val="21"/>
          <w:highlight w:val="none"/>
        </w:rPr>
      </w:pPr>
    </w:p>
    <w:p w14:paraId="35242B4C">
      <w:pPr>
        <w:adjustRightInd w:val="0"/>
        <w:snapToGrid w:val="0"/>
        <w:spacing w:line="360" w:lineRule="auto"/>
        <w:ind w:right="105" w:rightChars="50" w:firstLine="476" w:firstLineChars="227"/>
        <w:jc w:val="left"/>
        <w:rPr>
          <w:rFonts w:ascii="仿宋_GB2312" w:hAnsi="仿宋" w:eastAsia="仿宋_GB2312" w:cs="仿宋_GB2312"/>
          <w:color w:val="auto"/>
          <w:szCs w:val="21"/>
          <w:highlight w:val="none"/>
        </w:rPr>
      </w:pPr>
    </w:p>
    <w:p w14:paraId="4D6390D5">
      <w:pPr>
        <w:adjustRightInd w:val="0"/>
        <w:snapToGrid w:val="0"/>
        <w:spacing w:line="360" w:lineRule="auto"/>
        <w:ind w:right="105" w:rightChars="50" w:firstLine="476" w:firstLineChars="227"/>
        <w:jc w:val="left"/>
        <w:rPr>
          <w:rFonts w:ascii="仿宋_GB2312" w:hAnsi="仿宋" w:eastAsia="仿宋_GB2312" w:cs="仿宋_GB2312"/>
          <w:color w:val="auto"/>
          <w:szCs w:val="21"/>
          <w:highlight w:val="none"/>
        </w:rPr>
      </w:pPr>
    </w:p>
    <w:p w14:paraId="0A6A8EB5">
      <w:pPr>
        <w:adjustRightInd w:val="0"/>
        <w:snapToGrid w:val="0"/>
        <w:spacing w:line="360" w:lineRule="auto"/>
        <w:ind w:right="105" w:rightChars="50" w:firstLine="476" w:firstLineChars="227"/>
        <w:jc w:val="left"/>
        <w:rPr>
          <w:rFonts w:ascii="仿宋_GB2312" w:hAnsi="仿宋" w:eastAsia="仿宋_GB2312" w:cs="仿宋_GB2312"/>
          <w:color w:val="auto"/>
          <w:szCs w:val="21"/>
          <w:highlight w:val="none"/>
        </w:rPr>
      </w:pPr>
    </w:p>
    <w:p w14:paraId="3B5F9CDC">
      <w:pPr>
        <w:adjustRightInd w:val="0"/>
        <w:snapToGrid w:val="0"/>
        <w:spacing w:line="360" w:lineRule="auto"/>
        <w:ind w:right="105" w:rightChars="50" w:firstLine="476" w:firstLineChars="227"/>
        <w:jc w:val="left"/>
        <w:rPr>
          <w:rFonts w:ascii="仿宋_GB2312" w:hAnsi="仿宋" w:eastAsia="仿宋_GB2312" w:cs="仿宋_GB2312"/>
          <w:color w:val="auto"/>
          <w:szCs w:val="21"/>
          <w:highlight w:val="none"/>
        </w:rPr>
      </w:pPr>
    </w:p>
    <w:p w14:paraId="427EF0C0">
      <w:pPr>
        <w:adjustRightInd w:val="0"/>
        <w:snapToGrid w:val="0"/>
        <w:spacing w:line="360" w:lineRule="auto"/>
        <w:ind w:right="105" w:rightChars="50" w:firstLine="476" w:firstLineChars="227"/>
        <w:jc w:val="left"/>
        <w:rPr>
          <w:rFonts w:ascii="仿宋_GB2312" w:hAnsi="仿宋" w:eastAsia="仿宋_GB2312" w:cs="仿宋_GB2312"/>
          <w:color w:val="auto"/>
          <w:szCs w:val="21"/>
          <w:highlight w:val="none"/>
        </w:rPr>
      </w:pPr>
    </w:p>
    <w:p w14:paraId="53F3FC62">
      <w:pPr>
        <w:snapToGrid w:val="0"/>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投标人名称（加盖单位公章）：</w:t>
      </w:r>
      <w:r>
        <w:rPr>
          <w:rFonts w:hint="eastAsia" w:ascii="仿宋_GB2312" w:hAnsi="仿宋" w:eastAsia="仿宋_GB2312" w:cs="仿宋_GB2312"/>
          <w:color w:val="auto"/>
          <w:sz w:val="24"/>
          <w:highlight w:val="none"/>
          <w:u w:val="single"/>
        </w:rPr>
        <w:t xml:space="preserve">           </w:t>
      </w:r>
    </w:p>
    <w:p w14:paraId="5229D619">
      <w:pPr>
        <w:snapToGrid w:val="0"/>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法定代表人（或</w:t>
      </w:r>
      <w:r>
        <w:rPr>
          <w:rFonts w:hint="eastAsia" w:ascii="仿宋_GB2312" w:hAnsi="仿宋" w:eastAsia="仿宋_GB2312" w:cs="仿宋_GB2312"/>
          <w:color w:val="auto"/>
          <w:sz w:val="24"/>
          <w:szCs w:val="21"/>
          <w:highlight w:val="none"/>
        </w:rPr>
        <w:t>非法人组织负责人）或</w:t>
      </w:r>
      <w:r>
        <w:rPr>
          <w:rFonts w:hint="eastAsia" w:ascii="仿宋_GB2312" w:hAnsi="仿宋" w:eastAsia="仿宋_GB2312" w:cs="仿宋_GB2312"/>
          <w:color w:val="auto"/>
          <w:sz w:val="24"/>
          <w:highlight w:val="none"/>
        </w:rPr>
        <w:t>其</w:t>
      </w:r>
      <w:r>
        <w:rPr>
          <w:rFonts w:hint="eastAsia" w:ascii="仿宋_GB2312" w:hAnsi="仿宋" w:eastAsia="仿宋_GB2312" w:cs="仿宋_GB2312"/>
          <w:color w:val="auto"/>
          <w:sz w:val="24"/>
          <w:szCs w:val="21"/>
          <w:highlight w:val="none"/>
        </w:rPr>
        <w:t>授权</w:t>
      </w:r>
      <w:r>
        <w:rPr>
          <w:rFonts w:hint="eastAsia" w:ascii="仿宋_GB2312" w:hAnsi="仿宋" w:eastAsia="仿宋_GB2312" w:cs="仿宋_GB2312"/>
          <w:color w:val="auto"/>
          <w:sz w:val="24"/>
          <w:highlight w:val="none"/>
        </w:rPr>
        <w:t>委托</w:t>
      </w:r>
      <w:r>
        <w:rPr>
          <w:rFonts w:hint="eastAsia" w:ascii="仿宋_GB2312" w:hAnsi="仿宋" w:eastAsia="仿宋_GB2312" w:cs="仿宋_GB2312"/>
          <w:color w:val="auto"/>
          <w:sz w:val="24"/>
          <w:szCs w:val="21"/>
          <w:highlight w:val="none"/>
        </w:rPr>
        <w:t>人</w:t>
      </w:r>
      <w:r>
        <w:rPr>
          <w:rFonts w:hint="eastAsia" w:ascii="仿宋_GB2312" w:hAnsi="仿宋" w:eastAsia="仿宋_GB2312" w:cs="仿宋_GB2312"/>
          <w:color w:val="auto"/>
          <w:sz w:val="24"/>
          <w:highlight w:val="none"/>
        </w:rPr>
        <w:t>(签字或盖章)：</w:t>
      </w:r>
      <w:r>
        <w:rPr>
          <w:rFonts w:hint="eastAsia" w:ascii="仿宋_GB2312" w:hAnsi="仿宋" w:eastAsia="仿宋_GB2312" w:cs="仿宋_GB2312"/>
          <w:color w:val="auto"/>
          <w:sz w:val="24"/>
          <w:highlight w:val="none"/>
          <w:u w:val="single"/>
        </w:rPr>
        <w:t xml:space="preserve">           </w:t>
      </w:r>
    </w:p>
    <w:p w14:paraId="2A3A640A">
      <w:pPr>
        <w:adjustRightInd w:val="0"/>
        <w:snapToGrid w:val="0"/>
        <w:spacing w:line="360" w:lineRule="auto"/>
        <w:ind w:right="105" w:rightChars="50"/>
        <w:jc w:val="left"/>
        <w:rPr>
          <w:rFonts w:ascii="仿宋_GB2312" w:hAnsi="仿宋" w:eastAsia="仿宋_GB2312" w:cs="仿宋_GB2312"/>
          <w:color w:val="auto"/>
          <w:sz w:val="24"/>
          <w:highlight w:val="none"/>
          <w:u w:val="single"/>
        </w:rPr>
      </w:pPr>
      <w:r>
        <w:rPr>
          <w:rFonts w:hint="eastAsia" w:ascii="仿宋_GB2312" w:hAnsi="仿宋" w:eastAsia="仿宋_GB2312" w:cs="仿宋_GB2312"/>
          <w:color w:val="auto"/>
          <w:sz w:val="24"/>
          <w:highlight w:val="none"/>
        </w:rPr>
        <w:t>日      期：</w:t>
      </w:r>
      <w:r>
        <w:rPr>
          <w:rFonts w:hint="eastAsia" w:ascii="仿宋_GB2312" w:hAnsi="仿宋" w:eastAsia="仿宋_GB2312" w:cs="仿宋_GB2312"/>
          <w:color w:val="auto"/>
          <w:sz w:val="24"/>
          <w:highlight w:val="none"/>
          <w:u w:val="single"/>
        </w:rPr>
        <w:t xml:space="preserve">               </w:t>
      </w:r>
    </w:p>
    <w:p w14:paraId="08191BA2">
      <w:pPr>
        <w:adjustRightInd w:val="0"/>
        <w:snapToGrid w:val="0"/>
        <w:spacing w:line="360" w:lineRule="auto"/>
        <w:ind w:right="105" w:rightChars="50"/>
        <w:jc w:val="left"/>
        <w:rPr>
          <w:rFonts w:ascii="仿宋_GB2312" w:hAnsi="仿宋" w:eastAsia="仿宋_GB2312" w:cs="仿宋_GB2312"/>
          <w:color w:val="auto"/>
          <w:sz w:val="24"/>
          <w:highlight w:val="none"/>
          <w:u w:val="single"/>
        </w:rPr>
      </w:pPr>
    </w:p>
    <w:p w14:paraId="36450BFB">
      <w:pPr>
        <w:pStyle w:val="3"/>
        <w:adjustRightInd w:val="0"/>
        <w:snapToGrid w:val="0"/>
        <w:spacing w:before="0" w:after="0" w:line="240" w:lineRule="auto"/>
        <w:jc w:val="left"/>
        <w:rPr>
          <w:rFonts w:ascii="仿宋_GB2312" w:hAnsi="仿宋" w:eastAsia="仿宋_GB2312" w:cs="仿宋_GB2312"/>
          <w:color w:val="auto"/>
          <w:szCs w:val="28"/>
          <w:highlight w:val="none"/>
        </w:rPr>
      </w:pPr>
      <w:r>
        <w:rPr>
          <w:rFonts w:hint="eastAsia" w:ascii="仿宋_GB2312" w:hAnsi="仿宋" w:eastAsia="仿宋_GB2312" w:cs="仿宋_GB2312"/>
          <w:color w:val="auto"/>
          <w:sz w:val="36"/>
          <w:szCs w:val="28"/>
          <w:highlight w:val="none"/>
        </w:rPr>
        <w:br w:type="page"/>
      </w:r>
      <w:r>
        <w:rPr>
          <w:rFonts w:hint="eastAsia" w:ascii="仿宋_GB2312" w:hAnsi="仿宋" w:eastAsia="仿宋_GB2312" w:cs="仿宋_GB2312"/>
          <w:color w:val="auto"/>
          <w:szCs w:val="28"/>
          <w:highlight w:val="none"/>
        </w:rPr>
        <w:t>格式7</w:t>
      </w:r>
    </w:p>
    <w:p w14:paraId="43C450F1">
      <w:pPr>
        <w:spacing w:before="159" w:beforeLines="50" w:after="159" w:afterLines="50" w:line="360" w:lineRule="auto"/>
        <w:ind w:right="-21" w:rightChars="-10"/>
        <w:jc w:val="center"/>
        <w:rPr>
          <w:rFonts w:ascii="方正小标宋简体" w:hAnsi="仿宋" w:eastAsia="方正小标宋简体" w:cs="仿宋_GB2312"/>
          <w:bCs/>
          <w:color w:val="auto"/>
          <w:sz w:val="32"/>
          <w:szCs w:val="32"/>
          <w:highlight w:val="none"/>
        </w:rPr>
      </w:pPr>
      <w:bookmarkStart w:id="105" w:name="_Toc12037_WPSOffice_Level2"/>
      <w:bookmarkStart w:id="106" w:name="_Toc23728_WPSOffice_Level2"/>
      <w:r>
        <w:rPr>
          <w:rFonts w:hint="eastAsia" w:ascii="方正小标宋简体" w:hAnsi="仿宋" w:eastAsia="方正小标宋简体" w:cs="仿宋_GB2312"/>
          <w:bCs/>
          <w:color w:val="auto"/>
          <w:sz w:val="32"/>
          <w:szCs w:val="32"/>
          <w:highlight w:val="none"/>
        </w:rPr>
        <w:t>具备履行合同所必需的设备和专业技术能力声明函</w:t>
      </w:r>
      <w:bookmarkEnd w:id="105"/>
      <w:bookmarkEnd w:id="106"/>
    </w:p>
    <w:p w14:paraId="3DF25A6F">
      <w:pPr>
        <w:spacing w:before="319" w:beforeLines="100" w:after="319" w:afterLines="100" w:line="480" w:lineRule="exact"/>
        <w:ind w:right="630" w:rightChars="300"/>
        <w:jc w:val="center"/>
        <w:rPr>
          <w:rFonts w:ascii="仿宋_GB2312" w:hAnsi="仿宋" w:eastAsia="仿宋_GB2312" w:cs="仿宋_GB2312"/>
          <w:color w:val="auto"/>
          <w:sz w:val="28"/>
          <w:szCs w:val="28"/>
          <w:highlight w:val="none"/>
        </w:rPr>
      </w:pPr>
      <w:bookmarkStart w:id="107" w:name="_Toc1917_WPSOffice_Level2"/>
      <w:bookmarkStart w:id="108" w:name="_Toc28831_WPSOffice_Level2"/>
      <w:r>
        <w:rPr>
          <w:rFonts w:hint="eastAsia" w:ascii="仿宋_GB2312" w:hAnsi="仿宋" w:eastAsia="仿宋_GB2312" w:cs="仿宋_GB2312"/>
          <w:color w:val="auto"/>
          <w:sz w:val="28"/>
          <w:szCs w:val="28"/>
          <w:highlight w:val="none"/>
        </w:rPr>
        <w:t>（格式自拟）</w:t>
      </w:r>
      <w:bookmarkEnd w:id="107"/>
      <w:bookmarkEnd w:id="108"/>
    </w:p>
    <w:p w14:paraId="531DE085">
      <w:pPr>
        <w:adjustRightInd w:val="0"/>
        <w:snapToGrid w:val="0"/>
        <w:spacing w:line="360" w:lineRule="auto"/>
        <w:ind w:right="105" w:rightChars="50" w:firstLine="476" w:firstLineChars="227"/>
        <w:jc w:val="left"/>
        <w:rPr>
          <w:rFonts w:ascii="仿宋_GB2312" w:hAnsi="仿宋" w:eastAsia="仿宋_GB2312" w:cs="仿宋_GB2312"/>
          <w:color w:val="auto"/>
          <w:szCs w:val="21"/>
          <w:highlight w:val="none"/>
        </w:rPr>
      </w:pPr>
    </w:p>
    <w:p w14:paraId="1B2BB20F">
      <w:pPr>
        <w:adjustRightInd w:val="0"/>
        <w:snapToGrid w:val="0"/>
        <w:spacing w:line="360" w:lineRule="auto"/>
        <w:ind w:right="105" w:rightChars="50" w:firstLine="476" w:firstLineChars="227"/>
        <w:jc w:val="left"/>
        <w:rPr>
          <w:rFonts w:ascii="仿宋_GB2312" w:hAnsi="仿宋" w:eastAsia="仿宋_GB2312" w:cs="仿宋_GB2312"/>
          <w:color w:val="auto"/>
          <w:szCs w:val="21"/>
          <w:highlight w:val="none"/>
        </w:rPr>
      </w:pPr>
    </w:p>
    <w:p w14:paraId="3784EB69">
      <w:pPr>
        <w:adjustRightInd w:val="0"/>
        <w:snapToGrid w:val="0"/>
        <w:spacing w:line="360" w:lineRule="auto"/>
        <w:ind w:right="105" w:rightChars="50" w:firstLine="476" w:firstLineChars="227"/>
        <w:jc w:val="left"/>
        <w:rPr>
          <w:rFonts w:ascii="仿宋_GB2312" w:hAnsi="仿宋" w:eastAsia="仿宋_GB2312" w:cs="仿宋_GB2312"/>
          <w:color w:val="auto"/>
          <w:szCs w:val="21"/>
          <w:highlight w:val="none"/>
        </w:rPr>
      </w:pPr>
    </w:p>
    <w:p w14:paraId="50E33372">
      <w:pPr>
        <w:adjustRightInd w:val="0"/>
        <w:snapToGrid w:val="0"/>
        <w:spacing w:line="360" w:lineRule="auto"/>
        <w:ind w:right="105" w:rightChars="50" w:firstLine="476" w:firstLineChars="227"/>
        <w:jc w:val="left"/>
        <w:rPr>
          <w:rFonts w:ascii="仿宋_GB2312" w:hAnsi="仿宋" w:eastAsia="仿宋_GB2312" w:cs="仿宋_GB2312"/>
          <w:color w:val="auto"/>
          <w:szCs w:val="21"/>
          <w:highlight w:val="none"/>
        </w:rPr>
      </w:pPr>
    </w:p>
    <w:p w14:paraId="3822277F">
      <w:pPr>
        <w:adjustRightInd w:val="0"/>
        <w:snapToGrid w:val="0"/>
        <w:spacing w:line="360" w:lineRule="auto"/>
        <w:ind w:right="105" w:rightChars="50" w:firstLine="476" w:firstLineChars="227"/>
        <w:jc w:val="left"/>
        <w:rPr>
          <w:rFonts w:ascii="仿宋_GB2312" w:hAnsi="仿宋" w:eastAsia="仿宋_GB2312" w:cs="仿宋_GB2312"/>
          <w:color w:val="auto"/>
          <w:szCs w:val="21"/>
          <w:highlight w:val="none"/>
        </w:rPr>
      </w:pPr>
    </w:p>
    <w:p w14:paraId="1BCD3C4B">
      <w:pPr>
        <w:adjustRightInd w:val="0"/>
        <w:snapToGrid w:val="0"/>
        <w:spacing w:line="360" w:lineRule="auto"/>
        <w:ind w:right="105" w:rightChars="50" w:firstLine="476" w:firstLineChars="227"/>
        <w:jc w:val="left"/>
        <w:rPr>
          <w:rFonts w:ascii="仿宋_GB2312" w:hAnsi="仿宋" w:eastAsia="仿宋_GB2312" w:cs="仿宋_GB2312"/>
          <w:color w:val="auto"/>
          <w:szCs w:val="21"/>
          <w:highlight w:val="none"/>
        </w:rPr>
      </w:pPr>
    </w:p>
    <w:p w14:paraId="55B89CD9">
      <w:pPr>
        <w:adjustRightInd w:val="0"/>
        <w:snapToGrid w:val="0"/>
        <w:spacing w:line="360" w:lineRule="auto"/>
        <w:ind w:right="105" w:rightChars="50" w:firstLine="476" w:firstLineChars="227"/>
        <w:jc w:val="left"/>
        <w:rPr>
          <w:rFonts w:ascii="仿宋_GB2312" w:hAnsi="仿宋" w:eastAsia="仿宋_GB2312" w:cs="仿宋_GB2312"/>
          <w:color w:val="auto"/>
          <w:szCs w:val="21"/>
          <w:highlight w:val="none"/>
        </w:rPr>
      </w:pPr>
    </w:p>
    <w:p w14:paraId="73282317">
      <w:pPr>
        <w:adjustRightInd w:val="0"/>
        <w:snapToGrid w:val="0"/>
        <w:spacing w:line="360" w:lineRule="auto"/>
        <w:ind w:right="105" w:rightChars="50" w:firstLine="476" w:firstLineChars="227"/>
        <w:jc w:val="left"/>
        <w:rPr>
          <w:rFonts w:ascii="仿宋_GB2312" w:hAnsi="仿宋" w:eastAsia="仿宋_GB2312" w:cs="仿宋_GB2312"/>
          <w:color w:val="auto"/>
          <w:szCs w:val="21"/>
          <w:highlight w:val="none"/>
        </w:rPr>
      </w:pPr>
    </w:p>
    <w:p w14:paraId="0A0FC198">
      <w:pPr>
        <w:adjustRightInd w:val="0"/>
        <w:snapToGrid w:val="0"/>
        <w:spacing w:line="360" w:lineRule="auto"/>
        <w:ind w:right="105" w:rightChars="50" w:firstLine="476" w:firstLineChars="227"/>
        <w:jc w:val="left"/>
        <w:rPr>
          <w:rFonts w:ascii="仿宋_GB2312" w:hAnsi="仿宋" w:eastAsia="仿宋_GB2312" w:cs="仿宋_GB2312"/>
          <w:color w:val="auto"/>
          <w:szCs w:val="21"/>
          <w:highlight w:val="none"/>
        </w:rPr>
      </w:pPr>
    </w:p>
    <w:p w14:paraId="742BA800">
      <w:pPr>
        <w:snapToGrid w:val="0"/>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投标人名称（加盖单位公章）：</w:t>
      </w:r>
      <w:r>
        <w:rPr>
          <w:rFonts w:hint="eastAsia" w:ascii="仿宋_GB2312" w:hAnsi="仿宋" w:eastAsia="仿宋_GB2312" w:cs="仿宋_GB2312"/>
          <w:color w:val="auto"/>
          <w:sz w:val="24"/>
          <w:highlight w:val="none"/>
          <w:u w:val="single"/>
        </w:rPr>
        <w:t xml:space="preserve">           </w:t>
      </w:r>
    </w:p>
    <w:p w14:paraId="6D856670">
      <w:pPr>
        <w:snapToGrid w:val="0"/>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法定代表人（或</w:t>
      </w:r>
      <w:r>
        <w:rPr>
          <w:rFonts w:hint="eastAsia" w:ascii="仿宋_GB2312" w:hAnsi="仿宋" w:eastAsia="仿宋_GB2312" w:cs="仿宋_GB2312"/>
          <w:color w:val="auto"/>
          <w:sz w:val="24"/>
          <w:szCs w:val="21"/>
          <w:highlight w:val="none"/>
        </w:rPr>
        <w:t>非法人组织负责人）或</w:t>
      </w:r>
      <w:r>
        <w:rPr>
          <w:rFonts w:hint="eastAsia" w:ascii="仿宋_GB2312" w:hAnsi="仿宋" w:eastAsia="仿宋_GB2312" w:cs="仿宋_GB2312"/>
          <w:color w:val="auto"/>
          <w:sz w:val="24"/>
          <w:highlight w:val="none"/>
        </w:rPr>
        <w:t>其</w:t>
      </w:r>
      <w:r>
        <w:rPr>
          <w:rFonts w:hint="eastAsia" w:ascii="仿宋_GB2312" w:hAnsi="仿宋" w:eastAsia="仿宋_GB2312" w:cs="仿宋_GB2312"/>
          <w:color w:val="auto"/>
          <w:sz w:val="24"/>
          <w:szCs w:val="21"/>
          <w:highlight w:val="none"/>
        </w:rPr>
        <w:t>授权</w:t>
      </w:r>
      <w:r>
        <w:rPr>
          <w:rFonts w:hint="eastAsia" w:ascii="仿宋_GB2312" w:hAnsi="仿宋" w:eastAsia="仿宋_GB2312" w:cs="仿宋_GB2312"/>
          <w:color w:val="auto"/>
          <w:sz w:val="24"/>
          <w:highlight w:val="none"/>
        </w:rPr>
        <w:t>委托</w:t>
      </w:r>
      <w:r>
        <w:rPr>
          <w:rFonts w:hint="eastAsia" w:ascii="仿宋_GB2312" w:hAnsi="仿宋" w:eastAsia="仿宋_GB2312" w:cs="仿宋_GB2312"/>
          <w:color w:val="auto"/>
          <w:sz w:val="24"/>
          <w:szCs w:val="21"/>
          <w:highlight w:val="none"/>
        </w:rPr>
        <w:t>人</w:t>
      </w:r>
      <w:r>
        <w:rPr>
          <w:rFonts w:hint="eastAsia" w:ascii="仿宋_GB2312" w:hAnsi="仿宋" w:eastAsia="仿宋_GB2312" w:cs="仿宋_GB2312"/>
          <w:color w:val="auto"/>
          <w:sz w:val="24"/>
          <w:highlight w:val="none"/>
        </w:rPr>
        <w:t>(签字或盖章)：</w:t>
      </w:r>
      <w:r>
        <w:rPr>
          <w:rFonts w:hint="eastAsia" w:ascii="仿宋_GB2312" w:hAnsi="仿宋" w:eastAsia="仿宋_GB2312" w:cs="仿宋_GB2312"/>
          <w:color w:val="auto"/>
          <w:sz w:val="24"/>
          <w:highlight w:val="none"/>
          <w:u w:val="single"/>
        </w:rPr>
        <w:t xml:space="preserve">           </w:t>
      </w:r>
    </w:p>
    <w:p w14:paraId="1205D33F">
      <w:pPr>
        <w:adjustRightInd w:val="0"/>
        <w:snapToGrid w:val="0"/>
        <w:spacing w:line="360" w:lineRule="auto"/>
        <w:ind w:right="105" w:rightChars="50"/>
        <w:jc w:val="left"/>
        <w:rPr>
          <w:rFonts w:ascii="仿宋_GB2312" w:hAnsi="仿宋" w:eastAsia="仿宋_GB2312" w:cs="仿宋_GB2312"/>
          <w:color w:val="auto"/>
          <w:sz w:val="24"/>
          <w:highlight w:val="none"/>
          <w:u w:val="single"/>
        </w:rPr>
      </w:pPr>
      <w:r>
        <w:rPr>
          <w:rFonts w:hint="eastAsia" w:ascii="仿宋_GB2312" w:hAnsi="仿宋" w:eastAsia="仿宋_GB2312" w:cs="仿宋_GB2312"/>
          <w:color w:val="auto"/>
          <w:sz w:val="24"/>
          <w:highlight w:val="none"/>
        </w:rPr>
        <w:t>日      期：</w:t>
      </w:r>
      <w:r>
        <w:rPr>
          <w:rFonts w:hint="eastAsia" w:ascii="仿宋_GB2312" w:hAnsi="仿宋" w:eastAsia="仿宋_GB2312" w:cs="仿宋_GB2312"/>
          <w:color w:val="auto"/>
          <w:sz w:val="24"/>
          <w:highlight w:val="none"/>
          <w:u w:val="single"/>
        </w:rPr>
        <w:t xml:space="preserve">               </w:t>
      </w:r>
    </w:p>
    <w:p w14:paraId="26231BE6">
      <w:pPr>
        <w:adjustRightInd w:val="0"/>
        <w:snapToGrid w:val="0"/>
        <w:spacing w:line="360" w:lineRule="auto"/>
        <w:ind w:right="105" w:rightChars="50"/>
        <w:jc w:val="left"/>
        <w:rPr>
          <w:rFonts w:ascii="仿宋_GB2312" w:hAnsi="仿宋" w:eastAsia="仿宋_GB2312" w:cs="仿宋_GB2312"/>
          <w:color w:val="auto"/>
          <w:highlight w:val="none"/>
          <w:u w:val="single"/>
        </w:rPr>
      </w:pPr>
    </w:p>
    <w:p w14:paraId="381E2F3A">
      <w:pPr>
        <w:adjustRightInd w:val="0"/>
        <w:snapToGrid w:val="0"/>
        <w:spacing w:line="360" w:lineRule="auto"/>
        <w:ind w:right="105" w:rightChars="50"/>
        <w:jc w:val="left"/>
        <w:rPr>
          <w:rFonts w:ascii="仿宋_GB2312" w:hAnsi="仿宋" w:eastAsia="仿宋_GB2312" w:cs="仿宋_GB2312"/>
          <w:b/>
          <w:color w:val="auto"/>
          <w:sz w:val="28"/>
          <w:szCs w:val="28"/>
          <w:highlight w:val="none"/>
        </w:rPr>
      </w:pPr>
    </w:p>
    <w:p w14:paraId="15D37728">
      <w:pPr>
        <w:pStyle w:val="3"/>
        <w:adjustRightInd w:val="0"/>
        <w:snapToGrid w:val="0"/>
        <w:spacing w:before="0" w:after="0" w:line="240" w:lineRule="auto"/>
        <w:jc w:val="left"/>
        <w:rPr>
          <w:rFonts w:ascii="仿宋_GB2312" w:hAnsi="仿宋" w:eastAsia="仿宋_GB2312" w:cs="仿宋_GB2312"/>
          <w:color w:val="auto"/>
          <w:szCs w:val="28"/>
          <w:highlight w:val="none"/>
        </w:rPr>
      </w:pPr>
      <w:r>
        <w:rPr>
          <w:rFonts w:hint="eastAsia" w:ascii="仿宋_GB2312" w:hAnsi="仿宋" w:eastAsia="仿宋_GB2312" w:cs="仿宋_GB2312"/>
          <w:color w:val="auto"/>
          <w:szCs w:val="28"/>
          <w:highlight w:val="none"/>
        </w:rPr>
        <w:br w:type="page"/>
      </w:r>
      <w:r>
        <w:rPr>
          <w:rFonts w:hint="eastAsia" w:ascii="仿宋_GB2312" w:hAnsi="仿宋" w:eastAsia="仿宋_GB2312" w:cs="仿宋_GB2312"/>
          <w:color w:val="auto"/>
          <w:szCs w:val="28"/>
          <w:highlight w:val="none"/>
        </w:rPr>
        <w:t>格式8</w:t>
      </w:r>
    </w:p>
    <w:p w14:paraId="3D24AACF">
      <w:pPr>
        <w:spacing w:before="159" w:beforeLines="50" w:after="159" w:afterLines="50" w:line="360" w:lineRule="auto"/>
        <w:ind w:right="-21" w:rightChars="-10"/>
        <w:jc w:val="center"/>
        <w:rPr>
          <w:rFonts w:ascii="方正小标宋简体" w:hAnsi="仿宋" w:eastAsia="方正小标宋简体" w:cs="仿宋_GB2312"/>
          <w:bCs/>
          <w:color w:val="auto"/>
          <w:sz w:val="32"/>
          <w:szCs w:val="32"/>
          <w:highlight w:val="none"/>
        </w:rPr>
      </w:pPr>
      <w:r>
        <w:rPr>
          <w:rFonts w:hint="eastAsia" w:ascii="方正小标宋简体" w:hAnsi="仿宋" w:eastAsia="方正小标宋简体" w:cs="仿宋_GB2312"/>
          <w:bCs/>
          <w:color w:val="auto"/>
          <w:sz w:val="32"/>
          <w:szCs w:val="32"/>
          <w:highlight w:val="none"/>
        </w:rPr>
        <w:t xml:space="preserve">   </w:t>
      </w:r>
      <w:bookmarkStart w:id="109" w:name="_Toc7498_WPSOffice_Level2"/>
      <w:bookmarkStart w:id="110" w:name="_Toc11967_WPSOffice_Level2"/>
      <w:r>
        <w:rPr>
          <w:rFonts w:hint="eastAsia" w:ascii="方正小标宋简体" w:hAnsi="仿宋_GB2312" w:eastAsia="方正小标宋简体" w:cs="仿宋_GB2312"/>
          <w:color w:val="auto"/>
          <w:sz w:val="32"/>
          <w:szCs w:val="32"/>
          <w:highlight w:val="none"/>
        </w:rPr>
        <w:t>参加政府采购活动前3年内在经营活动中没有重大违法记录的书面声明</w:t>
      </w:r>
      <w:bookmarkEnd w:id="109"/>
      <w:bookmarkEnd w:id="110"/>
    </w:p>
    <w:p w14:paraId="7B83CECA">
      <w:pPr>
        <w:spacing w:line="360" w:lineRule="auto"/>
        <w:ind w:right="630" w:rightChars="300"/>
        <w:rPr>
          <w:rFonts w:ascii="仿宋_GB2312" w:hAnsi="仿宋" w:eastAsia="仿宋_GB2312" w:cs="仿宋_GB2312"/>
          <w:b/>
          <w:color w:val="auto"/>
          <w:sz w:val="24"/>
          <w:szCs w:val="21"/>
          <w:highlight w:val="none"/>
        </w:rPr>
      </w:pPr>
      <w:r>
        <w:rPr>
          <w:rFonts w:hint="eastAsia" w:ascii="仿宋_GB2312" w:hAnsi="仿宋" w:eastAsia="仿宋_GB2312" w:cs="仿宋_GB2312"/>
          <w:b/>
          <w:color w:val="auto"/>
          <w:sz w:val="24"/>
          <w:szCs w:val="21"/>
          <w:highlight w:val="none"/>
          <w:u w:val="single"/>
        </w:rPr>
        <w:t>（采购人或采购组织机构名称）</w:t>
      </w:r>
      <w:r>
        <w:rPr>
          <w:rFonts w:hint="eastAsia" w:ascii="仿宋_GB2312" w:hAnsi="仿宋" w:eastAsia="仿宋_GB2312" w:cs="仿宋_GB2312"/>
          <w:b/>
          <w:color w:val="auto"/>
          <w:sz w:val="24"/>
          <w:szCs w:val="21"/>
          <w:highlight w:val="none"/>
        </w:rPr>
        <w:t>：</w:t>
      </w:r>
    </w:p>
    <w:p w14:paraId="5905D2FC">
      <w:pPr>
        <w:spacing w:line="360" w:lineRule="auto"/>
        <w:ind w:right="-21" w:rightChars="-10" w:firstLine="564" w:firstLineChars="235"/>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失信主体、政府采购严重违法失信行为记录名单。</w:t>
      </w:r>
    </w:p>
    <w:p w14:paraId="1A844D11">
      <w:pPr>
        <w:tabs>
          <w:tab w:val="left" w:pos="10065"/>
        </w:tabs>
        <w:spacing w:line="360" w:lineRule="auto"/>
        <w:ind w:right="-21" w:rightChars="-10" w:firstLine="424" w:firstLineChars="177"/>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如发现我单位提供的声明函不实时，我单位将按照《政府采购法》有关提供虚假材料的规定，接受处罚。</w:t>
      </w:r>
    </w:p>
    <w:p w14:paraId="1221D1A9">
      <w:pPr>
        <w:spacing w:line="360" w:lineRule="auto"/>
        <w:ind w:right="1050" w:rightChars="500" w:firstLine="480" w:firstLineChars="200"/>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特此声明。</w:t>
      </w:r>
    </w:p>
    <w:p w14:paraId="63EDD2D8">
      <w:pPr>
        <w:spacing w:line="500" w:lineRule="exact"/>
        <w:ind w:right="1050" w:rightChars="500"/>
        <w:rPr>
          <w:rFonts w:ascii="仿宋_GB2312" w:hAnsi="仿宋" w:eastAsia="仿宋_GB2312" w:cs="仿宋_GB2312"/>
          <w:color w:val="auto"/>
          <w:sz w:val="24"/>
          <w:szCs w:val="21"/>
          <w:highlight w:val="none"/>
        </w:rPr>
      </w:pPr>
    </w:p>
    <w:p w14:paraId="03BEDC17">
      <w:pPr>
        <w:spacing w:line="500" w:lineRule="exact"/>
        <w:ind w:right="1050" w:rightChars="500"/>
        <w:rPr>
          <w:rFonts w:ascii="仿宋_GB2312" w:hAnsi="仿宋" w:eastAsia="仿宋_GB2312" w:cs="仿宋_GB2312"/>
          <w:color w:val="auto"/>
          <w:sz w:val="24"/>
          <w:szCs w:val="21"/>
          <w:highlight w:val="none"/>
        </w:rPr>
      </w:pPr>
    </w:p>
    <w:p w14:paraId="71D870D2">
      <w:pPr>
        <w:spacing w:line="500" w:lineRule="exact"/>
        <w:ind w:right="1050" w:rightChars="500"/>
        <w:rPr>
          <w:rFonts w:ascii="仿宋_GB2312" w:hAnsi="仿宋" w:eastAsia="仿宋_GB2312" w:cs="仿宋_GB2312"/>
          <w:color w:val="auto"/>
          <w:sz w:val="24"/>
          <w:szCs w:val="21"/>
          <w:highlight w:val="none"/>
        </w:rPr>
      </w:pPr>
    </w:p>
    <w:p w14:paraId="00410D99">
      <w:pPr>
        <w:spacing w:before="159" w:beforeLines="50" w:after="159" w:afterLines="50" w:line="400" w:lineRule="exact"/>
        <w:ind w:right="1050" w:rightChars="500"/>
        <w:rPr>
          <w:rFonts w:ascii="仿宋_GB2312" w:hAnsi="仿宋" w:eastAsia="仿宋_GB2312" w:cs="仿宋_GB2312"/>
          <w:color w:val="auto"/>
          <w:sz w:val="24"/>
          <w:szCs w:val="21"/>
          <w:highlight w:val="none"/>
        </w:rPr>
      </w:pPr>
    </w:p>
    <w:p w14:paraId="1F71F79D">
      <w:pPr>
        <w:spacing w:line="360" w:lineRule="exact"/>
        <w:ind w:right="1050" w:rightChars="500"/>
        <w:rPr>
          <w:rFonts w:ascii="仿宋_GB2312" w:hAnsi="仿宋" w:eastAsia="仿宋_GB2312" w:cs="仿宋_GB2312"/>
          <w:color w:val="auto"/>
          <w:sz w:val="24"/>
          <w:szCs w:val="21"/>
          <w:highlight w:val="none"/>
        </w:rPr>
      </w:pPr>
    </w:p>
    <w:p w14:paraId="0A7C756B">
      <w:pPr>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投标人名称（加盖单位公章）：</w:t>
      </w:r>
      <w:r>
        <w:rPr>
          <w:rFonts w:hint="eastAsia" w:ascii="仿宋_GB2312" w:hAnsi="仿宋" w:eastAsia="仿宋_GB2312" w:cs="仿宋_GB2312"/>
          <w:color w:val="auto"/>
          <w:sz w:val="24"/>
          <w:highlight w:val="none"/>
          <w:u w:val="single"/>
        </w:rPr>
        <w:t xml:space="preserve">           </w:t>
      </w:r>
    </w:p>
    <w:p w14:paraId="4707CA5B">
      <w:pPr>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法定代表人（或</w:t>
      </w:r>
      <w:r>
        <w:rPr>
          <w:rFonts w:hint="eastAsia" w:ascii="仿宋_GB2312" w:hAnsi="仿宋" w:eastAsia="仿宋_GB2312" w:cs="仿宋_GB2312"/>
          <w:color w:val="auto"/>
          <w:sz w:val="24"/>
          <w:szCs w:val="21"/>
          <w:highlight w:val="none"/>
        </w:rPr>
        <w:t>非法人组织负责人）或</w:t>
      </w:r>
      <w:r>
        <w:rPr>
          <w:rFonts w:hint="eastAsia" w:ascii="仿宋_GB2312" w:hAnsi="仿宋" w:eastAsia="仿宋_GB2312" w:cs="仿宋_GB2312"/>
          <w:color w:val="auto"/>
          <w:sz w:val="24"/>
          <w:highlight w:val="none"/>
        </w:rPr>
        <w:t>其</w:t>
      </w:r>
      <w:r>
        <w:rPr>
          <w:rFonts w:hint="eastAsia" w:ascii="仿宋_GB2312" w:hAnsi="仿宋" w:eastAsia="仿宋_GB2312" w:cs="仿宋_GB2312"/>
          <w:color w:val="auto"/>
          <w:sz w:val="24"/>
          <w:szCs w:val="21"/>
          <w:highlight w:val="none"/>
        </w:rPr>
        <w:t>授权</w:t>
      </w:r>
      <w:r>
        <w:rPr>
          <w:rFonts w:hint="eastAsia" w:ascii="仿宋_GB2312" w:hAnsi="仿宋" w:eastAsia="仿宋_GB2312" w:cs="仿宋_GB2312"/>
          <w:color w:val="auto"/>
          <w:sz w:val="24"/>
          <w:highlight w:val="none"/>
        </w:rPr>
        <w:t>委托</w:t>
      </w:r>
      <w:r>
        <w:rPr>
          <w:rFonts w:hint="eastAsia" w:ascii="仿宋_GB2312" w:hAnsi="仿宋" w:eastAsia="仿宋_GB2312" w:cs="仿宋_GB2312"/>
          <w:color w:val="auto"/>
          <w:sz w:val="24"/>
          <w:szCs w:val="21"/>
          <w:highlight w:val="none"/>
        </w:rPr>
        <w:t>人</w:t>
      </w:r>
      <w:r>
        <w:rPr>
          <w:rFonts w:hint="eastAsia" w:ascii="仿宋_GB2312" w:hAnsi="仿宋" w:eastAsia="仿宋_GB2312" w:cs="仿宋_GB2312"/>
          <w:color w:val="auto"/>
          <w:sz w:val="24"/>
          <w:highlight w:val="none"/>
        </w:rPr>
        <w:t>(签字或盖章)：</w:t>
      </w:r>
      <w:r>
        <w:rPr>
          <w:rFonts w:hint="eastAsia" w:ascii="仿宋_GB2312" w:hAnsi="仿宋" w:eastAsia="仿宋_GB2312" w:cs="仿宋_GB2312"/>
          <w:color w:val="auto"/>
          <w:sz w:val="24"/>
          <w:highlight w:val="none"/>
          <w:u w:val="single"/>
        </w:rPr>
        <w:t xml:space="preserve">           </w:t>
      </w:r>
    </w:p>
    <w:p w14:paraId="3D795015">
      <w:pPr>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日      期：</w:t>
      </w:r>
      <w:r>
        <w:rPr>
          <w:rFonts w:hint="eastAsia" w:ascii="仿宋_GB2312" w:hAnsi="仿宋" w:eastAsia="仿宋_GB2312" w:cs="仿宋_GB2312"/>
          <w:color w:val="auto"/>
          <w:sz w:val="24"/>
          <w:highlight w:val="none"/>
          <w:u w:val="single"/>
        </w:rPr>
        <w:t xml:space="preserve">               </w:t>
      </w:r>
    </w:p>
    <w:p w14:paraId="170F115B">
      <w:pPr>
        <w:pStyle w:val="3"/>
        <w:adjustRightInd w:val="0"/>
        <w:snapToGrid w:val="0"/>
        <w:spacing w:before="0" w:after="0" w:line="240" w:lineRule="auto"/>
        <w:jc w:val="left"/>
        <w:rPr>
          <w:rFonts w:ascii="仿宋_GB2312" w:hAnsi="仿宋" w:eastAsia="仿宋_GB2312" w:cs="仿宋_GB2312"/>
          <w:color w:val="auto"/>
          <w:szCs w:val="28"/>
          <w:highlight w:val="none"/>
        </w:rPr>
      </w:pPr>
      <w:r>
        <w:rPr>
          <w:rFonts w:hint="eastAsia" w:ascii="仿宋_GB2312" w:hAnsi="仿宋" w:eastAsia="仿宋_GB2312" w:cs="仿宋_GB2312"/>
          <w:color w:val="auto"/>
          <w:sz w:val="36"/>
          <w:szCs w:val="21"/>
          <w:highlight w:val="none"/>
        </w:rPr>
        <w:br w:type="page"/>
      </w:r>
      <w:r>
        <w:rPr>
          <w:rFonts w:hint="eastAsia" w:ascii="仿宋_GB2312" w:hAnsi="仿宋" w:eastAsia="仿宋_GB2312" w:cs="仿宋_GB2312"/>
          <w:color w:val="auto"/>
          <w:szCs w:val="28"/>
          <w:highlight w:val="none"/>
        </w:rPr>
        <w:t>格式9</w:t>
      </w:r>
    </w:p>
    <w:p w14:paraId="589FBB81">
      <w:pPr>
        <w:spacing w:before="159" w:beforeLines="50" w:after="159" w:afterLines="50" w:line="360" w:lineRule="auto"/>
        <w:ind w:right="-21" w:rightChars="-10"/>
        <w:jc w:val="center"/>
        <w:rPr>
          <w:rFonts w:ascii="方正小标宋简体" w:hAnsi="仿宋" w:eastAsia="方正小标宋简体" w:cs="仿宋_GB2312"/>
          <w:bCs/>
          <w:color w:val="auto"/>
          <w:sz w:val="32"/>
          <w:szCs w:val="32"/>
          <w:highlight w:val="none"/>
        </w:rPr>
      </w:pPr>
      <w:bookmarkStart w:id="111" w:name="_Toc16873_WPSOffice_Level2"/>
      <w:bookmarkStart w:id="112" w:name="_Toc30548_WPSOffice_Level2"/>
      <w:r>
        <w:rPr>
          <w:rFonts w:hint="eastAsia" w:ascii="方正小标宋简体" w:hAnsi="仿宋_GB2312" w:eastAsia="方正小标宋简体" w:cs="仿宋_GB2312"/>
          <w:color w:val="auto"/>
          <w:sz w:val="32"/>
          <w:szCs w:val="32"/>
          <w:highlight w:val="none"/>
        </w:rPr>
        <w:t>联合体协议书</w:t>
      </w:r>
      <w:bookmarkEnd w:id="111"/>
      <w:bookmarkEnd w:id="112"/>
      <w:r>
        <w:rPr>
          <w:rFonts w:hint="eastAsia" w:ascii="方正小标宋简体" w:hAnsi="仿宋_GB2312" w:eastAsia="方正小标宋简体" w:cs="仿宋_GB2312"/>
          <w:color w:val="auto"/>
          <w:sz w:val="32"/>
          <w:szCs w:val="32"/>
          <w:highlight w:val="none"/>
        </w:rPr>
        <w:t>（本项目不适用）</w:t>
      </w:r>
    </w:p>
    <w:p w14:paraId="1646881B">
      <w:pPr>
        <w:pStyle w:val="12"/>
        <w:spacing w:line="440" w:lineRule="exac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u w:val="single"/>
        </w:rPr>
        <w:t>(采购人或采购组织机构)</w:t>
      </w:r>
      <w:r>
        <w:rPr>
          <w:rFonts w:hint="eastAsia" w:ascii="仿宋_GB2312" w:hAnsi="仿宋" w:eastAsia="仿宋_GB2312" w:cs="仿宋_GB2312"/>
          <w:color w:val="auto"/>
          <w:sz w:val="24"/>
          <w:highlight w:val="none"/>
        </w:rPr>
        <w:t>：</w:t>
      </w:r>
    </w:p>
    <w:p w14:paraId="43C876E0">
      <w:pPr>
        <w:pStyle w:val="12"/>
        <w:spacing w:line="440" w:lineRule="exact"/>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经研究，我方决定自愿组成联合体共同参加</w:t>
      </w:r>
      <w:r>
        <w:rPr>
          <w:rFonts w:hint="eastAsia" w:ascii="仿宋_GB2312" w:hAnsi="仿宋" w:eastAsia="仿宋_GB2312" w:cs="仿宋_GB2312"/>
          <w:color w:val="auto"/>
          <w:sz w:val="24"/>
          <w:highlight w:val="none"/>
          <w:u w:val="single"/>
        </w:rPr>
        <w:t>(项目名称、项目编号、包号)</w:t>
      </w:r>
      <w:r>
        <w:rPr>
          <w:rFonts w:hint="eastAsia" w:ascii="仿宋_GB2312" w:hAnsi="仿宋" w:eastAsia="仿宋_GB2312" w:cs="仿宋_GB2312"/>
          <w:color w:val="auto"/>
          <w:sz w:val="24"/>
          <w:highlight w:val="none"/>
        </w:rPr>
        <w:t>项目的投标。现就联合体投标事宜订立如下协议：</w:t>
      </w:r>
    </w:p>
    <w:p w14:paraId="61945EE7">
      <w:pPr>
        <w:pStyle w:val="12"/>
        <w:spacing w:line="440" w:lineRule="exact"/>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一、联合体成员：</w:t>
      </w:r>
    </w:p>
    <w:p w14:paraId="142C14F8">
      <w:pPr>
        <w:pStyle w:val="12"/>
        <w:spacing w:line="440" w:lineRule="exact"/>
        <w:ind w:firstLine="480" w:firstLineChars="200"/>
        <w:rPr>
          <w:rFonts w:ascii="仿宋_GB2312" w:hAnsi="仿宋" w:eastAsia="仿宋_GB2312" w:cs="仿宋_GB2312"/>
          <w:color w:val="auto"/>
          <w:sz w:val="24"/>
          <w:highlight w:val="none"/>
          <w:u w:val="single"/>
        </w:rPr>
      </w:pPr>
      <w:bookmarkStart w:id="113" w:name="_Toc23749_WPSOffice_Level2"/>
      <w:bookmarkStart w:id="114" w:name="_Toc15561_WPSOffice_Level2"/>
      <w:r>
        <w:rPr>
          <w:rFonts w:hint="eastAsia" w:ascii="仿宋_GB2312" w:hAnsi="仿宋" w:eastAsia="仿宋_GB2312" w:cs="仿宋_GB2312"/>
          <w:color w:val="auto"/>
          <w:sz w:val="24"/>
          <w:highlight w:val="none"/>
        </w:rPr>
        <w:t>1.</w:t>
      </w:r>
      <w:bookmarkEnd w:id="113"/>
      <w:bookmarkEnd w:id="114"/>
      <w:r>
        <w:rPr>
          <w:rFonts w:hint="eastAsia" w:ascii="仿宋_GB2312" w:hAnsi="仿宋" w:eastAsia="仿宋_GB2312" w:cs="仿宋_GB2312"/>
          <w:color w:val="auto"/>
          <w:sz w:val="24"/>
          <w:highlight w:val="none"/>
          <w:u w:val="single"/>
        </w:rPr>
        <w:t xml:space="preserve">                  </w:t>
      </w:r>
    </w:p>
    <w:p w14:paraId="56423311">
      <w:pPr>
        <w:pStyle w:val="12"/>
        <w:spacing w:line="440" w:lineRule="exact"/>
        <w:ind w:firstLine="480" w:firstLineChars="200"/>
        <w:rPr>
          <w:rFonts w:ascii="仿宋_GB2312" w:hAnsi="仿宋" w:eastAsia="仿宋_GB2312" w:cs="仿宋_GB2312"/>
          <w:color w:val="auto"/>
          <w:sz w:val="24"/>
          <w:highlight w:val="none"/>
          <w:u w:val="single"/>
        </w:rPr>
      </w:pPr>
      <w:bookmarkStart w:id="115" w:name="_Toc405_WPSOffice_Level2"/>
      <w:bookmarkStart w:id="116" w:name="_Toc22173_WPSOffice_Level2"/>
      <w:r>
        <w:rPr>
          <w:rFonts w:hint="eastAsia" w:ascii="仿宋_GB2312" w:hAnsi="仿宋" w:eastAsia="仿宋_GB2312" w:cs="仿宋_GB2312"/>
          <w:color w:val="auto"/>
          <w:sz w:val="24"/>
          <w:highlight w:val="none"/>
        </w:rPr>
        <w:t>2.</w:t>
      </w:r>
      <w:bookmarkEnd w:id="115"/>
      <w:bookmarkEnd w:id="116"/>
      <w:r>
        <w:rPr>
          <w:rFonts w:hint="eastAsia" w:ascii="仿宋_GB2312" w:hAnsi="仿宋" w:eastAsia="仿宋_GB2312" w:cs="仿宋_GB2312"/>
          <w:color w:val="auto"/>
          <w:sz w:val="24"/>
          <w:highlight w:val="none"/>
          <w:u w:val="single"/>
        </w:rPr>
        <w:t xml:space="preserve">                  </w:t>
      </w:r>
    </w:p>
    <w:p w14:paraId="6E0CF1BC">
      <w:pPr>
        <w:pStyle w:val="12"/>
        <w:spacing w:line="440" w:lineRule="exact"/>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w:t>
      </w:r>
    </w:p>
    <w:p w14:paraId="299C458E">
      <w:pPr>
        <w:pStyle w:val="12"/>
        <w:spacing w:line="440" w:lineRule="exact"/>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二、</w:t>
      </w:r>
      <w:r>
        <w:rPr>
          <w:rFonts w:hint="eastAsia" w:ascii="仿宋_GB2312" w:hAnsi="仿宋" w:eastAsia="仿宋_GB2312" w:cs="仿宋_GB2312"/>
          <w:color w:val="auto"/>
          <w:sz w:val="24"/>
          <w:highlight w:val="none"/>
          <w:u w:val="single"/>
        </w:rPr>
        <w:t>(某成员单位名称)</w:t>
      </w:r>
      <w:r>
        <w:rPr>
          <w:rFonts w:hint="eastAsia" w:ascii="仿宋_GB2312" w:hAnsi="仿宋" w:eastAsia="仿宋_GB2312" w:cs="仿宋_GB2312"/>
          <w:color w:val="auto"/>
          <w:sz w:val="24"/>
          <w:highlight w:val="none"/>
        </w:rPr>
        <w:t>为(联合体名称)牵头人。</w:t>
      </w:r>
    </w:p>
    <w:p w14:paraId="631430EC">
      <w:pPr>
        <w:pStyle w:val="12"/>
        <w:spacing w:line="440" w:lineRule="exact"/>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14:paraId="68FEDF5B">
      <w:pPr>
        <w:pStyle w:val="12"/>
        <w:spacing w:line="440" w:lineRule="exact"/>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四、联合体将严格按照招标文件的各项要求，递交投标文件，参加投标，履行中标义务和中标后的合同，并向采购人承担连带责任。</w:t>
      </w:r>
    </w:p>
    <w:p w14:paraId="2D65FF03">
      <w:pPr>
        <w:adjustRightInd w:val="0"/>
        <w:snapToGrid w:val="0"/>
        <w:spacing w:line="440" w:lineRule="exact"/>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五、联合体各成员单位内部的职责分工如下：</w:t>
      </w:r>
      <w:r>
        <w:rPr>
          <w:rFonts w:hint="eastAsia" w:ascii="仿宋_GB2312" w:hAnsi="仿宋" w:eastAsia="仿宋_GB2312"/>
          <w:color w:val="auto"/>
          <w:sz w:val="24"/>
          <w:highlight w:val="none"/>
          <w:u w:val="single"/>
        </w:rPr>
        <w:t xml:space="preserve">                  </w:t>
      </w:r>
      <w:r>
        <w:rPr>
          <w:rFonts w:hint="eastAsia" w:ascii="仿宋_GB2312" w:hAnsi="仿宋" w:eastAsia="仿宋_GB2312"/>
          <w:color w:val="auto"/>
          <w:sz w:val="24"/>
          <w:highlight w:val="none"/>
        </w:rPr>
        <w:t>。按照本条上述分工，联合体成员单位各自所承担的合同工作量比例如下：</w:t>
      </w:r>
      <w:r>
        <w:rPr>
          <w:rFonts w:hint="eastAsia" w:ascii="仿宋_GB2312" w:hAnsi="仿宋" w:eastAsia="仿宋_GB2312"/>
          <w:color w:val="auto"/>
          <w:sz w:val="24"/>
          <w:highlight w:val="none"/>
          <w:u w:val="single"/>
        </w:rPr>
        <w:t xml:space="preserve">                  </w:t>
      </w:r>
      <w:r>
        <w:rPr>
          <w:rFonts w:hint="eastAsia" w:ascii="仿宋_GB2312" w:hAnsi="仿宋" w:eastAsia="仿宋_GB2312"/>
          <w:color w:val="auto"/>
          <w:sz w:val="24"/>
          <w:highlight w:val="none"/>
        </w:rPr>
        <w:t>。大中型企业、其他自然人、法人或者非法人组织与小型、微型企业组成联合体共同参加投标的，小型、微型企业的协议合同金额占到共同投标协议投标总金额的比例如下：</w:t>
      </w:r>
      <w:r>
        <w:rPr>
          <w:rFonts w:hint="eastAsia" w:ascii="仿宋_GB2312" w:hAnsi="仿宋" w:eastAsia="仿宋_GB2312"/>
          <w:color w:val="auto"/>
          <w:sz w:val="24"/>
          <w:highlight w:val="none"/>
          <w:u w:val="single"/>
        </w:rPr>
        <w:t xml:space="preserve">                  </w:t>
      </w:r>
      <w:r>
        <w:rPr>
          <w:rFonts w:hint="eastAsia" w:ascii="仿宋_GB2312" w:hAnsi="仿宋" w:eastAsia="仿宋_GB2312"/>
          <w:color w:val="auto"/>
          <w:sz w:val="24"/>
          <w:highlight w:val="none"/>
        </w:rPr>
        <w:t>。</w:t>
      </w:r>
    </w:p>
    <w:p w14:paraId="13187DB6">
      <w:pPr>
        <w:pStyle w:val="12"/>
        <w:spacing w:line="440" w:lineRule="exact"/>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六、本协议书自签署之日起生效，合同履行完毕后自动失效。</w:t>
      </w:r>
    </w:p>
    <w:p w14:paraId="0438B1DB">
      <w:pPr>
        <w:pStyle w:val="12"/>
        <w:spacing w:line="440" w:lineRule="exact"/>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七、本协议书一式</w:t>
      </w:r>
      <w:r>
        <w:rPr>
          <w:rFonts w:hint="eastAsia" w:ascii="仿宋_GB2312" w:hAnsi="仿宋" w:eastAsia="仿宋_GB2312" w:cs="仿宋_GB2312"/>
          <w:color w:val="auto"/>
          <w:sz w:val="24"/>
          <w:highlight w:val="none"/>
          <w:u w:val="single"/>
        </w:rPr>
        <w:t xml:space="preserve">  </w:t>
      </w:r>
      <w:r>
        <w:rPr>
          <w:rFonts w:hint="eastAsia" w:ascii="仿宋_GB2312" w:hAnsi="仿宋" w:eastAsia="仿宋_GB2312" w:cs="仿宋_GB2312"/>
          <w:color w:val="auto"/>
          <w:sz w:val="24"/>
          <w:highlight w:val="none"/>
        </w:rPr>
        <w:t>份，联合体成员和采购人各执</w:t>
      </w:r>
      <w:r>
        <w:rPr>
          <w:rFonts w:hint="eastAsia" w:ascii="仿宋_GB2312" w:hAnsi="仿宋" w:eastAsia="仿宋_GB2312" w:cs="仿宋_GB2312"/>
          <w:color w:val="auto"/>
          <w:sz w:val="24"/>
          <w:highlight w:val="none"/>
          <w:u w:val="single"/>
        </w:rPr>
        <w:t xml:space="preserve">  </w:t>
      </w:r>
      <w:r>
        <w:rPr>
          <w:rFonts w:hint="eastAsia" w:ascii="仿宋_GB2312" w:hAnsi="仿宋" w:eastAsia="仿宋_GB2312" w:cs="仿宋_GB2312"/>
          <w:color w:val="auto"/>
          <w:sz w:val="24"/>
          <w:highlight w:val="none"/>
        </w:rPr>
        <w:t>份。</w:t>
      </w:r>
    </w:p>
    <w:p w14:paraId="1618A9F8">
      <w:pPr>
        <w:pStyle w:val="12"/>
        <w:spacing w:line="440" w:lineRule="exact"/>
        <w:rPr>
          <w:rFonts w:ascii="仿宋_GB2312" w:hAnsi="仿宋" w:eastAsia="仿宋_GB2312" w:cs="仿宋_GB2312"/>
          <w:color w:val="auto"/>
          <w:sz w:val="24"/>
          <w:highlight w:val="none"/>
          <w:u w:val="single"/>
        </w:rPr>
      </w:pPr>
      <w:r>
        <w:rPr>
          <w:rFonts w:hint="eastAsia" w:ascii="仿宋_GB2312" w:hAnsi="仿宋" w:eastAsia="仿宋_GB2312" w:cs="仿宋_GB2312"/>
          <w:color w:val="auto"/>
          <w:sz w:val="24"/>
          <w:highlight w:val="none"/>
        </w:rPr>
        <w:t>牵头人名称(加盖单位公章)：</w:t>
      </w:r>
      <w:r>
        <w:rPr>
          <w:rFonts w:hint="eastAsia" w:ascii="仿宋_GB2312" w:hAnsi="仿宋" w:eastAsia="仿宋_GB2312" w:cs="仿宋_GB2312"/>
          <w:color w:val="auto"/>
          <w:sz w:val="24"/>
          <w:highlight w:val="none"/>
          <w:u w:val="single"/>
        </w:rPr>
        <w:t xml:space="preserve">                       </w:t>
      </w:r>
      <w:r>
        <w:rPr>
          <w:rFonts w:ascii="仿宋_GB2312" w:hAnsi="仿宋" w:eastAsia="仿宋_GB2312" w:cs="仿宋_GB2312"/>
          <w:color w:val="auto"/>
          <w:sz w:val="24"/>
          <w:highlight w:val="none"/>
          <w:u w:val="single"/>
        </w:rPr>
        <w:t xml:space="preserve">  </w:t>
      </w:r>
      <w:r>
        <w:rPr>
          <w:rFonts w:hint="eastAsia" w:ascii="仿宋_GB2312" w:hAnsi="仿宋" w:eastAsia="仿宋_GB2312" w:cs="仿宋_GB2312"/>
          <w:color w:val="auto"/>
          <w:sz w:val="24"/>
          <w:highlight w:val="none"/>
          <w:u w:val="single"/>
        </w:rPr>
        <w:t xml:space="preserve">     </w:t>
      </w:r>
    </w:p>
    <w:p w14:paraId="40AACA89">
      <w:pPr>
        <w:pStyle w:val="12"/>
        <w:spacing w:line="440" w:lineRule="exac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法定代表人或其授权委托人(签字或盖章)：</w:t>
      </w:r>
      <w:r>
        <w:rPr>
          <w:rFonts w:hint="eastAsia" w:ascii="仿宋_GB2312" w:hAnsi="仿宋" w:eastAsia="仿宋_GB2312" w:cs="仿宋_GB2312"/>
          <w:color w:val="auto"/>
          <w:sz w:val="24"/>
          <w:highlight w:val="none"/>
          <w:u w:val="single"/>
        </w:rPr>
        <w:t xml:space="preserve">                  </w:t>
      </w:r>
    </w:p>
    <w:p w14:paraId="5949BB82">
      <w:pPr>
        <w:pStyle w:val="12"/>
        <w:spacing w:line="440" w:lineRule="exact"/>
        <w:rPr>
          <w:rFonts w:ascii="仿宋_GB2312" w:hAnsi="仿宋" w:eastAsia="仿宋_GB2312" w:cs="仿宋_GB2312"/>
          <w:color w:val="auto"/>
          <w:sz w:val="24"/>
          <w:highlight w:val="none"/>
          <w:u w:val="single"/>
        </w:rPr>
      </w:pPr>
      <w:r>
        <w:rPr>
          <w:rFonts w:hint="eastAsia" w:ascii="仿宋_GB2312" w:hAnsi="仿宋" w:eastAsia="仿宋_GB2312" w:cs="仿宋_GB2312"/>
          <w:color w:val="auto"/>
          <w:sz w:val="24"/>
          <w:highlight w:val="none"/>
        </w:rPr>
        <w:t>成员名称(加盖单位公章)：</w:t>
      </w:r>
      <w:r>
        <w:rPr>
          <w:rFonts w:hint="eastAsia" w:ascii="仿宋_GB2312" w:hAnsi="仿宋" w:eastAsia="仿宋_GB2312" w:cs="仿宋_GB2312"/>
          <w:color w:val="auto"/>
          <w:sz w:val="24"/>
          <w:highlight w:val="none"/>
          <w:u w:val="single"/>
        </w:rPr>
        <w:t xml:space="preserve">                           </w:t>
      </w:r>
      <w:r>
        <w:rPr>
          <w:rFonts w:ascii="仿宋_GB2312" w:hAnsi="仿宋" w:eastAsia="仿宋_GB2312" w:cs="仿宋_GB2312"/>
          <w:color w:val="auto"/>
          <w:sz w:val="24"/>
          <w:highlight w:val="none"/>
          <w:u w:val="single"/>
        </w:rPr>
        <w:t xml:space="preserve">  </w:t>
      </w:r>
      <w:r>
        <w:rPr>
          <w:rFonts w:hint="eastAsia" w:ascii="仿宋_GB2312" w:hAnsi="仿宋" w:eastAsia="仿宋_GB2312" w:cs="仿宋_GB2312"/>
          <w:color w:val="auto"/>
          <w:sz w:val="24"/>
          <w:highlight w:val="none"/>
          <w:u w:val="single"/>
        </w:rPr>
        <w:t xml:space="preserve">   </w:t>
      </w:r>
    </w:p>
    <w:p w14:paraId="2903E3DA">
      <w:pPr>
        <w:pStyle w:val="12"/>
        <w:spacing w:line="440" w:lineRule="exact"/>
        <w:rPr>
          <w:rFonts w:ascii="仿宋_GB2312" w:hAnsi="仿宋" w:eastAsia="仿宋_GB2312" w:cs="仿宋_GB2312"/>
          <w:color w:val="auto"/>
          <w:sz w:val="24"/>
          <w:highlight w:val="none"/>
          <w:u w:val="single"/>
        </w:rPr>
      </w:pPr>
      <w:r>
        <w:rPr>
          <w:rFonts w:hint="eastAsia" w:ascii="仿宋_GB2312" w:hAnsi="仿宋" w:eastAsia="仿宋_GB2312" w:cs="仿宋_GB2312"/>
          <w:color w:val="auto"/>
          <w:sz w:val="24"/>
          <w:highlight w:val="none"/>
        </w:rPr>
        <w:t>法定代表人或其授权委托人(签字或盖章)：</w:t>
      </w:r>
      <w:r>
        <w:rPr>
          <w:rFonts w:hint="eastAsia" w:ascii="仿宋_GB2312" w:hAnsi="仿宋" w:eastAsia="仿宋_GB2312" w:cs="仿宋_GB2312"/>
          <w:color w:val="auto"/>
          <w:sz w:val="24"/>
          <w:highlight w:val="none"/>
          <w:u w:val="single"/>
        </w:rPr>
        <w:t xml:space="preserve">                  </w:t>
      </w:r>
    </w:p>
    <w:p w14:paraId="5B45786F">
      <w:pPr>
        <w:pStyle w:val="12"/>
        <w:spacing w:line="440" w:lineRule="exac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w:t>
      </w:r>
    </w:p>
    <w:p w14:paraId="6934CD4A">
      <w:pPr>
        <w:spacing w:line="360" w:lineRule="exact"/>
        <w:ind w:right="1050" w:rightChars="500"/>
        <w:jc w:val="left"/>
        <w:rPr>
          <w:rFonts w:ascii="仿宋_GB2312" w:hAnsi="仿宋" w:eastAsia="仿宋_GB2312" w:cs="仿宋_GB2312"/>
          <w:color w:val="auto"/>
          <w:sz w:val="24"/>
          <w:highlight w:val="none"/>
          <w:u w:val="single"/>
        </w:rPr>
      </w:pPr>
      <w:r>
        <w:rPr>
          <w:rFonts w:hint="eastAsia" w:ascii="仿宋_GB2312" w:hAnsi="仿宋" w:eastAsia="仿宋_GB2312" w:cs="仿宋_GB2312"/>
          <w:color w:val="auto"/>
          <w:sz w:val="24"/>
          <w:szCs w:val="21"/>
          <w:highlight w:val="none"/>
        </w:rPr>
        <w:t xml:space="preserve">日 </w:t>
      </w:r>
      <w:r>
        <w:rPr>
          <w:rFonts w:ascii="仿宋_GB2312" w:hAnsi="仿宋" w:eastAsia="仿宋_GB2312" w:cs="仿宋_GB2312"/>
          <w:color w:val="auto"/>
          <w:sz w:val="24"/>
          <w:szCs w:val="21"/>
          <w:highlight w:val="none"/>
        </w:rPr>
        <w:t xml:space="preserve">     </w:t>
      </w:r>
      <w:r>
        <w:rPr>
          <w:rFonts w:hint="eastAsia" w:ascii="仿宋_GB2312" w:hAnsi="仿宋" w:eastAsia="仿宋_GB2312" w:cs="仿宋_GB2312"/>
          <w:color w:val="auto"/>
          <w:sz w:val="24"/>
          <w:szCs w:val="21"/>
          <w:highlight w:val="none"/>
        </w:rPr>
        <w:t>期：</w:t>
      </w:r>
      <w:r>
        <w:rPr>
          <w:rFonts w:hint="eastAsia" w:ascii="仿宋_GB2312" w:hAnsi="仿宋" w:eastAsia="仿宋_GB2312" w:cs="仿宋_GB2312"/>
          <w:color w:val="auto"/>
          <w:sz w:val="24"/>
          <w:highlight w:val="none"/>
          <w:u w:val="single"/>
        </w:rPr>
        <w:t xml:space="preserve">              </w:t>
      </w:r>
    </w:p>
    <w:p w14:paraId="46A3E6E4">
      <w:pPr>
        <w:pStyle w:val="3"/>
        <w:adjustRightInd w:val="0"/>
        <w:snapToGrid w:val="0"/>
        <w:spacing w:before="0" w:after="0" w:line="240" w:lineRule="auto"/>
        <w:jc w:val="left"/>
        <w:rPr>
          <w:rFonts w:ascii="仿宋_GB2312" w:hAnsi="仿宋" w:eastAsia="仿宋_GB2312" w:cs="仿宋_GB2312"/>
          <w:color w:val="auto"/>
          <w:szCs w:val="28"/>
          <w:highlight w:val="none"/>
        </w:rPr>
      </w:pPr>
      <w:r>
        <w:rPr>
          <w:color w:val="auto"/>
          <w:highlight w:val="none"/>
          <w:u w:val="single"/>
        </w:rPr>
        <w:br w:type="page"/>
      </w:r>
      <w:r>
        <w:rPr>
          <w:rFonts w:hint="eastAsia" w:ascii="仿宋_GB2312" w:hAnsi="仿宋" w:eastAsia="仿宋_GB2312" w:cs="仿宋_GB2312"/>
          <w:color w:val="auto"/>
          <w:szCs w:val="28"/>
          <w:highlight w:val="none"/>
        </w:rPr>
        <w:t>格式10</w:t>
      </w:r>
    </w:p>
    <w:p w14:paraId="63711EB1">
      <w:pPr>
        <w:spacing w:before="159" w:beforeLines="50" w:after="159" w:afterLines="50" w:line="360" w:lineRule="auto"/>
        <w:ind w:right="-21" w:rightChars="-10"/>
        <w:jc w:val="center"/>
        <w:rPr>
          <w:rFonts w:ascii="方正小标宋简体" w:hAnsi="仿宋_GB2312" w:eastAsia="方正小标宋简体" w:cs="仿宋_GB2312"/>
          <w:color w:val="auto"/>
          <w:sz w:val="32"/>
          <w:szCs w:val="32"/>
          <w:highlight w:val="none"/>
        </w:rPr>
      </w:pPr>
      <w:r>
        <w:rPr>
          <w:rFonts w:hint="eastAsia" w:ascii="方正小标宋简体" w:hAnsi="仿宋_GB2312" w:eastAsia="方正小标宋简体" w:cs="仿宋_GB2312"/>
          <w:color w:val="auto"/>
          <w:sz w:val="32"/>
          <w:szCs w:val="32"/>
          <w:highlight w:val="none"/>
        </w:rPr>
        <w:t>投标函</w:t>
      </w:r>
    </w:p>
    <w:p w14:paraId="6A22F60B">
      <w:pPr>
        <w:adjustRightInd w:val="0"/>
        <w:snapToGrid w:val="0"/>
        <w:spacing w:line="420" w:lineRule="exact"/>
        <w:ind w:right="630" w:rightChars="300"/>
        <w:rPr>
          <w:rFonts w:ascii="仿宋_GB2312" w:hAnsi="仿宋" w:eastAsia="仿宋_GB2312" w:cs="仿宋_GB2312"/>
          <w:color w:val="auto"/>
          <w:sz w:val="24"/>
          <w:szCs w:val="21"/>
          <w:highlight w:val="none"/>
          <w:u w:val="single"/>
        </w:rPr>
      </w:pPr>
      <w:r>
        <w:rPr>
          <w:rFonts w:hint="eastAsia" w:ascii="仿宋_GB2312" w:hAnsi="仿宋" w:eastAsia="仿宋_GB2312" w:cs="仿宋_GB2312"/>
          <w:color w:val="auto"/>
          <w:sz w:val="24"/>
          <w:szCs w:val="21"/>
          <w:highlight w:val="none"/>
          <w:u w:val="single"/>
        </w:rPr>
        <w:t>（采购人或采购组织机构）：</w:t>
      </w:r>
    </w:p>
    <w:p w14:paraId="56FE9C58">
      <w:pPr>
        <w:adjustRightInd w:val="0"/>
        <w:snapToGrid w:val="0"/>
        <w:spacing w:line="420" w:lineRule="exact"/>
        <w:ind w:right="-21" w:rightChars="-10"/>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 xml:space="preserve">    根据贵方</w:t>
      </w:r>
      <w:r>
        <w:rPr>
          <w:rFonts w:hint="eastAsia" w:ascii="仿宋_GB2312" w:hAnsi="仿宋" w:eastAsia="仿宋_GB2312" w:cs="仿宋_GB2312"/>
          <w:color w:val="auto"/>
          <w:sz w:val="24"/>
          <w:szCs w:val="21"/>
          <w:highlight w:val="none"/>
          <w:u w:val="single"/>
        </w:rPr>
        <w:t>(项目名称)</w:t>
      </w:r>
      <w:r>
        <w:rPr>
          <w:rFonts w:hint="eastAsia" w:ascii="仿宋_GB2312" w:hAnsi="仿宋" w:eastAsia="仿宋_GB2312" w:cs="仿宋_GB2312"/>
          <w:color w:val="auto"/>
          <w:sz w:val="24"/>
          <w:szCs w:val="21"/>
          <w:highlight w:val="none"/>
        </w:rPr>
        <w:t>项目的招标公告</w:t>
      </w:r>
      <w:r>
        <w:rPr>
          <w:rFonts w:hint="eastAsia" w:ascii="仿宋_GB2312" w:hAnsi="仿宋" w:eastAsia="仿宋_GB2312" w:cs="仿宋_GB2312"/>
          <w:color w:val="auto"/>
          <w:sz w:val="24"/>
          <w:szCs w:val="21"/>
          <w:highlight w:val="none"/>
          <w:u w:val="single"/>
        </w:rPr>
        <w:t>(招标编号)</w:t>
      </w:r>
      <w:r>
        <w:rPr>
          <w:rFonts w:hint="eastAsia" w:ascii="仿宋_GB2312" w:hAnsi="仿宋" w:eastAsia="仿宋_GB2312" w:cs="仿宋_GB2312"/>
          <w:color w:val="auto"/>
          <w:sz w:val="24"/>
          <w:szCs w:val="21"/>
          <w:highlight w:val="none"/>
        </w:rPr>
        <w:t>,签字代表</w:t>
      </w:r>
      <w:r>
        <w:rPr>
          <w:rFonts w:hint="eastAsia" w:ascii="仿宋_GB2312" w:hAnsi="仿宋" w:eastAsia="仿宋_GB2312" w:cs="仿宋_GB2312"/>
          <w:color w:val="auto"/>
          <w:sz w:val="24"/>
          <w:szCs w:val="21"/>
          <w:highlight w:val="none"/>
          <w:u w:val="single"/>
        </w:rPr>
        <w:t>(姓名、职务)</w:t>
      </w:r>
      <w:r>
        <w:rPr>
          <w:rFonts w:hint="eastAsia" w:ascii="仿宋_GB2312" w:hAnsi="仿宋" w:eastAsia="仿宋_GB2312" w:cs="仿宋_GB2312"/>
          <w:color w:val="auto"/>
          <w:sz w:val="24"/>
          <w:szCs w:val="21"/>
          <w:highlight w:val="none"/>
        </w:rPr>
        <w:t>经正式授权并代表投标人</w:t>
      </w:r>
      <w:r>
        <w:rPr>
          <w:rFonts w:hint="eastAsia" w:ascii="仿宋_GB2312" w:hAnsi="仿宋" w:eastAsia="仿宋_GB2312" w:cs="仿宋_GB2312"/>
          <w:color w:val="auto"/>
          <w:sz w:val="24"/>
          <w:szCs w:val="21"/>
          <w:highlight w:val="none"/>
          <w:u w:val="single"/>
        </w:rPr>
        <w:t>（名称、地址）</w:t>
      </w:r>
      <w:bookmarkStart w:id="117" w:name="_Hlk80971251"/>
      <w:bookmarkStart w:id="118" w:name="_Hlk80894428"/>
      <w:r>
        <w:rPr>
          <w:rFonts w:hint="eastAsia" w:ascii="仿宋_GB2312" w:hAnsi="仿宋" w:eastAsia="仿宋_GB2312" w:cs="仿宋_GB2312"/>
          <w:color w:val="auto"/>
          <w:sz w:val="24"/>
          <w:szCs w:val="21"/>
          <w:highlight w:val="none"/>
        </w:rPr>
        <w:t>线上提交投标文件加密电子版及现场提交加密的电子文档各</w:t>
      </w:r>
      <w:r>
        <w:rPr>
          <w:rFonts w:hint="eastAsia" w:ascii="仿宋_GB2312" w:hAnsi="仿宋" w:eastAsia="仿宋_GB2312" w:cs="仿宋_GB2312"/>
          <w:color w:val="auto"/>
          <w:sz w:val="24"/>
          <w:szCs w:val="21"/>
          <w:highlight w:val="none"/>
          <w:u w:val="single"/>
        </w:rPr>
        <w:t xml:space="preserve"> 1 </w:t>
      </w:r>
      <w:r>
        <w:rPr>
          <w:rFonts w:hint="eastAsia" w:ascii="仿宋_GB2312" w:hAnsi="仿宋" w:eastAsia="仿宋_GB2312" w:cs="仿宋_GB2312"/>
          <w:color w:val="auto"/>
          <w:sz w:val="24"/>
          <w:szCs w:val="21"/>
          <w:highlight w:val="none"/>
        </w:rPr>
        <w:t>份</w:t>
      </w:r>
      <w:bookmarkEnd w:id="117"/>
      <w:r>
        <w:rPr>
          <w:rFonts w:hint="eastAsia" w:ascii="仿宋_GB2312" w:hAnsi="仿宋" w:eastAsia="仿宋_GB2312" w:cs="仿宋_GB2312"/>
          <w:color w:val="auto"/>
          <w:sz w:val="24"/>
          <w:szCs w:val="21"/>
          <w:highlight w:val="none"/>
        </w:rPr>
        <w:t>，</w:t>
      </w:r>
      <w:bookmarkEnd w:id="118"/>
      <w:r>
        <w:rPr>
          <w:rFonts w:hint="eastAsia" w:ascii="仿宋_GB2312" w:hAnsi="仿宋" w:eastAsia="仿宋_GB2312" w:cs="仿宋_GB2312"/>
          <w:color w:val="auto"/>
          <w:sz w:val="24"/>
          <w:szCs w:val="21"/>
          <w:highlight w:val="none"/>
        </w:rPr>
        <w:t>并以</w:t>
      </w:r>
      <w:r>
        <w:rPr>
          <w:rFonts w:hint="eastAsia"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rPr>
        <w:t>形式出具的金额为人民币</w:t>
      </w:r>
      <w:r>
        <w:rPr>
          <w:rFonts w:hint="eastAsia"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rPr>
        <w:t>元的投标保证金。</w:t>
      </w:r>
    </w:p>
    <w:p w14:paraId="212A9823">
      <w:pPr>
        <w:adjustRightInd w:val="0"/>
        <w:snapToGrid w:val="0"/>
        <w:spacing w:line="420" w:lineRule="exact"/>
        <w:ind w:right="-21" w:rightChars="-10" w:firstLine="480" w:firstLineChars="200"/>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据此，签字代表宣布同意如下：</w:t>
      </w:r>
    </w:p>
    <w:p w14:paraId="6F7D57F0">
      <w:pPr>
        <w:numPr>
          <w:ilvl w:val="0"/>
          <w:numId w:val="2"/>
        </w:numPr>
        <w:adjustRightInd w:val="0"/>
        <w:snapToGrid w:val="0"/>
        <w:spacing w:line="420" w:lineRule="exact"/>
        <w:ind w:right="-21" w:rightChars="-10" w:firstLine="480" w:firstLineChars="200"/>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本项目投标总价详见开标一览表。</w:t>
      </w:r>
    </w:p>
    <w:p w14:paraId="64A0D0A3">
      <w:pPr>
        <w:numPr>
          <w:ilvl w:val="0"/>
          <w:numId w:val="2"/>
        </w:numPr>
        <w:adjustRightInd w:val="0"/>
        <w:snapToGrid w:val="0"/>
        <w:spacing w:line="420" w:lineRule="exact"/>
        <w:ind w:right="-21" w:rightChars="-10" w:firstLine="480" w:firstLineChars="200"/>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本投标有效期为自递交投标文件截止之日起</w:t>
      </w:r>
      <w:r>
        <w:rPr>
          <w:rFonts w:hint="eastAsia" w:ascii="仿宋_GB2312" w:hAnsi="仿宋" w:eastAsia="仿宋_GB2312" w:cs="仿宋_GB2312"/>
          <w:color w:val="auto"/>
          <w:sz w:val="24"/>
          <w:szCs w:val="21"/>
          <w:highlight w:val="none"/>
          <w:u w:val="single"/>
        </w:rPr>
        <w:t>90</w:t>
      </w:r>
      <w:r>
        <w:rPr>
          <w:rFonts w:hint="eastAsia" w:ascii="仿宋_GB2312" w:hAnsi="仿宋" w:eastAsia="仿宋_GB2312" w:cs="仿宋_GB2312"/>
          <w:color w:val="auto"/>
          <w:sz w:val="24"/>
          <w:szCs w:val="21"/>
          <w:highlight w:val="none"/>
        </w:rPr>
        <w:t>日历日。</w:t>
      </w:r>
    </w:p>
    <w:p w14:paraId="1D719A70">
      <w:pPr>
        <w:adjustRightInd w:val="0"/>
        <w:snapToGrid w:val="0"/>
        <w:spacing w:line="420" w:lineRule="exact"/>
        <w:ind w:right="-21" w:rightChars="-10" w:firstLine="480" w:firstLineChars="200"/>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（3）已详细审查全部招标文件，包括所有补充通知（如有）。</w:t>
      </w:r>
    </w:p>
    <w:p w14:paraId="0C6FB873">
      <w:pPr>
        <w:adjustRightInd w:val="0"/>
        <w:snapToGrid w:val="0"/>
        <w:spacing w:line="420" w:lineRule="exact"/>
        <w:ind w:right="-21" w:rightChars="-10" w:firstLine="480" w:firstLineChars="200"/>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（4）在规定的开标时间后，遵守招标文件中有关保证金的规定。</w:t>
      </w:r>
    </w:p>
    <w:p w14:paraId="2BF7BA14">
      <w:pPr>
        <w:adjustRightInd w:val="0"/>
        <w:snapToGrid w:val="0"/>
        <w:spacing w:line="420" w:lineRule="exact"/>
        <w:ind w:right="-21" w:rightChars="-10" w:firstLine="480" w:firstLineChars="200"/>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（5）我方不是为本项目提供整体设计、规范编制或者项目管理、监理、检测等服务的供应商，我方不是采购组织机构的附属机构。</w:t>
      </w:r>
    </w:p>
    <w:p w14:paraId="31C2DC3E">
      <w:pPr>
        <w:adjustRightInd w:val="0"/>
        <w:snapToGrid w:val="0"/>
        <w:spacing w:line="420" w:lineRule="exact"/>
        <w:ind w:right="-21" w:rightChars="-10" w:firstLine="480" w:firstLineChars="200"/>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（6）在领取中标通知书的同时按招标文件规定的形式，向采购组织机构一次性支付采购代理服务费（适用于中标人支付采购代理服务费情形）。</w:t>
      </w:r>
    </w:p>
    <w:p w14:paraId="790E35CD">
      <w:pPr>
        <w:adjustRightInd w:val="0"/>
        <w:snapToGrid w:val="0"/>
        <w:spacing w:line="420" w:lineRule="exact"/>
        <w:ind w:right="-21" w:rightChars="-10" w:firstLine="480" w:firstLineChars="200"/>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（7）按照贵方可能要求，提供与其投标有关的一切数据或资料，完全理解贵方不一定接受最低价的投标或收到的任何投标。</w:t>
      </w:r>
    </w:p>
    <w:p w14:paraId="722E8E17">
      <w:pPr>
        <w:adjustRightInd w:val="0"/>
        <w:snapToGrid w:val="0"/>
        <w:spacing w:line="420" w:lineRule="exact"/>
        <w:ind w:right="-21" w:rightChars="-10" w:firstLine="480" w:firstLineChars="200"/>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（8）按照招标文件的规定履行合同责任和义务。</w:t>
      </w:r>
    </w:p>
    <w:p w14:paraId="7A130F08">
      <w:pPr>
        <w:adjustRightInd w:val="0"/>
        <w:snapToGrid w:val="0"/>
        <w:spacing w:line="420" w:lineRule="exact"/>
        <w:ind w:right="-21" w:rightChars="-10" w:firstLine="480" w:firstLineChars="200"/>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（9）我方承诺投标文件中的证明材料真实、合法、有效。</w:t>
      </w:r>
    </w:p>
    <w:p w14:paraId="623F155D">
      <w:pPr>
        <w:adjustRightInd w:val="0"/>
        <w:snapToGrid w:val="0"/>
        <w:spacing w:line="420" w:lineRule="exact"/>
        <w:ind w:right="-21" w:rightChars="-10" w:firstLine="480" w:firstLineChars="200"/>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其他事项：</w:t>
      </w:r>
      <w:r>
        <w:rPr>
          <w:rFonts w:hint="eastAsia"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rPr>
        <w:t>。</w:t>
      </w:r>
    </w:p>
    <w:p w14:paraId="7463CE8E">
      <w:pPr>
        <w:adjustRightInd w:val="0"/>
        <w:snapToGrid w:val="0"/>
        <w:spacing w:line="420" w:lineRule="exact"/>
        <w:ind w:right="-21" w:rightChars="-10"/>
        <w:rPr>
          <w:rFonts w:ascii="仿宋_GB2312" w:hAnsi="仿宋" w:eastAsia="仿宋_GB2312" w:cs="仿宋_GB2312"/>
          <w:color w:val="auto"/>
          <w:sz w:val="24"/>
          <w:szCs w:val="21"/>
          <w:highlight w:val="none"/>
        </w:rPr>
      </w:pPr>
    </w:p>
    <w:p w14:paraId="456A295D">
      <w:pPr>
        <w:adjustRightInd w:val="0"/>
        <w:snapToGrid w:val="0"/>
        <w:spacing w:line="380" w:lineRule="exact"/>
        <w:ind w:right="-21" w:rightChars="-10"/>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与本项目有关的一切往来通讯请寄</w:t>
      </w:r>
    </w:p>
    <w:p w14:paraId="7F453D82">
      <w:pPr>
        <w:adjustRightInd w:val="0"/>
        <w:snapToGrid w:val="0"/>
        <w:spacing w:line="380" w:lineRule="exact"/>
        <w:ind w:right="-21" w:rightChars="-10"/>
        <w:rPr>
          <w:rFonts w:ascii="仿宋_GB2312" w:hAnsi="仿宋" w:eastAsia="仿宋_GB2312" w:cs="仿宋_GB2312"/>
          <w:color w:val="auto"/>
          <w:sz w:val="24"/>
          <w:szCs w:val="21"/>
          <w:highlight w:val="none"/>
          <w:u w:val="single"/>
        </w:rPr>
      </w:pPr>
      <w:r>
        <w:rPr>
          <w:rFonts w:hint="eastAsia" w:ascii="仿宋_GB2312" w:hAnsi="仿宋" w:eastAsia="仿宋_GB2312" w:cs="仿宋_GB2312"/>
          <w:color w:val="auto"/>
          <w:sz w:val="24"/>
          <w:szCs w:val="21"/>
          <w:highlight w:val="none"/>
        </w:rPr>
        <w:t>地     址：</w:t>
      </w:r>
      <w:r>
        <w:rPr>
          <w:rFonts w:hint="eastAsia"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rPr>
        <w:t xml:space="preserve">         传    真：</w:t>
      </w:r>
      <w:r>
        <w:rPr>
          <w:rFonts w:hint="eastAsia" w:ascii="仿宋_GB2312" w:hAnsi="仿宋" w:eastAsia="仿宋_GB2312" w:cs="仿宋_GB2312"/>
          <w:color w:val="auto"/>
          <w:sz w:val="24"/>
          <w:szCs w:val="21"/>
          <w:highlight w:val="none"/>
          <w:u w:val="single"/>
        </w:rPr>
        <w:t xml:space="preserve">                  </w:t>
      </w:r>
    </w:p>
    <w:p w14:paraId="0C9D1D0C">
      <w:pPr>
        <w:adjustRightInd w:val="0"/>
        <w:snapToGrid w:val="0"/>
        <w:spacing w:line="380" w:lineRule="exact"/>
        <w:ind w:right="-21" w:rightChars="-10"/>
        <w:rPr>
          <w:rFonts w:ascii="仿宋_GB2312" w:hAnsi="仿宋" w:eastAsia="仿宋_GB2312" w:cs="仿宋_GB2312"/>
          <w:color w:val="auto"/>
          <w:sz w:val="24"/>
          <w:szCs w:val="21"/>
          <w:highlight w:val="none"/>
          <w:u w:val="single"/>
        </w:rPr>
      </w:pPr>
      <w:r>
        <w:rPr>
          <w:rFonts w:hint="eastAsia" w:ascii="仿宋_GB2312" w:hAnsi="仿宋" w:eastAsia="仿宋_GB2312" w:cs="仿宋_GB2312"/>
          <w:color w:val="auto"/>
          <w:sz w:val="24"/>
          <w:szCs w:val="21"/>
          <w:highlight w:val="none"/>
        </w:rPr>
        <w:t>电     话：</w:t>
      </w:r>
      <w:r>
        <w:rPr>
          <w:rFonts w:hint="eastAsia"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rPr>
        <w:t xml:space="preserve">         电子邮件：</w:t>
      </w:r>
      <w:r>
        <w:rPr>
          <w:rFonts w:hint="eastAsia" w:ascii="仿宋_GB2312" w:hAnsi="仿宋" w:eastAsia="仿宋_GB2312" w:cs="仿宋_GB2312"/>
          <w:color w:val="auto"/>
          <w:sz w:val="24"/>
          <w:szCs w:val="21"/>
          <w:highlight w:val="none"/>
          <w:u w:val="single"/>
        </w:rPr>
        <w:t xml:space="preserve">                  </w:t>
      </w:r>
    </w:p>
    <w:p w14:paraId="70399FAC">
      <w:pPr>
        <w:adjustRightInd w:val="0"/>
        <w:snapToGrid w:val="0"/>
        <w:spacing w:line="380" w:lineRule="exact"/>
        <w:ind w:right="-21" w:rightChars="-10"/>
        <w:rPr>
          <w:rFonts w:ascii="仿宋_GB2312" w:hAnsi="仿宋" w:eastAsia="仿宋_GB2312" w:cs="仿宋_GB2312"/>
          <w:color w:val="auto"/>
          <w:sz w:val="24"/>
          <w:szCs w:val="21"/>
          <w:highlight w:val="none"/>
          <w:u w:val="single"/>
        </w:rPr>
      </w:pPr>
      <w:r>
        <w:rPr>
          <w:rFonts w:hint="eastAsia" w:ascii="仿宋_GB2312" w:hAnsi="仿宋" w:eastAsia="仿宋_GB2312" w:cs="仿宋_GB2312"/>
          <w:color w:val="auto"/>
          <w:sz w:val="24"/>
          <w:szCs w:val="21"/>
          <w:highlight w:val="none"/>
        </w:rPr>
        <w:t>法定代表人（非法人组织负责人）或其授权委托人（签字或盖章）：</w:t>
      </w:r>
      <w:r>
        <w:rPr>
          <w:rFonts w:hint="eastAsia" w:ascii="仿宋_GB2312" w:hAnsi="仿宋" w:eastAsia="仿宋_GB2312" w:cs="仿宋_GB2312"/>
          <w:color w:val="auto"/>
          <w:sz w:val="24"/>
          <w:szCs w:val="21"/>
          <w:highlight w:val="none"/>
          <w:u w:val="single"/>
        </w:rPr>
        <w:t xml:space="preserve">         </w:t>
      </w:r>
    </w:p>
    <w:p w14:paraId="552754D8">
      <w:pPr>
        <w:adjustRightInd w:val="0"/>
        <w:snapToGrid w:val="0"/>
        <w:spacing w:line="380" w:lineRule="exact"/>
        <w:ind w:right="-21" w:rightChars="-10"/>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投标人名称（加盖单位公章）：</w:t>
      </w:r>
      <w:r>
        <w:rPr>
          <w:rFonts w:hint="eastAsia" w:ascii="仿宋_GB2312" w:hAnsi="仿宋" w:eastAsia="仿宋_GB2312" w:cs="仿宋_GB2312"/>
          <w:color w:val="auto"/>
          <w:sz w:val="24"/>
          <w:szCs w:val="21"/>
          <w:highlight w:val="none"/>
          <w:u w:val="single"/>
        </w:rPr>
        <w:t xml:space="preserve">          </w:t>
      </w:r>
    </w:p>
    <w:p w14:paraId="356B8C1F">
      <w:pPr>
        <w:adjustRightInd w:val="0"/>
        <w:snapToGrid w:val="0"/>
        <w:spacing w:line="380" w:lineRule="exact"/>
        <w:ind w:right="-21" w:rightChars="-10"/>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投标人开户银行（全称）：</w:t>
      </w:r>
      <w:r>
        <w:rPr>
          <w:rFonts w:hint="eastAsia" w:ascii="仿宋_GB2312" w:hAnsi="仿宋" w:eastAsia="仿宋_GB2312" w:cs="仿宋_GB2312"/>
          <w:color w:val="auto"/>
          <w:sz w:val="24"/>
          <w:szCs w:val="21"/>
          <w:highlight w:val="none"/>
          <w:u w:val="single"/>
        </w:rPr>
        <w:t xml:space="preserve">              </w:t>
      </w:r>
    </w:p>
    <w:p w14:paraId="7112A3C6">
      <w:pPr>
        <w:adjustRightInd w:val="0"/>
        <w:snapToGrid w:val="0"/>
        <w:spacing w:line="380" w:lineRule="exact"/>
        <w:ind w:right="-21" w:rightChars="-10"/>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投标人银行账号：</w:t>
      </w:r>
      <w:r>
        <w:rPr>
          <w:rFonts w:hint="eastAsia" w:ascii="仿宋_GB2312" w:hAnsi="仿宋" w:eastAsia="仿宋_GB2312" w:cs="仿宋_GB2312"/>
          <w:color w:val="auto"/>
          <w:sz w:val="24"/>
          <w:szCs w:val="21"/>
          <w:highlight w:val="none"/>
          <w:u w:val="single"/>
        </w:rPr>
        <w:t xml:space="preserve">                      </w:t>
      </w:r>
    </w:p>
    <w:p w14:paraId="16EC189F">
      <w:pPr>
        <w:adjustRightInd w:val="0"/>
        <w:snapToGrid w:val="0"/>
        <w:spacing w:line="380" w:lineRule="exact"/>
        <w:jc w:val="left"/>
        <w:rPr>
          <w:color w:val="auto"/>
          <w:highlight w:val="none"/>
          <w:u w:val="single"/>
        </w:rPr>
        <w:sectPr>
          <w:pgSz w:w="11906" w:h="16838"/>
          <w:pgMar w:top="1468" w:right="1803" w:bottom="1418" w:left="1803" w:header="851" w:footer="1024" w:gutter="0"/>
          <w:cols w:space="720" w:num="1"/>
          <w:docGrid w:type="linesAndChars" w:linePitch="319" w:charSpace="0"/>
        </w:sectPr>
      </w:pPr>
      <w:r>
        <w:rPr>
          <w:rFonts w:hint="eastAsia" w:ascii="仿宋_GB2312" w:hAnsi="仿宋" w:eastAsia="仿宋_GB2312" w:cs="仿宋_GB2312"/>
          <w:color w:val="auto"/>
          <w:sz w:val="24"/>
          <w:szCs w:val="21"/>
          <w:highlight w:val="none"/>
        </w:rPr>
        <w:t>日    期：</w:t>
      </w:r>
      <w:r>
        <w:rPr>
          <w:rFonts w:hint="eastAsia" w:ascii="仿宋_GB2312" w:hAnsi="仿宋" w:eastAsia="仿宋_GB2312" w:cs="仿宋_GB2312"/>
          <w:color w:val="auto"/>
          <w:sz w:val="24"/>
          <w:szCs w:val="21"/>
          <w:highlight w:val="none"/>
          <w:u w:val="single"/>
        </w:rPr>
        <w:t xml:space="preserve">                            </w:t>
      </w:r>
    </w:p>
    <w:p w14:paraId="5586D937">
      <w:pPr>
        <w:pStyle w:val="3"/>
        <w:adjustRightInd w:val="0"/>
        <w:snapToGrid w:val="0"/>
        <w:spacing w:before="0" w:after="0" w:line="240" w:lineRule="auto"/>
        <w:jc w:val="left"/>
        <w:rPr>
          <w:rFonts w:ascii="仿宋_GB2312" w:hAnsi="仿宋" w:eastAsia="仿宋_GB2312" w:cs="仿宋_GB2312"/>
          <w:color w:val="auto"/>
          <w:szCs w:val="28"/>
          <w:highlight w:val="none"/>
        </w:rPr>
      </w:pPr>
      <w:r>
        <w:rPr>
          <w:rFonts w:hint="eastAsia" w:ascii="仿宋_GB2312" w:hAnsi="仿宋" w:eastAsia="仿宋_GB2312" w:cs="仿宋_GB2312"/>
          <w:color w:val="auto"/>
          <w:szCs w:val="28"/>
          <w:highlight w:val="none"/>
        </w:rPr>
        <w:t>格式11</w:t>
      </w:r>
    </w:p>
    <w:p w14:paraId="3A830DAE">
      <w:pPr>
        <w:spacing w:before="159" w:beforeLines="50" w:after="159" w:afterLines="50" w:line="360" w:lineRule="auto"/>
        <w:ind w:right="-21" w:rightChars="-10"/>
        <w:jc w:val="center"/>
        <w:rPr>
          <w:rFonts w:ascii="方正小标宋简体" w:hAnsi="仿宋_GB2312" w:eastAsia="方正小标宋简体" w:cs="仿宋_GB2312"/>
          <w:color w:val="auto"/>
          <w:sz w:val="32"/>
          <w:szCs w:val="32"/>
          <w:highlight w:val="none"/>
        </w:rPr>
      </w:pPr>
      <w:r>
        <w:rPr>
          <w:rFonts w:hint="eastAsia" w:ascii="方正小标宋简体" w:hAnsi="仿宋_GB2312" w:eastAsia="方正小标宋简体" w:cs="仿宋_GB2312"/>
          <w:color w:val="auto"/>
          <w:sz w:val="32"/>
          <w:szCs w:val="32"/>
          <w:highlight w:val="none"/>
        </w:rPr>
        <w:t>开标一览表</w:t>
      </w:r>
    </w:p>
    <w:p w14:paraId="287AAB74">
      <w:pPr>
        <w:adjustRightInd w:val="0"/>
        <w:snapToGrid w:val="0"/>
        <w:spacing w:line="360" w:lineRule="auto"/>
        <w:ind w:left="721" w:right="105" w:rightChars="50" w:hanging="720" w:hangingChars="300"/>
        <w:jc w:val="left"/>
        <w:rPr>
          <w:rFonts w:ascii="仿宋_GB2312" w:hAnsi="仿宋" w:eastAsia="仿宋_GB2312" w:cs="仿宋_GB2312"/>
          <w:b/>
          <w:bCs/>
          <w:color w:val="auto"/>
          <w:sz w:val="24"/>
          <w:szCs w:val="21"/>
          <w:highlight w:val="none"/>
        </w:rPr>
      </w:pPr>
      <w:r>
        <w:rPr>
          <w:rFonts w:hint="eastAsia" w:ascii="仿宋_GB2312" w:hAnsi="仿宋" w:eastAsia="仿宋_GB2312" w:cs="仿宋_GB2312"/>
          <w:b/>
          <w:bCs/>
          <w:color w:val="auto"/>
          <w:sz w:val="24"/>
          <w:szCs w:val="21"/>
          <w:highlight w:val="none"/>
        </w:rPr>
        <w:t>包号：001                                                报价单位：元</w:t>
      </w:r>
    </w:p>
    <w:tbl>
      <w:tblPr>
        <w:tblStyle w:val="24"/>
        <w:tblW w:w="89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50"/>
        <w:gridCol w:w="1884"/>
        <w:gridCol w:w="1566"/>
        <w:gridCol w:w="1806"/>
        <w:gridCol w:w="1233"/>
        <w:gridCol w:w="751"/>
      </w:tblGrid>
      <w:tr w14:paraId="7DA2B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750" w:type="dxa"/>
            <w:vAlign w:val="center"/>
          </w:tcPr>
          <w:p w14:paraId="70430DF2">
            <w:pPr>
              <w:adjustRightInd w:val="0"/>
              <w:snapToGrid w:val="0"/>
              <w:ind w:left="-54" w:leftChars="-26" w:right="-46" w:rightChars="-22"/>
              <w:jc w:val="center"/>
              <w:rPr>
                <w:rFonts w:ascii="仿宋_GB2312" w:hAnsi="仿宋" w:eastAsia="仿宋_GB2312" w:cs="仿宋_GB2312"/>
                <w:b/>
                <w:bCs/>
                <w:color w:val="auto"/>
                <w:sz w:val="24"/>
                <w:szCs w:val="21"/>
                <w:highlight w:val="none"/>
              </w:rPr>
            </w:pPr>
            <w:r>
              <w:rPr>
                <w:rFonts w:ascii="仿宋_GB2312" w:hAnsi="仿宋" w:eastAsia="仿宋_GB2312" w:cs="仿宋_GB2312"/>
                <w:b/>
                <w:bCs/>
                <w:color w:val="auto"/>
                <w:sz w:val="24"/>
                <w:szCs w:val="21"/>
                <w:highlight w:val="none"/>
              </w:rPr>
              <w:t>项目名称</w:t>
            </w:r>
          </w:p>
        </w:tc>
        <w:tc>
          <w:tcPr>
            <w:tcW w:w="1884" w:type="dxa"/>
            <w:vAlign w:val="center"/>
          </w:tcPr>
          <w:p w14:paraId="1C6A2375">
            <w:pPr>
              <w:adjustRightInd w:val="0"/>
              <w:snapToGrid w:val="0"/>
              <w:ind w:left="-54" w:leftChars="-26" w:right="-46" w:rightChars="-22"/>
              <w:jc w:val="center"/>
              <w:rPr>
                <w:rFonts w:ascii="仿宋_GB2312" w:hAnsi="仿宋" w:eastAsia="仿宋_GB2312" w:cs="仿宋_GB2312"/>
                <w:b/>
                <w:bCs/>
                <w:color w:val="auto"/>
                <w:sz w:val="24"/>
                <w:szCs w:val="21"/>
                <w:highlight w:val="none"/>
              </w:rPr>
            </w:pPr>
            <w:r>
              <w:rPr>
                <w:rFonts w:hint="eastAsia" w:ascii="仿宋_GB2312" w:hAnsi="仿宋" w:eastAsia="仿宋_GB2312" w:cs="仿宋_GB2312"/>
                <w:b/>
                <w:bCs/>
                <w:color w:val="auto"/>
                <w:sz w:val="24"/>
                <w:szCs w:val="21"/>
                <w:highlight w:val="none"/>
              </w:rPr>
              <w:t>投标报价</w:t>
            </w:r>
          </w:p>
          <w:p w14:paraId="61CD2142">
            <w:pPr>
              <w:adjustRightInd w:val="0"/>
              <w:snapToGrid w:val="0"/>
              <w:ind w:left="-54" w:leftChars="-26" w:right="-46" w:rightChars="-22"/>
              <w:jc w:val="center"/>
              <w:rPr>
                <w:rFonts w:ascii="仿宋_GB2312" w:hAnsi="仿宋" w:eastAsia="仿宋_GB2312" w:cs="仿宋_GB2312"/>
                <w:b/>
                <w:bCs/>
                <w:color w:val="auto"/>
                <w:sz w:val="24"/>
                <w:szCs w:val="21"/>
                <w:highlight w:val="none"/>
              </w:rPr>
            </w:pPr>
            <w:r>
              <w:rPr>
                <w:rFonts w:hint="eastAsia" w:ascii="仿宋_GB2312" w:hAnsi="仿宋" w:eastAsia="仿宋_GB2312" w:cs="仿宋_GB2312"/>
                <w:b/>
                <w:bCs/>
                <w:color w:val="auto"/>
                <w:sz w:val="24"/>
                <w:szCs w:val="21"/>
                <w:highlight w:val="none"/>
              </w:rPr>
              <w:t>（元）</w:t>
            </w:r>
          </w:p>
        </w:tc>
        <w:tc>
          <w:tcPr>
            <w:tcW w:w="1566" w:type="dxa"/>
            <w:vAlign w:val="center"/>
          </w:tcPr>
          <w:p w14:paraId="5C8DF5E9">
            <w:pPr>
              <w:adjustRightInd w:val="0"/>
              <w:snapToGrid w:val="0"/>
              <w:ind w:left="-54" w:leftChars="-26" w:right="-46" w:rightChars="-22"/>
              <w:jc w:val="center"/>
              <w:rPr>
                <w:rFonts w:ascii="仿宋_GB2312" w:hAnsi="仿宋" w:eastAsia="仿宋_GB2312" w:cs="仿宋_GB2312"/>
                <w:b/>
                <w:bCs/>
                <w:color w:val="auto"/>
                <w:sz w:val="24"/>
                <w:szCs w:val="21"/>
                <w:highlight w:val="none"/>
              </w:rPr>
            </w:pPr>
            <w:r>
              <w:rPr>
                <w:rFonts w:hint="eastAsia" w:ascii="仿宋_GB2312" w:hAnsi="仿宋" w:eastAsia="仿宋_GB2312" w:cs="仿宋_GB2312"/>
                <w:b/>
                <w:bCs/>
                <w:color w:val="auto"/>
                <w:sz w:val="24"/>
                <w:szCs w:val="21"/>
                <w:highlight w:val="none"/>
              </w:rPr>
              <w:t>投标保证金（元）</w:t>
            </w:r>
          </w:p>
        </w:tc>
        <w:tc>
          <w:tcPr>
            <w:tcW w:w="1806" w:type="dxa"/>
            <w:vAlign w:val="center"/>
          </w:tcPr>
          <w:p w14:paraId="42951EF7">
            <w:pPr>
              <w:adjustRightInd w:val="0"/>
              <w:snapToGrid w:val="0"/>
              <w:ind w:left="-54" w:leftChars="-26" w:right="-46" w:rightChars="-22"/>
              <w:jc w:val="center"/>
              <w:rPr>
                <w:rFonts w:ascii="仿宋_GB2312" w:hAnsi="仿宋" w:eastAsia="仿宋_GB2312" w:cs="仿宋_GB2312"/>
                <w:b/>
                <w:bCs/>
                <w:color w:val="auto"/>
                <w:sz w:val="24"/>
                <w:szCs w:val="21"/>
                <w:highlight w:val="none"/>
              </w:rPr>
            </w:pPr>
            <w:r>
              <w:rPr>
                <w:rFonts w:hint="eastAsia" w:ascii="仿宋_GB2312" w:hAnsi="仿宋" w:eastAsia="仿宋_GB2312" w:cs="仿宋_GB2312"/>
                <w:b/>
                <w:bCs/>
                <w:color w:val="auto"/>
                <w:sz w:val="24"/>
                <w:szCs w:val="21"/>
                <w:highlight w:val="none"/>
              </w:rPr>
              <w:t>交货时间</w:t>
            </w:r>
          </w:p>
        </w:tc>
        <w:tc>
          <w:tcPr>
            <w:tcW w:w="1233" w:type="dxa"/>
            <w:vAlign w:val="center"/>
          </w:tcPr>
          <w:p w14:paraId="0DF1BEB0">
            <w:pPr>
              <w:adjustRightInd w:val="0"/>
              <w:snapToGrid w:val="0"/>
              <w:ind w:left="-54" w:leftChars="-26" w:right="-46" w:rightChars="-22"/>
              <w:jc w:val="center"/>
              <w:rPr>
                <w:rFonts w:ascii="仿宋_GB2312" w:hAnsi="仿宋" w:eastAsia="仿宋_GB2312" w:cs="仿宋_GB2312"/>
                <w:b/>
                <w:bCs/>
                <w:color w:val="auto"/>
                <w:sz w:val="24"/>
                <w:szCs w:val="21"/>
                <w:highlight w:val="none"/>
              </w:rPr>
            </w:pPr>
            <w:r>
              <w:rPr>
                <w:rFonts w:hint="eastAsia" w:ascii="仿宋_GB2312" w:hAnsi="仿宋" w:eastAsia="仿宋_GB2312" w:cs="仿宋_GB2312"/>
                <w:b/>
                <w:bCs/>
                <w:color w:val="auto"/>
                <w:sz w:val="24"/>
                <w:szCs w:val="21"/>
                <w:highlight w:val="none"/>
              </w:rPr>
              <w:t>交货地点</w:t>
            </w:r>
          </w:p>
        </w:tc>
        <w:tc>
          <w:tcPr>
            <w:tcW w:w="751" w:type="dxa"/>
            <w:vAlign w:val="center"/>
          </w:tcPr>
          <w:p w14:paraId="0E44E6F4">
            <w:pPr>
              <w:adjustRightInd w:val="0"/>
              <w:snapToGrid w:val="0"/>
              <w:ind w:left="-54" w:leftChars="-26" w:right="-46" w:rightChars="-22"/>
              <w:jc w:val="center"/>
              <w:rPr>
                <w:rFonts w:ascii="仿宋_GB2312" w:hAnsi="仿宋" w:eastAsia="仿宋_GB2312" w:cs="仿宋_GB2312"/>
                <w:b/>
                <w:bCs/>
                <w:color w:val="auto"/>
                <w:sz w:val="24"/>
                <w:szCs w:val="21"/>
                <w:highlight w:val="none"/>
              </w:rPr>
            </w:pPr>
            <w:r>
              <w:rPr>
                <w:rFonts w:hint="eastAsia" w:ascii="仿宋_GB2312" w:hAnsi="仿宋" w:eastAsia="仿宋_GB2312" w:cs="仿宋_GB2312"/>
                <w:b/>
                <w:bCs/>
                <w:color w:val="auto"/>
                <w:sz w:val="24"/>
                <w:szCs w:val="21"/>
                <w:highlight w:val="none"/>
              </w:rPr>
              <w:t>备注</w:t>
            </w:r>
          </w:p>
        </w:tc>
      </w:tr>
      <w:tr w14:paraId="3B93A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1750" w:type="dxa"/>
            <w:vAlign w:val="center"/>
          </w:tcPr>
          <w:p w14:paraId="1B2F4EA4">
            <w:pPr>
              <w:adjustRightInd w:val="0"/>
              <w:snapToGrid w:val="0"/>
              <w:ind w:left="-54" w:leftChars="-26" w:right="-46" w:rightChars="-22"/>
              <w:jc w:val="center"/>
              <w:rPr>
                <w:rFonts w:ascii="仿宋_GB2312" w:hAnsi="仿宋" w:eastAsia="仿宋_GB2312" w:cs="仿宋_GB2312"/>
                <w:color w:val="auto"/>
                <w:sz w:val="24"/>
                <w:szCs w:val="21"/>
                <w:highlight w:val="none"/>
              </w:rPr>
            </w:pPr>
            <w:r>
              <w:rPr>
                <w:rFonts w:hint="eastAsia" w:ascii="仿宋_GB2312" w:hAnsi="仿宋" w:eastAsia="仿宋_GB2312"/>
                <w:color w:val="auto"/>
                <w:sz w:val="24"/>
                <w:highlight w:val="none"/>
              </w:rPr>
              <w:t>沈阳药科大学校本部食堂电梯更新项目</w:t>
            </w:r>
          </w:p>
        </w:tc>
        <w:tc>
          <w:tcPr>
            <w:tcW w:w="1884" w:type="dxa"/>
            <w:vAlign w:val="center"/>
          </w:tcPr>
          <w:p w14:paraId="5C244339">
            <w:pPr>
              <w:adjustRightInd w:val="0"/>
              <w:snapToGrid w:val="0"/>
              <w:ind w:left="-54" w:leftChars="-26" w:right="-46" w:rightChars="-22"/>
              <w:jc w:val="left"/>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小写：</w:t>
            </w:r>
          </w:p>
          <w:p w14:paraId="1980FBD6">
            <w:pPr>
              <w:adjustRightInd w:val="0"/>
              <w:snapToGrid w:val="0"/>
              <w:ind w:left="-54" w:leftChars="-26" w:right="-46" w:rightChars="-22"/>
              <w:jc w:val="left"/>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大写：</w:t>
            </w:r>
          </w:p>
        </w:tc>
        <w:tc>
          <w:tcPr>
            <w:tcW w:w="1566" w:type="dxa"/>
            <w:vAlign w:val="center"/>
          </w:tcPr>
          <w:p w14:paraId="678228D3">
            <w:pPr>
              <w:adjustRightInd w:val="0"/>
              <w:snapToGrid w:val="0"/>
              <w:ind w:left="-54" w:leftChars="-26" w:right="-46" w:rightChars="-22"/>
              <w:jc w:val="center"/>
              <w:rPr>
                <w:rFonts w:ascii="仿宋_GB2312" w:hAnsi="仿宋" w:eastAsia="仿宋_GB2312" w:cs="仿宋_GB2312"/>
                <w:color w:val="auto"/>
                <w:sz w:val="24"/>
                <w:szCs w:val="21"/>
                <w:highlight w:val="none"/>
              </w:rPr>
            </w:pPr>
          </w:p>
        </w:tc>
        <w:tc>
          <w:tcPr>
            <w:tcW w:w="1806" w:type="dxa"/>
            <w:vAlign w:val="center"/>
          </w:tcPr>
          <w:p w14:paraId="514E742D">
            <w:pPr>
              <w:adjustRightInd w:val="0"/>
              <w:snapToGrid w:val="0"/>
              <w:ind w:left="-54" w:leftChars="-26" w:right="-46" w:rightChars="-22"/>
              <w:jc w:val="center"/>
              <w:rPr>
                <w:rFonts w:ascii="仿宋_GB2312" w:hAnsi="仿宋" w:eastAsia="仿宋_GB2312" w:cs="仿宋_GB2312"/>
                <w:color w:val="auto"/>
                <w:sz w:val="24"/>
                <w:szCs w:val="21"/>
                <w:highlight w:val="none"/>
              </w:rPr>
            </w:pPr>
            <w:r>
              <w:rPr>
                <w:rFonts w:hint="eastAsia" w:ascii="仿宋_GB2312" w:hAnsi="仿宋" w:eastAsia="仿宋_GB2312"/>
                <w:bCs/>
                <w:color w:val="auto"/>
                <w:sz w:val="24"/>
                <w:highlight w:val="none"/>
              </w:rPr>
              <w:t>合同签订之日起</w:t>
            </w:r>
            <w:r>
              <w:rPr>
                <w:rFonts w:ascii="仿宋_GB2312" w:hAnsi="仿宋" w:eastAsia="仿宋_GB2312"/>
                <w:bCs/>
                <w:color w:val="auto"/>
                <w:sz w:val="24"/>
                <w:highlight w:val="none"/>
              </w:rPr>
              <w:t>4</w:t>
            </w:r>
            <w:r>
              <w:rPr>
                <w:rFonts w:hint="eastAsia" w:ascii="仿宋_GB2312" w:hAnsi="仿宋" w:eastAsia="仿宋_GB2312"/>
                <w:bCs/>
                <w:color w:val="auto"/>
                <w:sz w:val="24"/>
                <w:highlight w:val="none"/>
              </w:rPr>
              <w:t>0个日历日内完成货物供货、安装调试及验收，并投入使用。</w:t>
            </w:r>
          </w:p>
        </w:tc>
        <w:tc>
          <w:tcPr>
            <w:tcW w:w="1233" w:type="dxa"/>
            <w:vAlign w:val="center"/>
          </w:tcPr>
          <w:p w14:paraId="651FA4C1">
            <w:pPr>
              <w:adjustRightInd w:val="0"/>
              <w:snapToGrid w:val="0"/>
              <w:ind w:left="-54" w:leftChars="-26" w:right="-46" w:rightChars="-22"/>
              <w:jc w:val="center"/>
              <w:rPr>
                <w:rFonts w:ascii="仿宋_GB2312" w:hAnsi="仿宋" w:eastAsia="仿宋_GB2312" w:cs="仿宋_GB2312"/>
                <w:color w:val="auto"/>
                <w:sz w:val="24"/>
                <w:szCs w:val="21"/>
                <w:highlight w:val="none"/>
              </w:rPr>
            </w:pPr>
            <w:r>
              <w:rPr>
                <w:rFonts w:hint="eastAsia" w:ascii="仿宋_GB2312" w:hAnsi="仿宋" w:eastAsia="仿宋_GB2312"/>
                <w:color w:val="auto"/>
                <w:sz w:val="24"/>
                <w:highlight w:val="none"/>
              </w:rPr>
              <w:t>采购人指定地点。</w:t>
            </w:r>
          </w:p>
        </w:tc>
        <w:tc>
          <w:tcPr>
            <w:tcW w:w="751" w:type="dxa"/>
            <w:vAlign w:val="center"/>
          </w:tcPr>
          <w:p w14:paraId="52AB0F46">
            <w:pPr>
              <w:adjustRightInd w:val="0"/>
              <w:snapToGrid w:val="0"/>
              <w:ind w:left="-54" w:leftChars="-26" w:right="-46" w:rightChars="-22"/>
              <w:jc w:val="center"/>
              <w:rPr>
                <w:rFonts w:ascii="仿宋_GB2312" w:hAnsi="仿宋" w:eastAsia="仿宋_GB2312" w:cs="仿宋_GB2312"/>
                <w:color w:val="auto"/>
                <w:sz w:val="24"/>
                <w:szCs w:val="21"/>
                <w:highlight w:val="none"/>
              </w:rPr>
            </w:pPr>
          </w:p>
        </w:tc>
      </w:tr>
    </w:tbl>
    <w:p w14:paraId="0374CBB1">
      <w:pPr>
        <w:adjustRightInd w:val="0"/>
        <w:snapToGrid w:val="0"/>
        <w:spacing w:before="159" w:beforeLines="50" w:line="360" w:lineRule="auto"/>
        <w:ind w:right="105" w:rightChars="50"/>
        <w:jc w:val="left"/>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注：此表中，投标报价应和分项报价表的投标报价相一致。</w:t>
      </w:r>
    </w:p>
    <w:p w14:paraId="5684B2FE">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highlight w:val="none"/>
        </w:rPr>
      </w:pPr>
    </w:p>
    <w:p w14:paraId="6F12D002">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highlight w:val="none"/>
        </w:rPr>
      </w:pPr>
    </w:p>
    <w:p w14:paraId="4A3C6ADB">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highlight w:val="none"/>
        </w:rPr>
      </w:pPr>
    </w:p>
    <w:p w14:paraId="033432D9">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highlight w:val="none"/>
        </w:rPr>
      </w:pPr>
    </w:p>
    <w:p w14:paraId="3D4321FD">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highlight w:val="none"/>
        </w:rPr>
      </w:pPr>
    </w:p>
    <w:p w14:paraId="16BE0237">
      <w:pPr>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投标人名称（加盖单位公章）：</w:t>
      </w:r>
      <w:r>
        <w:rPr>
          <w:rFonts w:hint="eastAsia" w:ascii="仿宋_GB2312" w:hAnsi="仿宋" w:eastAsia="仿宋_GB2312" w:cs="仿宋_GB2312"/>
          <w:color w:val="auto"/>
          <w:sz w:val="24"/>
          <w:highlight w:val="none"/>
          <w:u w:val="single"/>
        </w:rPr>
        <w:t xml:space="preserve">           </w:t>
      </w:r>
    </w:p>
    <w:p w14:paraId="0CEF6382">
      <w:pPr>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法定代表人（或</w:t>
      </w:r>
      <w:r>
        <w:rPr>
          <w:rFonts w:hint="eastAsia" w:ascii="仿宋_GB2312" w:hAnsi="仿宋" w:eastAsia="仿宋_GB2312" w:cs="仿宋_GB2312"/>
          <w:color w:val="auto"/>
          <w:sz w:val="24"/>
          <w:szCs w:val="21"/>
          <w:highlight w:val="none"/>
        </w:rPr>
        <w:t>非法人组织负责人）或</w:t>
      </w:r>
      <w:r>
        <w:rPr>
          <w:rFonts w:hint="eastAsia" w:ascii="仿宋_GB2312" w:hAnsi="仿宋" w:eastAsia="仿宋_GB2312" w:cs="仿宋_GB2312"/>
          <w:color w:val="auto"/>
          <w:sz w:val="24"/>
          <w:highlight w:val="none"/>
        </w:rPr>
        <w:t>其</w:t>
      </w:r>
      <w:r>
        <w:rPr>
          <w:rFonts w:hint="eastAsia" w:ascii="仿宋_GB2312" w:hAnsi="仿宋" w:eastAsia="仿宋_GB2312" w:cs="仿宋_GB2312"/>
          <w:color w:val="auto"/>
          <w:sz w:val="24"/>
          <w:szCs w:val="21"/>
          <w:highlight w:val="none"/>
        </w:rPr>
        <w:t>授权</w:t>
      </w:r>
      <w:r>
        <w:rPr>
          <w:rFonts w:hint="eastAsia" w:ascii="仿宋_GB2312" w:hAnsi="仿宋" w:eastAsia="仿宋_GB2312" w:cs="仿宋_GB2312"/>
          <w:color w:val="auto"/>
          <w:sz w:val="24"/>
          <w:highlight w:val="none"/>
        </w:rPr>
        <w:t>委托</w:t>
      </w:r>
      <w:r>
        <w:rPr>
          <w:rFonts w:hint="eastAsia" w:ascii="仿宋_GB2312" w:hAnsi="仿宋" w:eastAsia="仿宋_GB2312" w:cs="仿宋_GB2312"/>
          <w:color w:val="auto"/>
          <w:sz w:val="24"/>
          <w:szCs w:val="21"/>
          <w:highlight w:val="none"/>
        </w:rPr>
        <w:t>人</w:t>
      </w:r>
      <w:r>
        <w:rPr>
          <w:rFonts w:hint="eastAsia" w:ascii="仿宋_GB2312" w:hAnsi="仿宋" w:eastAsia="仿宋_GB2312" w:cs="仿宋_GB2312"/>
          <w:color w:val="auto"/>
          <w:sz w:val="24"/>
          <w:highlight w:val="none"/>
        </w:rPr>
        <w:t>(签字或盖章)：</w:t>
      </w:r>
      <w:r>
        <w:rPr>
          <w:rFonts w:hint="eastAsia" w:ascii="仿宋_GB2312" w:hAnsi="仿宋" w:eastAsia="仿宋_GB2312" w:cs="仿宋_GB2312"/>
          <w:color w:val="auto"/>
          <w:sz w:val="24"/>
          <w:highlight w:val="none"/>
          <w:u w:val="single"/>
        </w:rPr>
        <w:t xml:space="preserve">   </w:t>
      </w:r>
      <w:r>
        <w:rPr>
          <w:rFonts w:ascii="仿宋_GB2312" w:hAnsi="仿宋" w:eastAsia="仿宋_GB2312" w:cs="仿宋_GB2312"/>
          <w:color w:val="auto"/>
          <w:sz w:val="24"/>
          <w:highlight w:val="none"/>
          <w:u w:val="single"/>
        </w:rPr>
        <w:t xml:space="preserve">     </w:t>
      </w:r>
    </w:p>
    <w:p w14:paraId="0A41BFBC">
      <w:pPr>
        <w:spacing w:line="480" w:lineRule="auto"/>
        <w:ind w:right="1050" w:rightChars="500"/>
        <w:jc w:val="left"/>
        <w:rPr>
          <w:rFonts w:ascii="仿宋_GB2312" w:hAnsi="仿宋" w:eastAsia="仿宋_GB2312" w:cs="仿宋_GB2312"/>
          <w:color w:val="auto"/>
          <w:sz w:val="24"/>
          <w:szCs w:val="21"/>
          <w:highlight w:val="none"/>
          <w:u w:val="single"/>
        </w:rPr>
      </w:pPr>
      <w:r>
        <w:rPr>
          <w:rFonts w:hint="eastAsia" w:ascii="仿宋_GB2312" w:hAnsi="仿宋" w:eastAsia="仿宋_GB2312" w:cs="仿宋_GB2312"/>
          <w:color w:val="auto"/>
          <w:sz w:val="24"/>
          <w:highlight w:val="none"/>
        </w:rPr>
        <w:t>日      期：</w:t>
      </w:r>
      <w:r>
        <w:rPr>
          <w:rFonts w:hint="eastAsia" w:ascii="仿宋_GB2312" w:hAnsi="仿宋" w:eastAsia="仿宋_GB2312" w:cs="仿宋_GB2312"/>
          <w:color w:val="auto"/>
          <w:sz w:val="24"/>
          <w:highlight w:val="none"/>
          <w:u w:val="single"/>
        </w:rPr>
        <w:t xml:space="preserve">            </w:t>
      </w:r>
      <w:r>
        <w:rPr>
          <w:rFonts w:hint="eastAsia" w:ascii="仿宋_GB2312" w:hAnsi="仿宋" w:eastAsia="仿宋_GB2312" w:cs="仿宋_GB2312"/>
          <w:color w:val="auto"/>
          <w:sz w:val="24"/>
          <w:szCs w:val="21"/>
          <w:highlight w:val="none"/>
        </w:rPr>
        <w:t xml:space="preserve"> </w:t>
      </w:r>
    </w:p>
    <w:p w14:paraId="486A4088">
      <w:pPr>
        <w:rPr>
          <w:rFonts w:ascii="仿宋_GB2312" w:hAnsi="仿宋" w:eastAsia="仿宋_GB2312" w:cs="仿宋_GB2312"/>
          <w:color w:val="auto"/>
          <w:szCs w:val="28"/>
          <w:highlight w:val="none"/>
        </w:rPr>
      </w:pPr>
      <w:r>
        <w:rPr>
          <w:rFonts w:hint="eastAsia" w:ascii="仿宋_GB2312" w:hAnsi="仿宋" w:eastAsia="仿宋_GB2312" w:cs="仿宋_GB2312"/>
          <w:color w:val="auto"/>
          <w:szCs w:val="28"/>
          <w:highlight w:val="none"/>
        </w:rPr>
        <w:br w:type="page"/>
      </w:r>
    </w:p>
    <w:p w14:paraId="29DF67FE">
      <w:pPr>
        <w:pStyle w:val="3"/>
        <w:adjustRightInd w:val="0"/>
        <w:snapToGrid w:val="0"/>
        <w:spacing w:before="0" w:after="0" w:line="240" w:lineRule="auto"/>
        <w:jc w:val="left"/>
        <w:rPr>
          <w:rFonts w:ascii="仿宋_GB2312" w:hAnsi="仿宋" w:eastAsia="仿宋_GB2312" w:cs="仿宋_GB2312"/>
          <w:color w:val="auto"/>
          <w:sz w:val="24"/>
          <w:szCs w:val="21"/>
          <w:highlight w:val="none"/>
        </w:rPr>
      </w:pPr>
      <w:r>
        <w:rPr>
          <w:rFonts w:hint="eastAsia" w:ascii="仿宋_GB2312" w:hAnsi="仿宋" w:eastAsia="仿宋_GB2312" w:cs="仿宋_GB2312"/>
          <w:color w:val="auto"/>
          <w:szCs w:val="28"/>
          <w:highlight w:val="none"/>
        </w:rPr>
        <w:t>格式1</w:t>
      </w:r>
      <w:bookmarkStart w:id="119" w:name="_Toc16044_WPSOffice_Level2"/>
      <w:bookmarkStart w:id="120" w:name="_Toc28271_WPSOffice_Level2"/>
      <w:r>
        <w:rPr>
          <w:rFonts w:hint="eastAsia" w:ascii="仿宋_GB2312" w:hAnsi="仿宋" w:eastAsia="仿宋_GB2312" w:cs="仿宋_GB2312"/>
          <w:color w:val="auto"/>
          <w:szCs w:val="28"/>
          <w:highlight w:val="none"/>
        </w:rPr>
        <w:t>2</w:t>
      </w:r>
    </w:p>
    <w:bookmarkEnd w:id="119"/>
    <w:bookmarkEnd w:id="120"/>
    <w:p w14:paraId="72FAAF8B">
      <w:pPr>
        <w:spacing w:before="159" w:beforeLines="50" w:line="360" w:lineRule="auto"/>
        <w:ind w:right="-21" w:rightChars="-10"/>
        <w:jc w:val="center"/>
        <w:rPr>
          <w:rFonts w:ascii="方正小标宋简体" w:hAnsi="仿宋_GB2312" w:eastAsia="方正小标宋简体" w:cs="仿宋_GB2312"/>
          <w:color w:val="auto"/>
          <w:sz w:val="32"/>
          <w:szCs w:val="32"/>
          <w:highlight w:val="none"/>
        </w:rPr>
      </w:pPr>
      <w:r>
        <w:rPr>
          <w:rFonts w:hint="eastAsia" w:ascii="方正小标宋简体" w:hAnsi="仿宋" w:eastAsia="方正小标宋简体" w:cs="仿宋_GB2312"/>
          <w:bCs/>
          <w:color w:val="auto"/>
          <w:sz w:val="32"/>
          <w:szCs w:val="32"/>
          <w:highlight w:val="none"/>
        </w:rPr>
        <w:t>分项报价表</w:t>
      </w:r>
    </w:p>
    <w:p w14:paraId="5F8E9EC2">
      <w:pPr>
        <w:adjustRightInd w:val="0"/>
        <w:snapToGrid w:val="0"/>
        <w:spacing w:line="360" w:lineRule="auto"/>
        <w:ind w:right="105" w:rightChars="50"/>
        <w:jc w:val="left"/>
        <w:rPr>
          <w:rFonts w:ascii="仿宋_GB2312" w:hAnsi="仿宋" w:eastAsia="仿宋_GB2312" w:cs="仿宋_GB2312"/>
          <w:b/>
          <w:bCs/>
          <w:color w:val="auto"/>
          <w:sz w:val="24"/>
          <w:szCs w:val="21"/>
          <w:highlight w:val="none"/>
        </w:rPr>
      </w:pPr>
      <w:r>
        <w:rPr>
          <w:rFonts w:hint="eastAsia" w:ascii="仿宋_GB2312" w:hAnsi="仿宋" w:eastAsia="仿宋_GB2312" w:cs="仿宋_GB2312"/>
          <w:b/>
          <w:bCs/>
          <w:color w:val="auto"/>
          <w:sz w:val="24"/>
          <w:szCs w:val="21"/>
          <w:highlight w:val="none"/>
        </w:rPr>
        <w:t xml:space="preserve">包号：001                                         </w:t>
      </w:r>
      <w:r>
        <w:rPr>
          <w:rFonts w:ascii="仿宋_GB2312" w:hAnsi="仿宋" w:eastAsia="仿宋_GB2312" w:cs="仿宋_GB2312"/>
          <w:b/>
          <w:bCs/>
          <w:color w:val="auto"/>
          <w:sz w:val="24"/>
          <w:szCs w:val="21"/>
          <w:highlight w:val="none"/>
        </w:rPr>
        <w:t xml:space="preserve"> </w:t>
      </w:r>
      <w:r>
        <w:rPr>
          <w:rFonts w:hint="eastAsia" w:ascii="仿宋_GB2312" w:hAnsi="仿宋" w:eastAsia="仿宋_GB2312" w:cs="仿宋_GB2312"/>
          <w:b/>
          <w:bCs/>
          <w:color w:val="auto"/>
          <w:sz w:val="24"/>
          <w:szCs w:val="21"/>
          <w:highlight w:val="none"/>
        </w:rPr>
        <w:t xml:space="preserve">      报价单位：元</w:t>
      </w:r>
    </w:p>
    <w:tbl>
      <w:tblPr>
        <w:tblStyle w:val="24"/>
        <w:tblW w:w="91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3"/>
        <w:gridCol w:w="1488"/>
        <w:gridCol w:w="1078"/>
        <w:gridCol w:w="810"/>
        <w:gridCol w:w="903"/>
        <w:gridCol w:w="696"/>
        <w:gridCol w:w="806"/>
        <w:gridCol w:w="806"/>
        <w:gridCol w:w="750"/>
        <w:gridCol w:w="918"/>
        <w:gridCol w:w="366"/>
      </w:tblGrid>
      <w:tr w14:paraId="00F2F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blHeader/>
          <w:jc w:val="center"/>
        </w:trPr>
        <w:tc>
          <w:tcPr>
            <w:tcW w:w="533" w:type="dxa"/>
            <w:vAlign w:val="center"/>
          </w:tcPr>
          <w:p w14:paraId="63F3C049">
            <w:pPr>
              <w:adjustRightInd w:val="0"/>
              <w:snapToGrid w:val="0"/>
              <w:ind w:left="-96" w:leftChars="-46" w:right="-63" w:rightChars="-30"/>
              <w:jc w:val="center"/>
              <w:rPr>
                <w:rFonts w:ascii="仿宋_GB2312" w:hAnsi="仿宋" w:eastAsia="仿宋_GB2312" w:cs="仿宋_GB2312"/>
                <w:b/>
                <w:bCs/>
                <w:color w:val="auto"/>
                <w:sz w:val="24"/>
                <w:szCs w:val="21"/>
                <w:highlight w:val="none"/>
              </w:rPr>
            </w:pPr>
            <w:r>
              <w:rPr>
                <w:rFonts w:hint="eastAsia" w:ascii="仿宋_GB2312" w:hAnsi="仿宋" w:eastAsia="仿宋_GB2312" w:cs="仿宋_GB2312"/>
                <w:b/>
                <w:bCs/>
                <w:color w:val="auto"/>
                <w:sz w:val="24"/>
                <w:szCs w:val="21"/>
                <w:highlight w:val="none"/>
              </w:rPr>
              <w:t>序号</w:t>
            </w:r>
          </w:p>
        </w:tc>
        <w:tc>
          <w:tcPr>
            <w:tcW w:w="1488" w:type="dxa"/>
            <w:vAlign w:val="center"/>
          </w:tcPr>
          <w:p w14:paraId="71D88F81">
            <w:pPr>
              <w:adjustRightInd w:val="0"/>
              <w:snapToGrid w:val="0"/>
              <w:ind w:left="-96" w:leftChars="-46" w:right="-63" w:rightChars="-30"/>
              <w:jc w:val="center"/>
              <w:rPr>
                <w:rFonts w:ascii="仿宋_GB2312" w:hAnsi="仿宋" w:eastAsia="仿宋_GB2312" w:cs="仿宋_GB2312"/>
                <w:b/>
                <w:bCs/>
                <w:color w:val="auto"/>
                <w:sz w:val="24"/>
                <w:szCs w:val="21"/>
                <w:highlight w:val="none"/>
              </w:rPr>
            </w:pPr>
            <w:r>
              <w:rPr>
                <w:rFonts w:hint="eastAsia" w:ascii="仿宋_GB2312" w:hAnsi="仿宋" w:eastAsia="仿宋_GB2312" w:cs="仿宋_GB2312"/>
                <w:b/>
                <w:bCs/>
                <w:color w:val="auto"/>
                <w:sz w:val="24"/>
                <w:szCs w:val="21"/>
                <w:highlight w:val="none"/>
              </w:rPr>
              <w:t>产品名称</w:t>
            </w:r>
          </w:p>
        </w:tc>
        <w:tc>
          <w:tcPr>
            <w:tcW w:w="1078" w:type="dxa"/>
            <w:vAlign w:val="center"/>
          </w:tcPr>
          <w:p w14:paraId="44953DBA">
            <w:pPr>
              <w:adjustRightInd w:val="0"/>
              <w:snapToGrid w:val="0"/>
              <w:ind w:left="-96" w:leftChars="-46" w:right="-63" w:rightChars="-30"/>
              <w:jc w:val="center"/>
              <w:rPr>
                <w:rFonts w:ascii="仿宋_GB2312" w:hAnsi="仿宋" w:eastAsia="仿宋_GB2312" w:cs="仿宋_GB2312"/>
                <w:b/>
                <w:bCs/>
                <w:color w:val="auto"/>
                <w:sz w:val="24"/>
                <w:szCs w:val="21"/>
                <w:highlight w:val="none"/>
              </w:rPr>
            </w:pPr>
            <w:r>
              <w:rPr>
                <w:rFonts w:hint="eastAsia" w:ascii="仿宋_GB2312" w:hAnsi="仿宋" w:eastAsia="仿宋_GB2312" w:cs="仿宋_GB2312"/>
                <w:b/>
                <w:bCs/>
                <w:color w:val="auto"/>
                <w:sz w:val="24"/>
                <w:szCs w:val="21"/>
                <w:highlight w:val="none"/>
              </w:rPr>
              <w:t>品牌</w:t>
            </w:r>
          </w:p>
        </w:tc>
        <w:tc>
          <w:tcPr>
            <w:tcW w:w="810" w:type="dxa"/>
            <w:vAlign w:val="center"/>
          </w:tcPr>
          <w:p w14:paraId="04BD1107">
            <w:pPr>
              <w:adjustRightInd w:val="0"/>
              <w:snapToGrid w:val="0"/>
              <w:ind w:left="-96" w:leftChars="-46" w:right="-63" w:rightChars="-30"/>
              <w:jc w:val="center"/>
              <w:rPr>
                <w:rFonts w:ascii="仿宋_GB2312" w:hAnsi="仿宋" w:eastAsia="仿宋_GB2312" w:cs="仿宋_GB2312"/>
                <w:b/>
                <w:bCs/>
                <w:color w:val="auto"/>
                <w:sz w:val="24"/>
                <w:szCs w:val="21"/>
                <w:highlight w:val="none"/>
              </w:rPr>
            </w:pPr>
            <w:r>
              <w:rPr>
                <w:rFonts w:hint="eastAsia" w:ascii="仿宋_GB2312" w:hAnsi="仿宋" w:eastAsia="仿宋_GB2312" w:cs="仿宋_GB2312"/>
                <w:b/>
                <w:bCs/>
                <w:color w:val="auto"/>
                <w:sz w:val="24"/>
                <w:szCs w:val="21"/>
                <w:highlight w:val="none"/>
              </w:rPr>
              <w:t>型号</w:t>
            </w:r>
          </w:p>
          <w:p w14:paraId="1A395A9C">
            <w:pPr>
              <w:adjustRightInd w:val="0"/>
              <w:snapToGrid w:val="0"/>
              <w:ind w:left="-96" w:leftChars="-46" w:right="-63" w:rightChars="-30"/>
              <w:jc w:val="center"/>
              <w:rPr>
                <w:rFonts w:ascii="仿宋_GB2312" w:hAnsi="仿宋" w:eastAsia="仿宋_GB2312" w:cs="仿宋_GB2312"/>
                <w:b/>
                <w:bCs/>
                <w:color w:val="auto"/>
                <w:sz w:val="24"/>
                <w:szCs w:val="21"/>
                <w:highlight w:val="none"/>
              </w:rPr>
            </w:pPr>
            <w:r>
              <w:rPr>
                <w:rFonts w:hint="eastAsia" w:ascii="仿宋_GB2312" w:hAnsi="仿宋" w:eastAsia="仿宋_GB2312" w:cs="仿宋_GB2312"/>
                <w:b/>
                <w:bCs/>
                <w:color w:val="auto"/>
                <w:sz w:val="24"/>
                <w:szCs w:val="21"/>
                <w:highlight w:val="none"/>
              </w:rPr>
              <w:t>规格</w:t>
            </w:r>
          </w:p>
        </w:tc>
        <w:tc>
          <w:tcPr>
            <w:tcW w:w="903" w:type="dxa"/>
            <w:vAlign w:val="center"/>
          </w:tcPr>
          <w:p w14:paraId="322EB8DC">
            <w:pPr>
              <w:adjustRightInd w:val="0"/>
              <w:snapToGrid w:val="0"/>
              <w:ind w:left="-96" w:leftChars="-46" w:right="-63" w:rightChars="-30"/>
              <w:jc w:val="center"/>
              <w:rPr>
                <w:rFonts w:ascii="仿宋_GB2312" w:hAnsi="仿宋" w:eastAsia="仿宋_GB2312" w:cs="仿宋_GB2312"/>
                <w:b/>
                <w:bCs/>
                <w:color w:val="auto"/>
                <w:sz w:val="24"/>
                <w:szCs w:val="21"/>
                <w:highlight w:val="none"/>
              </w:rPr>
            </w:pPr>
            <w:r>
              <w:rPr>
                <w:rFonts w:hint="eastAsia" w:ascii="仿宋_GB2312" w:hAnsi="仿宋" w:eastAsia="仿宋_GB2312" w:cs="仿宋_GB2312"/>
                <w:b/>
                <w:bCs/>
                <w:color w:val="auto"/>
                <w:sz w:val="24"/>
                <w:szCs w:val="21"/>
                <w:highlight w:val="none"/>
              </w:rPr>
              <w:t>数量</w:t>
            </w:r>
          </w:p>
        </w:tc>
        <w:tc>
          <w:tcPr>
            <w:tcW w:w="696" w:type="dxa"/>
            <w:vAlign w:val="center"/>
          </w:tcPr>
          <w:p w14:paraId="3750C253">
            <w:pPr>
              <w:adjustRightInd w:val="0"/>
              <w:snapToGrid w:val="0"/>
              <w:ind w:left="-96" w:leftChars="-46" w:right="-63" w:rightChars="-30"/>
              <w:jc w:val="center"/>
              <w:rPr>
                <w:rFonts w:ascii="仿宋_GB2312" w:hAnsi="仿宋" w:eastAsia="仿宋_GB2312" w:cs="仿宋_GB2312"/>
                <w:b/>
                <w:bCs/>
                <w:color w:val="auto"/>
                <w:sz w:val="24"/>
                <w:szCs w:val="21"/>
                <w:highlight w:val="none"/>
              </w:rPr>
            </w:pPr>
            <w:r>
              <w:rPr>
                <w:rFonts w:hint="eastAsia" w:ascii="仿宋_GB2312" w:hAnsi="仿宋" w:eastAsia="仿宋_GB2312" w:cs="仿宋_GB2312"/>
                <w:b/>
                <w:bCs/>
                <w:color w:val="auto"/>
                <w:sz w:val="24"/>
                <w:szCs w:val="21"/>
                <w:highlight w:val="none"/>
              </w:rPr>
              <w:t>单位</w:t>
            </w:r>
          </w:p>
        </w:tc>
        <w:tc>
          <w:tcPr>
            <w:tcW w:w="806" w:type="dxa"/>
            <w:vAlign w:val="center"/>
          </w:tcPr>
          <w:p w14:paraId="3E2B5BFE">
            <w:pPr>
              <w:adjustRightInd w:val="0"/>
              <w:snapToGrid w:val="0"/>
              <w:ind w:left="-96" w:leftChars="-46" w:right="-63" w:rightChars="-30"/>
              <w:jc w:val="center"/>
              <w:rPr>
                <w:rFonts w:ascii="仿宋_GB2312" w:hAnsi="仿宋" w:eastAsia="仿宋_GB2312" w:cs="仿宋_GB2312"/>
                <w:b/>
                <w:bCs/>
                <w:color w:val="auto"/>
                <w:sz w:val="24"/>
                <w:szCs w:val="21"/>
                <w:highlight w:val="none"/>
              </w:rPr>
            </w:pPr>
            <w:r>
              <w:rPr>
                <w:rFonts w:hint="eastAsia" w:ascii="仿宋_GB2312" w:hAnsi="仿宋" w:eastAsia="仿宋_GB2312" w:cs="仿宋_GB2312"/>
                <w:b/>
                <w:bCs/>
                <w:color w:val="auto"/>
                <w:sz w:val="24"/>
                <w:szCs w:val="21"/>
                <w:highlight w:val="none"/>
              </w:rPr>
              <w:t>原产地</w:t>
            </w:r>
          </w:p>
        </w:tc>
        <w:tc>
          <w:tcPr>
            <w:tcW w:w="806" w:type="dxa"/>
            <w:vAlign w:val="center"/>
          </w:tcPr>
          <w:p w14:paraId="5ED3F386">
            <w:pPr>
              <w:adjustRightInd w:val="0"/>
              <w:snapToGrid w:val="0"/>
              <w:ind w:left="-96" w:leftChars="-46" w:right="-63" w:rightChars="-30"/>
              <w:jc w:val="center"/>
              <w:rPr>
                <w:rFonts w:ascii="仿宋_GB2312" w:hAnsi="仿宋" w:eastAsia="仿宋_GB2312" w:cs="仿宋_GB2312"/>
                <w:b/>
                <w:bCs/>
                <w:color w:val="auto"/>
                <w:sz w:val="24"/>
                <w:szCs w:val="21"/>
                <w:highlight w:val="none"/>
              </w:rPr>
            </w:pPr>
            <w:r>
              <w:rPr>
                <w:rFonts w:hint="eastAsia" w:ascii="仿宋_GB2312" w:hAnsi="仿宋" w:eastAsia="仿宋_GB2312" w:cs="仿宋_GB2312"/>
                <w:b/>
                <w:bCs/>
                <w:color w:val="auto"/>
                <w:sz w:val="24"/>
                <w:szCs w:val="21"/>
                <w:highlight w:val="none"/>
              </w:rPr>
              <w:t>制造商名称</w:t>
            </w:r>
          </w:p>
        </w:tc>
        <w:tc>
          <w:tcPr>
            <w:tcW w:w="750" w:type="dxa"/>
            <w:vAlign w:val="center"/>
          </w:tcPr>
          <w:p w14:paraId="55AD4CD0">
            <w:pPr>
              <w:adjustRightInd w:val="0"/>
              <w:snapToGrid w:val="0"/>
              <w:ind w:left="-96" w:leftChars="-46" w:right="-63" w:rightChars="-30"/>
              <w:jc w:val="center"/>
              <w:rPr>
                <w:rFonts w:ascii="仿宋_GB2312" w:hAnsi="仿宋" w:eastAsia="仿宋_GB2312" w:cs="仿宋_GB2312"/>
                <w:b/>
                <w:bCs/>
                <w:color w:val="auto"/>
                <w:sz w:val="24"/>
                <w:szCs w:val="21"/>
                <w:highlight w:val="none"/>
              </w:rPr>
            </w:pPr>
            <w:r>
              <w:rPr>
                <w:rFonts w:hint="eastAsia" w:ascii="仿宋_GB2312" w:hAnsi="仿宋" w:eastAsia="仿宋_GB2312" w:cs="仿宋_GB2312"/>
                <w:b/>
                <w:bCs/>
                <w:color w:val="auto"/>
                <w:sz w:val="24"/>
                <w:szCs w:val="21"/>
                <w:highlight w:val="none"/>
              </w:rPr>
              <w:t>单价（元）</w:t>
            </w:r>
          </w:p>
        </w:tc>
        <w:tc>
          <w:tcPr>
            <w:tcW w:w="918" w:type="dxa"/>
            <w:vAlign w:val="center"/>
          </w:tcPr>
          <w:p w14:paraId="69D53474">
            <w:pPr>
              <w:adjustRightInd w:val="0"/>
              <w:snapToGrid w:val="0"/>
              <w:ind w:left="-96" w:leftChars="-46" w:right="-63" w:rightChars="-30"/>
              <w:jc w:val="center"/>
              <w:rPr>
                <w:rFonts w:ascii="仿宋_GB2312" w:hAnsi="仿宋" w:eastAsia="仿宋_GB2312" w:cs="仿宋_GB2312"/>
                <w:b/>
                <w:bCs/>
                <w:color w:val="auto"/>
                <w:sz w:val="24"/>
                <w:szCs w:val="21"/>
                <w:highlight w:val="none"/>
              </w:rPr>
            </w:pPr>
            <w:r>
              <w:rPr>
                <w:rFonts w:hint="eastAsia" w:ascii="仿宋_GB2312" w:hAnsi="仿宋" w:eastAsia="仿宋_GB2312" w:cs="仿宋_GB2312"/>
                <w:b/>
                <w:bCs/>
                <w:color w:val="auto"/>
                <w:sz w:val="24"/>
                <w:szCs w:val="21"/>
                <w:highlight w:val="none"/>
              </w:rPr>
              <w:t>单项总价（元）</w:t>
            </w:r>
          </w:p>
        </w:tc>
        <w:tc>
          <w:tcPr>
            <w:tcW w:w="366" w:type="dxa"/>
            <w:vAlign w:val="center"/>
          </w:tcPr>
          <w:p w14:paraId="5F4F737D">
            <w:pPr>
              <w:adjustRightInd w:val="0"/>
              <w:snapToGrid w:val="0"/>
              <w:ind w:left="-96" w:leftChars="-46" w:right="-63" w:rightChars="-30"/>
              <w:jc w:val="center"/>
              <w:rPr>
                <w:rFonts w:ascii="仿宋_GB2312" w:hAnsi="仿宋" w:eastAsia="仿宋_GB2312" w:cs="仿宋_GB2312"/>
                <w:b/>
                <w:bCs/>
                <w:color w:val="auto"/>
                <w:sz w:val="24"/>
                <w:szCs w:val="21"/>
                <w:highlight w:val="none"/>
              </w:rPr>
            </w:pPr>
            <w:r>
              <w:rPr>
                <w:rFonts w:hint="eastAsia" w:ascii="仿宋_GB2312" w:hAnsi="仿宋" w:eastAsia="仿宋_GB2312" w:cs="仿宋_GB2312"/>
                <w:b/>
                <w:bCs/>
                <w:color w:val="auto"/>
                <w:sz w:val="24"/>
                <w:szCs w:val="21"/>
                <w:highlight w:val="none"/>
              </w:rPr>
              <w:t>备注</w:t>
            </w:r>
          </w:p>
        </w:tc>
      </w:tr>
      <w:tr w14:paraId="69E76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533" w:type="dxa"/>
            <w:vAlign w:val="center"/>
          </w:tcPr>
          <w:p w14:paraId="7F7FE86A">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1</w:t>
            </w:r>
          </w:p>
        </w:tc>
        <w:tc>
          <w:tcPr>
            <w:tcW w:w="1488" w:type="dxa"/>
            <w:vAlign w:val="center"/>
          </w:tcPr>
          <w:p w14:paraId="166B29B4">
            <w:pPr>
              <w:widowControl/>
              <w:jc w:val="center"/>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客货梯</w:t>
            </w:r>
          </w:p>
        </w:tc>
        <w:tc>
          <w:tcPr>
            <w:tcW w:w="1078" w:type="dxa"/>
            <w:vAlign w:val="center"/>
          </w:tcPr>
          <w:p w14:paraId="105DC75B">
            <w:pPr>
              <w:snapToGrid w:val="0"/>
              <w:spacing w:line="400" w:lineRule="exact"/>
              <w:jc w:val="center"/>
              <w:rPr>
                <w:rFonts w:ascii="仿宋_GB2312" w:hAnsi="仿宋_GB2312" w:eastAsia="仿宋_GB2312" w:cs="仿宋_GB2312"/>
                <w:color w:val="auto"/>
                <w:sz w:val="24"/>
                <w:highlight w:val="none"/>
              </w:rPr>
            </w:pPr>
          </w:p>
        </w:tc>
        <w:tc>
          <w:tcPr>
            <w:tcW w:w="810" w:type="dxa"/>
            <w:vAlign w:val="center"/>
          </w:tcPr>
          <w:p w14:paraId="34BB82C0">
            <w:pPr>
              <w:snapToGrid w:val="0"/>
              <w:spacing w:line="400" w:lineRule="exact"/>
              <w:jc w:val="center"/>
              <w:rPr>
                <w:rFonts w:ascii="仿宋_GB2312" w:hAnsi="仿宋_GB2312" w:eastAsia="仿宋_GB2312" w:cs="仿宋_GB2312"/>
                <w:color w:val="auto"/>
                <w:sz w:val="24"/>
                <w:highlight w:val="none"/>
              </w:rPr>
            </w:pPr>
          </w:p>
        </w:tc>
        <w:tc>
          <w:tcPr>
            <w:tcW w:w="903" w:type="dxa"/>
            <w:vAlign w:val="center"/>
          </w:tcPr>
          <w:p w14:paraId="73FB046B">
            <w:pPr>
              <w:widowControl/>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w:t>
            </w:r>
          </w:p>
        </w:tc>
        <w:tc>
          <w:tcPr>
            <w:tcW w:w="696" w:type="dxa"/>
            <w:vAlign w:val="center"/>
          </w:tcPr>
          <w:p w14:paraId="6334EEA8">
            <w:pPr>
              <w:widowControl/>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台</w:t>
            </w:r>
          </w:p>
        </w:tc>
        <w:tc>
          <w:tcPr>
            <w:tcW w:w="806" w:type="dxa"/>
            <w:vAlign w:val="center"/>
          </w:tcPr>
          <w:p w14:paraId="345DC10E">
            <w:pPr>
              <w:snapToGrid w:val="0"/>
              <w:spacing w:line="400" w:lineRule="exact"/>
              <w:jc w:val="center"/>
              <w:rPr>
                <w:rFonts w:ascii="仿宋_GB2312" w:hAnsi="仿宋" w:eastAsia="仿宋_GB2312" w:cs="仿宋_GB2312"/>
                <w:color w:val="auto"/>
                <w:sz w:val="24"/>
                <w:szCs w:val="21"/>
                <w:highlight w:val="none"/>
              </w:rPr>
            </w:pPr>
          </w:p>
        </w:tc>
        <w:tc>
          <w:tcPr>
            <w:tcW w:w="806" w:type="dxa"/>
            <w:vAlign w:val="center"/>
          </w:tcPr>
          <w:p w14:paraId="4DC72AC4">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750" w:type="dxa"/>
            <w:vAlign w:val="center"/>
          </w:tcPr>
          <w:p w14:paraId="68619B06">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918" w:type="dxa"/>
            <w:vAlign w:val="center"/>
          </w:tcPr>
          <w:p w14:paraId="7DE14C84">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366" w:type="dxa"/>
            <w:vAlign w:val="center"/>
          </w:tcPr>
          <w:p w14:paraId="23F4522C">
            <w:pPr>
              <w:adjustRightInd w:val="0"/>
              <w:snapToGrid w:val="0"/>
              <w:ind w:left="-96" w:leftChars="-46" w:right="-63" w:rightChars="-30"/>
              <w:jc w:val="center"/>
              <w:rPr>
                <w:rFonts w:ascii="仿宋_GB2312" w:hAnsi="仿宋" w:eastAsia="仿宋_GB2312" w:cs="仿宋_GB2312"/>
                <w:color w:val="auto"/>
                <w:sz w:val="24"/>
                <w:szCs w:val="21"/>
                <w:highlight w:val="none"/>
              </w:rPr>
            </w:pPr>
          </w:p>
        </w:tc>
      </w:tr>
      <w:tr w14:paraId="38FD2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14" w:hRule="atLeast"/>
          <w:jc w:val="center"/>
        </w:trPr>
        <w:tc>
          <w:tcPr>
            <w:tcW w:w="533" w:type="dxa"/>
            <w:vAlign w:val="center"/>
          </w:tcPr>
          <w:p w14:paraId="06CFEA16">
            <w:pPr>
              <w:widowControl/>
              <w:jc w:val="center"/>
              <w:textAlignment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2</w:t>
            </w:r>
          </w:p>
        </w:tc>
        <w:tc>
          <w:tcPr>
            <w:tcW w:w="1488" w:type="dxa"/>
            <w:vAlign w:val="center"/>
          </w:tcPr>
          <w:p w14:paraId="3E91BB22">
            <w:pPr>
              <w:widowControl/>
              <w:jc w:val="center"/>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扶梯</w:t>
            </w:r>
          </w:p>
        </w:tc>
        <w:tc>
          <w:tcPr>
            <w:tcW w:w="1078" w:type="dxa"/>
            <w:vAlign w:val="center"/>
          </w:tcPr>
          <w:p w14:paraId="051783EC">
            <w:pPr>
              <w:snapToGrid w:val="0"/>
              <w:spacing w:line="400" w:lineRule="exact"/>
              <w:jc w:val="center"/>
              <w:rPr>
                <w:rFonts w:ascii="仿宋_GB2312" w:hAnsi="仿宋_GB2312" w:eastAsia="仿宋_GB2312" w:cs="仿宋_GB2312"/>
                <w:color w:val="auto"/>
                <w:sz w:val="24"/>
                <w:highlight w:val="none"/>
              </w:rPr>
            </w:pPr>
          </w:p>
        </w:tc>
        <w:tc>
          <w:tcPr>
            <w:tcW w:w="810" w:type="dxa"/>
            <w:vAlign w:val="center"/>
          </w:tcPr>
          <w:p w14:paraId="021396F9">
            <w:pPr>
              <w:snapToGrid w:val="0"/>
              <w:spacing w:line="400" w:lineRule="exact"/>
              <w:jc w:val="center"/>
              <w:rPr>
                <w:rFonts w:ascii="仿宋_GB2312" w:hAnsi="仿宋_GB2312" w:eastAsia="仿宋_GB2312" w:cs="仿宋_GB2312"/>
                <w:color w:val="auto"/>
                <w:sz w:val="24"/>
                <w:highlight w:val="none"/>
              </w:rPr>
            </w:pPr>
          </w:p>
        </w:tc>
        <w:tc>
          <w:tcPr>
            <w:tcW w:w="903" w:type="dxa"/>
            <w:vAlign w:val="center"/>
          </w:tcPr>
          <w:p w14:paraId="6CAB7237">
            <w:pPr>
              <w:widowControl/>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4</w:t>
            </w:r>
          </w:p>
        </w:tc>
        <w:tc>
          <w:tcPr>
            <w:tcW w:w="696" w:type="dxa"/>
            <w:vAlign w:val="center"/>
          </w:tcPr>
          <w:p w14:paraId="21FE834D">
            <w:pPr>
              <w:widowControl/>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台</w:t>
            </w:r>
          </w:p>
        </w:tc>
        <w:tc>
          <w:tcPr>
            <w:tcW w:w="806" w:type="dxa"/>
            <w:vAlign w:val="center"/>
          </w:tcPr>
          <w:p w14:paraId="4DE6587C">
            <w:pPr>
              <w:snapToGrid w:val="0"/>
              <w:spacing w:line="400" w:lineRule="exact"/>
              <w:jc w:val="center"/>
              <w:rPr>
                <w:rFonts w:ascii="仿宋_GB2312" w:hAnsi="仿宋" w:eastAsia="仿宋_GB2312" w:cs="仿宋_GB2312"/>
                <w:color w:val="auto"/>
                <w:sz w:val="24"/>
                <w:szCs w:val="21"/>
                <w:highlight w:val="none"/>
              </w:rPr>
            </w:pPr>
          </w:p>
        </w:tc>
        <w:tc>
          <w:tcPr>
            <w:tcW w:w="806" w:type="dxa"/>
            <w:vAlign w:val="center"/>
          </w:tcPr>
          <w:p w14:paraId="7C3A9049">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750" w:type="dxa"/>
            <w:vAlign w:val="center"/>
          </w:tcPr>
          <w:p w14:paraId="661AE119">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918" w:type="dxa"/>
            <w:vAlign w:val="center"/>
          </w:tcPr>
          <w:p w14:paraId="5BB2BC3A">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366" w:type="dxa"/>
            <w:vAlign w:val="center"/>
          </w:tcPr>
          <w:p w14:paraId="07C67047">
            <w:pPr>
              <w:adjustRightInd w:val="0"/>
              <w:snapToGrid w:val="0"/>
              <w:ind w:left="-96" w:leftChars="-46" w:right="-63" w:rightChars="-30"/>
              <w:jc w:val="center"/>
              <w:rPr>
                <w:rFonts w:ascii="仿宋_GB2312" w:hAnsi="仿宋" w:eastAsia="仿宋_GB2312" w:cs="仿宋_GB2312"/>
                <w:color w:val="auto"/>
                <w:sz w:val="24"/>
                <w:szCs w:val="21"/>
                <w:highlight w:val="none"/>
              </w:rPr>
            </w:pPr>
          </w:p>
        </w:tc>
      </w:tr>
      <w:tr w14:paraId="470A1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9154" w:type="dxa"/>
            <w:gridSpan w:val="11"/>
            <w:vAlign w:val="center"/>
          </w:tcPr>
          <w:p w14:paraId="0CD2242D">
            <w:pPr>
              <w:adjustRightInd w:val="0"/>
              <w:snapToGrid w:val="0"/>
              <w:ind w:left="-96" w:leftChars="-46" w:right="-63" w:rightChars="-30"/>
              <w:jc w:val="left"/>
              <w:rPr>
                <w:rFonts w:ascii="仿宋_GB2312" w:hAnsi="仿宋" w:eastAsia="仿宋_GB2312" w:cs="仿宋_GB2312"/>
                <w:color w:val="auto"/>
                <w:sz w:val="24"/>
                <w:szCs w:val="21"/>
                <w:highlight w:val="none"/>
              </w:rPr>
            </w:pPr>
            <w:r>
              <w:rPr>
                <w:rFonts w:hint="eastAsia" w:ascii="仿宋_GB2312" w:hAnsi="仿宋" w:eastAsia="仿宋_GB2312" w:cs="仿宋_GB2312"/>
                <w:b/>
                <w:bCs/>
                <w:color w:val="auto"/>
                <w:sz w:val="24"/>
                <w:szCs w:val="21"/>
                <w:highlight w:val="none"/>
              </w:rPr>
              <w:t>总价（元）：</w:t>
            </w:r>
          </w:p>
        </w:tc>
      </w:tr>
    </w:tbl>
    <w:p w14:paraId="595031AD">
      <w:pPr>
        <w:adjustRightInd w:val="0"/>
        <w:snapToGrid w:val="0"/>
        <w:spacing w:before="159" w:beforeLines="50"/>
        <w:ind w:right="105" w:rightChars="5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szCs w:val="21"/>
          <w:highlight w:val="none"/>
        </w:rPr>
        <w:t>注：此表中，总价应和开标一览表的投标总价相一致。</w:t>
      </w:r>
    </w:p>
    <w:p w14:paraId="2BDFE64D">
      <w:pPr>
        <w:adjustRightInd w:val="0"/>
        <w:snapToGrid w:val="0"/>
        <w:spacing w:line="480" w:lineRule="auto"/>
        <w:rPr>
          <w:rFonts w:ascii="仿宋_GB2312" w:hAnsi="仿宋" w:eastAsia="仿宋_GB2312" w:cs="仿宋_GB2312"/>
          <w:color w:val="auto"/>
          <w:sz w:val="24"/>
          <w:highlight w:val="none"/>
        </w:rPr>
      </w:pPr>
    </w:p>
    <w:p w14:paraId="52B2A4AD">
      <w:pPr>
        <w:adjustRightInd w:val="0"/>
        <w:snapToGrid w:val="0"/>
        <w:spacing w:line="480" w:lineRule="auto"/>
        <w:rPr>
          <w:rFonts w:ascii="仿宋_GB2312" w:hAnsi="仿宋" w:eastAsia="仿宋_GB2312" w:cs="仿宋_GB2312"/>
          <w:color w:val="auto"/>
          <w:sz w:val="24"/>
          <w:highlight w:val="none"/>
        </w:rPr>
      </w:pPr>
    </w:p>
    <w:p w14:paraId="32EECE29">
      <w:pPr>
        <w:adjustRightInd w:val="0"/>
        <w:snapToGrid w:val="0"/>
        <w:spacing w:line="480" w:lineRule="auto"/>
        <w:rPr>
          <w:rFonts w:ascii="仿宋_GB2312" w:hAnsi="仿宋" w:eastAsia="仿宋_GB2312" w:cs="仿宋_GB2312"/>
          <w:color w:val="auto"/>
          <w:sz w:val="24"/>
          <w:highlight w:val="none"/>
        </w:rPr>
      </w:pPr>
    </w:p>
    <w:p w14:paraId="5981C900">
      <w:pPr>
        <w:adjustRightInd w:val="0"/>
        <w:snapToGrid w:val="0"/>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投标人名称（加盖单位公章）：</w:t>
      </w:r>
      <w:r>
        <w:rPr>
          <w:rFonts w:hint="eastAsia" w:ascii="仿宋_GB2312" w:hAnsi="仿宋" w:eastAsia="仿宋_GB2312" w:cs="仿宋_GB2312"/>
          <w:color w:val="auto"/>
          <w:sz w:val="24"/>
          <w:highlight w:val="none"/>
          <w:u w:val="single"/>
        </w:rPr>
        <w:t xml:space="preserve">           </w:t>
      </w:r>
    </w:p>
    <w:p w14:paraId="2396C3F4">
      <w:pPr>
        <w:adjustRightInd w:val="0"/>
        <w:snapToGrid w:val="0"/>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法定代表人（或</w:t>
      </w:r>
      <w:r>
        <w:rPr>
          <w:rFonts w:hint="eastAsia" w:ascii="仿宋_GB2312" w:hAnsi="仿宋" w:eastAsia="仿宋_GB2312" w:cs="仿宋_GB2312"/>
          <w:color w:val="auto"/>
          <w:sz w:val="24"/>
          <w:szCs w:val="21"/>
          <w:highlight w:val="none"/>
        </w:rPr>
        <w:t>非法人组织负责人）或</w:t>
      </w:r>
      <w:r>
        <w:rPr>
          <w:rFonts w:hint="eastAsia" w:ascii="仿宋_GB2312" w:hAnsi="仿宋" w:eastAsia="仿宋_GB2312" w:cs="仿宋_GB2312"/>
          <w:color w:val="auto"/>
          <w:sz w:val="24"/>
          <w:highlight w:val="none"/>
        </w:rPr>
        <w:t>其</w:t>
      </w:r>
      <w:r>
        <w:rPr>
          <w:rFonts w:hint="eastAsia" w:ascii="仿宋_GB2312" w:hAnsi="仿宋" w:eastAsia="仿宋_GB2312" w:cs="仿宋_GB2312"/>
          <w:color w:val="auto"/>
          <w:sz w:val="24"/>
          <w:szCs w:val="21"/>
          <w:highlight w:val="none"/>
        </w:rPr>
        <w:t>授权</w:t>
      </w:r>
      <w:r>
        <w:rPr>
          <w:rFonts w:hint="eastAsia" w:ascii="仿宋_GB2312" w:hAnsi="仿宋" w:eastAsia="仿宋_GB2312" w:cs="仿宋_GB2312"/>
          <w:color w:val="auto"/>
          <w:sz w:val="24"/>
          <w:highlight w:val="none"/>
        </w:rPr>
        <w:t>委托</w:t>
      </w:r>
      <w:r>
        <w:rPr>
          <w:rFonts w:hint="eastAsia" w:ascii="仿宋_GB2312" w:hAnsi="仿宋" w:eastAsia="仿宋_GB2312" w:cs="仿宋_GB2312"/>
          <w:color w:val="auto"/>
          <w:sz w:val="24"/>
          <w:szCs w:val="21"/>
          <w:highlight w:val="none"/>
        </w:rPr>
        <w:t>人</w:t>
      </w:r>
      <w:r>
        <w:rPr>
          <w:rFonts w:hint="eastAsia" w:ascii="仿宋_GB2312" w:hAnsi="仿宋" w:eastAsia="仿宋_GB2312" w:cs="仿宋_GB2312"/>
          <w:color w:val="auto"/>
          <w:sz w:val="24"/>
          <w:highlight w:val="none"/>
        </w:rPr>
        <w:t>(签字或盖章)：</w:t>
      </w:r>
      <w:r>
        <w:rPr>
          <w:rFonts w:hint="eastAsia" w:ascii="仿宋_GB2312" w:hAnsi="仿宋" w:eastAsia="仿宋_GB2312" w:cs="仿宋_GB2312"/>
          <w:color w:val="auto"/>
          <w:sz w:val="24"/>
          <w:highlight w:val="none"/>
          <w:u w:val="single"/>
        </w:rPr>
        <w:t xml:space="preserve">         </w:t>
      </w:r>
    </w:p>
    <w:p w14:paraId="6E7C354B">
      <w:pPr>
        <w:adjustRightInd w:val="0"/>
        <w:snapToGrid w:val="0"/>
        <w:spacing w:line="480" w:lineRule="auto"/>
        <w:ind w:right="105" w:rightChars="50"/>
        <w:jc w:val="left"/>
        <w:rPr>
          <w:rFonts w:ascii="仿宋_GB2312" w:hAnsi="仿宋" w:eastAsia="仿宋_GB2312" w:cs="仿宋_GB2312"/>
          <w:color w:val="auto"/>
          <w:sz w:val="24"/>
          <w:highlight w:val="none"/>
          <w:u w:val="single"/>
        </w:rPr>
        <w:sectPr>
          <w:pgSz w:w="11906" w:h="16838"/>
          <w:pgMar w:top="1468" w:right="1803" w:bottom="1418" w:left="1803" w:header="851" w:footer="1024" w:gutter="0"/>
          <w:cols w:space="720" w:num="1"/>
          <w:docGrid w:type="linesAndChars" w:linePitch="319" w:charSpace="0"/>
        </w:sectPr>
      </w:pPr>
      <w:r>
        <w:rPr>
          <w:rFonts w:hint="eastAsia" w:ascii="仿宋_GB2312" w:hAnsi="仿宋" w:eastAsia="仿宋_GB2312" w:cs="仿宋_GB2312"/>
          <w:color w:val="auto"/>
          <w:sz w:val="24"/>
          <w:highlight w:val="none"/>
        </w:rPr>
        <w:t>日      期：</w:t>
      </w:r>
      <w:r>
        <w:rPr>
          <w:rFonts w:hint="eastAsia" w:ascii="仿宋_GB2312" w:hAnsi="仿宋" w:eastAsia="仿宋_GB2312" w:cs="仿宋_GB2312"/>
          <w:color w:val="auto"/>
          <w:sz w:val="24"/>
          <w:highlight w:val="none"/>
          <w:u w:val="single"/>
        </w:rPr>
        <w:t xml:space="preserve">              </w:t>
      </w:r>
    </w:p>
    <w:p w14:paraId="3F7F6C26">
      <w:pPr>
        <w:pStyle w:val="3"/>
        <w:adjustRightInd w:val="0"/>
        <w:snapToGrid w:val="0"/>
        <w:spacing w:before="0" w:after="0" w:line="240" w:lineRule="auto"/>
        <w:jc w:val="left"/>
        <w:rPr>
          <w:rFonts w:ascii="仿宋_GB2312" w:hAnsi="仿宋" w:eastAsia="仿宋_GB2312" w:cs="仿宋_GB2312"/>
          <w:color w:val="auto"/>
          <w:szCs w:val="28"/>
          <w:highlight w:val="none"/>
        </w:rPr>
      </w:pPr>
      <w:r>
        <w:rPr>
          <w:rFonts w:hint="eastAsia" w:ascii="仿宋_GB2312" w:hAnsi="仿宋" w:eastAsia="仿宋_GB2312" w:cs="仿宋_GB2312"/>
          <w:color w:val="auto"/>
          <w:szCs w:val="28"/>
          <w:highlight w:val="none"/>
        </w:rPr>
        <w:t>格式12</w:t>
      </w:r>
      <w:r>
        <w:rPr>
          <w:rFonts w:ascii="仿宋_GB2312" w:hAnsi="仿宋" w:eastAsia="仿宋_GB2312" w:cs="仿宋_GB2312"/>
          <w:color w:val="auto"/>
          <w:szCs w:val="28"/>
          <w:highlight w:val="none"/>
        </w:rPr>
        <w:t>-</w:t>
      </w:r>
      <w:r>
        <w:rPr>
          <w:rFonts w:hint="eastAsia" w:ascii="仿宋_GB2312" w:hAnsi="仿宋" w:eastAsia="仿宋_GB2312" w:cs="仿宋_GB2312"/>
          <w:color w:val="auto"/>
          <w:szCs w:val="28"/>
          <w:highlight w:val="none"/>
        </w:rPr>
        <w:t>1</w:t>
      </w:r>
    </w:p>
    <w:p w14:paraId="4B693FFF">
      <w:pPr>
        <w:spacing w:before="159" w:beforeLines="50" w:after="159" w:afterLines="50" w:line="360" w:lineRule="auto"/>
        <w:ind w:right="-21" w:rightChars="-10"/>
        <w:jc w:val="center"/>
        <w:rPr>
          <w:rFonts w:ascii="方正小标宋简体" w:hAnsi="仿宋_GB2312" w:eastAsia="方正小标宋简体" w:cs="仿宋_GB2312"/>
          <w:color w:val="auto"/>
          <w:sz w:val="32"/>
          <w:szCs w:val="32"/>
          <w:highlight w:val="none"/>
        </w:rPr>
      </w:pPr>
      <w:r>
        <w:rPr>
          <w:rFonts w:hint="eastAsia" w:ascii="方正小标宋简体" w:hAnsi="仿宋_GB2312" w:eastAsia="方正小标宋简体" w:cs="仿宋_GB2312"/>
          <w:color w:val="auto"/>
          <w:sz w:val="32"/>
          <w:szCs w:val="32"/>
          <w:highlight w:val="none"/>
        </w:rPr>
        <w:t>获得节能认证产品部分报价表（如有）</w:t>
      </w:r>
    </w:p>
    <w:p w14:paraId="752FFE3E">
      <w:pPr>
        <w:adjustRightInd w:val="0"/>
        <w:snapToGrid w:val="0"/>
        <w:spacing w:line="360" w:lineRule="auto"/>
        <w:ind w:right="105" w:rightChars="50"/>
        <w:jc w:val="left"/>
        <w:rPr>
          <w:rFonts w:ascii="仿宋_GB2312" w:hAnsi="仿宋" w:eastAsia="仿宋_GB2312" w:cs="仿宋_GB2312"/>
          <w:b/>
          <w:bCs/>
          <w:color w:val="auto"/>
          <w:sz w:val="24"/>
          <w:szCs w:val="21"/>
          <w:highlight w:val="none"/>
        </w:rPr>
      </w:pPr>
      <w:r>
        <w:rPr>
          <w:rFonts w:hint="eastAsia" w:ascii="仿宋_GB2312" w:hAnsi="仿宋" w:eastAsia="仿宋_GB2312" w:cs="仿宋_GB2312"/>
          <w:b/>
          <w:bCs/>
          <w:color w:val="auto"/>
          <w:sz w:val="24"/>
          <w:szCs w:val="21"/>
          <w:highlight w:val="none"/>
        </w:rPr>
        <w:t xml:space="preserve">包号：001                                  </w:t>
      </w:r>
      <w:r>
        <w:rPr>
          <w:rFonts w:ascii="仿宋_GB2312" w:hAnsi="仿宋" w:eastAsia="仿宋_GB2312" w:cs="仿宋_GB2312"/>
          <w:b/>
          <w:bCs/>
          <w:color w:val="auto"/>
          <w:sz w:val="24"/>
          <w:szCs w:val="21"/>
          <w:highlight w:val="none"/>
        </w:rPr>
        <w:t xml:space="preserve">  </w:t>
      </w:r>
      <w:r>
        <w:rPr>
          <w:rFonts w:hint="eastAsia" w:ascii="仿宋_GB2312" w:hAnsi="仿宋" w:eastAsia="仿宋_GB2312" w:cs="仿宋_GB2312"/>
          <w:b/>
          <w:bCs/>
          <w:color w:val="auto"/>
          <w:sz w:val="24"/>
          <w:szCs w:val="21"/>
          <w:highlight w:val="none"/>
        </w:rPr>
        <w:t xml:space="preserve">            报价单位：元</w:t>
      </w:r>
    </w:p>
    <w:tbl>
      <w:tblPr>
        <w:tblStyle w:val="24"/>
        <w:tblW w:w="9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6"/>
        <w:gridCol w:w="1347"/>
        <w:gridCol w:w="1032"/>
        <w:gridCol w:w="1032"/>
        <w:gridCol w:w="801"/>
        <w:gridCol w:w="801"/>
        <w:gridCol w:w="674"/>
        <w:gridCol w:w="606"/>
        <w:gridCol w:w="807"/>
        <w:gridCol w:w="812"/>
        <w:gridCol w:w="607"/>
      </w:tblGrid>
      <w:tr w14:paraId="2E800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jc w:val="center"/>
        </w:trPr>
        <w:tc>
          <w:tcPr>
            <w:tcW w:w="556" w:type="dxa"/>
            <w:vAlign w:val="center"/>
          </w:tcPr>
          <w:p w14:paraId="0592CB1A">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序号</w:t>
            </w:r>
          </w:p>
        </w:tc>
        <w:tc>
          <w:tcPr>
            <w:tcW w:w="1347" w:type="dxa"/>
            <w:vAlign w:val="center"/>
          </w:tcPr>
          <w:p w14:paraId="6599761C">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产品名称</w:t>
            </w:r>
          </w:p>
        </w:tc>
        <w:tc>
          <w:tcPr>
            <w:tcW w:w="1032" w:type="dxa"/>
            <w:vAlign w:val="center"/>
          </w:tcPr>
          <w:p w14:paraId="29866BE3">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品牌</w:t>
            </w:r>
          </w:p>
        </w:tc>
        <w:tc>
          <w:tcPr>
            <w:tcW w:w="1032" w:type="dxa"/>
            <w:vAlign w:val="center"/>
          </w:tcPr>
          <w:p w14:paraId="23CB79CC">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型号</w:t>
            </w:r>
          </w:p>
          <w:p w14:paraId="61BAE978">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规格</w:t>
            </w:r>
          </w:p>
        </w:tc>
        <w:tc>
          <w:tcPr>
            <w:tcW w:w="801" w:type="dxa"/>
            <w:vAlign w:val="center"/>
          </w:tcPr>
          <w:p w14:paraId="094E7ED3">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制造商名称</w:t>
            </w:r>
          </w:p>
        </w:tc>
        <w:tc>
          <w:tcPr>
            <w:tcW w:w="801" w:type="dxa"/>
            <w:vAlign w:val="center"/>
          </w:tcPr>
          <w:p w14:paraId="2A82F30B">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认证机构名称</w:t>
            </w:r>
          </w:p>
        </w:tc>
        <w:tc>
          <w:tcPr>
            <w:tcW w:w="674" w:type="dxa"/>
            <w:vAlign w:val="center"/>
          </w:tcPr>
          <w:p w14:paraId="12F9B803">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数量</w:t>
            </w:r>
          </w:p>
        </w:tc>
        <w:tc>
          <w:tcPr>
            <w:tcW w:w="606" w:type="dxa"/>
            <w:vAlign w:val="center"/>
          </w:tcPr>
          <w:p w14:paraId="58051FEC">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单位</w:t>
            </w:r>
          </w:p>
        </w:tc>
        <w:tc>
          <w:tcPr>
            <w:tcW w:w="807" w:type="dxa"/>
            <w:vAlign w:val="center"/>
          </w:tcPr>
          <w:p w14:paraId="24C6B657">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单价（元）</w:t>
            </w:r>
          </w:p>
        </w:tc>
        <w:tc>
          <w:tcPr>
            <w:tcW w:w="812" w:type="dxa"/>
            <w:vAlign w:val="center"/>
          </w:tcPr>
          <w:p w14:paraId="16E6869B">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总价（元）</w:t>
            </w:r>
          </w:p>
        </w:tc>
        <w:tc>
          <w:tcPr>
            <w:tcW w:w="607" w:type="dxa"/>
            <w:vAlign w:val="center"/>
          </w:tcPr>
          <w:p w14:paraId="2D36442A">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备注</w:t>
            </w:r>
          </w:p>
        </w:tc>
      </w:tr>
      <w:tr w14:paraId="26F83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556" w:type="dxa"/>
            <w:vAlign w:val="center"/>
          </w:tcPr>
          <w:p w14:paraId="72DE19BC">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347" w:type="dxa"/>
            <w:vAlign w:val="center"/>
          </w:tcPr>
          <w:p w14:paraId="328E697B">
            <w:pPr>
              <w:adjustRightInd w:val="0"/>
              <w:snapToGrid w:val="0"/>
              <w:ind w:left="-96" w:leftChars="-46" w:right="-63" w:rightChars="-30"/>
              <w:jc w:val="center"/>
              <w:rPr>
                <w:rFonts w:ascii="仿宋_GB2312" w:hAnsi="仿宋_GB2312" w:eastAsia="仿宋_GB2312" w:cs="仿宋_GB2312"/>
                <w:color w:val="auto"/>
                <w:kern w:val="0"/>
                <w:sz w:val="24"/>
                <w:highlight w:val="none"/>
              </w:rPr>
            </w:pPr>
          </w:p>
        </w:tc>
        <w:tc>
          <w:tcPr>
            <w:tcW w:w="1032" w:type="dxa"/>
            <w:vAlign w:val="center"/>
          </w:tcPr>
          <w:p w14:paraId="2F67AFB7">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032" w:type="dxa"/>
            <w:vAlign w:val="center"/>
          </w:tcPr>
          <w:p w14:paraId="78FAD125">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01" w:type="dxa"/>
            <w:vAlign w:val="center"/>
          </w:tcPr>
          <w:p w14:paraId="32FB205A">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01" w:type="dxa"/>
            <w:vAlign w:val="center"/>
          </w:tcPr>
          <w:p w14:paraId="3E5AF098">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674" w:type="dxa"/>
            <w:vAlign w:val="center"/>
          </w:tcPr>
          <w:p w14:paraId="2EB65CF7">
            <w:pPr>
              <w:widowControl/>
              <w:jc w:val="center"/>
              <w:rPr>
                <w:rFonts w:ascii="仿宋_GB2312" w:hAnsi="仿宋_GB2312" w:eastAsia="仿宋_GB2312" w:cs="仿宋_GB2312"/>
                <w:color w:val="auto"/>
                <w:sz w:val="24"/>
                <w:highlight w:val="none"/>
              </w:rPr>
            </w:pPr>
          </w:p>
        </w:tc>
        <w:tc>
          <w:tcPr>
            <w:tcW w:w="606" w:type="dxa"/>
            <w:vAlign w:val="center"/>
          </w:tcPr>
          <w:p w14:paraId="501324BE">
            <w:pPr>
              <w:widowControl/>
              <w:jc w:val="center"/>
              <w:rPr>
                <w:rFonts w:ascii="仿宋_GB2312" w:hAnsi="仿宋_GB2312" w:eastAsia="仿宋_GB2312" w:cs="仿宋_GB2312"/>
                <w:color w:val="auto"/>
                <w:sz w:val="24"/>
                <w:highlight w:val="none"/>
              </w:rPr>
            </w:pPr>
          </w:p>
        </w:tc>
        <w:tc>
          <w:tcPr>
            <w:tcW w:w="807" w:type="dxa"/>
            <w:vAlign w:val="center"/>
          </w:tcPr>
          <w:p w14:paraId="37EDD906">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12" w:type="dxa"/>
            <w:vAlign w:val="center"/>
          </w:tcPr>
          <w:p w14:paraId="04395F55">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607" w:type="dxa"/>
            <w:vAlign w:val="center"/>
          </w:tcPr>
          <w:p w14:paraId="7E173DB2">
            <w:pPr>
              <w:adjustRightInd w:val="0"/>
              <w:snapToGrid w:val="0"/>
              <w:ind w:left="-96" w:leftChars="-46" w:right="-63" w:rightChars="-30"/>
              <w:jc w:val="center"/>
              <w:rPr>
                <w:rFonts w:ascii="仿宋_GB2312" w:hAnsi="仿宋" w:eastAsia="仿宋_GB2312" w:cs="仿宋_GB2312"/>
                <w:color w:val="auto"/>
                <w:sz w:val="24"/>
                <w:szCs w:val="21"/>
                <w:highlight w:val="none"/>
              </w:rPr>
            </w:pPr>
          </w:p>
        </w:tc>
      </w:tr>
      <w:tr w14:paraId="5C7C8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556" w:type="dxa"/>
            <w:vAlign w:val="center"/>
          </w:tcPr>
          <w:p w14:paraId="2E7546F6">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347" w:type="dxa"/>
            <w:vAlign w:val="center"/>
          </w:tcPr>
          <w:p w14:paraId="51883594">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032" w:type="dxa"/>
            <w:vAlign w:val="center"/>
          </w:tcPr>
          <w:p w14:paraId="403C0150">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032" w:type="dxa"/>
            <w:vAlign w:val="center"/>
          </w:tcPr>
          <w:p w14:paraId="727F56BF">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01" w:type="dxa"/>
            <w:vAlign w:val="center"/>
          </w:tcPr>
          <w:p w14:paraId="20FDC277">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01" w:type="dxa"/>
            <w:vAlign w:val="center"/>
          </w:tcPr>
          <w:p w14:paraId="166DA004">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674" w:type="dxa"/>
            <w:vAlign w:val="center"/>
          </w:tcPr>
          <w:p w14:paraId="52D197BC">
            <w:pPr>
              <w:widowControl/>
              <w:jc w:val="center"/>
              <w:rPr>
                <w:rFonts w:ascii="仿宋_GB2312" w:hAnsi="仿宋" w:eastAsia="仿宋_GB2312" w:cs="仿宋_GB2312"/>
                <w:color w:val="auto"/>
                <w:sz w:val="24"/>
                <w:szCs w:val="21"/>
                <w:highlight w:val="none"/>
              </w:rPr>
            </w:pPr>
          </w:p>
        </w:tc>
        <w:tc>
          <w:tcPr>
            <w:tcW w:w="606" w:type="dxa"/>
            <w:vAlign w:val="center"/>
          </w:tcPr>
          <w:p w14:paraId="23A2B24E">
            <w:pPr>
              <w:widowControl/>
              <w:jc w:val="center"/>
              <w:rPr>
                <w:rFonts w:ascii="仿宋_GB2312" w:hAnsi="仿宋" w:eastAsia="仿宋_GB2312" w:cs="仿宋_GB2312"/>
                <w:color w:val="auto"/>
                <w:sz w:val="24"/>
                <w:szCs w:val="21"/>
                <w:highlight w:val="none"/>
              </w:rPr>
            </w:pPr>
          </w:p>
        </w:tc>
        <w:tc>
          <w:tcPr>
            <w:tcW w:w="807" w:type="dxa"/>
            <w:vAlign w:val="center"/>
          </w:tcPr>
          <w:p w14:paraId="15C25435">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12" w:type="dxa"/>
            <w:vAlign w:val="center"/>
          </w:tcPr>
          <w:p w14:paraId="4C51BC77">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607" w:type="dxa"/>
            <w:vAlign w:val="center"/>
          </w:tcPr>
          <w:p w14:paraId="5AFF6860">
            <w:pPr>
              <w:adjustRightInd w:val="0"/>
              <w:snapToGrid w:val="0"/>
              <w:ind w:left="-96" w:leftChars="-46" w:right="-63" w:rightChars="-30"/>
              <w:jc w:val="center"/>
              <w:rPr>
                <w:rFonts w:ascii="仿宋_GB2312" w:hAnsi="仿宋" w:eastAsia="仿宋_GB2312" w:cs="仿宋_GB2312"/>
                <w:color w:val="auto"/>
                <w:sz w:val="24"/>
                <w:szCs w:val="21"/>
                <w:highlight w:val="none"/>
              </w:rPr>
            </w:pPr>
          </w:p>
        </w:tc>
      </w:tr>
      <w:tr w14:paraId="4D05D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556" w:type="dxa"/>
            <w:vAlign w:val="center"/>
          </w:tcPr>
          <w:p w14:paraId="4D9B6092">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347" w:type="dxa"/>
            <w:vAlign w:val="center"/>
          </w:tcPr>
          <w:p w14:paraId="06B54BA0">
            <w:pPr>
              <w:adjustRightInd w:val="0"/>
              <w:snapToGrid w:val="0"/>
              <w:ind w:left="-96" w:leftChars="-46" w:right="-63" w:rightChars="-30"/>
              <w:jc w:val="center"/>
              <w:rPr>
                <w:rFonts w:ascii="仿宋_GB2312" w:hAnsi="仿宋_GB2312" w:eastAsia="仿宋_GB2312" w:cs="仿宋_GB2312"/>
                <w:color w:val="auto"/>
                <w:kern w:val="0"/>
                <w:sz w:val="24"/>
                <w:highlight w:val="none"/>
              </w:rPr>
            </w:pPr>
          </w:p>
        </w:tc>
        <w:tc>
          <w:tcPr>
            <w:tcW w:w="1032" w:type="dxa"/>
            <w:vAlign w:val="center"/>
          </w:tcPr>
          <w:p w14:paraId="0D46D9C3">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032" w:type="dxa"/>
            <w:vAlign w:val="center"/>
          </w:tcPr>
          <w:p w14:paraId="300ADF76">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01" w:type="dxa"/>
            <w:vAlign w:val="center"/>
          </w:tcPr>
          <w:p w14:paraId="1BF099F5">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01" w:type="dxa"/>
            <w:vAlign w:val="center"/>
          </w:tcPr>
          <w:p w14:paraId="30A23D5E">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674" w:type="dxa"/>
            <w:vAlign w:val="center"/>
          </w:tcPr>
          <w:p w14:paraId="48EF2D45">
            <w:pPr>
              <w:widowControl/>
              <w:jc w:val="center"/>
              <w:rPr>
                <w:rFonts w:ascii="仿宋_GB2312" w:hAnsi="仿宋_GB2312" w:eastAsia="仿宋_GB2312" w:cs="仿宋_GB2312"/>
                <w:color w:val="auto"/>
                <w:sz w:val="24"/>
                <w:highlight w:val="none"/>
              </w:rPr>
            </w:pPr>
          </w:p>
        </w:tc>
        <w:tc>
          <w:tcPr>
            <w:tcW w:w="606" w:type="dxa"/>
            <w:vAlign w:val="center"/>
          </w:tcPr>
          <w:p w14:paraId="7E28CD6D">
            <w:pPr>
              <w:widowControl/>
              <w:jc w:val="center"/>
              <w:rPr>
                <w:rFonts w:ascii="仿宋_GB2312" w:hAnsi="仿宋_GB2312" w:eastAsia="仿宋_GB2312" w:cs="仿宋_GB2312"/>
                <w:color w:val="auto"/>
                <w:sz w:val="24"/>
                <w:highlight w:val="none"/>
              </w:rPr>
            </w:pPr>
          </w:p>
        </w:tc>
        <w:tc>
          <w:tcPr>
            <w:tcW w:w="807" w:type="dxa"/>
            <w:vAlign w:val="center"/>
          </w:tcPr>
          <w:p w14:paraId="039DEC2E">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12" w:type="dxa"/>
            <w:vAlign w:val="center"/>
          </w:tcPr>
          <w:p w14:paraId="10623BAD">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607" w:type="dxa"/>
            <w:vAlign w:val="center"/>
          </w:tcPr>
          <w:p w14:paraId="158955D4">
            <w:pPr>
              <w:adjustRightInd w:val="0"/>
              <w:snapToGrid w:val="0"/>
              <w:ind w:left="-96" w:leftChars="-46" w:right="-63" w:rightChars="-30"/>
              <w:jc w:val="center"/>
              <w:rPr>
                <w:rFonts w:ascii="仿宋_GB2312" w:hAnsi="仿宋" w:eastAsia="仿宋_GB2312" w:cs="仿宋_GB2312"/>
                <w:color w:val="auto"/>
                <w:sz w:val="24"/>
                <w:szCs w:val="21"/>
                <w:highlight w:val="none"/>
              </w:rPr>
            </w:pPr>
          </w:p>
        </w:tc>
      </w:tr>
      <w:tr w14:paraId="2A072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556" w:type="dxa"/>
            <w:vAlign w:val="center"/>
          </w:tcPr>
          <w:p w14:paraId="7F575594">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347" w:type="dxa"/>
            <w:vAlign w:val="center"/>
          </w:tcPr>
          <w:p w14:paraId="6885294D">
            <w:pPr>
              <w:adjustRightInd w:val="0"/>
              <w:snapToGrid w:val="0"/>
              <w:ind w:left="-96" w:leftChars="-46" w:right="-63" w:rightChars="-30"/>
              <w:jc w:val="center"/>
              <w:rPr>
                <w:rFonts w:ascii="仿宋_GB2312" w:hAnsi="仿宋_GB2312" w:eastAsia="仿宋_GB2312" w:cs="仿宋_GB2312"/>
                <w:color w:val="auto"/>
                <w:kern w:val="0"/>
                <w:sz w:val="24"/>
                <w:highlight w:val="none"/>
              </w:rPr>
            </w:pPr>
          </w:p>
        </w:tc>
        <w:tc>
          <w:tcPr>
            <w:tcW w:w="1032" w:type="dxa"/>
            <w:vAlign w:val="center"/>
          </w:tcPr>
          <w:p w14:paraId="32793670">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032" w:type="dxa"/>
            <w:vAlign w:val="center"/>
          </w:tcPr>
          <w:p w14:paraId="145AFBD4">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01" w:type="dxa"/>
            <w:vAlign w:val="center"/>
          </w:tcPr>
          <w:p w14:paraId="060E79FE">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01" w:type="dxa"/>
            <w:vAlign w:val="center"/>
          </w:tcPr>
          <w:p w14:paraId="1F9C44E8">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674" w:type="dxa"/>
            <w:vAlign w:val="center"/>
          </w:tcPr>
          <w:p w14:paraId="6F9355DD">
            <w:pPr>
              <w:widowControl/>
              <w:jc w:val="center"/>
              <w:rPr>
                <w:rFonts w:ascii="仿宋_GB2312" w:hAnsi="仿宋_GB2312" w:eastAsia="仿宋_GB2312" w:cs="仿宋_GB2312"/>
                <w:color w:val="auto"/>
                <w:sz w:val="24"/>
                <w:highlight w:val="none"/>
              </w:rPr>
            </w:pPr>
          </w:p>
        </w:tc>
        <w:tc>
          <w:tcPr>
            <w:tcW w:w="606" w:type="dxa"/>
            <w:vAlign w:val="center"/>
          </w:tcPr>
          <w:p w14:paraId="309FFBAE">
            <w:pPr>
              <w:widowControl/>
              <w:jc w:val="center"/>
              <w:rPr>
                <w:rFonts w:ascii="仿宋_GB2312" w:hAnsi="仿宋_GB2312" w:eastAsia="仿宋_GB2312" w:cs="仿宋_GB2312"/>
                <w:color w:val="auto"/>
                <w:sz w:val="24"/>
                <w:highlight w:val="none"/>
              </w:rPr>
            </w:pPr>
          </w:p>
        </w:tc>
        <w:tc>
          <w:tcPr>
            <w:tcW w:w="807" w:type="dxa"/>
            <w:vAlign w:val="center"/>
          </w:tcPr>
          <w:p w14:paraId="338F0C53">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12" w:type="dxa"/>
            <w:vAlign w:val="center"/>
          </w:tcPr>
          <w:p w14:paraId="21A5FBCD">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607" w:type="dxa"/>
            <w:vAlign w:val="center"/>
          </w:tcPr>
          <w:p w14:paraId="5AAB0318">
            <w:pPr>
              <w:adjustRightInd w:val="0"/>
              <w:snapToGrid w:val="0"/>
              <w:ind w:left="-96" w:leftChars="-46" w:right="-63" w:rightChars="-30"/>
              <w:jc w:val="center"/>
              <w:rPr>
                <w:rFonts w:ascii="仿宋_GB2312" w:hAnsi="仿宋" w:eastAsia="仿宋_GB2312" w:cs="仿宋_GB2312"/>
                <w:color w:val="auto"/>
                <w:sz w:val="24"/>
                <w:szCs w:val="21"/>
                <w:highlight w:val="none"/>
              </w:rPr>
            </w:pPr>
          </w:p>
        </w:tc>
      </w:tr>
      <w:tr w14:paraId="48D7E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556" w:type="dxa"/>
            <w:vAlign w:val="center"/>
          </w:tcPr>
          <w:p w14:paraId="3B07E43D">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347" w:type="dxa"/>
            <w:vAlign w:val="center"/>
          </w:tcPr>
          <w:p w14:paraId="247BCB8E">
            <w:pPr>
              <w:adjustRightInd w:val="0"/>
              <w:snapToGrid w:val="0"/>
              <w:ind w:left="-96" w:leftChars="-46" w:right="-63" w:rightChars="-30"/>
              <w:jc w:val="center"/>
              <w:rPr>
                <w:rFonts w:ascii="仿宋_GB2312" w:hAnsi="仿宋_GB2312" w:eastAsia="仿宋_GB2312" w:cs="仿宋_GB2312"/>
                <w:color w:val="auto"/>
                <w:kern w:val="0"/>
                <w:sz w:val="24"/>
                <w:highlight w:val="none"/>
              </w:rPr>
            </w:pPr>
          </w:p>
        </w:tc>
        <w:tc>
          <w:tcPr>
            <w:tcW w:w="1032" w:type="dxa"/>
            <w:vAlign w:val="center"/>
          </w:tcPr>
          <w:p w14:paraId="1CB08C4D">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032" w:type="dxa"/>
            <w:vAlign w:val="center"/>
          </w:tcPr>
          <w:p w14:paraId="546DA9EB">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01" w:type="dxa"/>
            <w:vAlign w:val="center"/>
          </w:tcPr>
          <w:p w14:paraId="1AD6E58F">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01" w:type="dxa"/>
            <w:vAlign w:val="center"/>
          </w:tcPr>
          <w:p w14:paraId="4282DA9D">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674" w:type="dxa"/>
            <w:vAlign w:val="center"/>
          </w:tcPr>
          <w:p w14:paraId="62807D5A">
            <w:pPr>
              <w:widowControl/>
              <w:jc w:val="center"/>
              <w:rPr>
                <w:rFonts w:ascii="仿宋_GB2312" w:hAnsi="仿宋_GB2312" w:eastAsia="仿宋_GB2312" w:cs="仿宋_GB2312"/>
                <w:color w:val="auto"/>
                <w:sz w:val="24"/>
                <w:highlight w:val="none"/>
              </w:rPr>
            </w:pPr>
          </w:p>
        </w:tc>
        <w:tc>
          <w:tcPr>
            <w:tcW w:w="606" w:type="dxa"/>
            <w:vAlign w:val="center"/>
          </w:tcPr>
          <w:p w14:paraId="64E7293F">
            <w:pPr>
              <w:widowControl/>
              <w:jc w:val="center"/>
              <w:rPr>
                <w:rFonts w:ascii="仿宋_GB2312" w:hAnsi="仿宋_GB2312" w:eastAsia="仿宋_GB2312" w:cs="仿宋_GB2312"/>
                <w:color w:val="auto"/>
                <w:sz w:val="24"/>
                <w:highlight w:val="none"/>
              </w:rPr>
            </w:pPr>
          </w:p>
        </w:tc>
        <w:tc>
          <w:tcPr>
            <w:tcW w:w="807" w:type="dxa"/>
            <w:vAlign w:val="center"/>
          </w:tcPr>
          <w:p w14:paraId="41033A84">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12" w:type="dxa"/>
            <w:vAlign w:val="center"/>
          </w:tcPr>
          <w:p w14:paraId="3FA644BB">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607" w:type="dxa"/>
            <w:vAlign w:val="center"/>
          </w:tcPr>
          <w:p w14:paraId="59347A95">
            <w:pPr>
              <w:adjustRightInd w:val="0"/>
              <w:snapToGrid w:val="0"/>
              <w:ind w:left="-96" w:leftChars="-46" w:right="-63" w:rightChars="-30"/>
              <w:jc w:val="center"/>
              <w:rPr>
                <w:rFonts w:ascii="仿宋_GB2312" w:hAnsi="仿宋" w:eastAsia="仿宋_GB2312" w:cs="仿宋_GB2312"/>
                <w:color w:val="auto"/>
                <w:sz w:val="24"/>
                <w:szCs w:val="21"/>
                <w:highlight w:val="none"/>
              </w:rPr>
            </w:pPr>
          </w:p>
        </w:tc>
      </w:tr>
      <w:tr w14:paraId="6CCAE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556" w:type="dxa"/>
            <w:vAlign w:val="center"/>
          </w:tcPr>
          <w:p w14:paraId="3D013A2B">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347" w:type="dxa"/>
            <w:vAlign w:val="center"/>
          </w:tcPr>
          <w:p w14:paraId="4C9679A6">
            <w:pPr>
              <w:adjustRightInd w:val="0"/>
              <w:snapToGrid w:val="0"/>
              <w:ind w:left="-96" w:leftChars="-46" w:right="-63" w:rightChars="-30"/>
              <w:jc w:val="center"/>
              <w:rPr>
                <w:rFonts w:ascii="仿宋_GB2312" w:hAnsi="仿宋_GB2312" w:eastAsia="仿宋_GB2312" w:cs="仿宋_GB2312"/>
                <w:color w:val="auto"/>
                <w:kern w:val="0"/>
                <w:sz w:val="24"/>
                <w:highlight w:val="none"/>
              </w:rPr>
            </w:pPr>
          </w:p>
        </w:tc>
        <w:tc>
          <w:tcPr>
            <w:tcW w:w="1032" w:type="dxa"/>
            <w:vAlign w:val="center"/>
          </w:tcPr>
          <w:p w14:paraId="1E296615">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032" w:type="dxa"/>
            <w:vAlign w:val="center"/>
          </w:tcPr>
          <w:p w14:paraId="232A757D">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01" w:type="dxa"/>
            <w:vAlign w:val="center"/>
          </w:tcPr>
          <w:p w14:paraId="4D703899">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01" w:type="dxa"/>
            <w:vAlign w:val="center"/>
          </w:tcPr>
          <w:p w14:paraId="55A0DC4B">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674" w:type="dxa"/>
            <w:vAlign w:val="center"/>
          </w:tcPr>
          <w:p w14:paraId="05C7B450">
            <w:pPr>
              <w:widowControl/>
              <w:jc w:val="center"/>
              <w:rPr>
                <w:rFonts w:ascii="仿宋_GB2312" w:hAnsi="仿宋_GB2312" w:eastAsia="仿宋_GB2312" w:cs="仿宋_GB2312"/>
                <w:color w:val="auto"/>
                <w:sz w:val="24"/>
                <w:highlight w:val="none"/>
              </w:rPr>
            </w:pPr>
          </w:p>
        </w:tc>
        <w:tc>
          <w:tcPr>
            <w:tcW w:w="606" w:type="dxa"/>
            <w:vAlign w:val="center"/>
          </w:tcPr>
          <w:p w14:paraId="5D159F1C">
            <w:pPr>
              <w:widowControl/>
              <w:jc w:val="center"/>
              <w:rPr>
                <w:rFonts w:ascii="仿宋_GB2312" w:hAnsi="仿宋_GB2312" w:eastAsia="仿宋_GB2312" w:cs="仿宋_GB2312"/>
                <w:color w:val="auto"/>
                <w:sz w:val="24"/>
                <w:highlight w:val="none"/>
              </w:rPr>
            </w:pPr>
          </w:p>
        </w:tc>
        <w:tc>
          <w:tcPr>
            <w:tcW w:w="807" w:type="dxa"/>
            <w:vAlign w:val="center"/>
          </w:tcPr>
          <w:p w14:paraId="3BCAF88F">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12" w:type="dxa"/>
            <w:vAlign w:val="center"/>
          </w:tcPr>
          <w:p w14:paraId="35FF3324">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607" w:type="dxa"/>
            <w:vAlign w:val="center"/>
          </w:tcPr>
          <w:p w14:paraId="219FE000">
            <w:pPr>
              <w:adjustRightInd w:val="0"/>
              <w:snapToGrid w:val="0"/>
              <w:ind w:left="-96" w:leftChars="-46" w:right="-63" w:rightChars="-30"/>
              <w:jc w:val="center"/>
              <w:rPr>
                <w:rFonts w:ascii="仿宋_GB2312" w:hAnsi="仿宋" w:eastAsia="仿宋_GB2312" w:cs="仿宋_GB2312"/>
                <w:color w:val="auto"/>
                <w:sz w:val="24"/>
                <w:szCs w:val="21"/>
                <w:highlight w:val="none"/>
              </w:rPr>
            </w:pPr>
          </w:p>
        </w:tc>
      </w:tr>
      <w:tr w14:paraId="55906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9075" w:type="dxa"/>
            <w:gridSpan w:val="11"/>
            <w:vAlign w:val="center"/>
          </w:tcPr>
          <w:p w14:paraId="7AE4C570">
            <w:pPr>
              <w:adjustRightInd w:val="0"/>
              <w:snapToGrid w:val="0"/>
              <w:ind w:left="-96" w:leftChars="-46" w:right="-63" w:rightChars="-30"/>
              <w:jc w:val="left"/>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总价（元）：</w:t>
            </w:r>
          </w:p>
        </w:tc>
      </w:tr>
    </w:tbl>
    <w:p w14:paraId="7D36BD69">
      <w:pPr>
        <w:adjustRightInd w:val="0"/>
        <w:snapToGrid w:val="0"/>
        <w:spacing w:line="360" w:lineRule="auto"/>
        <w:ind w:right="105" w:rightChars="50"/>
        <w:jc w:val="left"/>
        <w:rPr>
          <w:rFonts w:ascii="仿宋_GB2312" w:hAnsi="仿宋" w:eastAsia="仿宋_GB2312" w:cs="仿宋_GB2312"/>
          <w:color w:val="auto"/>
          <w:sz w:val="24"/>
          <w:szCs w:val="21"/>
          <w:highlight w:val="none"/>
        </w:rPr>
      </w:pPr>
    </w:p>
    <w:p w14:paraId="67875E1F">
      <w:pPr>
        <w:adjustRightInd w:val="0"/>
        <w:snapToGrid w:val="0"/>
        <w:spacing w:line="360" w:lineRule="auto"/>
        <w:ind w:right="105" w:rightChars="50" w:firstLine="480" w:firstLineChars="20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szCs w:val="21"/>
          <w:highlight w:val="none"/>
        </w:rPr>
        <w:t>注：</w:t>
      </w:r>
      <w:r>
        <w:rPr>
          <w:rFonts w:hint="eastAsia" w:ascii="仿宋_GB2312" w:hAnsi="仿宋" w:eastAsia="仿宋_GB2312"/>
          <w:bCs/>
          <w:color w:val="auto"/>
          <w:sz w:val="24"/>
          <w:highlight w:val="none"/>
        </w:rPr>
        <w:t>投标人应提供国家确定的认证机构出具的、处于有效期之内的节能产品认证证书，</w:t>
      </w:r>
      <w:r>
        <w:rPr>
          <w:rFonts w:hint="eastAsia" w:ascii="仿宋_GB2312" w:hAnsi="仿宋" w:eastAsia="仿宋_GB2312" w:cs="仿宋_GB2312"/>
          <w:color w:val="auto"/>
          <w:sz w:val="24"/>
          <w:szCs w:val="21"/>
          <w:highlight w:val="none"/>
        </w:rPr>
        <w:t>并以明确标注所报产品信息和位置的方式，用以方便评审。</w:t>
      </w:r>
      <w:r>
        <w:rPr>
          <w:rFonts w:hint="eastAsia" w:ascii="仿宋_GB2312" w:hAnsi="仿宋" w:eastAsia="仿宋_GB2312"/>
          <w:bCs/>
          <w:color w:val="auto"/>
          <w:sz w:val="24"/>
          <w:highlight w:val="none"/>
        </w:rPr>
        <w:t>未提供</w:t>
      </w:r>
      <w:r>
        <w:rPr>
          <w:rFonts w:hint="eastAsia" w:ascii="仿宋_GB2312" w:hAnsi="仿宋" w:eastAsia="仿宋_GB2312"/>
          <w:b/>
          <w:bCs/>
          <w:color w:val="auto"/>
          <w:sz w:val="24"/>
          <w:highlight w:val="none"/>
        </w:rPr>
        <w:t>本表及有效节能产品认证证书</w:t>
      </w:r>
      <w:r>
        <w:rPr>
          <w:rFonts w:hint="eastAsia" w:ascii="仿宋_GB2312" w:hAnsi="仿宋" w:eastAsia="仿宋_GB2312"/>
          <w:bCs/>
          <w:color w:val="auto"/>
          <w:sz w:val="24"/>
          <w:highlight w:val="none"/>
        </w:rPr>
        <w:t>视为非节能产品，强制节能产品评审时视为不响应招标文件实质性要求而做</w:t>
      </w:r>
      <w:r>
        <w:rPr>
          <w:rFonts w:hint="eastAsia" w:ascii="仿宋_GB2312" w:hAnsi="仿宋" w:eastAsia="仿宋_GB2312"/>
          <w:b/>
          <w:bCs/>
          <w:color w:val="auto"/>
          <w:sz w:val="24"/>
          <w:highlight w:val="none"/>
        </w:rPr>
        <w:t>无效投标</w:t>
      </w:r>
      <w:r>
        <w:rPr>
          <w:rFonts w:hint="eastAsia" w:ascii="仿宋_GB2312" w:hAnsi="仿宋" w:eastAsia="仿宋_GB2312"/>
          <w:bCs/>
          <w:color w:val="auto"/>
          <w:sz w:val="24"/>
          <w:highlight w:val="none"/>
        </w:rPr>
        <w:t>文件处理，非强制节能产品将不进行价格加分。</w:t>
      </w:r>
    </w:p>
    <w:p w14:paraId="55FDCE4B">
      <w:pPr>
        <w:adjustRightInd w:val="0"/>
        <w:snapToGrid w:val="0"/>
        <w:spacing w:line="480" w:lineRule="auto"/>
        <w:rPr>
          <w:rFonts w:ascii="仿宋_GB2312" w:hAnsi="仿宋" w:eastAsia="仿宋_GB2312" w:cs="仿宋_GB2312"/>
          <w:color w:val="auto"/>
          <w:sz w:val="24"/>
          <w:highlight w:val="none"/>
        </w:rPr>
      </w:pPr>
    </w:p>
    <w:p w14:paraId="3B2843AF">
      <w:pPr>
        <w:adjustRightInd w:val="0"/>
        <w:snapToGrid w:val="0"/>
        <w:spacing w:line="480" w:lineRule="auto"/>
        <w:rPr>
          <w:rFonts w:ascii="仿宋_GB2312" w:hAnsi="仿宋" w:eastAsia="仿宋_GB2312" w:cs="仿宋_GB2312"/>
          <w:color w:val="auto"/>
          <w:sz w:val="24"/>
          <w:highlight w:val="none"/>
        </w:rPr>
      </w:pPr>
    </w:p>
    <w:p w14:paraId="0C4739E0">
      <w:pPr>
        <w:adjustRightInd w:val="0"/>
        <w:snapToGrid w:val="0"/>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投标人名称（加盖单位公章）：</w:t>
      </w:r>
      <w:r>
        <w:rPr>
          <w:rFonts w:hint="eastAsia" w:ascii="仿宋_GB2312" w:hAnsi="仿宋" w:eastAsia="仿宋_GB2312" w:cs="仿宋_GB2312"/>
          <w:color w:val="auto"/>
          <w:sz w:val="24"/>
          <w:highlight w:val="none"/>
          <w:u w:val="single"/>
        </w:rPr>
        <w:t xml:space="preserve">           </w:t>
      </w:r>
    </w:p>
    <w:p w14:paraId="4355FDBA">
      <w:pPr>
        <w:adjustRightInd w:val="0"/>
        <w:snapToGrid w:val="0"/>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法定代表人（或</w:t>
      </w:r>
      <w:r>
        <w:rPr>
          <w:rFonts w:hint="eastAsia" w:ascii="仿宋_GB2312" w:hAnsi="仿宋" w:eastAsia="仿宋_GB2312" w:cs="仿宋_GB2312"/>
          <w:color w:val="auto"/>
          <w:sz w:val="24"/>
          <w:szCs w:val="21"/>
          <w:highlight w:val="none"/>
        </w:rPr>
        <w:t>非法人组织负责人）或</w:t>
      </w:r>
      <w:r>
        <w:rPr>
          <w:rFonts w:hint="eastAsia" w:ascii="仿宋_GB2312" w:hAnsi="仿宋" w:eastAsia="仿宋_GB2312" w:cs="仿宋_GB2312"/>
          <w:color w:val="auto"/>
          <w:sz w:val="24"/>
          <w:highlight w:val="none"/>
        </w:rPr>
        <w:t>其</w:t>
      </w:r>
      <w:r>
        <w:rPr>
          <w:rFonts w:hint="eastAsia" w:ascii="仿宋_GB2312" w:hAnsi="仿宋" w:eastAsia="仿宋_GB2312" w:cs="仿宋_GB2312"/>
          <w:color w:val="auto"/>
          <w:sz w:val="24"/>
          <w:szCs w:val="21"/>
          <w:highlight w:val="none"/>
        </w:rPr>
        <w:t>授权</w:t>
      </w:r>
      <w:r>
        <w:rPr>
          <w:rFonts w:hint="eastAsia" w:ascii="仿宋_GB2312" w:hAnsi="仿宋" w:eastAsia="仿宋_GB2312" w:cs="仿宋_GB2312"/>
          <w:color w:val="auto"/>
          <w:sz w:val="24"/>
          <w:highlight w:val="none"/>
        </w:rPr>
        <w:t>委托</w:t>
      </w:r>
      <w:r>
        <w:rPr>
          <w:rFonts w:hint="eastAsia" w:ascii="仿宋_GB2312" w:hAnsi="仿宋" w:eastAsia="仿宋_GB2312" w:cs="仿宋_GB2312"/>
          <w:color w:val="auto"/>
          <w:sz w:val="24"/>
          <w:szCs w:val="21"/>
          <w:highlight w:val="none"/>
        </w:rPr>
        <w:t>人</w:t>
      </w:r>
      <w:r>
        <w:rPr>
          <w:rFonts w:hint="eastAsia" w:ascii="仿宋_GB2312" w:hAnsi="仿宋" w:eastAsia="仿宋_GB2312" w:cs="仿宋_GB2312"/>
          <w:color w:val="auto"/>
          <w:sz w:val="24"/>
          <w:highlight w:val="none"/>
        </w:rPr>
        <w:t>(签字或盖章)：</w:t>
      </w:r>
      <w:r>
        <w:rPr>
          <w:rFonts w:hint="eastAsia" w:ascii="仿宋_GB2312" w:hAnsi="仿宋" w:eastAsia="仿宋_GB2312" w:cs="仿宋_GB2312"/>
          <w:color w:val="auto"/>
          <w:sz w:val="24"/>
          <w:highlight w:val="none"/>
          <w:u w:val="single"/>
        </w:rPr>
        <w:t xml:space="preserve">         </w:t>
      </w:r>
    </w:p>
    <w:p w14:paraId="78A4CE62">
      <w:pPr>
        <w:adjustRightInd w:val="0"/>
        <w:snapToGrid w:val="0"/>
        <w:spacing w:line="480" w:lineRule="auto"/>
        <w:ind w:right="105" w:rightChars="50"/>
        <w:jc w:val="left"/>
        <w:rPr>
          <w:rFonts w:ascii="仿宋_GB2312" w:hAnsi="仿宋" w:eastAsia="仿宋_GB2312" w:cs="仿宋_GB2312"/>
          <w:color w:val="auto"/>
          <w:sz w:val="24"/>
          <w:highlight w:val="none"/>
          <w:u w:val="single"/>
        </w:rPr>
      </w:pPr>
      <w:r>
        <w:rPr>
          <w:rFonts w:hint="eastAsia" w:ascii="仿宋_GB2312" w:hAnsi="仿宋" w:eastAsia="仿宋_GB2312" w:cs="仿宋_GB2312"/>
          <w:color w:val="auto"/>
          <w:sz w:val="24"/>
          <w:highlight w:val="none"/>
        </w:rPr>
        <w:t>日      期：</w:t>
      </w:r>
      <w:r>
        <w:rPr>
          <w:rFonts w:hint="eastAsia" w:ascii="仿宋_GB2312" w:hAnsi="仿宋" w:eastAsia="仿宋_GB2312" w:cs="仿宋_GB2312"/>
          <w:color w:val="auto"/>
          <w:sz w:val="24"/>
          <w:highlight w:val="none"/>
          <w:u w:val="single"/>
        </w:rPr>
        <w:t xml:space="preserve">              </w:t>
      </w:r>
    </w:p>
    <w:p w14:paraId="4CED573C">
      <w:pPr>
        <w:pStyle w:val="3"/>
        <w:adjustRightInd w:val="0"/>
        <w:snapToGrid w:val="0"/>
        <w:spacing w:before="0" w:after="0" w:line="240" w:lineRule="auto"/>
        <w:jc w:val="left"/>
        <w:rPr>
          <w:rFonts w:ascii="仿宋_GB2312" w:hAnsi="仿宋" w:eastAsia="仿宋_GB2312" w:cs="仿宋_GB2312"/>
          <w:color w:val="auto"/>
          <w:szCs w:val="28"/>
          <w:highlight w:val="none"/>
        </w:rPr>
        <w:sectPr>
          <w:pgSz w:w="11906" w:h="16838"/>
          <w:pgMar w:top="1468" w:right="1803" w:bottom="1418" w:left="1803" w:header="851" w:footer="1024" w:gutter="0"/>
          <w:cols w:space="720" w:num="1"/>
          <w:docGrid w:type="linesAndChars" w:linePitch="319" w:charSpace="0"/>
        </w:sectPr>
      </w:pPr>
    </w:p>
    <w:p w14:paraId="453A9221">
      <w:pPr>
        <w:pStyle w:val="3"/>
        <w:adjustRightInd w:val="0"/>
        <w:snapToGrid w:val="0"/>
        <w:spacing w:before="0" w:after="0" w:line="240" w:lineRule="auto"/>
        <w:jc w:val="left"/>
        <w:rPr>
          <w:rFonts w:ascii="仿宋_GB2312" w:hAnsi="仿宋" w:eastAsia="仿宋_GB2312" w:cs="仿宋_GB2312"/>
          <w:color w:val="auto"/>
          <w:szCs w:val="28"/>
          <w:highlight w:val="none"/>
        </w:rPr>
      </w:pPr>
      <w:r>
        <w:rPr>
          <w:rFonts w:hint="eastAsia" w:ascii="仿宋_GB2312" w:hAnsi="仿宋" w:eastAsia="仿宋_GB2312" w:cs="仿宋_GB2312"/>
          <w:color w:val="auto"/>
          <w:szCs w:val="28"/>
          <w:highlight w:val="none"/>
        </w:rPr>
        <w:t>格式12</w:t>
      </w:r>
      <w:r>
        <w:rPr>
          <w:rFonts w:ascii="仿宋_GB2312" w:hAnsi="仿宋" w:eastAsia="仿宋_GB2312" w:cs="仿宋_GB2312"/>
          <w:color w:val="auto"/>
          <w:szCs w:val="28"/>
          <w:highlight w:val="none"/>
        </w:rPr>
        <w:t>-</w:t>
      </w:r>
      <w:r>
        <w:rPr>
          <w:rFonts w:hint="eastAsia" w:ascii="仿宋_GB2312" w:hAnsi="仿宋" w:eastAsia="仿宋_GB2312" w:cs="仿宋_GB2312"/>
          <w:color w:val="auto"/>
          <w:szCs w:val="28"/>
          <w:highlight w:val="none"/>
        </w:rPr>
        <w:t>2</w:t>
      </w:r>
    </w:p>
    <w:p w14:paraId="102D7814">
      <w:pPr>
        <w:adjustRightInd w:val="0"/>
        <w:snapToGrid w:val="0"/>
        <w:spacing w:before="319" w:beforeLines="100" w:line="360" w:lineRule="auto"/>
        <w:ind w:right="105" w:rightChars="50"/>
        <w:jc w:val="center"/>
        <w:rPr>
          <w:rFonts w:ascii="方正小标宋简体" w:hAnsi="仿宋_GB2312" w:eastAsia="方正小标宋简体" w:cs="仿宋_GB2312"/>
          <w:color w:val="auto"/>
          <w:sz w:val="32"/>
          <w:szCs w:val="32"/>
          <w:highlight w:val="none"/>
        </w:rPr>
      </w:pPr>
      <w:r>
        <w:rPr>
          <w:rFonts w:hint="eastAsia" w:ascii="方正小标宋简体" w:hAnsi="仿宋_GB2312" w:eastAsia="方正小标宋简体" w:cs="仿宋_GB2312"/>
          <w:color w:val="auto"/>
          <w:sz w:val="32"/>
          <w:szCs w:val="32"/>
          <w:highlight w:val="none"/>
        </w:rPr>
        <w:t>获得环保认证产品部分报价表（如有）</w:t>
      </w:r>
    </w:p>
    <w:p w14:paraId="063E47FA">
      <w:pPr>
        <w:adjustRightInd w:val="0"/>
        <w:snapToGrid w:val="0"/>
        <w:spacing w:line="360" w:lineRule="auto"/>
        <w:ind w:right="105" w:rightChars="50"/>
        <w:jc w:val="left"/>
        <w:rPr>
          <w:rFonts w:ascii="仿宋_GB2312" w:hAnsi="仿宋" w:eastAsia="仿宋_GB2312" w:cs="仿宋_GB2312"/>
          <w:b/>
          <w:bCs/>
          <w:color w:val="auto"/>
          <w:sz w:val="24"/>
          <w:szCs w:val="21"/>
          <w:highlight w:val="none"/>
        </w:rPr>
      </w:pPr>
      <w:r>
        <w:rPr>
          <w:rFonts w:hint="eastAsia" w:ascii="仿宋_GB2312" w:hAnsi="仿宋" w:eastAsia="仿宋_GB2312" w:cs="仿宋_GB2312"/>
          <w:b/>
          <w:bCs/>
          <w:color w:val="auto"/>
          <w:sz w:val="24"/>
          <w:szCs w:val="21"/>
          <w:highlight w:val="none"/>
        </w:rPr>
        <w:t xml:space="preserve">包号：001             </w:t>
      </w:r>
      <w:r>
        <w:rPr>
          <w:rFonts w:ascii="仿宋_GB2312" w:hAnsi="仿宋" w:eastAsia="仿宋_GB2312" w:cs="仿宋_GB2312"/>
          <w:b/>
          <w:bCs/>
          <w:color w:val="auto"/>
          <w:sz w:val="24"/>
          <w:szCs w:val="21"/>
          <w:highlight w:val="none"/>
        </w:rPr>
        <w:t xml:space="preserve">  </w:t>
      </w:r>
      <w:r>
        <w:rPr>
          <w:rFonts w:hint="eastAsia" w:ascii="仿宋_GB2312" w:hAnsi="仿宋" w:eastAsia="仿宋_GB2312" w:cs="仿宋_GB2312"/>
          <w:b/>
          <w:bCs/>
          <w:color w:val="auto"/>
          <w:sz w:val="24"/>
          <w:szCs w:val="21"/>
          <w:highlight w:val="none"/>
        </w:rPr>
        <w:t xml:space="preserve">                           </w:t>
      </w:r>
      <w:r>
        <w:rPr>
          <w:rFonts w:ascii="仿宋_GB2312" w:hAnsi="仿宋" w:eastAsia="仿宋_GB2312" w:cs="仿宋_GB2312"/>
          <w:b/>
          <w:bCs/>
          <w:color w:val="auto"/>
          <w:sz w:val="24"/>
          <w:szCs w:val="21"/>
          <w:highlight w:val="none"/>
        </w:rPr>
        <w:t xml:space="preserve">  </w:t>
      </w:r>
      <w:r>
        <w:rPr>
          <w:rFonts w:hint="eastAsia" w:ascii="仿宋_GB2312" w:hAnsi="仿宋" w:eastAsia="仿宋_GB2312" w:cs="仿宋_GB2312"/>
          <w:b/>
          <w:bCs/>
          <w:color w:val="auto"/>
          <w:sz w:val="24"/>
          <w:szCs w:val="21"/>
          <w:highlight w:val="none"/>
        </w:rPr>
        <w:t xml:space="preserve">   报价单位：元</w:t>
      </w:r>
    </w:p>
    <w:tbl>
      <w:tblPr>
        <w:tblStyle w:val="24"/>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8"/>
        <w:gridCol w:w="1352"/>
        <w:gridCol w:w="1036"/>
        <w:gridCol w:w="1036"/>
        <w:gridCol w:w="804"/>
        <w:gridCol w:w="804"/>
        <w:gridCol w:w="677"/>
        <w:gridCol w:w="532"/>
        <w:gridCol w:w="822"/>
        <w:gridCol w:w="879"/>
        <w:gridCol w:w="609"/>
      </w:tblGrid>
      <w:tr w14:paraId="10AC0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558" w:type="dxa"/>
            <w:vAlign w:val="center"/>
          </w:tcPr>
          <w:p w14:paraId="364C7EA4">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序号</w:t>
            </w:r>
          </w:p>
        </w:tc>
        <w:tc>
          <w:tcPr>
            <w:tcW w:w="1352" w:type="dxa"/>
            <w:vAlign w:val="center"/>
          </w:tcPr>
          <w:p w14:paraId="41F5288C">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产品名称</w:t>
            </w:r>
          </w:p>
        </w:tc>
        <w:tc>
          <w:tcPr>
            <w:tcW w:w="1036" w:type="dxa"/>
            <w:vAlign w:val="center"/>
          </w:tcPr>
          <w:p w14:paraId="5612555D">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品牌</w:t>
            </w:r>
          </w:p>
        </w:tc>
        <w:tc>
          <w:tcPr>
            <w:tcW w:w="1036" w:type="dxa"/>
            <w:vAlign w:val="center"/>
          </w:tcPr>
          <w:p w14:paraId="678FD70F">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型号</w:t>
            </w:r>
          </w:p>
          <w:p w14:paraId="154D8885">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规格</w:t>
            </w:r>
          </w:p>
        </w:tc>
        <w:tc>
          <w:tcPr>
            <w:tcW w:w="804" w:type="dxa"/>
            <w:vAlign w:val="center"/>
          </w:tcPr>
          <w:p w14:paraId="66002694">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制造商名称</w:t>
            </w:r>
          </w:p>
        </w:tc>
        <w:tc>
          <w:tcPr>
            <w:tcW w:w="804" w:type="dxa"/>
            <w:vAlign w:val="center"/>
          </w:tcPr>
          <w:p w14:paraId="15623137">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认证机构名称</w:t>
            </w:r>
          </w:p>
        </w:tc>
        <w:tc>
          <w:tcPr>
            <w:tcW w:w="677" w:type="dxa"/>
            <w:vAlign w:val="center"/>
          </w:tcPr>
          <w:p w14:paraId="18907261">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数量</w:t>
            </w:r>
          </w:p>
        </w:tc>
        <w:tc>
          <w:tcPr>
            <w:tcW w:w="532" w:type="dxa"/>
            <w:vAlign w:val="center"/>
          </w:tcPr>
          <w:p w14:paraId="31345648">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单位</w:t>
            </w:r>
          </w:p>
        </w:tc>
        <w:tc>
          <w:tcPr>
            <w:tcW w:w="822" w:type="dxa"/>
            <w:vAlign w:val="center"/>
          </w:tcPr>
          <w:p w14:paraId="4F07B7AE">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单价（元）</w:t>
            </w:r>
          </w:p>
        </w:tc>
        <w:tc>
          <w:tcPr>
            <w:tcW w:w="879" w:type="dxa"/>
            <w:vAlign w:val="center"/>
          </w:tcPr>
          <w:p w14:paraId="0B5C690E">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总价（元）</w:t>
            </w:r>
          </w:p>
        </w:tc>
        <w:tc>
          <w:tcPr>
            <w:tcW w:w="609" w:type="dxa"/>
            <w:vAlign w:val="center"/>
          </w:tcPr>
          <w:p w14:paraId="5597DBE0">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备注</w:t>
            </w:r>
          </w:p>
        </w:tc>
      </w:tr>
      <w:tr w14:paraId="4401C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558" w:type="dxa"/>
            <w:vAlign w:val="center"/>
          </w:tcPr>
          <w:p w14:paraId="1C147188">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352" w:type="dxa"/>
            <w:vAlign w:val="center"/>
          </w:tcPr>
          <w:p w14:paraId="15D07205">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036" w:type="dxa"/>
            <w:vAlign w:val="center"/>
          </w:tcPr>
          <w:p w14:paraId="26CE0B5B">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036" w:type="dxa"/>
            <w:vAlign w:val="center"/>
          </w:tcPr>
          <w:p w14:paraId="74F73A1A">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04" w:type="dxa"/>
            <w:vAlign w:val="center"/>
          </w:tcPr>
          <w:p w14:paraId="478D9DA1">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04" w:type="dxa"/>
            <w:vAlign w:val="center"/>
          </w:tcPr>
          <w:p w14:paraId="74740B25">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677" w:type="dxa"/>
          </w:tcPr>
          <w:p w14:paraId="6932D387">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532" w:type="dxa"/>
          </w:tcPr>
          <w:p w14:paraId="7106AB2E">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22" w:type="dxa"/>
            <w:vAlign w:val="center"/>
          </w:tcPr>
          <w:p w14:paraId="1AC6E00A">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79" w:type="dxa"/>
            <w:vAlign w:val="center"/>
          </w:tcPr>
          <w:p w14:paraId="3339D7A2">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609" w:type="dxa"/>
            <w:vAlign w:val="center"/>
          </w:tcPr>
          <w:p w14:paraId="2DD88DD4">
            <w:pPr>
              <w:adjustRightInd w:val="0"/>
              <w:snapToGrid w:val="0"/>
              <w:ind w:left="-96" w:leftChars="-46" w:right="-63" w:rightChars="-30"/>
              <w:jc w:val="center"/>
              <w:rPr>
                <w:rFonts w:ascii="仿宋_GB2312" w:hAnsi="仿宋" w:eastAsia="仿宋_GB2312" w:cs="仿宋_GB2312"/>
                <w:color w:val="auto"/>
                <w:sz w:val="24"/>
                <w:szCs w:val="21"/>
                <w:highlight w:val="none"/>
              </w:rPr>
            </w:pPr>
          </w:p>
        </w:tc>
      </w:tr>
      <w:tr w14:paraId="74FDA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558" w:type="dxa"/>
            <w:vAlign w:val="center"/>
          </w:tcPr>
          <w:p w14:paraId="26938297">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352" w:type="dxa"/>
            <w:vAlign w:val="center"/>
          </w:tcPr>
          <w:p w14:paraId="31377FAD">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036" w:type="dxa"/>
            <w:vAlign w:val="center"/>
          </w:tcPr>
          <w:p w14:paraId="1FCD87AD">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036" w:type="dxa"/>
            <w:vAlign w:val="center"/>
          </w:tcPr>
          <w:p w14:paraId="6B8FFCDA">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04" w:type="dxa"/>
            <w:vAlign w:val="center"/>
          </w:tcPr>
          <w:p w14:paraId="6A66AD60">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04" w:type="dxa"/>
            <w:vAlign w:val="center"/>
          </w:tcPr>
          <w:p w14:paraId="321FC686">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677" w:type="dxa"/>
          </w:tcPr>
          <w:p w14:paraId="609E4B41">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532" w:type="dxa"/>
          </w:tcPr>
          <w:p w14:paraId="714F80E1">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22" w:type="dxa"/>
            <w:vAlign w:val="center"/>
          </w:tcPr>
          <w:p w14:paraId="0DC9CC6E">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79" w:type="dxa"/>
            <w:vAlign w:val="center"/>
          </w:tcPr>
          <w:p w14:paraId="7EC2B3D8">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609" w:type="dxa"/>
            <w:vAlign w:val="center"/>
          </w:tcPr>
          <w:p w14:paraId="0B041EF4">
            <w:pPr>
              <w:adjustRightInd w:val="0"/>
              <w:snapToGrid w:val="0"/>
              <w:ind w:left="-96" w:leftChars="-46" w:right="-63" w:rightChars="-30"/>
              <w:jc w:val="center"/>
              <w:rPr>
                <w:rFonts w:ascii="仿宋_GB2312" w:hAnsi="仿宋" w:eastAsia="仿宋_GB2312" w:cs="仿宋_GB2312"/>
                <w:color w:val="auto"/>
                <w:sz w:val="24"/>
                <w:szCs w:val="21"/>
                <w:highlight w:val="none"/>
              </w:rPr>
            </w:pPr>
          </w:p>
        </w:tc>
      </w:tr>
      <w:tr w14:paraId="68C44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558" w:type="dxa"/>
            <w:vAlign w:val="center"/>
          </w:tcPr>
          <w:p w14:paraId="135EA3B9">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352" w:type="dxa"/>
            <w:vAlign w:val="center"/>
          </w:tcPr>
          <w:p w14:paraId="4137A233">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036" w:type="dxa"/>
            <w:vAlign w:val="center"/>
          </w:tcPr>
          <w:p w14:paraId="244DBFC7">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036" w:type="dxa"/>
            <w:vAlign w:val="center"/>
          </w:tcPr>
          <w:p w14:paraId="1D9D9804">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04" w:type="dxa"/>
            <w:vAlign w:val="center"/>
          </w:tcPr>
          <w:p w14:paraId="6DA5A9E4">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04" w:type="dxa"/>
            <w:vAlign w:val="center"/>
          </w:tcPr>
          <w:p w14:paraId="21D82A1E">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677" w:type="dxa"/>
          </w:tcPr>
          <w:p w14:paraId="77ACCE41">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532" w:type="dxa"/>
          </w:tcPr>
          <w:p w14:paraId="7AB5D06C">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22" w:type="dxa"/>
            <w:vAlign w:val="center"/>
          </w:tcPr>
          <w:p w14:paraId="39C575D9">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79" w:type="dxa"/>
            <w:vAlign w:val="center"/>
          </w:tcPr>
          <w:p w14:paraId="5E68BCBD">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609" w:type="dxa"/>
            <w:vAlign w:val="center"/>
          </w:tcPr>
          <w:p w14:paraId="7AB8CAFD">
            <w:pPr>
              <w:adjustRightInd w:val="0"/>
              <w:snapToGrid w:val="0"/>
              <w:ind w:left="-96" w:leftChars="-46" w:right="-63" w:rightChars="-30"/>
              <w:jc w:val="center"/>
              <w:rPr>
                <w:rFonts w:ascii="仿宋_GB2312" w:hAnsi="仿宋" w:eastAsia="仿宋_GB2312" w:cs="仿宋_GB2312"/>
                <w:color w:val="auto"/>
                <w:sz w:val="24"/>
                <w:szCs w:val="21"/>
                <w:highlight w:val="none"/>
              </w:rPr>
            </w:pPr>
          </w:p>
        </w:tc>
      </w:tr>
      <w:tr w14:paraId="5DA8C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558" w:type="dxa"/>
            <w:vAlign w:val="center"/>
          </w:tcPr>
          <w:p w14:paraId="21AA7759">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352" w:type="dxa"/>
            <w:vAlign w:val="center"/>
          </w:tcPr>
          <w:p w14:paraId="469169DB">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036" w:type="dxa"/>
            <w:vAlign w:val="center"/>
          </w:tcPr>
          <w:p w14:paraId="296E27A3">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036" w:type="dxa"/>
            <w:vAlign w:val="center"/>
          </w:tcPr>
          <w:p w14:paraId="3072FDFF">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04" w:type="dxa"/>
            <w:vAlign w:val="center"/>
          </w:tcPr>
          <w:p w14:paraId="43965A52">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04" w:type="dxa"/>
            <w:vAlign w:val="center"/>
          </w:tcPr>
          <w:p w14:paraId="55125EF6">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677" w:type="dxa"/>
          </w:tcPr>
          <w:p w14:paraId="0F9A05FF">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532" w:type="dxa"/>
          </w:tcPr>
          <w:p w14:paraId="32532AAE">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22" w:type="dxa"/>
            <w:vAlign w:val="center"/>
          </w:tcPr>
          <w:p w14:paraId="41D0A1E7">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79" w:type="dxa"/>
            <w:vAlign w:val="center"/>
          </w:tcPr>
          <w:p w14:paraId="28BEF7E3">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609" w:type="dxa"/>
            <w:vAlign w:val="center"/>
          </w:tcPr>
          <w:p w14:paraId="1641E9CE">
            <w:pPr>
              <w:adjustRightInd w:val="0"/>
              <w:snapToGrid w:val="0"/>
              <w:ind w:left="-96" w:leftChars="-46" w:right="-63" w:rightChars="-30"/>
              <w:jc w:val="center"/>
              <w:rPr>
                <w:rFonts w:ascii="仿宋_GB2312" w:hAnsi="仿宋" w:eastAsia="仿宋_GB2312" w:cs="仿宋_GB2312"/>
                <w:color w:val="auto"/>
                <w:sz w:val="24"/>
                <w:szCs w:val="21"/>
                <w:highlight w:val="none"/>
              </w:rPr>
            </w:pPr>
          </w:p>
        </w:tc>
      </w:tr>
      <w:tr w14:paraId="73906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558" w:type="dxa"/>
            <w:vAlign w:val="center"/>
          </w:tcPr>
          <w:p w14:paraId="73C079E4">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352" w:type="dxa"/>
            <w:vAlign w:val="center"/>
          </w:tcPr>
          <w:p w14:paraId="597B311A">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036" w:type="dxa"/>
            <w:vAlign w:val="center"/>
          </w:tcPr>
          <w:p w14:paraId="5A8AB676">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036" w:type="dxa"/>
            <w:vAlign w:val="center"/>
          </w:tcPr>
          <w:p w14:paraId="5DEB54A4">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04" w:type="dxa"/>
            <w:vAlign w:val="center"/>
          </w:tcPr>
          <w:p w14:paraId="1D2BC859">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04" w:type="dxa"/>
            <w:vAlign w:val="center"/>
          </w:tcPr>
          <w:p w14:paraId="62A804EA">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677" w:type="dxa"/>
          </w:tcPr>
          <w:p w14:paraId="45BED4B5">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532" w:type="dxa"/>
          </w:tcPr>
          <w:p w14:paraId="4675C903">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22" w:type="dxa"/>
            <w:vAlign w:val="center"/>
          </w:tcPr>
          <w:p w14:paraId="18867A29">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79" w:type="dxa"/>
            <w:vAlign w:val="center"/>
          </w:tcPr>
          <w:p w14:paraId="65A2CB39">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609" w:type="dxa"/>
            <w:vAlign w:val="center"/>
          </w:tcPr>
          <w:p w14:paraId="3CBAAC4E">
            <w:pPr>
              <w:adjustRightInd w:val="0"/>
              <w:snapToGrid w:val="0"/>
              <w:ind w:left="-96" w:leftChars="-46" w:right="-63" w:rightChars="-30"/>
              <w:jc w:val="center"/>
              <w:rPr>
                <w:rFonts w:ascii="仿宋_GB2312" w:hAnsi="仿宋" w:eastAsia="仿宋_GB2312" w:cs="仿宋_GB2312"/>
                <w:color w:val="auto"/>
                <w:sz w:val="24"/>
                <w:szCs w:val="21"/>
                <w:highlight w:val="none"/>
              </w:rPr>
            </w:pPr>
          </w:p>
        </w:tc>
      </w:tr>
      <w:tr w14:paraId="25C68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558" w:type="dxa"/>
            <w:vAlign w:val="center"/>
          </w:tcPr>
          <w:p w14:paraId="4B8D81AA">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352" w:type="dxa"/>
            <w:vAlign w:val="center"/>
          </w:tcPr>
          <w:p w14:paraId="2C4765AA">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036" w:type="dxa"/>
            <w:vAlign w:val="center"/>
          </w:tcPr>
          <w:p w14:paraId="1BD95D0A">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036" w:type="dxa"/>
            <w:vAlign w:val="center"/>
          </w:tcPr>
          <w:p w14:paraId="1EF06D00">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04" w:type="dxa"/>
            <w:vAlign w:val="center"/>
          </w:tcPr>
          <w:p w14:paraId="5E245A01">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04" w:type="dxa"/>
            <w:vAlign w:val="center"/>
          </w:tcPr>
          <w:p w14:paraId="428A0486">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677" w:type="dxa"/>
          </w:tcPr>
          <w:p w14:paraId="026FF8A3">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532" w:type="dxa"/>
          </w:tcPr>
          <w:p w14:paraId="458BFA7E">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22" w:type="dxa"/>
            <w:vAlign w:val="center"/>
          </w:tcPr>
          <w:p w14:paraId="17535F9F">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79" w:type="dxa"/>
            <w:vAlign w:val="center"/>
          </w:tcPr>
          <w:p w14:paraId="7EEE1318">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609" w:type="dxa"/>
            <w:vAlign w:val="center"/>
          </w:tcPr>
          <w:p w14:paraId="3AC1BB65">
            <w:pPr>
              <w:adjustRightInd w:val="0"/>
              <w:snapToGrid w:val="0"/>
              <w:ind w:left="-96" w:leftChars="-46" w:right="-63" w:rightChars="-30"/>
              <w:jc w:val="center"/>
              <w:rPr>
                <w:rFonts w:ascii="仿宋_GB2312" w:hAnsi="仿宋" w:eastAsia="仿宋_GB2312" w:cs="仿宋_GB2312"/>
                <w:color w:val="auto"/>
                <w:sz w:val="24"/>
                <w:szCs w:val="21"/>
                <w:highlight w:val="none"/>
              </w:rPr>
            </w:pPr>
          </w:p>
        </w:tc>
      </w:tr>
      <w:tr w14:paraId="17410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9109" w:type="dxa"/>
            <w:gridSpan w:val="11"/>
            <w:vAlign w:val="center"/>
          </w:tcPr>
          <w:p w14:paraId="78E4088D">
            <w:pPr>
              <w:adjustRightInd w:val="0"/>
              <w:snapToGrid w:val="0"/>
              <w:ind w:left="-96" w:leftChars="-46" w:right="-63" w:rightChars="-30"/>
              <w:jc w:val="left"/>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总价（元）：</w:t>
            </w:r>
          </w:p>
        </w:tc>
      </w:tr>
    </w:tbl>
    <w:p w14:paraId="632E5C07">
      <w:pPr>
        <w:adjustRightInd w:val="0"/>
        <w:snapToGrid w:val="0"/>
        <w:spacing w:line="360" w:lineRule="auto"/>
        <w:ind w:right="105" w:rightChars="50"/>
        <w:jc w:val="left"/>
        <w:rPr>
          <w:rFonts w:ascii="仿宋_GB2312" w:hAnsi="仿宋" w:eastAsia="仿宋_GB2312" w:cs="仿宋_GB2312"/>
          <w:color w:val="auto"/>
          <w:sz w:val="24"/>
          <w:szCs w:val="21"/>
          <w:highlight w:val="none"/>
        </w:rPr>
      </w:pPr>
    </w:p>
    <w:p w14:paraId="41077CE9">
      <w:pPr>
        <w:adjustRightInd w:val="0"/>
        <w:snapToGrid w:val="0"/>
        <w:spacing w:line="360" w:lineRule="auto"/>
        <w:ind w:right="105" w:rightChars="50" w:firstLine="480" w:firstLineChars="200"/>
        <w:jc w:val="left"/>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注：投标人应提供国家确定的认证机构出具的、处于有效期之内的环境标志产品认证证书，并以明确标注所报产品信息和位置的方式，用以方便评审。未提供</w:t>
      </w:r>
      <w:r>
        <w:rPr>
          <w:rFonts w:hint="eastAsia" w:ascii="仿宋_GB2312" w:hAnsi="仿宋" w:eastAsia="仿宋_GB2312" w:cs="仿宋_GB2312"/>
          <w:b/>
          <w:color w:val="auto"/>
          <w:sz w:val="24"/>
          <w:szCs w:val="21"/>
          <w:highlight w:val="none"/>
        </w:rPr>
        <w:t>本表及有效环境标志产品认证证书</w:t>
      </w:r>
      <w:r>
        <w:rPr>
          <w:rFonts w:hint="eastAsia" w:ascii="仿宋_GB2312" w:hAnsi="仿宋" w:eastAsia="仿宋_GB2312" w:cs="仿宋_GB2312"/>
          <w:color w:val="auto"/>
          <w:sz w:val="24"/>
          <w:szCs w:val="21"/>
          <w:highlight w:val="none"/>
        </w:rPr>
        <w:t>视为非环保产品，评审时将不进行价格加分。</w:t>
      </w:r>
    </w:p>
    <w:p w14:paraId="1A429345">
      <w:pPr>
        <w:adjustRightInd w:val="0"/>
        <w:snapToGrid w:val="0"/>
        <w:spacing w:line="360" w:lineRule="auto"/>
        <w:ind w:right="105" w:rightChars="50" w:firstLine="480" w:firstLineChars="200"/>
        <w:jc w:val="left"/>
        <w:rPr>
          <w:rFonts w:ascii="仿宋_GB2312" w:hAnsi="仿宋" w:eastAsia="仿宋_GB2312" w:cs="仿宋_GB2312"/>
          <w:color w:val="auto"/>
          <w:sz w:val="24"/>
          <w:szCs w:val="21"/>
          <w:highlight w:val="none"/>
        </w:rPr>
      </w:pPr>
    </w:p>
    <w:p w14:paraId="3895AAB5">
      <w:pPr>
        <w:adjustRightInd w:val="0"/>
        <w:snapToGrid w:val="0"/>
        <w:spacing w:line="360" w:lineRule="auto"/>
        <w:ind w:right="105" w:rightChars="50"/>
        <w:jc w:val="left"/>
        <w:rPr>
          <w:rFonts w:ascii="仿宋_GB2312" w:hAnsi="仿宋" w:eastAsia="仿宋_GB2312" w:cs="仿宋_GB2312"/>
          <w:color w:val="auto"/>
          <w:sz w:val="24"/>
          <w:szCs w:val="21"/>
          <w:highlight w:val="none"/>
        </w:rPr>
      </w:pPr>
    </w:p>
    <w:p w14:paraId="1F2B34DC">
      <w:pPr>
        <w:pStyle w:val="10"/>
        <w:rPr>
          <w:rFonts w:ascii="仿宋_GB2312" w:hAnsi="仿宋" w:eastAsia="仿宋_GB2312" w:cs="仿宋_GB2312"/>
          <w:color w:val="auto"/>
          <w:sz w:val="24"/>
          <w:szCs w:val="21"/>
          <w:highlight w:val="none"/>
        </w:rPr>
      </w:pPr>
    </w:p>
    <w:p w14:paraId="3C4DF07D">
      <w:pPr>
        <w:pStyle w:val="19"/>
        <w:rPr>
          <w:color w:val="auto"/>
          <w:highlight w:val="none"/>
          <w:lang w:eastAsia="zh-CN"/>
        </w:rPr>
      </w:pPr>
    </w:p>
    <w:p w14:paraId="6F3831F4">
      <w:pPr>
        <w:adjustRightInd w:val="0"/>
        <w:snapToGrid w:val="0"/>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投标人名称（加盖单位公章）：</w:t>
      </w:r>
      <w:r>
        <w:rPr>
          <w:rFonts w:hint="eastAsia" w:ascii="仿宋_GB2312" w:hAnsi="仿宋" w:eastAsia="仿宋_GB2312" w:cs="仿宋_GB2312"/>
          <w:color w:val="auto"/>
          <w:sz w:val="24"/>
          <w:highlight w:val="none"/>
          <w:u w:val="single"/>
        </w:rPr>
        <w:t xml:space="preserve">           </w:t>
      </w:r>
    </w:p>
    <w:p w14:paraId="12784CE7">
      <w:pPr>
        <w:adjustRightInd w:val="0"/>
        <w:snapToGrid w:val="0"/>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法定代表人（或</w:t>
      </w:r>
      <w:r>
        <w:rPr>
          <w:rFonts w:hint="eastAsia" w:ascii="仿宋_GB2312" w:hAnsi="仿宋" w:eastAsia="仿宋_GB2312" w:cs="仿宋_GB2312"/>
          <w:color w:val="auto"/>
          <w:sz w:val="24"/>
          <w:szCs w:val="21"/>
          <w:highlight w:val="none"/>
        </w:rPr>
        <w:t>非法人组织负责人）或</w:t>
      </w:r>
      <w:r>
        <w:rPr>
          <w:rFonts w:hint="eastAsia" w:ascii="仿宋_GB2312" w:hAnsi="仿宋" w:eastAsia="仿宋_GB2312" w:cs="仿宋_GB2312"/>
          <w:color w:val="auto"/>
          <w:sz w:val="24"/>
          <w:highlight w:val="none"/>
        </w:rPr>
        <w:t>其</w:t>
      </w:r>
      <w:r>
        <w:rPr>
          <w:rFonts w:hint="eastAsia" w:ascii="仿宋_GB2312" w:hAnsi="仿宋" w:eastAsia="仿宋_GB2312" w:cs="仿宋_GB2312"/>
          <w:color w:val="auto"/>
          <w:sz w:val="24"/>
          <w:szCs w:val="21"/>
          <w:highlight w:val="none"/>
        </w:rPr>
        <w:t>授权</w:t>
      </w:r>
      <w:r>
        <w:rPr>
          <w:rFonts w:hint="eastAsia" w:ascii="仿宋_GB2312" w:hAnsi="仿宋" w:eastAsia="仿宋_GB2312" w:cs="仿宋_GB2312"/>
          <w:color w:val="auto"/>
          <w:sz w:val="24"/>
          <w:highlight w:val="none"/>
        </w:rPr>
        <w:t>委托</w:t>
      </w:r>
      <w:r>
        <w:rPr>
          <w:rFonts w:hint="eastAsia" w:ascii="仿宋_GB2312" w:hAnsi="仿宋" w:eastAsia="仿宋_GB2312" w:cs="仿宋_GB2312"/>
          <w:color w:val="auto"/>
          <w:sz w:val="24"/>
          <w:szCs w:val="21"/>
          <w:highlight w:val="none"/>
        </w:rPr>
        <w:t>人</w:t>
      </w:r>
      <w:r>
        <w:rPr>
          <w:rFonts w:hint="eastAsia" w:ascii="仿宋_GB2312" w:hAnsi="仿宋" w:eastAsia="仿宋_GB2312" w:cs="仿宋_GB2312"/>
          <w:color w:val="auto"/>
          <w:sz w:val="24"/>
          <w:highlight w:val="none"/>
        </w:rPr>
        <w:t>(签字或盖章)：</w:t>
      </w:r>
      <w:r>
        <w:rPr>
          <w:rFonts w:hint="eastAsia" w:ascii="仿宋_GB2312" w:hAnsi="仿宋" w:eastAsia="仿宋_GB2312" w:cs="仿宋_GB2312"/>
          <w:color w:val="auto"/>
          <w:sz w:val="24"/>
          <w:highlight w:val="none"/>
          <w:u w:val="single"/>
        </w:rPr>
        <w:t xml:space="preserve">         </w:t>
      </w:r>
    </w:p>
    <w:p w14:paraId="606A721F">
      <w:pPr>
        <w:rPr>
          <w:rFonts w:ascii="仿宋_GB2312" w:hAnsi="仿宋" w:eastAsia="仿宋_GB2312" w:cs="仿宋_GB2312"/>
          <w:color w:val="auto"/>
          <w:sz w:val="24"/>
          <w:szCs w:val="21"/>
          <w:highlight w:val="none"/>
        </w:rPr>
        <w:sectPr>
          <w:pgSz w:w="11906" w:h="16838"/>
          <w:pgMar w:top="1468" w:right="1803" w:bottom="1418" w:left="1803" w:header="851" w:footer="1024" w:gutter="0"/>
          <w:cols w:space="720" w:num="1"/>
          <w:docGrid w:type="linesAndChars" w:linePitch="319" w:charSpace="0"/>
        </w:sectPr>
      </w:pPr>
      <w:r>
        <w:rPr>
          <w:rFonts w:hint="eastAsia" w:ascii="仿宋_GB2312" w:hAnsi="仿宋" w:eastAsia="仿宋_GB2312" w:cs="仿宋_GB2312"/>
          <w:color w:val="auto"/>
          <w:sz w:val="24"/>
          <w:szCs w:val="21"/>
          <w:highlight w:val="none"/>
        </w:rPr>
        <w:t>日      期：</w:t>
      </w:r>
      <w:r>
        <w:rPr>
          <w:rFonts w:hint="eastAsia" w:ascii="仿宋_GB2312" w:hAnsi="仿宋" w:eastAsia="仿宋_GB2312" w:cs="仿宋_GB2312"/>
          <w:color w:val="auto"/>
          <w:sz w:val="24"/>
          <w:szCs w:val="21"/>
          <w:highlight w:val="none"/>
          <w:u w:val="single"/>
        </w:rPr>
        <w:t xml:space="preserve">              </w:t>
      </w:r>
    </w:p>
    <w:p w14:paraId="6B0E5975">
      <w:pPr>
        <w:pStyle w:val="3"/>
        <w:adjustRightInd w:val="0"/>
        <w:snapToGrid w:val="0"/>
        <w:spacing w:before="0" w:after="0" w:line="240" w:lineRule="auto"/>
        <w:jc w:val="left"/>
        <w:rPr>
          <w:rFonts w:ascii="仿宋_GB2312" w:hAnsi="仿宋" w:eastAsia="仿宋_GB2312" w:cs="仿宋_GB2312"/>
          <w:color w:val="auto"/>
          <w:szCs w:val="28"/>
          <w:highlight w:val="none"/>
        </w:rPr>
      </w:pPr>
      <w:r>
        <w:rPr>
          <w:rFonts w:hint="eastAsia" w:ascii="仿宋_GB2312" w:hAnsi="仿宋" w:eastAsia="仿宋_GB2312" w:cs="仿宋_GB2312"/>
          <w:color w:val="auto"/>
          <w:szCs w:val="28"/>
          <w:highlight w:val="none"/>
        </w:rPr>
        <w:t>格式13</w:t>
      </w:r>
    </w:p>
    <w:p w14:paraId="3427D595">
      <w:pPr>
        <w:snapToGrid w:val="0"/>
        <w:spacing w:line="360" w:lineRule="auto"/>
        <w:ind w:right="-21" w:rightChars="-10"/>
        <w:jc w:val="center"/>
        <w:rPr>
          <w:rFonts w:ascii="方正小标宋简体" w:hAnsi="仿宋_GB2312" w:eastAsia="方正小标宋简体" w:cs="仿宋_GB2312"/>
          <w:color w:val="auto"/>
          <w:sz w:val="32"/>
          <w:szCs w:val="32"/>
          <w:highlight w:val="none"/>
        </w:rPr>
      </w:pPr>
      <w:r>
        <w:rPr>
          <w:rFonts w:hint="eastAsia" w:ascii="方正小标宋简体" w:hAnsi="仿宋_GB2312" w:eastAsia="方正小标宋简体" w:cs="仿宋_GB2312"/>
          <w:color w:val="auto"/>
          <w:sz w:val="32"/>
          <w:szCs w:val="32"/>
          <w:highlight w:val="none"/>
        </w:rPr>
        <w:t>技术规格偏离表</w:t>
      </w:r>
    </w:p>
    <w:tbl>
      <w:tblPr>
        <w:tblStyle w:val="24"/>
        <w:tblW w:w="142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09"/>
        <w:gridCol w:w="5217"/>
        <w:gridCol w:w="717"/>
        <w:gridCol w:w="700"/>
        <w:gridCol w:w="825"/>
      </w:tblGrid>
      <w:tr w14:paraId="1FF46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8" w:hRule="atLeast"/>
        </w:trPr>
        <w:tc>
          <w:tcPr>
            <w:tcW w:w="14268" w:type="dxa"/>
            <w:gridSpan w:val="5"/>
            <w:tcBorders>
              <w:top w:val="single" w:color="auto" w:sz="4" w:space="0"/>
              <w:left w:val="single" w:color="auto" w:sz="4" w:space="0"/>
              <w:bottom w:val="single" w:color="auto" w:sz="4" w:space="0"/>
              <w:right w:val="single" w:color="auto" w:sz="4" w:space="0"/>
            </w:tcBorders>
            <w:vAlign w:val="center"/>
          </w:tcPr>
          <w:p w14:paraId="4FD784AB">
            <w:pPr>
              <w:adjustRightInd w:val="0"/>
              <w:snapToGrid w:val="0"/>
              <w:ind w:right="105" w:rightChars="50"/>
              <w:jc w:val="left"/>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品目1</w:t>
            </w:r>
          </w:p>
          <w:p w14:paraId="6CA4A073">
            <w:pPr>
              <w:pStyle w:val="20"/>
              <w:widowControl w:val="0"/>
              <w:adjustRightInd w:val="0"/>
              <w:snapToGrid w:val="0"/>
              <w:spacing w:before="0" w:beforeAutospacing="0" w:after="0" w:afterAutospacing="0"/>
              <w:jc w:val="both"/>
              <w:rPr>
                <w:rFonts w:ascii="仿宋_GB2312" w:hAnsi="仿宋" w:eastAsia="仿宋_GB2312" w:cs="仿宋_GB2312"/>
                <w:color w:val="auto"/>
                <w:kern w:val="2"/>
                <w:szCs w:val="21"/>
                <w:highlight w:val="none"/>
              </w:rPr>
            </w:pPr>
            <w:r>
              <w:rPr>
                <w:rFonts w:hint="eastAsia" w:ascii="仿宋_GB2312" w:hAnsi="仿宋" w:eastAsia="仿宋_GB2312" w:cs="仿宋_GB2312"/>
                <w:color w:val="auto"/>
                <w:kern w:val="2"/>
                <w:szCs w:val="21"/>
                <w:highlight w:val="none"/>
              </w:rPr>
              <w:t>产品名称：客</w:t>
            </w:r>
            <w:r>
              <w:rPr>
                <w:rFonts w:hint="eastAsia" w:ascii="仿宋_GB2312" w:hAnsi="仿宋_GB2312" w:eastAsia="仿宋_GB2312" w:cs="仿宋_GB2312"/>
                <w:color w:val="auto"/>
                <w:highlight w:val="none"/>
              </w:rPr>
              <w:t>货梯</w:t>
            </w:r>
          </w:p>
          <w:p w14:paraId="5C1D17A5">
            <w:pPr>
              <w:pStyle w:val="20"/>
              <w:widowControl w:val="0"/>
              <w:adjustRightInd w:val="0"/>
              <w:snapToGrid w:val="0"/>
              <w:spacing w:before="0" w:beforeAutospacing="0" w:after="0" w:afterAutospacing="0"/>
              <w:jc w:val="both"/>
              <w:rPr>
                <w:rFonts w:ascii="仿宋_GB2312" w:hAnsi="仿宋" w:eastAsia="仿宋_GB2312" w:cs="仿宋_GB2312"/>
                <w:color w:val="auto"/>
                <w:kern w:val="2"/>
                <w:szCs w:val="21"/>
                <w:highlight w:val="none"/>
              </w:rPr>
            </w:pPr>
            <w:r>
              <w:rPr>
                <w:rFonts w:hint="eastAsia" w:ascii="仿宋_GB2312" w:hAnsi="仿宋" w:eastAsia="仿宋_GB2312" w:cs="仿宋_GB2312"/>
                <w:color w:val="auto"/>
                <w:kern w:val="2"/>
                <w:szCs w:val="21"/>
                <w:highlight w:val="none"/>
              </w:rPr>
              <w:t>数量：</w:t>
            </w:r>
            <w:r>
              <w:rPr>
                <w:rFonts w:hint="eastAsia" w:ascii="仿宋_GB2312" w:hAnsi="仿宋_GB2312" w:eastAsia="仿宋_GB2312" w:cs="仿宋_GB2312"/>
                <w:color w:val="auto"/>
                <w:highlight w:val="none"/>
              </w:rPr>
              <w:t>1台</w:t>
            </w:r>
          </w:p>
          <w:p w14:paraId="18AEB153">
            <w:pPr>
              <w:pStyle w:val="20"/>
              <w:widowControl w:val="0"/>
              <w:adjustRightInd w:val="0"/>
              <w:snapToGrid w:val="0"/>
              <w:spacing w:before="0" w:beforeAutospacing="0" w:after="0" w:afterAutospacing="0"/>
              <w:jc w:val="both"/>
              <w:rPr>
                <w:rFonts w:ascii="仿宋_GB2312" w:hAnsi="仿宋" w:eastAsia="仿宋_GB2312" w:cs="仿宋_GB2312"/>
                <w:b/>
                <w:bCs/>
                <w:color w:val="auto"/>
                <w:kern w:val="2"/>
                <w:szCs w:val="21"/>
                <w:highlight w:val="none"/>
              </w:rPr>
            </w:pPr>
            <w:r>
              <w:rPr>
                <w:rFonts w:hint="eastAsia" w:ascii="仿宋_GB2312" w:hAnsi="仿宋" w:eastAsia="仿宋_GB2312" w:cs="仿宋_GB2312"/>
                <w:b/>
                <w:bCs/>
                <w:color w:val="auto"/>
                <w:kern w:val="2"/>
                <w:szCs w:val="21"/>
                <w:highlight w:val="none"/>
              </w:rPr>
              <w:t>单价限价：210,000.00元</w:t>
            </w:r>
          </w:p>
          <w:p w14:paraId="2FC5A847">
            <w:pPr>
              <w:pStyle w:val="20"/>
              <w:widowControl w:val="0"/>
              <w:adjustRightInd w:val="0"/>
              <w:snapToGrid w:val="0"/>
              <w:spacing w:before="0" w:beforeAutospacing="0" w:after="0" w:afterAutospacing="0"/>
              <w:jc w:val="both"/>
              <w:rPr>
                <w:rFonts w:ascii="仿宋_GB2312" w:hAnsi="仿宋" w:eastAsia="仿宋_GB2312" w:cs="仿宋_GB2312"/>
                <w:b/>
                <w:bCs/>
                <w:color w:val="auto"/>
                <w:kern w:val="2"/>
                <w:szCs w:val="21"/>
                <w:highlight w:val="none"/>
              </w:rPr>
            </w:pPr>
            <w:r>
              <w:rPr>
                <w:rFonts w:hint="eastAsia" w:ascii="仿宋_GB2312" w:hAnsi="仿宋" w:eastAsia="仿宋_GB2312" w:cs="仿宋_GB2312"/>
                <w:b/>
                <w:bCs/>
                <w:color w:val="auto"/>
                <w:kern w:val="2"/>
                <w:szCs w:val="21"/>
                <w:highlight w:val="none"/>
              </w:rPr>
              <w:t>总价限价：210,000.00元</w:t>
            </w:r>
          </w:p>
          <w:p w14:paraId="5DA4802D">
            <w:pPr>
              <w:tabs>
                <w:tab w:val="left" w:pos="0"/>
              </w:tabs>
              <w:adjustRightInd w:val="0"/>
              <w:snapToGrid w:val="0"/>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是否为经过审批采购的进口产品：否</w:t>
            </w:r>
          </w:p>
          <w:p w14:paraId="3AF123BC">
            <w:pPr>
              <w:tabs>
                <w:tab w:val="left" w:pos="0"/>
              </w:tabs>
              <w:adjustRightInd w:val="0"/>
              <w:snapToGrid w:val="0"/>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是否为核心产品（非单一产品采购项目时适用）：</w:t>
            </w:r>
            <w:r>
              <w:rPr>
                <w:rFonts w:hint="eastAsia" w:ascii="Calibri" w:hAnsi="Calibri" w:eastAsia="仿宋_GB2312" w:cs="Calibri"/>
                <w:color w:val="auto"/>
                <w:sz w:val="24"/>
                <w:szCs w:val="21"/>
                <w:highlight w:val="none"/>
              </w:rPr>
              <w:t>否</w:t>
            </w:r>
          </w:p>
        </w:tc>
      </w:tr>
      <w:tr w14:paraId="7A400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809" w:type="dxa"/>
            <w:tcBorders>
              <w:top w:val="single" w:color="auto" w:sz="4" w:space="0"/>
              <w:left w:val="single" w:color="auto" w:sz="4" w:space="0"/>
              <w:bottom w:val="single" w:color="auto" w:sz="4" w:space="0"/>
              <w:right w:val="single" w:color="auto" w:sz="4" w:space="0"/>
            </w:tcBorders>
            <w:vAlign w:val="center"/>
          </w:tcPr>
          <w:p w14:paraId="2C3ABC89">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招标文件要求</w:t>
            </w:r>
          </w:p>
          <w:p w14:paraId="7A865E1F">
            <w:pPr>
              <w:ind w:hanging="1"/>
              <w:jc w:val="center"/>
              <w:rPr>
                <w:rFonts w:ascii="仿宋_GB2312" w:hAnsi="仿宋" w:eastAsia="仿宋_GB2312" w:cs="仿宋_GB2312"/>
                <w:b/>
                <w:color w:val="auto"/>
                <w:sz w:val="24"/>
                <w:szCs w:val="21"/>
                <w:highlight w:val="none"/>
              </w:rPr>
            </w:pPr>
            <w:r>
              <w:rPr>
                <w:rFonts w:hint="eastAsia" w:ascii="仿宋_GB2312" w:hAnsi="仿宋" w:eastAsia="仿宋_GB2312" w:cs="仿宋_GB2312"/>
                <w:b/>
                <w:color w:val="auto"/>
                <w:szCs w:val="18"/>
                <w:highlight w:val="none"/>
              </w:rPr>
              <w:t>重要提示：实质性要求及重要指标用★标注（“★”必须标注在序号前），★标注项不得负偏离，如果负偏离，则投标文件无效。</w:t>
            </w:r>
          </w:p>
        </w:tc>
        <w:tc>
          <w:tcPr>
            <w:tcW w:w="5217" w:type="dxa"/>
            <w:tcBorders>
              <w:top w:val="single" w:color="auto" w:sz="4" w:space="0"/>
              <w:left w:val="single" w:color="auto" w:sz="4" w:space="0"/>
              <w:bottom w:val="single" w:color="auto" w:sz="4" w:space="0"/>
              <w:right w:val="single" w:color="auto" w:sz="4" w:space="0"/>
            </w:tcBorders>
            <w:vAlign w:val="center"/>
          </w:tcPr>
          <w:p w14:paraId="675E70CD">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投标文件</w:t>
            </w:r>
          </w:p>
          <w:p w14:paraId="04FEFED5">
            <w:pPr>
              <w:tabs>
                <w:tab w:val="left" w:pos="0"/>
              </w:tabs>
              <w:spacing w:line="240" w:lineRule="exact"/>
              <w:jc w:val="center"/>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响应内容</w:t>
            </w:r>
          </w:p>
        </w:tc>
        <w:tc>
          <w:tcPr>
            <w:tcW w:w="717" w:type="dxa"/>
            <w:tcBorders>
              <w:top w:val="single" w:color="auto" w:sz="4" w:space="0"/>
              <w:left w:val="single" w:color="auto" w:sz="4" w:space="0"/>
              <w:bottom w:val="single" w:color="auto" w:sz="4" w:space="0"/>
              <w:right w:val="single" w:color="auto" w:sz="4" w:space="0"/>
            </w:tcBorders>
            <w:vAlign w:val="center"/>
          </w:tcPr>
          <w:p w14:paraId="1E2F4FEC">
            <w:pPr>
              <w:tabs>
                <w:tab w:val="left" w:pos="0"/>
              </w:tabs>
              <w:adjustRightInd w:val="0"/>
              <w:snapToGrid w:val="0"/>
              <w:jc w:val="center"/>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偏离程度</w:t>
            </w:r>
          </w:p>
        </w:tc>
        <w:tc>
          <w:tcPr>
            <w:tcW w:w="700" w:type="dxa"/>
            <w:tcBorders>
              <w:top w:val="single" w:color="auto" w:sz="4" w:space="0"/>
              <w:left w:val="single" w:color="auto" w:sz="4" w:space="0"/>
              <w:bottom w:val="single" w:color="auto" w:sz="4" w:space="0"/>
              <w:right w:val="single" w:color="auto" w:sz="4" w:space="0"/>
            </w:tcBorders>
            <w:vAlign w:val="center"/>
          </w:tcPr>
          <w:p w14:paraId="3462685F">
            <w:pPr>
              <w:tabs>
                <w:tab w:val="left" w:pos="0"/>
              </w:tabs>
              <w:snapToGrid w:val="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w:t>
            </w:r>
          </w:p>
          <w:p w14:paraId="6965DD19">
            <w:pPr>
              <w:tabs>
                <w:tab w:val="left" w:pos="0"/>
              </w:tabs>
              <w:snapToGrid w:val="0"/>
              <w:jc w:val="center"/>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说明</w:t>
            </w:r>
          </w:p>
        </w:tc>
        <w:tc>
          <w:tcPr>
            <w:tcW w:w="825" w:type="dxa"/>
            <w:tcBorders>
              <w:top w:val="single" w:color="auto" w:sz="4" w:space="0"/>
              <w:left w:val="single" w:color="auto" w:sz="4" w:space="0"/>
              <w:bottom w:val="single" w:color="auto" w:sz="4" w:space="0"/>
              <w:right w:val="single" w:color="auto" w:sz="4" w:space="0"/>
            </w:tcBorders>
            <w:vAlign w:val="center"/>
          </w:tcPr>
          <w:p w14:paraId="4477C69C">
            <w:pPr>
              <w:tabs>
                <w:tab w:val="left" w:pos="0"/>
              </w:tabs>
              <w:snapToGrid w:val="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证明</w:t>
            </w:r>
          </w:p>
          <w:p w14:paraId="37E774BB">
            <w:pPr>
              <w:tabs>
                <w:tab w:val="left" w:pos="0"/>
              </w:tabs>
              <w:snapToGrid w:val="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材料</w:t>
            </w:r>
          </w:p>
        </w:tc>
      </w:tr>
      <w:tr w14:paraId="7178B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6809" w:type="dxa"/>
            <w:tcBorders>
              <w:top w:val="single" w:color="auto" w:sz="4" w:space="0"/>
              <w:left w:val="single" w:color="auto" w:sz="4" w:space="0"/>
              <w:bottom w:val="single" w:color="auto" w:sz="4" w:space="0"/>
              <w:right w:val="single" w:color="auto" w:sz="4" w:space="0"/>
            </w:tcBorders>
            <w:vAlign w:val="center"/>
          </w:tcPr>
          <w:p w14:paraId="5661D304">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ascii="仿宋_GB2312" w:hAnsi="仿宋_GB2312" w:eastAsia="仿宋_GB2312" w:cs="仿宋_GB2312"/>
                <w:b/>
                <w:bCs/>
                <w:color w:val="auto"/>
                <w:sz w:val="24"/>
                <w:highlight w:val="none"/>
              </w:rPr>
            </w:pP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b/>
                <w:color w:val="auto"/>
                <w:sz w:val="24"/>
                <w:highlight w:val="none"/>
              </w:rPr>
              <w:t>一、</w:t>
            </w:r>
            <w:r>
              <w:rPr>
                <w:rFonts w:hint="eastAsia" w:ascii="仿宋_GB2312" w:hAnsi="仿宋_GB2312" w:eastAsia="仿宋_GB2312" w:cs="仿宋_GB2312"/>
                <w:b/>
                <w:bCs/>
                <w:color w:val="auto"/>
                <w:sz w:val="24"/>
                <w:highlight w:val="none"/>
              </w:rPr>
              <w:t>技术要求</w:t>
            </w:r>
          </w:p>
          <w:p w14:paraId="197364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_GB2312" w:hAnsi="仿宋_GB2312" w:eastAsia="仿宋_GB2312" w:cs="仿宋_GB2312"/>
                <w:b/>
                <w:color w:val="auto"/>
                <w:sz w:val="24"/>
                <w:highlight w:val="none"/>
              </w:rPr>
            </w:pPr>
            <w:r>
              <w:rPr>
                <w:rFonts w:hint="eastAsia" w:ascii="仿宋_GB2312" w:hAnsi="仿宋_GB2312" w:eastAsia="仿宋_GB2312" w:cs="仿宋_GB2312"/>
                <w:b/>
                <w:color w:val="auto"/>
                <w:sz w:val="24"/>
                <w:highlight w:val="none"/>
              </w:rPr>
              <w:t>1.客货梯技术要求</w:t>
            </w:r>
          </w:p>
          <w:tbl>
            <w:tblPr>
              <w:tblStyle w:val="24"/>
              <w:tblW w:w="5000" w:type="pct"/>
              <w:jc w:val="center"/>
              <w:tblLayout w:type="fixed"/>
              <w:tblCellMar>
                <w:top w:w="0" w:type="dxa"/>
                <w:left w:w="108" w:type="dxa"/>
                <w:bottom w:w="0" w:type="dxa"/>
                <w:right w:w="108" w:type="dxa"/>
              </w:tblCellMar>
            </w:tblPr>
            <w:tblGrid>
              <w:gridCol w:w="843"/>
              <w:gridCol w:w="1916"/>
              <w:gridCol w:w="3834"/>
            </w:tblGrid>
            <w:tr w14:paraId="19AC2BF7">
              <w:tblPrEx>
                <w:tblCellMar>
                  <w:top w:w="0" w:type="dxa"/>
                  <w:left w:w="108" w:type="dxa"/>
                  <w:bottom w:w="0" w:type="dxa"/>
                  <w:right w:w="108" w:type="dxa"/>
                </w:tblCellMar>
              </w:tblPrEx>
              <w:trPr>
                <w:trHeight w:val="567" w:hRule="atLeast"/>
                <w:jc w:val="center"/>
              </w:trPr>
              <w:tc>
                <w:tcPr>
                  <w:tcW w:w="5000" w:type="pct"/>
                  <w:gridSpan w:val="3"/>
                  <w:tcBorders>
                    <w:top w:val="single" w:color="auto" w:sz="8" w:space="0"/>
                    <w:left w:val="single" w:color="auto" w:sz="8" w:space="0"/>
                    <w:bottom w:val="single" w:color="auto" w:sz="4" w:space="0"/>
                    <w:right w:val="single" w:color="000000" w:sz="8" w:space="0"/>
                  </w:tcBorders>
                  <w:shd w:val="clear" w:color="auto" w:fill="auto"/>
                  <w:vAlign w:val="center"/>
                </w:tcPr>
                <w:p w14:paraId="29E4B8C6">
                  <w:pPr>
                    <w:widowControl/>
                    <w:jc w:val="center"/>
                    <w:rPr>
                      <w:rFonts w:ascii="仿宋_GB2312" w:hAnsi="仿宋_GB2312" w:eastAsia="仿宋_GB2312" w:cs="仿宋_GB2312"/>
                      <w:b/>
                      <w:bCs/>
                      <w:color w:val="auto"/>
                      <w:kern w:val="0"/>
                      <w:sz w:val="24"/>
                      <w:highlight w:val="none"/>
                    </w:rPr>
                  </w:pPr>
                  <w:r>
                    <w:rPr>
                      <w:rFonts w:hint="eastAsia" w:ascii="仿宋_GB2312" w:hAnsi="仿宋_GB2312" w:eastAsia="仿宋_GB2312" w:cs="仿宋_GB2312"/>
                      <w:b/>
                      <w:bCs/>
                      <w:color w:val="auto"/>
                      <w:kern w:val="0"/>
                      <w:sz w:val="24"/>
                      <w:highlight w:val="none"/>
                    </w:rPr>
                    <w:t>客货梯技术要求</w:t>
                  </w:r>
                </w:p>
              </w:tc>
            </w:tr>
            <w:tr w14:paraId="42308643">
              <w:tblPrEx>
                <w:tblCellMar>
                  <w:top w:w="0" w:type="dxa"/>
                  <w:left w:w="108" w:type="dxa"/>
                  <w:bottom w:w="0" w:type="dxa"/>
                  <w:right w:w="108" w:type="dxa"/>
                </w:tblCellMar>
              </w:tblPrEx>
              <w:trPr>
                <w:trHeight w:val="567" w:hRule="atLeast"/>
                <w:jc w:val="center"/>
              </w:trPr>
              <w:tc>
                <w:tcPr>
                  <w:tcW w:w="639" w:type="pct"/>
                  <w:vMerge w:val="restart"/>
                  <w:tcBorders>
                    <w:top w:val="nil"/>
                    <w:left w:val="single" w:color="auto" w:sz="8" w:space="0"/>
                    <w:bottom w:val="single" w:color="auto" w:sz="4" w:space="0"/>
                    <w:right w:val="single" w:color="auto" w:sz="4" w:space="0"/>
                  </w:tcBorders>
                  <w:shd w:val="clear" w:color="auto" w:fill="auto"/>
                  <w:vAlign w:val="center"/>
                </w:tcPr>
                <w:p w14:paraId="4F793DBB">
                  <w:pPr>
                    <w:widowControl/>
                    <w:jc w:val="center"/>
                    <w:rPr>
                      <w:rFonts w:ascii="仿宋_GB2312" w:hAnsi="仿宋_GB2312" w:eastAsia="仿宋_GB2312" w:cs="仿宋_GB2312"/>
                      <w:b/>
                      <w:color w:val="auto"/>
                      <w:kern w:val="0"/>
                      <w:sz w:val="24"/>
                      <w:highlight w:val="none"/>
                    </w:rPr>
                  </w:pPr>
                  <w:r>
                    <w:rPr>
                      <w:rFonts w:hint="eastAsia" w:ascii="仿宋_GB2312" w:hAnsi="仿宋_GB2312" w:eastAsia="仿宋_GB2312" w:cs="仿宋_GB2312"/>
                      <w:b/>
                      <w:color w:val="auto"/>
                      <w:kern w:val="0"/>
                      <w:sz w:val="24"/>
                      <w:highlight w:val="none"/>
                    </w:rPr>
                    <w:t>基本</w:t>
                  </w:r>
                </w:p>
                <w:p w14:paraId="2531935E">
                  <w:pPr>
                    <w:widowControl/>
                    <w:jc w:val="center"/>
                    <w:rPr>
                      <w:rFonts w:ascii="仿宋_GB2312" w:hAnsi="仿宋_GB2312" w:eastAsia="仿宋_GB2312" w:cs="仿宋_GB2312"/>
                      <w:b/>
                      <w:color w:val="auto"/>
                      <w:kern w:val="0"/>
                      <w:sz w:val="24"/>
                      <w:highlight w:val="none"/>
                    </w:rPr>
                  </w:pPr>
                  <w:r>
                    <w:rPr>
                      <w:rFonts w:hint="eastAsia" w:ascii="仿宋_GB2312" w:hAnsi="仿宋_GB2312" w:eastAsia="仿宋_GB2312" w:cs="仿宋_GB2312"/>
                      <w:b/>
                      <w:color w:val="auto"/>
                      <w:kern w:val="0"/>
                      <w:sz w:val="24"/>
                      <w:highlight w:val="none"/>
                    </w:rPr>
                    <w:t>规格</w:t>
                  </w:r>
                </w:p>
              </w:tc>
              <w:tc>
                <w:tcPr>
                  <w:tcW w:w="1453" w:type="pct"/>
                  <w:tcBorders>
                    <w:top w:val="nil"/>
                    <w:left w:val="nil"/>
                    <w:bottom w:val="single" w:color="auto" w:sz="4" w:space="0"/>
                    <w:right w:val="single" w:color="auto" w:sz="4" w:space="0"/>
                  </w:tcBorders>
                  <w:shd w:val="clear" w:color="auto" w:fill="auto"/>
                  <w:vAlign w:val="center"/>
                </w:tcPr>
                <w:p w14:paraId="53B967F8">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产品名称：</w:t>
                  </w:r>
                </w:p>
              </w:tc>
              <w:tc>
                <w:tcPr>
                  <w:tcW w:w="2907" w:type="pct"/>
                  <w:tcBorders>
                    <w:top w:val="nil"/>
                    <w:left w:val="nil"/>
                    <w:bottom w:val="single" w:color="auto" w:sz="4" w:space="0"/>
                    <w:right w:val="single" w:color="auto" w:sz="8" w:space="0"/>
                  </w:tcBorders>
                  <w:shd w:val="clear" w:color="auto" w:fill="auto"/>
                  <w:vAlign w:val="center"/>
                </w:tcPr>
                <w:p w14:paraId="413CAB84">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有机房客梯</w:t>
                  </w:r>
                </w:p>
              </w:tc>
            </w:tr>
            <w:tr w14:paraId="24898CB1">
              <w:tblPrEx>
                <w:tblCellMar>
                  <w:top w:w="0" w:type="dxa"/>
                  <w:left w:w="108" w:type="dxa"/>
                  <w:bottom w:w="0" w:type="dxa"/>
                  <w:right w:w="108" w:type="dxa"/>
                </w:tblCellMar>
              </w:tblPrEx>
              <w:trPr>
                <w:trHeight w:val="567" w:hRule="atLeast"/>
                <w:jc w:val="center"/>
              </w:trPr>
              <w:tc>
                <w:tcPr>
                  <w:tcW w:w="639" w:type="pct"/>
                  <w:vMerge w:val="continue"/>
                  <w:tcBorders>
                    <w:top w:val="nil"/>
                    <w:left w:val="single" w:color="auto" w:sz="8" w:space="0"/>
                    <w:bottom w:val="single" w:color="auto" w:sz="4" w:space="0"/>
                    <w:right w:val="single" w:color="auto" w:sz="4" w:space="0"/>
                  </w:tcBorders>
                  <w:vAlign w:val="center"/>
                </w:tcPr>
                <w:p w14:paraId="09BDA4DE">
                  <w:pPr>
                    <w:widowControl/>
                    <w:jc w:val="left"/>
                    <w:rPr>
                      <w:rFonts w:ascii="仿宋_GB2312" w:hAnsi="仿宋_GB2312" w:eastAsia="仿宋_GB2312" w:cs="仿宋_GB2312"/>
                      <w:b/>
                      <w:color w:val="auto"/>
                      <w:kern w:val="0"/>
                      <w:sz w:val="24"/>
                      <w:highlight w:val="none"/>
                    </w:rPr>
                  </w:pPr>
                </w:p>
              </w:tc>
              <w:tc>
                <w:tcPr>
                  <w:tcW w:w="1453" w:type="pct"/>
                  <w:tcBorders>
                    <w:top w:val="nil"/>
                    <w:left w:val="nil"/>
                    <w:bottom w:val="single" w:color="auto" w:sz="4" w:space="0"/>
                    <w:right w:val="single" w:color="auto" w:sz="4" w:space="0"/>
                  </w:tcBorders>
                  <w:shd w:val="clear" w:color="auto" w:fill="auto"/>
                  <w:vAlign w:val="center"/>
                </w:tcPr>
                <w:p w14:paraId="155D08B4">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载 重 量kg：</w:t>
                  </w:r>
                </w:p>
              </w:tc>
              <w:tc>
                <w:tcPr>
                  <w:tcW w:w="2907" w:type="pct"/>
                  <w:tcBorders>
                    <w:top w:val="nil"/>
                    <w:left w:val="nil"/>
                    <w:bottom w:val="single" w:color="auto" w:sz="4" w:space="0"/>
                    <w:right w:val="single" w:color="auto" w:sz="8" w:space="0"/>
                  </w:tcBorders>
                  <w:shd w:val="clear" w:color="auto" w:fill="auto"/>
                  <w:vAlign w:val="center"/>
                </w:tcPr>
                <w:p w14:paraId="56B559D0">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w:t>
                  </w:r>
                  <w:r>
                    <w:rPr>
                      <w:rFonts w:hint="eastAsia" w:ascii="仿宋_GB2312" w:hAnsi="仿宋_GB2312" w:eastAsia="仿宋_GB2312" w:cs="仿宋_GB2312"/>
                      <w:color w:val="auto"/>
                      <w:kern w:val="0"/>
                      <w:sz w:val="24"/>
                      <w:highlight w:val="none"/>
                      <w:u w:val="single"/>
                    </w:rPr>
                    <w:t>1600</w:t>
                  </w:r>
                  <w:r>
                    <w:rPr>
                      <w:rFonts w:hint="eastAsia" w:ascii="仿宋_GB2312" w:hAnsi="仿宋_GB2312" w:eastAsia="仿宋_GB2312" w:cs="仿宋_GB2312"/>
                      <w:color w:val="auto"/>
                      <w:kern w:val="0"/>
                      <w:sz w:val="24"/>
                      <w:highlight w:val="none"/>
                    </w:rPr>
                    <w:t> </w:t>
                  </w:r>
                </w:p>
              </w:tc>
            </w:tr>
            <w:tr w14:paraId="0DDA26BC">
              <w:tblPrEx>
                <w:tblCellMar>
                  <w:top w:w="0" w:type="dxa"/>
                  <w:left w:w="108" w:type="dxa"/>
                  <w:bottom w:w="0" w:type="dxa"/>
                  <w:right w:w="108" w:type="dxa"/>
                </w:tblCellMar>
              </w:tblPrEx>
              <w:trPr>
                <w:trHeight w:val="567" w:hRule="atLeast"/>
                <w:jc w:val="center"/>
              </w:trPr>
              <w:tc>
                <w:tcPr>
                  <w:tcW w:w="639" w:type="pct"/>
                  <w:vMerge w:val="continue"/>
                  <w:tcBorders>
                    <w:top w:val="nil"/>
                    <w:left w:val="single" w:color="auto" w:sz="8" w:space="0"/>
                    <w:bottom w:val="single" w:color="auto" w:sz="4" w:space="0"/>
                    <w:right w:val="single" w:color="auto" w:sz="4" w:space="0"/>
                  </w:tcBorders>
                  <w:vAlign w:val="center"/>
                </w:tcPr>
                <w:p w14:paraId="47F1B3BB">
                  <w:pPr>
                    <w:widowControl/>
                    <w:jc w:val="left"/>
                    <w:rPr>
                      <w:rFonts w:ascii="仿宋_GB2312" w:hAnsi="仿宋_GB2312" w:eastAsia="仿宋_GB2312" w:cs="仿宋_GB2312"/>
                      <w:b/>
                      <w:color w:val="auto"/>
                      <w:kern w:val="0"/>
                      <w:sz w:val="24"/>
                      <w:highlight w:val="none"/>
                    </w:rPr>
                  </w:pPr>
                </w:p>
              </w:tc>
              <w:tc>
                <w:tcPr>
                  <w:tcW w:w="1453" w:type="pct"/>
                  <w:tcBorders>
                    <w:top w:val="nil"/>
                    <w:left w:val="nil"/>
                    <w:bottom w:val="single" w:color="auto" w:sz="4" w:space="0"/>
                    <w:right w:val="single" w:color="auto" w:sz="4" w:space="0"/>
                  </w:tcBorders>
                  <w:shd w:val="clear" w:color="auto" w:fill="auto"/>
                  <w:vAlign w:val="center"/>
                </w:tcPr>
                <w:p w14:paraId="57BB3A37">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额定速度m/s：</w:t>
                  </w:r>
                </w:p>
              </w:tc>
              <w:tc>
                <w:tcPr>
                  <w:tcW w:w="2907" w:type="pct"/>
                  <w:tcBorders>
                    <w:top w:val="nil"/>
                    <w:left w:val="nil"/>
                    <w:bottom w:val="single" w:color="auto" w:sz="4" w:space="0"/>
                    <w:right w:val="single" w:color="auto" w:sz="8" w:space="0"/>
                  </w:tcBorders>
                  <w:shd w:val="clear" w:color="auto" w:fill="auto"/>
                  <w:vAlign w:val="center"/>
                </w:tcPr>
                <w:p w14:paraId="773DD518">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w:t>
                  </w:r>
                  <w:r>
                    <w:rPr>
                      <w:rFonts w:hint="eastAsia" w:ascii="仿宋_GB2312" w:hAnsi="仿宋_GB2312" w:eastAsia="仿宋_GB2312" w:cs="仿宋_GB2312"/>
                      <w:color w:val="auto"/>
                      <w:kern w:val="0"/>
                      <w:sz w:val="24"/>
                      <w:highlight w:val="none"/>
                      <w:u w:val="single"/>
                    </w:rPr>
                    <w:t>1.0</w:t>
                  </w:r>
                  <w:r>
                    <w:rPr>
                      <w:rFonts w:hint="eastAsia" w:ascii="仿宋_GB2312" w:hAnsi="仿宋_GB2312" w:eastAsia="仿宋_GB2312" w:cs="仿宋_GB2312"/>
                      <w:color w:val="auto"/>
                      <w:kern w:val="0"/>
                      <w:sz w:val="24"/>
                      <w:highlight w:val="none"/>
                    </w:rPr>
                    <w:t> </w:t>
                  </w:r>
                </w:p>
              </w:tc>
            </w:tr>
            <w:tr w14:paraId="5124084C">
              <w:tblPrEx>
                <w:tblCellMar>
                  <w:top w:w="0" w:type="dxa"/>
                  <w:left w:w="108" w:type="dxa"/>
                  <w:bottom w:w="0" w:type="dxa"/>
                  <w:right w:w="108" w:type="dxa"/>
                </w:tblCellMar>
              </w:tblPrEx>
              <w:trPr>
                <w:trHeight w:val="567" w:hRule="atLeast"/>
                <w:jc w:val="center"/>
              </w:trPr>
              <w:tc>
                <w:tcPr>
                  <w:tcW w:w="639" w:type="pct"/>
                  <w:vMerge w:val="continue"/>
                  <w:tcBorders>
                    <w:top w:val="nil"/>
                    <w:left w:val="single" w:color="auto" w:sz="8" w:space="0"/>
                    <w:bottom w:val="single" w:color="auto" w:sz="4" w:space="0"/>
                    <w:right w:val="single" w:color="auto" w:sz="4" w:space="0"/>
                  </w:tcBorders>
                  <w:vAlign w:val="center"/>
                </w:tcPr>
                <w:p w14:paraId="70080B9B">
                  <w:pPr>
                    <w:widowControl/>
                    <w:jc w:val="left"/>
                    <w:rPr>
                      <w:rFonts w:ascii="仿宋_GB2312" w:hAnsi="仿宋_GB2312" w:eastAsia="仿宋_GB2312" w:cs="仿宋_GB2312"/>
                      <w:b/>
                      <w:color w:val="auto"/>
                      <w:kern w:val="0"/>
                      <w:sz w:val="24"/>
                      <w:highlight w:val="none"/>
                    </w:rPr>
                  </w:pPr>
                </w:p>
              </w:tc>
              <w:tc>
                <w:tcPr>
                  <w:tcW w:w="1453" w:type="pct"/>
                  <w:tcBorders>
                    <w:top w:val="nil"/>
                    <w:left w:val="nil"/>
                    <w:bottom w:val="single" w:color="auto" w:sz="4" w:space="0"/>
                    <w:right w:val="single" w:color="auto" w:sz="4" w:space="0"/>
                  </w:tcBorders>
                  <w:shd w:val="clear" w:color="auto" w:fill="auto"/>
                  <w:vAlign w:val="center"/>
                </w:tcPr>
                <w:p w14:paraId="501022EF">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层站：</w:t>
                  </w:r>
                </w:p>
              </w:tc>
              <w:tc>
                <w:tcPr>
                  <w:tcW w:w="2907" w:type="pct"/>
                  <w:tcBorders>
                    <w:top w:val="nil"/>
                    <w:left w:val="nil"/>
                    <w:bottom w:val="single" w:color="auto" w:sz="4" w:space="0"/>
                    <w:right w:val="single" w:color="auto" w:sz="8" w:space="0"/>
                  </w:tcBorders>
                  <w:shd w:val="clear" w:color="auto" w:fill="auto"/>
                  <w:vAlign w:val="center"/>
                </w:tcPr>
                <w:p w14:paraId="185EF115">
                  <w:pPr>
                    <w:widowControl/>
                    <w:rPr>
                      <w:rFonts w:ascii="仿宋_GB2312" w:hAnsi="仿宋_GB2312" w:eastAsia="仿宋_GB2312" w:cs="仿宋_GB2312"/>
                      <w:color w:val="auto"/>
                      <w:kern w:val="0"/>
                      <w:sz w:val="24"/>
                      <w:highlight w:val="none"/>
                      <w:u w:val="single"/>
                    </w:rPr>
                  </w:pPr>
                  <w:r>
                    <w:rPr>
                      <w:rFonts w:hint="eastAsia" w:ascii="仿宋_GB2312" w:hAnsi="仿宋_GB2312" w:eastAsia="仿宋_GB2312" w:cs="仿宋_GB2312"/>
                      <w:color w:val="auto"/>
                      <w:kern w:val="0"/>
                      <w:sz w:val="24"/>
                      <w:highlight w:val="none"/>
                      <w:u w:val="single"/>
                    </w:rPr>
                    <w:t>5</w:t>
                  </w:r>
                  <w:r>
                    <w:rPr>
                      <w:rFonts w:hint="eastAsia" w:ascii="仿宋_GB2312" w:hAnsi="仿宋_GB2312" w:eastAsia="仿宋_GB2312" w:cs="仿宋_GB2312"/>
                      <w:color w:val="auto"/>
                      <w:kern w:val="0"/>
                      <w:sz w:val="24"/>
                      <w:highlight w:val="none"/>
                    </w:rPr>
                    <w:t>层</w:t>
                  </w:r>
                  <w:r>
                    <w:rPr>
                      <w:rFonts w:hint="eastAsia" w:ascii="仿宋_GB2312" w:hAnsi="仿宋_GB2312" w:eastAsia="仿宋_GB2312" w:cs="仿宋_GB2312"/>
                      <w:color w:val="auto"/>
                      <w:kern w:val="0"/>
                      <w:sz w:val="24"/>
                      <w:highlight w:val="none"/>
                      <w:u w:val="single"/>
                    </w:rPr>
                    <w:t>5</w:t>
                  </w:r>
                  <w:r>
                    <w:rPr>
                      <w:rFonts w:hint="eastAsia" w:ascii="仿宋_GB2312" w:hAnsi="仿宋_GB2312" w:eastAsia="仿宋_GB2312" w:cs="仿宋_GB2312"/>
                      <w:color w:val="auto"/>
                      <w:kern w:val="0"/>
                      <w:sz w:val="24"/>
                      <w:highlight w:val="none"/>
                    </w:rPr>
                    <w:t>站</w:t>
                  </w:r>
                  <w:r>
                    <w:rPr>
                      <w:rFonts w:hint="eastAsia" w:ascii="仿宋_GB2312" w:hAnsi="仿宋_GB2312" w:eastAsia="仿宋_GB2312" w:cs="仿宋_GB2312"/>
                      <w:color w:val="auto"/>
                      <w:kern w:val="0"/>
                      <w:sz w:val="24"/>
                      <w:highlight w:val="none"/>
                      <w:u w:val="single"/>
                    </w:rPr>
                    <w:t>5</w:t>
                  </w:r>
                  <w:r>
                    <w:rPr>
                      <w:rFonts w:hint="eastAsia" w:ascii="仿宋_GB2312" w:hAnsi="仿宋_GB2312" w:eastAsia="仿宋_GB2312" w:cs="仿宋_GB2312"/>
                      <w:color w:val="auto"/>
                      <w:kern w:val="0"/>
                      <w:sz w:val="24"/>
                      <w:highlight w:val="none"/>
                    </w:rPr>
                    <w:t>门，停层显示</w:t>
                  </w:r>
                  <w:r>
                    <w:rPr>
                      <w:rFonts w:hint="eastAsia" w:ascii="仿宋_GB2312" w:hAnsi="仿宋_GB2312" w:eastAsia="仿宋_GB2312" w:cs="仿宋_GB2312"/>
                      <w:color w:val="auto"/>
                      <w:kern w:val="0"/>
                      <w:sz w:val="24"/>
                      <w:highlight w:val="none"/>
                      <w:u w:val="single"/>
                    </w:rPr>
                    <w:t>1-5</w:t>
                  </w:r>
                  <w:r>
                    <w:rPr>
                      <w:rFonts w:hint="eastAsia" w:ascii="仿宋_GB2312" w:hAnsi="仿宋_GB2312" w:eastAsia="仿宋_GB2312" w:cs="仿宋_GB2312"/>
                      <w:color w:val="auto"/>
                      <w:kern w:val="0"/>
                      <w:sz w:val="24"/>
                      <w:highlight w:val="none"/>
                    </w:rPr>
                    <w:t>；</w:t>
                  </w:r>
                </w:p>
              </w:tc>
            </w:tr>
            <w:tr w14:paraId="5EE9C4A8">
              <w:tblPrEx>
                <w:tblCellMar>
                  <w:top w:w="0" w:type="dxa"/>
                  <w:left w:w="108" w:type="dxa"/>
                  <w:bottom w:w="0" w:type="dxa"/>
                  <w:right w:w="108" w:type="dxa"/>
                </w:tblCellMar>
              </w:tblPrEx>
              <w:trPr>
                <w:trHeight w:val="567" w:hRule="atLeast"/>
                <w:jc w:val="center"/>
              </w:trPr>
              <w:tc>
                <w:tcPr>
                  <w:tcW w:w="639" w:type="pct"/>
                  <w:vMerge w:val="continue"/>
                  <w:tcBorders>
                    <w:top w:val="nil"/>
                    <w:left w:val="single" w:color="auto" w:sz="8" w:space="0"/>
                    <w:bottom w:val="single" w:color="auto" w:sz="4" w:space="0"/>
                    <w:right w:val="single" w:color="auto" w:sz="4" w:space="0"/>
                  </w:tcBorders>
                  <w:vAlign w:val="center"/>
                </w:tcPr>
                <w:p w14:paraId="78BAAB58">
                  <w:pPr>
                    <w:widowControl/>
                    <w:jc w:val="left"/>
                    <w:rPr>
                      <w:rFonts w:ascii="仿宋_GB2312" w:hAnsi="仿宋_GB2312" w:eastAsia="仿宋_GB2312" w:cs="仿宋_GB2312"/>
                      <w:b/>
                      <w:color w:val="auto"/>
                      <w:kern w:val="0"/>
                      <w:sz w:val="24"/>
                      <w:highlight w:val="none"/>
                    </w:rPr>
                  </w:pPr>
                </w:p>
              </w:tc>
              <w:tc>
                <w:tcPr>
                  <w:tcW w:w="1453" w:type="pct"/>
                  <w:tcBorders>
                    <w:top w:val="nil"/>
                    <w:left w:val="nil"/>
                    <w:bottom w:val="single" w:color="auto" w:sz="4" w:space="0"/>
                    <w:right w:val="single" w:color="auto" w:sz="4" w:space="0"/>
                  </w:tcBorders>
                  <w:shd w:val="clear" w:color="auto" w:fill="auto"/>
                  <w:vAlign w:val="center"/>
                </w:tcPr>
                <w:p w14:paraId="0673E1D8">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贯通门：</w:t>
                  </w:r>
                </w:p>
              </w:tc>
              <w:tc>
                <w:tcPr>
                  <w:tcW w:w="2907" w:type="pct"/>
                  <w:tcBorders>
                    <w:top w:val="nil"/>
                    <w:left w:val="nil"/>
                    <w:bottom w:val="single" w:color="auto" w:sz="4" w:space="0"/>
                    <w:right w:val="single" w:color="auto" w:sz="8" w:space="0"/>
                  </w:tcBorders>
                  <w:shd w:val="clear" w:color="auto" w:fill="auto"/>
                  <w:vAlign w:val="center"/>
                </w:tcPr>
                <w:p w14:paraId="633D10E5">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否</w:t>
                  </w:r>
                </w:p>
              </w:tc>
            </w:tr>
            <w:tr w14:paraId="353402EB">
              <w:tblPrEx>
                <w:tblCellMar>
                  <w:top w:w="0" w:type="dxa"/>
                  <w:left w:w="108" w:type="dxa"/>
                  <w:bottom w:w="0" w:type="dxa"/>
                  <w:right w:w="108" w:type="dxa"/>
                </w:tblCellMar>
              </w:tblPrEx>
              <w:trPr>
                <w:trHeight w:val="567" w:hRule="atLeast"/>
                <w:jc w:val="center"/>
              </w:trPr>
              <w:tc>
                <w:tcPr>
                  <w:tcW w:w="639" w:type="pct"/>
                  <w:vMerge w:val="continue"/>
                  <w:tcBorders>
                    <w:top w:val="nil"/>
                    <w:left w:val="single" w:color="auto" w:sz="8" w:space="0"/>
                    <w:bottom w:val="single" w:color="auto" w:sz="4" w:space="0"/>
                    <w:right w:val="single" w:color="auto" w:sz="4" w:space="0"/>
                  </w:tcBorders>
                  <w:vAlign w:val="center"/>
                </w:tcPr>
                <w:p w14:paraId="189A1B8D">
                  <w:pPr>
                    <w:widowControl/>
                    <w:jc w:val="left"/>
                    <w:rPr>
                      <w:rFonts w:ascii="仿宋_GB2312" w:hAnsi="仿宋_GB2312" w:eastAsia="仿宋_GB2312" w:cs="仿宋_GB2312"/>
                      <w:b/>
                      <w:color w:val="auto"/>
                      <w:kern w:val="0"/>
                      <w:sz w:val="24"/>
                      <w:highlight w:val="none"/>
                    </w:rPr>
                  </w:pPr>
                </w:p>
              </w:tc>
              <w:tc>
                <w:tcPr>
                  <w:tcW w:w="1453" w:type="pct"/>
                  <w:tcBorders>
                    <w:top w:val="nil"/>
                    <w:left w:val="nil"/>
                    <w:bottom w:val="single" w:color="auto" w:sz="4" w:space="0"/>
                    <w:right w:val="single" w:color="auto" w:sz="4" w:space="0"/>
                  </w:tcBorders>
                  <w:shd w:val="clear" w:color="auto" w:fill="auto"/>
                  <w:vAlign w:val="center"/>
                </w:tcPr>
                <w:p w14:paraId="49D5C5A3">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运行方式：</w:t>
                  </w:r>
                </w:p>
              </w:tc>
              <w:tc>
                <w:tcPr>
                  <w:tcW w:w="2907" w:type="pct"/>
                  <w:tcBorders>
                    <w:top w:val="nil"/>
                    <w:left w:val="nil"/>
                    <w:bottom w:val="single" w:color="auto" w:sz="4" w:space="0"/>
                    <w:right w:val="single" w:color="auto" w:sz="8" w:space="0"/>
                  </w:tcBorders>
                  <w:shd w:val="clear" w:color="auto" w:fill="auto"/>
                  <w:vAlign w:val="center"/>
                </w:tcPr>
                <w:p w14:paraId="7CF79DD4">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单梯</w:t>
                  </w:r>
                </w:p>
              </w:tc>
            </w:tr>
            <w:tr w14:paraId="6BC7675E">
              <w:tblPrEx>
                <w:tblCellMar>
                  <w:top w:w="0" w:type="dxa"/>
                  <w:left w:w="108" w:type="dxa"/>
                  <w:bottom w:w="0" w:type="dxa"/>
                  <w:right w:w="108" w:type="dxa"/>
                </w:tblCellMar>
              </w:tblPrEx>
              <w:trPr>
                <w:trHeight w:val="567" w:hRule="atLeast"/>
                <w:jc w:val="center"/>
              </w:trPr>
              <w:tc>
                <w:tcPr>
                  <w:tcW w:w="639" w:type="pct"/>
                  <w:vMerge w:val="continue"/>
                  <w:tcBorders>
                    <w:top w:val="nil"/>
                    <w:left w:val="single" w:color="auto" w:sz="8" w:space="0"/>
                    <w:bottom w:val="single" w:color="auto" w:sz="4" w:space="0"/>
                    <w:right w:val="single" w:color="auto" w:sz="4" w:space="0"/>
                  </w:tcBorders>
                  <w:vAlign w:val="center"/>
                </w:tcPr>
                <w:p w14:paraId="10C7A45E">
                  <w:pPr>
                    <w:widowControl/>
                    <w:jc w:val="left"/>
                    <w:rPr>
                      <w:rFonts w:ascii="仿宋_GB2312" w:hAnsi="仿宋_GB2312" w:eastAsia="仿宋_GB2312" w:cs="仿宋_GB2312"/>
                      <w:b/>
                      <w:color w:val="auto"/>
                      <w:kern w:val="0"/>
                      <w:sz w:val="24"/>
                      <w:highlight w:val="none"/>
                    </w:rPr>
                  </w:pPr>
                </w:p>
              </w:tc>
              <w:tc>
                <w:tcPr>
                  <w:tcW w:w="1453" w:type="pct"/>
                  <w:tcBorders>
                    <w:top w:val="nil"/>
                    <w:left w:val="nil"/>
                    <w:bottom w:val="single" w:color="auto" w:sz="4" w:space="0"/>
                    <w:right w:val="single" w:color="auto" w:sz="4" w:space="0"/>
                  </w:tcBorders>
                  <w:shd w:val="clear" w:color="auto" w:fill="auto"/>
                  <w:vAlign w:val="center"/>
                </w:tcPr>
                <w:p w14:paraId="1B1A1C00">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锁梯层站:</w:t>
                  </w:r>
                </w:p>
              </w:tc>
              <w:tc>
                <w:tcPr>
                  <w:tcW w:w="2907" w:type="pct"/>
                  <w:tcBorders>
                    <w:top w:val="nil"/>
                    <w:left w:val="nil"/>
                    <w:bottom w:val="single" w:color="auto" w:sz="4" w:space="0"/>
                    <w:right w:val="single" w:color="auto" w:sz="8" w:space="0"/>
                  </w:tcBorders>
                  <w:shd w:val="clear" w:color="auto" w:fill="auto"/>
                  <w:vAlign w:val="center"/>
                </w:tcPr>
                <w:p w14:paraId="1A2B38A3">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第</w:t>
                  </w:r>
                  <w:r>
                    <w:rPr>
                      <w:rFonts w:hint="eastAsia" w:ascii="仿宋_GB2312" w:hAnsi="仿宋_GB2312" w:eastAsia="仿宋_GB2312" w:cs="仿宋_GB2312"/>
                      <w:color w:val="auto"/>
                      <w:kern w:val="0"/>
                      <w:sz w:val="24"/>
                      <w:highlight w:val="none"/>
                      <w:u w:val="single"/>
                    </w:rPr>
                    <w:t xml:space="preserve"> 1 </w:t>
                  </w:r>
                  <w:r>
                    <w:rPr>
                      <w:rFonts w:hint="eastAsia" w:ascii="仿宋_GB2312" w:hAnsi="仿宋_GB2312" w:eastAsia="仿宋_GB2312" w:cs="仿宋_GB2312"/>
                      <w:color w:val="auto"/>
                      <w:kern w:val="0"/>
                      <w:sz w:val="24"/>
                      <w:highlight w:val="none"/>
                    </w:rPr>
                    <w:t>层（即基站）</w:t>
                  </w:r>
                </w:p>
              </w:tc>
            </w:tr>
            <w:tr w14:paraId="2BEC937B">
              <w:tblPrEx>
                <w:tblCellMar>
                  <w:top w:w="0" w:type="dxa"/>
                  <w:left w:w="108" w:type="dxa"/>
                  <w:bottom w:w="0" w:type="dxa"/>
                  <w:right w:w="108" w:type="dxa"/>
                </w:tblCellMar>
              </w:tblPrEx>
              <w:trPr>
                <w:trHeight w:val="567" w:hRule="atLeast"/>
                <w:jc w:val="center"/>
              </w:trPr>
              <w:tc>
                <w:tcPr>
                  <w:tcW w:w="639" w:type="pct"/>
                  <w:vMerge w:val="continue"/>
                  <w:tcBorders>
                    <w:top w:val="nil"/>
                    <w:left w:val="single" w:color="auto" w:sz="8" w:space="0"/>
                    <w:bottom w:val="single" w:color="auto" w:sz="4" w:space="0"/>
                    <w:right w:val="single" w:color="auto" w:sz="4" w:space="0"/>
                  </w:tcBorders>
                  <w:vAlign w:val="center"/>
                </w:tcPr>
                <w:p w14:paraId="5D6082B3">
                  <w:pPr>
                    <w:widowControl/>
                    <w:jc w:val="left"/>
                    <w:rPr>
                      <w:rFonts w:ascii="仿宋_GB2312" w:hAnsi="仿宋_GB2312" w:eastAsia="仿宋_GB2312" w:cs="仿宋_GB2312"/>
                      <w:b/>
                      <w:color w:val="auto"/>
                      <w:kern w:val="0"/>
                      <w:sz w:val="24"/>
                      <w:highlight w:val="none"/>
                    </w:rPr>
                  </w:pPr>
                </w:p>
              </w:tc>
              <w:tc>
                <w:tcPr>
                  <w:tcW w:w="1453" w:type="pct"/>
                  <w:tcBorders>
                    <w:top w:val="nil"/>
                    <w:left w:val="nil"/>
                    <w:bottom w:val="single" w:color="auto" w:sz="4" w:space="0"/>
                    <w:right w:val="single" w:color="auto" w:sz="4" w:space="0"/>
                  </w:tcBorders>
                  <w:shd w:val="clear" w:color="auto" w:fill="auto"/>
                  <w:vAlign w:val="center"/>
                </w:tcPr>
                <w:p w14:paraId="2E06F7E8">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设置消防开关层站：</w:t>
                  </w:r>
                </w:p>
              </w:tc>
              <w:tc>
                <w:tcPr>
                  <w:tcW w:w="2907" w:type="pct"/>
                  <w:tcBorders>
                    <w:top w:val="nil"/>
                    <w:left w:val="nil"/>
                    <w:bottom w:val="single" w:color="auto" w:sz="4" w:space="0"/>
                    <w:right w:val="single" w:color="auto" w:sz="8" w:space="0"/>
                  </w:tcBorders>
                  <w:shd w:val="clear" w:color="auto" w:fill="auto"/>
                  <w:vAlign w:val="center"/>
                </w:tcPr>
                <w:p w14:paraId="37206A39">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第</w:t>
                  </w:r>
                  <w:r>
                    <w:rPr>
                      <w:rFonts w:hint="eastAsia" w:ascii="仿宋_GB2312" w:hAnsi="仿宋_GB2312" w:eastAsia="仿宋_GB2312" w:cs="仿宋_GB2312"/>
                      <w:color w:val="auto"/>
                      <w:kern w:val="0"/>
                      <w:sz w:val="24"/>
                      <w:highlight w:val="none"/>
                      <w:u w:val="single"/>
                    </w:rPr>
                    <w:t xml:space="preserve"> 1 </w:t>
                  </w:r>
                  <w:r>
                    <w:rPr>
                      <w:rFonts w:hint="eastAsia" w:ascii="仿宋_GB2312" w:hAnsi="仿宋_GB2312" w:eastAsia="仿宋_GB2312" w:cs="仿宋_GB2312"/>
                      <w:color w:val="auto"/>
                      <w:kern w:val="0"/>
                      <w:sz w:val="24"/>
                      <w:highlight w:val="none"/>
                    </w:rPr>
                    <w:t>层（即消防返回层站）</w:t>
                  </w:r>
                </w:p>
              </w:tc>
            </w:tr>
            <w:tr w14:paraId="34669C1C">
              <w:tblPrEx>
                <w:tblCellMar>
                  <w:top w:w="0" w:type="dxa"/>
                  <w:left w:w="108" w:type="dxa"/>
                  <w:bottom w:w="0" w:type="dxa"/>
                  <w:right w:w="108" w:type="dxa"/>
                </w:tblCellMar>
              </w:tblPrEx>
              <w:trPr>
                <w:trHeight w:val="567" w:hRule="atLeast"/>
                <w:jc w:val="center"/>
              </w:trPr>
              <w:tc>
                <w:tcPr>
                  <w:tcW w:w="639" w:type="pct"/>
                  <w:vMerge w:val="continue"/>
                  <w:tcBorders>
                    <w:top w:val="nil"/>
                    <w:left w:val="single" w:color="auto" w:sz="8" w:space="0"/>
                    <w:bottom w:val="single" w:color="auto" w:sz="4" w:space="0"/>
                    <w:right w:val="single" w:color="auto" w:sz="4" w:space="0"/>
                  </w:tcBorders>
                  <w:vAlign w:val="center"/>
                </w:tcPr>
                <w:p w14:paraId="7BB21ED5">
                  <w:pPr>
                    <w:widowControl/>
                    <w:jc w:val="left"/>
                    <w:rPr>
                      <w:rFonts w:ascii="仿宋_GB2312" w:hAnsi="仿宋_GB2312" w:eastAsia="仿宋_GB2312" w:cs="仿宋_GB2312"/>
                      <w:b/>
                      <w:color w:val="auto"/>
                      <w:kern w:val="0"/>
                      <w:sz w:val="24"/>
                      <w:highlight w:val="none"/>
                    </w:rPr>
                  </w:pPr>
                </w:p>
              </w:tc>
              <w:tc>
                <w:tcPr>
                  <w:tcW w:w="4360" w:type="pct"/>
                  <w:gridSpan w:val="2"/>
                  <w:tcBorders>
                    <w:top w:val="single" w:color="auto" w:sz="4" w:space="0"/>
                    <w:left w:val="nil"/>
                    <w:bottom w:val="single" w:color="auto" w:sz="4" w:space="0"/>
                    <w:right w:val="single" w:color="000000" w:sz="8" w:space="0"/>
                  </w:tcBorders>
                  <w:shd w:val="clear" w:color="auto" w:fill="auto"/>
                  <w:vAlign w:val="center"/>
                </w:tcPr>
                <w:p w14:paraId="5F26C2F3">
                  <w:pPr>
                    <w:widowControl/>
                    <w:rPr>
                      <w:rFonts w:ascii="仿宋_GB2312" w:hAnsi="仿宋_GB2312" w:eastAsia="仿宋_GB2312" w:cs="仿宋_GB2312"/>
                      <w:b/>
                      <w:bCs/>
                      <w:color w:val="auto"/>
                      <w:kern w:val="0"/>
                      <w:sz w:val="24"/>
                      <w:highlight w:val="none"/>
                    </w:rPr>
                  </w:pPr>
                  <w:r>
                    <w:rPr>
                      <w:rFonts w:hint="eastAsia" w:ascii="仿宋_GB2312" w:hAnsi="仿宋_GB2312" w:eastAsia="仿宋_GB2312" w:cs="仿宋_GB2312"/>
                      <w:b/>
                      <w:bCs/>
                      <w:color w:val="auto"/>
                      <w:kern w:val="0"/>
                      <w:sz w:val="24"/>
                      <w:highlight w:val="none"/>
                    </w:rPr>
                    <w:t>电梯控制</w:t>
                  </w:r>
                </w:p>
              </w:tc>
            </w:tr>
            <w:tr w14:paraId="1FD3286B">
              <w:tblPrEx>
                <w:tblCellMar>
                  <w:top w:w="0" w:type="dxa"/>
                  <w:left w:w="108" w:type="dxa"/>
                  <w:bottom w:w="0" w:type="dxa"/>
                  <w:right w:w="108" w:type="dxa"/>
                </w:tblCellMar>
              </w:tblPrEx>
              <w:trPr>
                <w:trHeight w:val="567" w:hRule="atLeast"/>
                <w:jc w:val="center"/>
              </w:trPr>
              <w:tc>
                <w:tcPr>
                  <w:tcW w:w="639" w:type="pct"/>
                  <w:vMerge w:val="continue"/>
                  <w:tcBorders>
                    <w:top w:val="nil"/>
                    <w:left w:val="single" w:color="auto" w:sz="8" w:space="0"/>
                    <w:bottom w:val="single" w:color="auto" w:sz="4" w:space="0"/>
                    <w:right w:val="single" w:color="auto" w:sz="4" w:space="0"/>
                  </w:tcBorders>
                  <w:vAlign w:val="center"/>
                </w:tcPr>
                <w:p w14:paraId="0BB2DCEB">
                  <w:pPr>
                    <w:widowControl/>
                    <w:jc w:val="left"/>
                    <w:rPr>
                      <w:rFonts w:ascii="仿宋_GB2312" w:hAnsi="仿宋_GB2312" w:eastAsia="仿宋_GB2312" w:cs="仿宋_GB2312"/>
                      <w:b/>
                      <w:color w:val="auto"/>
                      <w:kern w:val="0"/>
                      <w:sz w:val="24"/>
                      <w:highlight w:val="none"/>
                    </w:rPr>
                  </w:pPr>
                </w:p>
              </w:tc>
              <w:tc>
                <w:tcPr>
                  <w:tcW w:w="1453" w:type="pct"/>
                  <w:tcBorders>
                    <w:top w:val="nil"/>
                    <w:left w:val="nil"/>
                    <w:bottom w:val="single" w:color="auto" w:sz="4" w:space="0"/>
                    <w:right w:val="single" w:color="auto" w:sz="4" w:space="0"/>
                  </w:tcBorders>
                  <w:shd w:val="clear" w:color="auto" w:fill="auto"/>
                  <w:vAlign w:val="center"/>
                </w:tcPr>
                <w:p w14:paraId="0604323D">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控制系统：</w:t>
                  </w:r>
                </w:p>
              </w:tc>
              <w:tc>
                <w:tcPr>
                  <w:tcW w:w="2907" w:type="pct"/>
                  <w:tcBorders>
                    <w:top w:val="nil"/>
                    <w:left w:val="nil"/>
                    <w:bottom w:val="single" w:color="auto" w:sz="4" w:space="0"/>
                    <w:right w:val="single" w:color="auto" w:sz="8" w:space="0"/>
                  </w:tcBorders>
                  <w:shd w:val="clear" w:color="auto" w:fill="auto"/>
                  <w:vAlign w:val="center"/>
                </w:tcPr>
                <w:p w14:paraId="4B6EB9AF">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专业电梯控制系统</w:t>
                  </w:r>
                </w:p>
              </w:tc>
            </w:tr>
            <w:tr w14:paraId="75E97968">
              <w:tblPrEx>
                <w:tblCellMar>
                  <w:top w:w="0" w:type="dxa"/>
                  <w:left w:w="108" w:type="dxa"/>
                  <w:bottom w:w="0" w:type="dxa"/>
                  <w:right w:w="108" w:type="dxa"/>
                </w:tblCellMar>
              </w:tblPrEx>
              <w:trPr>
                <w:trHeight w:val="567" w:hRule="atLeast"/>
                <w:jc w:val="center"/>
              </w:trPr>
              <w:tc>
                <w:tcPr>
                  <w:tcW w:w="639" w:type="pct"/>
                  <w:vMerge w:val="continue"/>
                  <w:tcBorders>
                    <w:top w:val="nil"/>
                    <w:left w:val="single" w:color="auto" w:sz="8" w:space="0"/>
                    <w:bottom w:val="single" w:color="auto" w:sz="4" w:space="0"/>
                    <w:right w:val="single" w:color="auto" w:sz="4" w:space="0"/>
                  </w:tcBorders>
                  <w:vAlign w:val="center"/>
                </w:tcPr>
                <w:p w14:paraId="388FD24B">
                  <w:pPr>
                    <w:widowControl/>
                    <w:jc w:val="left"/>
                    <w:rPr>
                      <w:rFonts w:ascii="仿宋_GB2312" w:hAnsi="仿宋_GB2312" w:eastAsia="仿宋_GB2312" w:cs="仿宋_GB2312"/>
                      <w:b/>
                      <w:color w:val="auto"/>
                      <w:kern w:val="0"/>
                      <w:sz w:val="24"/>
                      <w:highlight w:val="none"/>
                    </w:rPr>
                  </w:pPr>
                </w:p>
              </w:tc>
              <w:tc>
                <w:tcPr>
                  <w:tcW w:w="1453" w:type="pct"/>
                  <w:tcBorders>
                    <w:top w:val="nil"/>
                    <w:left w:val="nil"/>
                    <w:bottom w:val="single" w:color="auto" w:sz="4" w:space="0"/>
                    <w:right w:val="single" w:color="auto" w:sz="4" w:space="0"/>
                  </w:tcBorders>
                  <w:shd w:val="clear" w:color="auto" w:fill="auto"/>
                  <w:vAlign w:val="center"/>
                </w:tcPr>
                <w:p w14:paraId="74448337">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驱动系统：</w:t>
                  </w:r>
                </w:p>
              </w:tc>
              <w:tc>
                <w:tcPr>
                  <w:tcW w:w="2907" w:type="pct"/>
                  <w:tcBorders>
                    <w:top w:val="nil"/>
                    <w:left w:val="nil"/>
                    <w:bottom w:val="single" w:color="auto" w:sz="4" w:space="0"/>
                    <w:right w:val="single" w:color="auto" w:sz="8" w:space="0"/>
                  </w:tcBorders>
                  <w:shd w:val="clear" w:color="auto" w:fill="auto"/>
                  <w:vAlign w:val="center"/>
                </w:tcPr>
                <w:p w14:paraId="61819CA0">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交流变压变频调速</w:t>
                  </w:r>
                </w:p>
              </w:tc>
            </w:tr>
            <w:tr w14:paraId="33C2FA3C">
              <w:tblPrEx>
                <w:tblCellMar>
                  <w:top w:w="0" w:type="dxa"/>
                  <w:left w:w="108" w:type="dxa"/>
                  <w:bottom w:w="0" w:type="dxa"/>
                  <w:right w:w="108" w:type="dxa"/>
                </w:tblCellMar>
              </w:tblPrEx>
              <w:trPr>
                <w:trHeight w:val="567" w:hRule="atLeast"/>
                <w:jc w:val="center"/>
              </w:trPr>
              <w:tc>
                <w:tcPr>
                  <w:tcW w:w="639" w:type="pct"/>
                  <w:vMerge w:val="continue"/>
                  <w:tcBorders>
                    <w:top w:val="nil"/>
                    <w:left w:val="single" w:color="auto" w:sz="8" w:space="0"/>
                    <w:bottom w:val="single" w:color="auto" w:sz="4" w:space="0"/>
                    <w:right w:val="single" w:color="auto" w:sz="4" w:space="0"/>
                  </w:tcBorders>
                  <w:vAlign w:val="center"/>
                </w:tcPr>
                <w:p w14:paraId="749F4220">
                  <w:pPr>
                    <w:widowControl/>
                    <w:jc w:val="left"/>
                    <w:rPr>
                      <w:rFonts w:ascii="仿宋_GB2312" w:hAnsi="仿宋_GB2312" w:eastAsia="仿宋_GB2312" w:cs="仿宋_GB2312"/>
                      <w:b/>
                      <w:color w:val="auto"/>
                      <w:kern w:val="0"/>
                      <w:sz w:val="24"/>
                      <w:highlight w:val="none"/>
                    </w:rPr>
                  </w:pPr>
                </w:p>
              </w:tc>
              <w:tc>
                <w:tcPr>
                  <w:tcW w:w="1453" w:type="pct"/>
                  <w:tcBorders>
                    <w:top w:val="nil"/>
                    <w:left w:val="nil"/>
                    <w:bottom w:val="single" w:color="auto" w:sz="4" w:space="0"/>
                    <w:right w:val="single" w:color="auto" w:sz="4" w:space="0"/>
                  </w:tcBorders>
                  <w:shd w:val="clear" w:color="auto" w:fill="auto"/>
                  <w:vAlign w:val="center"/>
                </w:tcPr>
                <w:p w14:paraId="41DF03FD">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曳引系统：</w:t>
                  </w:r>
                </w:p>
              </w:tc>
              <w:tc>
                <w:tcPr>
                  <w:tcW w:w="2907" w:type="pct"/>
                  <w:tcBorders>
                    <w:top w:val="nil"/>
                    <w:left w:val="nil"/>
                    <w:bottom w:val="single" w:color="auto" w:sz="4" w:space="0"/>
                    <w:right w:val="single" w:color="auto" w:sz="8" w:space="0"/>
                  </w:tcBorders>
                  <w:shd w:val="clear" w:color="auto" w:fill="auto"/>
                  <w:vAlign w:val="center"/>
                </w:tcPr>
                <w:p w14:paraId="733F4993">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采用永磁同步无齿轮曳引机</w:t>
                  </w:r>
                </w:p>
              </w:tc>
            </w:tr>
            <w:tr w14:paraId="216FD224">
              <w:tblPrEx>
                <w:tblCellMar>
                  <w:top w:w="0" w:type="dxa"/>
                  <w:left w:w="108" w:type="dxa"/>
                  <w:bottom w:w="0" w:type="dxa"/>
                  <w:right w:w="108" w:type="dxa"/>
                </w:tblCellMar>
              </w:tblPrEx>
              <w:trPr>
                <w:trHeight w:val="567" w:hRule="atLeast"/>
                <w:jc w:val="center"/>
              </w:trPr>
              <w:tc>
                <w:tcPr>
                  <w:tcW w:w="639" w:type="pct"/>
                  <w:vMerge w:val="restart"/>
                  <w:tcBorders>
                    <w:top w:val="nil"/>
                    <w:left w:val="single" w:color="auto" w:sz="8" w:space="0"/>
                    <w:bottom w:val="single" w:color="auto" w:sz="4" w:space="0"/>
                    <w:right w:val="single" w:color="auto" w:sz="4" w:space="0"/>
                  </w:tcBorders>
                  <w:shd w:val="clear" w:color="auto" w:fill="auto"/>
                  <w:vAlign w:val="center"/>
                </w:tcPr>
                <w:p w14:paraId="4A7D443D">
                  <w:pPr>
                    <w:widowControl/>
                    <w:jc w:val="center"/>
                    <w:rPr>
                      <w:rFonts w:ascii="仿宋_GB2312" w:hAnsi="仿宋_GB2312" w:eastAsia="仿宋_GB2312" w:cs="仿宋_GB2312"/>
                      <w:b/>
                      <w:color w:val="auto"/>
                      <w:kern w:val="0"/>
                      <w:sz w:val="24"/>
                      <w:highlight w:val="none"/>
                    </w:rPr>
                  </w:pPr>
                  <w:r>
                    <w:rPr>
                      <w:rFonts w:hint="eastAsia" w:ascii="仿宋_GB2312" w:hAnsi="仿宋_GB2312" w:eastAsia="仿宋_GB2312" w:cs="仿宋_GB2312"/>
                      <w:b/>
                      <w:color w:val="auto"/>
                      <w:kern w:val="0"/>
                      <w:sz w:val="24"/>
                      <w:highlight w:val="none"/>
                    </w:rPr>
                    <w:t>轿厢</w:t>
                  </w:r>
                </w:p>
                <w:p w14:paraId="775FC239">
                  <w:pPr>
                    <w:widowControl/>
                    <w:jc w:val="center"/>
                    <w:rPr>
                      <w:rFonts w:ascii="仿宋_GB2312" w:hAnsi="仿宋_GB2312" w:eastAsia="仿宋_GB2312" w:cs="仿宋_GB2312"/>
                      <w:b/>
                      <w:color w:val="auto"/>
                      <w:kern w:val="0"/>
                      <w:sz w:val="24"/>
                      <w:highlight w:val="none"/>
                    </w:rPr>
                  </w:pPr>
                  <w:r>
                    <w:rPr>
                      <w:rFonts w:hint="eastAsia" w:ascii="仿宋_GB2312" w:hAnsi="仿宋_GB2312" w:eastAsia="仿宋_GB2312" w:cs="仿宋_GB2312"/>
                      <w:b/>
                      <w:color w:val="auto"/>
                      <w:kern w:val="0"/>
                      <w:sz w:val="24"/>
                      <w:highlight w:val="none"/>
                    </w:rPr>
                    <w:t>设计</w:t>
                  </w:r>
                </w:p>
              </w:tc>
              <w:tc>
                <w:tcPr>
                  <w:tcW w:w="1453" w:type="pct"/>
                  <w:tcBorders>
                    <w:top w:val="nil"/>
                    <w:left w:val="nil"/>
                    <w:bottom w:val="single" w:color="auto" w:sz="4" w:space="0"/>
                    <w:right w:val="single" w:color="auto" w:sz="4" w:space="0"/>
                  </w:tcBorders>
                  <w:shd w:val="clear" w:color="auto" w:fill="auto"/>
                  <w:vAlign w:val="center"/>
                </w:tcPr>
                <w:p w14:paraId="3AE3914F">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轿顶型号：</w:t>
                  </w:r>
                </w:p>
              </w:tc>
              <w:tc>
                <w:tcPr>
                  <w:tcW w:w="2907" w:type="pct"/>
                  <w:tcBorders>
                    <w:top w:val="nil"/>
                    <w:left w:val="nil"/>
                    <w:bottom w:val="single" w:color="auto" w:sz="4" w:space="0"/>
                    <w:right w:val="single" w:color="auto" w:sz="8" w:space="0"/>
                  </w:tcBorders>
                  <w:shd w:val="clear" w:color="auto" w:fill="auto"/>
                  <w:vAlign w:val="center"/>
                </w:tcPr>
                <w:p w14:paraId="0EABCEAB">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材质:发纹不锈钢</w:t>
                  </w:r>
                </w:p>
              </w:tc>
            </w:tr>
            <w:tr w14:paraId="27E9D658">
              <w:tblPrEx>
                <w:tblCellMar>
                  <w:top w:w="0" w:type="dxa"/>
                  <w:left w:w="108" w:type="dxa"/>
                  <w:bottom w:w="0" w:type="dxa"/>
                  <w:right w:w="108" w:type="dxa"/>
                </w:tblCellMar>
              </w:tblPrEx>
              <w:trPr>
                <w:trHeight w:val="567" w:hRule="atLeast"/>
                <w:jc w:val="center"/>
              </w:trPr>
              <w:tc>
                <w:tcPr>
                  <w:tcW w:w="639" w:type="pct"/>
                  <w:vMerge w:val="continue"/>
                  <w:tcBorders>
                    <w:top w:val="nil"/>
                    <w:left w:val="single" w:color="auto" w:sz="8" w:space="0"/>
                    <w:bottom w:val="single" w:color="auto" w:sz="4" w:space="0"/>
                    <w:right w:val="single" w:color="auto" w:sz="4" w:space="0"/>
                  </w:tcBorders>
                  <w:vAlign w:val="center"/>
                </w:tcPr>
                <w:p w14:paraId="1D2FBF32">
                  <w:pPr>
                    <w:widowControl/>
                    <w:jc w:val="left"/>
                    <w:rPr>
                      <w:rFonts w:ascii="仿宋_GB2312" w:hAnsi="仿宋_GB2312" w:eastAsia="仿宋_GB2312" w:cs="仿宋_GB2312"/>
                      <w:b/>
                      <w:color w:val="auto"/>
                      <w:kern w:val="0"/>
                      <w:sz w:val="24"/>
                      <w:highlight w:val="none"/>
                    </w:rPr>
                  </w:pPr>
                </w:p>
              </w:tc>
              <w:tc>
                <w:tcPr>
                  <w:tcW w:w="1453" w:type="pct"/>
                  <w:tcBorders>
                    <w:top w:val="nil"/>
                    <w:left w:val="nil"/>
                    <w:bottom w:val="single" w:color="auto" w:sz="4" w:space="0"/>
                    <w:right w:val="single" w:color="auto" w:sz="4" w:space="0"/>
                  </w:tcBorders>
                  <w:shd w:val="clear" w:color="auto" w:fill="auto"/>
                  <w:vAlign w:val="center"/>
                </w:tcPr>
                <w:p w14:paraId="39132636">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前轿壁、门楣：</w:t>
                  </w:r>
                </w:p>
              </w:tc>
              <w:tc>
                <w:tcPr>
                  <w:tcW w:w="2907" w:type="pct"/>
                  <w:tcBorders>
                    <w:top w:val="nil"/>
                    <w:left w:val="nil"/>
                    <w:bottom w:val="single" w:color="auto" w:sz="4" w:space="0"/>
                    <w:right w:val="single" w:color="auto" w:sz="8" w:space="0"/>
                  </w:tcBorders>
                  <w:shd w:val="clear" w:color="auto" w:fill="auto"/>
                  <w:vAlign w:val="center"/>
                </w:tcPr>
                <w:p w14:paraId="34165494">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发纹不锈钢</w:t>
                  </w:r>
                </w:p>
              </w:tc>
            </w:tr>
            <w:tr w14:paraId="3289B76A">
              <w:tblPrEx>
                <w:tblCellMar>
                  <w:top w:w="0" w:type="dxa"/>
                  <w:left w:w="108" w:type="dxa"/>
                  <w:bottom w:w="0" w:type="dxa"/>
                  <w:right w:w="108" w:type="dxa"/>
                </w:tblCellMar>
              </w:tblPrEx>
              <w:trPr>
                <w:trHeight w:val="567" w:hRule="atLeast"/>
                <w:jc w:val="center"/>
              </w:trPr>
              <w:tc>
                <w:tcPr>
                  <w:tcW w:w="639" w:type="pct"/>
                  <w:vMerge w:val="continue"/>
                  <w:tcBorders>
                    <w:top w:val="nil"/>
                    <w:left w:val="single" w:color="auto" w:sz="8" w:space="0"/>
                    <w:bottom w:val="single" w:color="auto" w:sz="4" w:space="0"/>
                    <w:right w:val="single" w:color="auto" w:sz="4" w:space="0"/>
                  </w:tcBorders>
                  <w:vAlign w:val="center"/>
                </w:tcPr>
                <w:p w14:paraId="1DCBF7F5">
                  <w:pPr>
                    <w:widowControl/>
                    <w:jc w:val="left"/>
                    <w:rPr>
                      <w:rFonts w:ascii="仿宋_GB2312" w:hAnsi="仿宋_GB2312" w:eastAsia="仿宋_GB2312" w:cs="仿宋_GB2312"/>
                      <w:b/>
                      <w:color w:val="auto"/>
                      <w:kern w:val="0"/>
                      <w:sz w:val="24"/>
                      <w:highlight w:val="none"/>
                    </w:rPr>
                  </w:pPr>
                </w:p>
              </w:tc>
              <w:tc>
                <w:tcPr>
                  <w:tcW w:w="1453" w:type="pct"/>
                  <w:tcBorders>
                    <w:top w:val="nil"/>
                    <w:left w:val="nil"/>
                    <w:bottom w:val="single" w:color="auto" w:sz="4" w:space="0"/>
                    <w:right w:val="single" w:color="auto" w:sz="4" w:space="0"/>
                  </w:tcBorders>
                  <w:shd w:val="clear" w:color="auto" w:fill="auto"/>
                  <w:vAlign w:val="center"/>
                </w:tcPr>
                <w:p w14:paraId="34EDF2AC">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轿门：</w:t>
                  </w:r>
                </w:p>
              </w:tc>
              <w:tc>
                <w:tcPr>
                  <w:tcW w:w="2907" w:type="pct"/>
                  <w:tcBorders>
                    <w:top w:val="nil"/>
                    <w:left w:val="nil"/>
                    <w:bottom w:val="single" w:color="auto" w:sz="4" w:space="0"/>
                    <w:right w:val="single" w:color="auto" w:sz="8" w:space="0"/>
                  </w:tcBorders>
                  <w:shd w:val="clear" w:color="auto" w:fill="auto"/>
                  <w:vAlign w:val="center"/>
                </w:tcPr>
                <w:p w14:paraId="0714FA7D">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发纹不锈钢</w:t>
                  </w:r>
                </w:p>
              </w:tc>
            </w:tr>
            <w:tr w14:paraId="4FD27BC4">
              <w:tblPrEx>
                <w:tblCellMar>
                  <w:top w:w="0" w:type="dxa"/>
                  <w:left w:w="108" w:type="dxa"/>
                  <w:bottom w:w="0" w:type="dxa"/>
                  <w:right w:w="108" w:type="dxa"/>
                </w:tblCellMar>
              </w:tblPrEx>
              <w:trPr>
                <w:trHeight w:val="567" w:hRule="atLeast"/>
                <w:jc w:val="center"/>
              </w:trPr>
              <w:tc>
                <w:tcPr>
                  <w:tcW w:w="639" w:type="pct"/>
                  <w:vMerge w:val="continue"/>
                  <w:tcBorders>
                    <w:top w:val="nil"/>
                    <w:left w:val="single" w:color="auto" w:sz="8" w:space="0"/>
                    <w:bottom w:val="single" w:color="auto" w:sz="4" w:space="0"/>
                    <w:right w:val="single" w:color="auto" w:sz="4" w:space="0"/>
                  </w:tcBorders>
                  <w:vAlign w:val="center"/>
                </w:tcPr>
                <w:p w14:paraId="4379D188">
                  <w:pPr>
                    <w:widowControl/>
                    <w:jc w:val="left"/>
                    <w:rPr>
                      <w:rFonts w:ascii="仿宋_GB2312" w:hAnsi="仿宋_GB2312" w:eastAsia="仿宋_GB2312" w:cs="仿宋_GB2312"/>
                      <w:b/>
                      <w:color w:val="auto"/>
                      <w:kern w:val="0"/>
                      <w:sz w:val="24"/>
                      <w:highlight w:val="none"/>
                    </w:rPr>
                  </w:pPr>
                </w:p>
              </w:tc>
              <w:tc>
                <w:tcPr>
                  <w:tcW w:w="1453" w:type="pct"/>
                  <w:tcBorders>
                    <w:top w:val="nil"/>
                    <w:left w:val="nil"/>
                    <w:bottom w:val="single" w:color="auto" w:sz="4" w:space="0"/>
                    <w:right w:val="single" w:color="auto" w:sz="4" w:space="0"/>
                  </w:tcBorders>
                  <w:shd w:val="clear" w:color="auto" w:fill="auto"/>
                  <w:vAlign w:val="center"/>
                </w:tcPr>
                <w:p w14:paraId="56C95622">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踢脚板(如有)：</w:t>
                  </w:r>
                </w:p>
              </w:tc>
              <w:tc>
                <w:tcPr>
                  <w:tcW w:w="2907" w:type="pct"/>
                  <w:tcBorders>
                    <w:top w:val="nil"/>
                    <w:left w:val="nil"/>
                    <w:bottom w:val="single" w:color="auto" w:sz="4" w:space="0"/>
                    <w:right w:val="single" w:color="auto" w:sz="8" w:space="0"/>
                  </w:tcBorders>
                  <w:shd w:val="clear" w:color="auto" w:fill="auto"/>
                  <w:vAlign w:val="center"/>
                </w:tcPr>
                <w:p w14:paraId="6D746026">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发纹不锈钢</w:t>
                  </w:r>
                </w:p>
              </w:tc>
            </w:tr>
            <w:tr w14:paraId="2C807245">
              <w:tblPrEx>
                <w:tblCellMar>
                  <w:top w:w="0" w:type="dxa"/>
                  <w:left w:w="108" w:type="dxa"/>
                  <w:bottom w:w="0" w:type="dxa"/>
                  <w:right w:w="108" w:type="dxa"/>
                </w:tblCellMar>
              </w:tblPrEx>
              <w:trPr>
                <w:trHeight w:val="567" w:hRule="atLeast"/>
                <w:jc w:val="center"/>
              </w:trPr>
              <w:tc>
                <w:tcPr>
                  <w:tcW w:w="639" w:type="pct"/>
                  <w:vMerge w:val="continue"/>
                  <w:tcBorders>
                    <w:top w:val="nil"/>
                    <w:left w:val="single" w:color="auto" w:sz="8" w:space="0"/>
                    <w:bottom w:val="single" w:color="auto" w:sz="4" w:space="0"/>
                    <w:right w:val="single" w:color="auto" w:sz="4" w:space="0"/>
                  </w:tcBorders>
                  <w:vAlign w:val="center"/>
                </w:tcPr>
                <w:p w14:paraId="7517E32F">
                  <w:pPr>
                    <w:widowControl/>
                    <w:jc w:val="left"/>
                    <w:rPr>
                      <w:rFonts w:ascii="仿宋_GB2312" w:hAnsi="仿宋_GB2312" w:eastAsia="仿宋_GB2312" w:cs="仿宋_GB2312"/>
                      <w:b/>
                      <w:color w:val="auto"/>
                      <w:kern w:val="0"/>
                      <w:sz w:val="24"/>
                      <w:highlight w:val="none"/>
                    </w:rPr>
                  </w:pPr>
                </w:p>
              </w:tc>
              <w:tc>
                <w:tcPr>
                  <w:tcW w:w="1453" w:type="pct"/>
                  <w:vMerge w:val="restart"/>
                  <w:tcBorders>
                    <w:top w:val="nil"/>
                    <w:left w:val="single" w:color="auto" w:sz="4" w:space="0"/>
                    <w:bottom w:val="single" w:color="auto" w:sz="4" w:space="0"/>
                    <w:right w:val="single" w:color="auto" w:sz="4" w:space="0"/>
                  </w:tcBorders>
                  <w:shd w:val="clear" w:color="auto" w:fill="auto"/>
                  <w:vAlign w:val="center"/>
                </w:tcPr>
                <w:p w14:paraId="448408E6">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三侧轿壁：</w:t>
                  </w:r>
                </w:p>
              </w:tc>
              <w:tc>
                <w:tcPr>
                  <w:tcW w:w="2907" w:type="pct"/>
                  <w:tcBorders>
                    <w:top w:val="nil"/>
                    <w:left w:val="nil"/>
                    <w:bottom w:val="single" w:color="auto" w:sz="4" w:space="0"/>
                    <w:right w:val="single" w:color="auto" w:sz="8" w:space="0"/>
                  </w:tcBorders>
                  <w:shd w:val="clear" w:color="auto" w:fill="auto"/>
                  <w:vAlign w:val="center"/>
                </w:tcPr>
                <w:p w14:paraId="25082E13">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侧左右壁：发纹不锈钢</w:t>
                  </w:r>
                </w:p>
              </w:tc>
            </w:tr>
            <w:tr w14:paraId="7C6C35F1">
              <w:tblPrEx>
                <w:tblCellMar>
                  <w:top w:w="0" w:type="dxa"/>
                  <w:left w:w="108" w:type="dxa"/>
                  <w:bottom w:w="0" w:type="dxa"/>
                  <w:right w:w="108" w:type="dxa"/>
                </w:tblCellMar>
              </w:tblPrEx>
              <w:trPr>
                <w:trHeight w:val="567" w:hRule="atLeast"/>
                <w:jc w:val="center"/>
              </w:trPr>
              <w:tc>
                <w:tcPr>
                  <w:tcW w:w="639" w:type="pct"/>
                  <w:vMerge w:val="continue"/>
                  <w:tcBorders>
                    <w:top w:val="nil"/>
                    <w:left w:val="single" w:color="auto" w:sz="8" w:space="0"/>
                    <w:bottom w:val="single" w:color="auto" w:sz="4" w:space="0"/>
                    <w:right w:val="single" w:color="auto" w:sz="4" w:space="0"/>
                  </w:tcBorders>
                  <w:vAlign w:val="center"/>
                </w:tcPr>
                <w:p w14:paraId="4501EB1E">
                  <w:pPr>
                    <w:widowControl/>
                    <w:jc w:val="left"/>
                    <w:rPr>
                      <w:rFonts w:ascii="仿宋_GB2312" w:hAnsi="仿宋_GB2312" w:eastAsia="仿宋_GB2312" w:cs="仿宋_GB2312"/>
                      <w:b/>
                      <w:color w:val="auto"/>
                      <w:kern w:val="0"/>
                      <w:sz w:val="24"/>
                      <w:highlight w:val="none"/>
                    </w:rPr>
                  </w:pPr>
                </w:p>
              </w:tc>
              <w:tc>
                <w:tcPr>
                  <w:tcW w:w="1453" w:type="pct"/>
                  <w:vMerge w:val="continue"/>
                  <w:tcBorders>
                    <w:top w:val="nil"/>
                    <w:left w:val="single" w:color="auto" w:sz="4" w:space="0"/>
                    <w:bottom w:val="single" w:color="auto" w:sz="4" w:space="0"/>
                    <w:right w:val="single" w:color="auto" w:sz="4" w:space="0"/>
                  </w:tcBorders>
                  <w:vAlign w:val="center"/>
                </w:tcPr>
                <w:p w14:paraId="446F58AF">
                  <w:pPr>
                    <w:widowControl/>
                    <w:jc w:val="left"/>
                    <w:rPr>
                      <w:rFonts w:ascii="仿宋_GB2312" w:hAnsi="仿宋_GB2312" w:eastAsia="仿宋_GB2312" w:cs="仿宋_GB2312"/>
                      <w:color w:val="auto"/>
                      <w:kern w:val="0"/>
                      <w:sz w:val="24"/>
                      <w:highlight w:val="none"/>
                    </w:rPr>
                  </w:pPr>
                </w:p>
              </w:tc>
              <w:tc>
                <w:tcPr>
                  <w:tcW w:w="2907" w:type="pct"/>
                  <w:tcBorders>
                    <w:top w:val="nil"/>
                    <w:left w:val="nil"/>
                    <w:bottom w:val="single" w:color="auto" w:sz="4" w:space="0"/>
                    <w:right w:val="single" w:color="auto" w:sz="8" w:space="0"/>
                  </w:tcBorders>
                  <w:shd w:val="clear" w:color="auto" w:fill="auto"/>
                  <w:vAlign w:val="center"/>
                </w:tcPr>
                <w:p w14:paraId="67A699BC">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后左右壁：发纹不锈钢</w:t>
                  </w:r>
                </w:p>
              </w:tc>
            </w:tr>
            <w:tr w14:paraId="3D185913">
              <w:tblPrEx>
                <w:tblCellMar>
                  <w:top w:w="0" w:type="dxa"/>
                  <w:left w:w="108" w:type="dxa"/>
                  <w:bottom w:w="0" w:type="dxa"/>
                  <w:right w:w="108" w:type="dxa"/>
                </w:tblCellMar>
              </w:tblPrEx>
              <w:trPr>
                <w:trHeight w:val="567" w:hRule="atLeast"/>
                <w:jc w:val="center"/>
              </w:trPr>
              <w:tc>
                <w:tcPr>
                  <w:tcW w:w="639" w:type="pct"/>
                  <w:vMerge w:val="continue"/>
                  <w:tcBorders>
                    <w:top w:val="nil"/>
                    <w:left w:val="single" w:color="auto" w:sz="8" w:space="0"/>
                    <w:bottom w:val="single" w:color="auto" w:sz="4" w:space="0"/>
                    <w:right w:val="single" w:color="auto" w:sz="4" w:space="0"/>
                  </w:tcBorders>
                  <w:vAlign w:val="center"/>
                </w:tcPr>
                <w:p w14:paraId="32782EB1">
                  <w:pPr>
                    <w:widowControl/>
                    <w:jc w:val="left"/>
                    <w:rPr>
                      <w:rFonts w:ascii="仿宋_GB2312" w:hAnsi="仿宋_GB2312" w:eastAsia="仿宋_GB2312" w:cs="仿宋_GB2312"/>
                      <w:b/>
                      <w:color w:val="auto"/>
                      <w:kern w:val="0"/>
                      <w:sz w:val="24"/>
                      <w:highlight w:val="none"/>
                    </w:rPr>
                  </w:pPr>
                </w:p>
              </w:tc>
              <w:tc>
                <w:tcPr>
                  <w:tcW w:w="1453" w:type="pct"/>
                  <w:tcBorders>
                    <w:top w:val="nil"/>
                    <w:left w:val="nil"/>
                    <w:bottom w:val="single" w:color="auto" w:sz="4" w:space="0"/>
                    <w:right w:val="single" w:color="auto" w:sz="4" w:space="0"/>
                  </w:tcBorders>
                  <w:shd w:val="clear" w:color="auto" w:fill="auto"/>
                  <w:vAlign w:val="center"/>
                </w:tcPr>
                <w:p w14:paraId="02BAF4E3">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开门方式：</w:t>
                  </w:r>
                </w:p>
              </w:tc>
              <w:tc>
                <w:tcPr>
                  <w:tcW w:w="2907" w:type="pct"/>
                  <w:tcBorders>
                    <w:top w:val="nil"/>
                    <w:left w:val="nil"/>
                    <w:bottom w:val="single" w:color="auto" w:sz="4" w:space="0"/>
                    <w:right w:val="single" w:color="auto" w:sz="8" w:space="0"/>
                  </w:tcBorders>
                  <w:shd w:val="clear" w:color="auto" w:fill="auto"/>
                  <w:vAlign w:val="center"/>
                </w:tcPr>
                <w:p w14:paraId="6EFA5BEF">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中分门</w:t>
                  </w:r>
                </w:p>
              </w:tc>
            </w:tr>
            <w:tr w14:paraId="3797A43C">
              <w:tblPrEx>
                <w:tblCellMar>
                  <w:top w:w="0" w:type="dxa"/>
                  <w:left w:w="108" w:type="dxa"/>
                  <w:bottom w:w="0" w:type="dxa"/>
                  <w:right w:w="108" w:type="dxa"/>
                </w:tblCellMar>
              </w:tblPrEx>
              <w:trPr>
                <w:trHeight w:val="567" w:hRule="atLeast"/>
                <w:jc w:val="center"/>
              </w:trPr>
              <w:tc>
                <w:tcPr>
                  <w:tcW w:w="639" w:type="pct"/>
                  <w:vMerge w:val="continue"/>
                  <w:tcBorders>
                    <w:top w:val="nil"/>
                    <w:left w:val="single" w:color="auto" w:sz="8" w:space="0"/>
                    <w:bottom w:val="single" w:color="auto" w:sz="4" w:space="0"/>
                    <w:right w:val="single" w:color="auto" w:sz="4" w:space="0"/>
                  </w:tcBorders>
                  <w:vAlign w:val="center"/>
                </w:tcPr>
                <w:p w14:paraId="64586CDE">
                  <w:pPr>
                    <w:widowControl/>
                    <w:jc w:val="left"/>
                    <w:rPr>
                      <w:rFonts w:ascii="仿宋_GB2312" w:hAnsi="仿宋_GB2312" w:eastAsia="仿宋_GB2312" w:cs="仿宋_GB2312"/>
                      <w:b/>
                      <w:color w:val="auto"/>
                      <w:kern w:val="0"/>
                      <w:sz w:val="24"/>
                      <w:highlight w:val="none"/>
                    </w:rPr>
                  </w:pPr>
                </w:p>
              </w:tc>
              <w:tc>
                <w:tcPr>
                  <w:tcW w:w="1453" w:type="pct"/>
                  <w:tcBorders>
                    <w:top w:val="nil"/>
                    <w:left w:val="nil"/>
                    <w:bottom w:val="single" w:color="auto" w:sz="4" w:space="0"/>
                    <w:right w:val="single" w:color="auto" w:sz="4" w:space="0"/>
                  </w:tcBorders>
                  <w:shd w:val="clear" w:color="auto" w:fill="auto"/>
                  <w:vAlign w:val="center"/>
                </w:tcPr>
                <w:p w14:paraId="52597385">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开门尺寸：</w:t>
                  </w:r>
                </w:p>
              </w:tc>
              <w:tc>
                <w:tcPr>
                  <w:tcW w:w="2907" w:type="pct"/>
                  <w:tcBorders>
                    <w:top w:val="nil"/>
                    <w:left w:val="nil"/>
                    <w:bottom w:val="single" w:color="auto" w:sz="4" w:space="0"/>
                    <w:right w:val="single" w:color="auto" w:sz="8" w:space="0"/>
                  </w:tcBorders>
                  <w:shd w:val="clear" w:color="auto" w:fill="auto"/>
                  <w:vAlign w:val="center"/>
                </w:tcPr>
                <w:p w14:paraId="0ECB69C0">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宽度≥</w:t>
                  </w:r>
                  <w:r>
                    <w:rPr>
                      <w:rFonts w:hint="eastAsia" w:ascii="仿宋_GB2312" w:hAnsi="仿宋_GB2312" w:eastAsia="仿宋_GB2312" w:cs="仿宋_GB2312"/>
                      <w:color w:val="auto"/>
                      <w:kern w:val="0"/>
                      <w:sz w:val="24"/>
                      <w:highlight w:val="none"/>
                      <w:u w:val="single"/>
                    </w:rPr>
                    <w:t>900</w:t>
                  </w:r>
                  <w:r>
                    <w:rPr>
                      <w:rFonts w:hint="eastAsia" w:ascii="仿宋_GB2312" w:hAnsi="仿宋_GB2312" w:eastAsia="仿宋_GB2312" w:cs="仿宋_GB2312"/>
                      <w:color w:val="auto"/>
                      <w:kern w:val="0"/>
                      <w:sz w:val="24"/>
                      <w:highlight w:val="none"/>
                    </w:rPr>
                    <w:t>mm、高度≥</w:t>
                  </w:r>
                  <w:r>
                    <w:rPr>
                      <w:rFonts w:hint="eastAsia" w:ascii="仿宋_GB2312" w:hAnsi="仿宋_GB2312" w:eastAsia="仿宋_GB2312" w:cs="仿宋_GB2312"/>
                      <w:color w:val="auto"/>
                      <w:kern w:val="0"/>
                      <w:sz w:val="24"/>
                      <w:highlight w:val="none"/>
                      <w:u w:val="single"/>
                    </w:rPr>
                    <w:t>2100</w:t>
                  </w:r>
                  <w:r>
                    <w:rPr>
                      <w:rFonts w:hint="eastAsia" w:ascii="仿宋_GB2312" w:hAnsi="仿宋_GB2312" w:eastAsia="仿宋_GB2312" w:cs="仿宋_GB2312"/>
                      <w:color w:val="auto"/>
                      <w:kern w:val="0"/>
                      <w:sz w:val="24"/>
                      <w:highlight w:val="none"/>
                    </w:rPr>
                    <w:t>mm </w:t>
                  </w:r>
                </w:p>
              </w:tc>
            </w:tr>
            <w:tr w14:paraId="6F6A1935">
              <w:tblPrEx>
                <w:tblCellMar>
                  <w:top w:w="0" w:type="dxa"/>
                  <w:left w:w="108" w:type="dxa"/>
                  <w:bottom w:w="0" w:type="dxa"/>
                  <w:right w:w="108" w:type="dxa"/>
                </w:tblCellMar>
              </w:tblPrEx>
              <w:trPr>
                <w:trHeight w:val="567" w:hRule="atLeast"/>
                <w:jc w:val="center"/>
              </w:trPr>
              <w:tc>
                <w:tcPr>
                  <w:tcW w:w="639" w:type="pct"/>
                  <w:vMerge w:val="continue"/>
                  <w:tcBorders>
                    <w:top w:val="nil"/>
                    <w:left w:val="single" w:color="auto" w:sz="8" w:space="0"/>
                    <w:bottom w:val="single" w:color="auto" w:sz="4" w:space="0"/>
                    <w:right w:val="single" w:color="auto" w:sz="4" w:space="0"/>
                  </w:tcBorders>
                  <w:vAlign w:val="center"/>
                </w:tcPr>
                <w:p w14:paraId="355AB891">
                  <w:pPr>
                    <w:widowControl/>
                    <w:jc w:val="left"/>
                    <w:rPr>
                      <w:rFonts w:ascii="仿宋_GB2312" w:hAnsi="仿宋_GB2312" w:eastAsia="仿宋_GB2312" w:cs="仿宋_GB2312"/>
                      <w:b/>
                      <w:color w:val="auto"/>
                      <w:kern w:val="0"/>
                      <w:sz w:val="24"/>
                      <w:highlight w:val="none"/>
                    </w:rPr>
                  </w:pPr>
                </w:p>
              </w:tc>
              <w:tc>
                <w:tcPr>
                  <w:tcW w:w="1453" w:type="pct"/>
                  <w:tcBorders>
                    <w:top w:val="nil"/>
                    <w:left w:val="nil"/>
                    <w:bottom w:val="single" w:color="auto" w:sz="4" w:space="0"/>
                    <w:right w:val="single" w:color="auto" w:sz="4" w:space="0"/>
                  </w:tcBorders>
                  <w:shd w:val="clear" w:color="auto" w:fill="auto"/>
                  <w:vAlign w:val="center"/>
                </w:tcPr>
                <w:p w14:paraId="2AE6EECC">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轿厢地板：</w:t>
                  </w:r>
                </w:p>
              </w:tc>
              <w:tc>
                <w:tcPr>
                  <w:tcW w:w="2907" w:type="pct"/>
                  <w:tcBorders>
                    <w:top w:val="nil"/>
                    <w:left w:val="nil"/>
                    <w:bottom w:val="single" w:color="auto" w:sz="4" w:space="0"/>
                    <w:right w:val="single" w:color="auto" w:sz="8" w:space="0"/>
                  </w:tcBorders>
                  <w:shd w:val="clear" w:color="auto" w:fill="auto"/>
                  <w:vAlign w:val="center"/>
                </w:tcPr>
                <w:p w14:paraId="0521B86F">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压纹钢板</w:t>
                  </w:r>
                </w:p>
              </w:tc>
            </w:tr>
            <w:tr w14:paraId="7065D9F9">
              <w:tblPrEx>
                <w:tblCellMar>
                  <w:top w:w="0" w:type="dxa"/>
                  <w:left w:w="108" w:type="dxa"/>
                  <w:bottom w:w="0" w:type="dxa"/>
                  <w:right w:w="108" w:type="dxa"/>
                </w:tblCellMar>
              </w:tblPrEx>
              <w:trPr>
                <w:trHeight w:val="567" w:hRule="atLeast"/>
                <w:jc w:val="center"/>
              </w:trPr>
              <w:tc>
                <w:tcPr>
                  <w:tcW w:w="639" w:type="pct"/>
                  <w:vMerge w:val="continue"/>
                  <w:tcBorders>
                    <w:top w:val="nil"/>
                    <w:left w:val="single" w:color="auto" w:sz="8" w:space="0"/>
                    <w:bottom w:val="single" w:color="auto" w:sz="4" w:space="0"/>
                    <w:right w:val="single" w:color="auto" w:sz="4" w:space="0"/>
                  </w:tcBorders>
                  <w:vAlign w:val="center"/>
                </w:tcPr>
                <w:p w14:paraId="5F0EDC99">
                  <w:pPr>
                    <w:widowControl/>
                    <w:jc w:val="left"/>
                    <w:rPr>
                      <w:rFonts w:ascii="仿宋_GB2312" w:hAnsi="仿宋_GB2312" w:eastAsia="仿宋_GB2312" w:cs="仿宋_GB2312"/>
                      <w:b/>
                      <w:color w:val="auto"/>
                      <w:kern w:val="0"/>
                      <w:sz w:val="24"/>
                      <w:highlight w:val="none"/>
                    </w:rPr>
                  </w:pPr>
                </w:p>
              </w:tc>
              <w:tc>
                <w:tcPr>
                  <w:tcW w:w="1453" w:type="pct"/>
                  <w:tcBorders>
                    <w:top w:val="nil"/>
                    <w:left w:val="nil"/>
                    <w:bottom w:val="single" w:color="auto" w:sz="4" w:space="0"/>
                    <w:right w:val="single" w:color="auto" w:sz="4" w:space="0"/>
                  </w:tcBorders>
                  <w:shd w:val="clear" w:color="auto" w:fill="auto"/>
                  <w:vAlign w:val="center"/>
                </w:tcPr>
                <w:p w14:paraId="5CB90011">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轿厢地坎：</w:t>
                  </w:r>
                </w:p>
              </w:tc>
              <w:tc>
                <w:tcPr>
                  <w:tcW w:w="2907" w:type="pct"/>
                  <w:tcBorders>
                    <w:top w:val="nil"/>
                    <w:left w:val="nil"/>
                    <w:bottom w:val="single" w:color="auto" w:sz="4" w:space="0"/>
                    <w:right w:val="single" w:color="auto" w:sz="8" w:space="0"/>
                  </w:tcBorders>
                  <w:shd w:val="clear" w:color="auto" w:fill="auto"/>
                  <w:vAlign w:val="center"/>
                </w:tcPr>
                <w:p w14:paraId="26DE93D8">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硬质铝合金</w:t>
                  </w:r>
                </w:p>
              </w:tc>
            </w:tr>
            <w:tr w14:paraId="60E169C4">
              <w:tblPrEx>
                <w:tblCellMar>
                  <w:top w:w="0" w:type="dxa"/>
                  <w:left w:w="108" w:type="dxa"/>
                  <w:bottom w:w="0" w:type="dxa"/>
                  <w:right w:w="108" w:type="dxa"/>
                </w:tblCellMar>
              </w:tblPrEx>
              <w:trPr>
                <w:trHeight w:val="567" w:hRule="atLeast"/>
                <w:jc w:val="center"/>
              </w:trPr>
              <w:tc>
                <w:tcPr>
                  <w:tcW w:w="639" w:type="pct"/>
                  <w:vMerge w:val="continue"/>
                  <w:tcBorders>
                    <w:top w:val="nil"/>
                    <w:left w:val="single" w:color="auto" w:sz="8" w:space="0"/>
                    <w:bottom w:val="single" w:color="auto" w:sz="4" w:space="0"/>
                    <w:right w:val="single" w:color="auto" w:sz="4" w:space="0"/>
                  </w:tcBorders>
                  <w:vAlign w:val="center"/>
                </w:tcPr>
                <w:p w14:paraId="08A13F37">
                  <w:pPr>
                    <w:widowControl/>
                    <w:jc w:val="left"/>
                    <w:rPr>
                      <w:rFonts w:ascii="仿宋_GB2312" w:hAnsi="仿宋_GB2312" w:eastAsia="仿宋_GB2312" w:cs="仿宋_GB2312"/>
                      <w:b/>
                      <w:color w:val="auto"/>
                      <w:kern w:val="0"/>
                      <w:sz w:val="24"/>
                      <w:highlight w:val="none"/>
                    </w:rPr>
                  </w:pPr>
                </w:p>
              </w:tc>
              <w:tc>
                <w:tcPr>
                  <w:tcW w:w="1453" w:type="pct"/>
                  <w:tcBorders>
                    <w:top w:val="nil"/>
                    <w:left w:val="nil"/>
                    <w:bottom w:val="single" w:color="auto" w:sz="4" w:space="0"/>
                    <w:right w:val="single" w:color="auto" w:sz="4" w:space="0"/>
                  </w:tcBorders>
                  <w:shd w:val="clear" w:color="auto" w:fill="auto"/>
                  <w:vAlign w:val="center"/>
                </w:tcPr>
                <w:p w14:paraId="66AAABD8">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轿门安全装置：</w:t>
                  </w:r>
                </w:p>
              </w:tc>
              <w:tc>
                <w:tcPr>
                  <w:tcW w:w="2907" w:type="pct"/>
                  <w:tcBorders>
                    <w:top w:val="nil"/>
                    <w:left w:val="nil"/>
                    <w:bottom w:val="single" w:color="auto" w:sz="4" w:space="0"/>
                    <w:right w:val="single" w:color="auto" w:sz="8" w:space="0"/>
                  </w:tcBorders>
                  <w:shd w:val="clear" w:color="auto" w:fill="auto"/>
                  <w:vAlign w:val="center"/>
                </w:tcPr>
                <w:p w14:paraId="600BDDF0">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光幕</w:t>
                  </w:r>
                </w:p>
              </w:tc>
            </w:tr>
            <w:tr w14:paraId="15885B1F">
              <w:tblPrEx>
                <w:tblCellMar>
                  <w:top w:w="0" w:type="dxa"/>
                  <w:left w:w="108" w:type="dxa"/>
                  <w:bottom w:w="0" w:type="dxa"/>
                  <w:right w:w="108" w:type="dxa"/>
                </w:tblCellMar>
              </w:tblPrEx>
              <w:trPr>
                <w:trHeight w:val="567" w:hRule="atLeast"/>
                <w:jc w:val="center"/>
              </w:trPr>
              <w:tc>
                <w:tcPr>
                  <w:tcW w:w="639" w:type="pct"/>
                  <w:vMerge w:val="restart"/>
                  <w:tcBorders>
                    <w:top w:val="nil"/>
                    <w:left w:val="single" w:color="auto" w:sz="8" w:space="0"/>
                    <w:bottom w:val="single" w:color="auto" w:sz="4" w:space="0"/>
                    <w:right w:val="single" w:color="auto" w:sz="4" w:space="0"/>
                  </w:tcBorders>
                  <w:shd w:val="clear" w:color="auto" w:fill="auto"/>
                  <w:vAlign w:val="center"/>
                </w:tcPr>
                <w:p w14:paraId="7EEC276E">
                  <w:pPr>
                    <w:widowControl/>
                    <w:jc w:val="center"/>
                    <w:rPr>
                      <w:rFonts w:ascii="仿宋_GB2312" w:hAnsi="仿宋_GB2312" w:eastAsia="仿宋_GB2312" w:cs="仿宋_GB2312"/>
                      <w:b/>
                      <w:color w:val="auto"/>
                      <w:kern w:val="0"/>
                      <w:sz w:val="24"/>
                      <w:highlight w:val="none"/>
                    </w:rPr>
                  </w:pPr>
                  <w:r>
                    <w:rPr>
                      <w:rFonts w:hint="eastAsia" w:ascii="仿宋_GB2312" w:hAnsi="仿宋_GB2312" w:eastAsia="仿宋_GB2312" w:cs="仿宋_GB2312"/>
                      <w:b/>
                      <w:color w:val="auto"/>
                      <w:kern w:val="0"/>
                      <w:sz w:val="24"/>
                      <w:highlight w:val="none"/>
                    </w:rPr>
                    <w:t>厅门入口设计</w:t>
                  </w:r>
                </w:p>
              </w:tc>
              <w:tc>
                <w:tcPr>
                  <w:tcW w:w="1453" w:type="pct"/>
                  <w:tcBorders>
                    <w:top w:val="nil"/>
                    <w:left w:val="nil"/>
                    <w:bottom w:val="single" w:color="auto" w:sz="4" w:space="0"/>
                    <w:right w:val="single" w:color="auto" w:sz="4" w:space="0"/>
                  </w:tcBorders>
                  <w:shd w:val="clear" w:color="auto" w:fill="auto"/>
                  <w:vAlign w:val="center"/>
                </w:tcPr>
                <w:p w14:paraId="1FBDB886">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厅门门板装饰：</w:t>
                  </w:r>
                </w:p>
              </w:tc>
              <w:tc>
                <w:tcPr>
                  <w:tcW w:w="2907" w:type="pct"/>
                  <w:tcBorders>
                    <w:top w:val="nil"/>
                    <w:left w:val="nil"/>
                    <w:bottom w:val="single" w:color="auto" w:sz="4" w:space="0"/>
                    <w:right w:val="single" w:color="auto" w:sz="8" w:space="0"/>
                  </w:tcBorders>
                  <w:shd w:val="clear" w:color="auto" w:fill="auto"/>
                  <w:vAlign w:val="center"/>
                </w:tcPr>
                <w:p w14:paraId="09F4DCEA">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各层:发纹不锈钢</w:t>
                  </w:r>
                </w:p>
              </w:tc>
            </w:tr>
            <w:tr w14:paraId="0D1B71D8">
              <w:tblPrEx>
                <w:tblCellMar>
                  <w:top w:w="0" w:type="dxa"/>
                  <w:left w:w="108" w:type="dxa"/>
                  <w:bottom w:w="0" w:type="dxa"/>
                  <w:right w:w="108" w:type="dxa"/>
                </w:tblCellMar>
              </w:tblPrEx>
              <w:trPr>
                <w:trHeight w:val="567" w:hRule="atLeast"/>
                <w:jc w:val="center"/>
              </w:trPr>
              <w:tc>
                <w:tcPr>
                  <w:tcW w:w="639" w:type="pct"/>
                  <w:vMerge w:val="continue"/>
                  <w:tcBorders>
                    <w:top w:val="nil"/>
                    <w:left w:val="single" w:color="auto" w:sz="8" w:space="0"/>
                    <w:bottom w:val="single" w:color="auto" w:sz="4" w:space="0"/>
                    <w:right w:val="single" w:color="auto" w:sz="4" w:space="0"/>
                  </w:tcBorders>
                  <w:vAlign w:val="center"/>
                </w:tcPr>
                <w:p w14:paraId="3095B48A">
                  <w:pPr>
                    <w:widowControl/>
                    <w:jc w:val="left"/>
                    <w:rPr>
                      <w:rFonts w:ascii="仿宋_GB2312" w:hAnsi="仿宋_GB2312" w:eastAsia="仿宋_GB2312" w:cs="仿宋_GB2312"/>
                      <w:b/>
                      <w:color w:val="auto"/>
                      <w:kern w:val="0"/>
                      <w:sz w:val="24"/>
                      <w:highlight w:val="none"/>
                    </w:rPr>
                  </w:pPr>
                </w:p>
              </w:tc>
              <w:tc>
                <w:tcPr>
                  <w:tcW w:w="1453" w:type="pct"/>
                  <w:tcBorders>
                    <w:top w:val="nil"/>
                    <w:left w:val="nil"/>
                    <w:bottom w:val="single" w:color="auto" w:sz="4" w:space="0"/>
                    <w:right w:val="single" w:color="auto" w:sz="4" w:space="0"/>
                  </w:tcBorders>
                  <w:shd w:val="clear" w:color="auto" w:fill="auto"/>
                  <w:vAlign w:val="center"/>
                </w:tcPr>
                <w:p w14:paraId="079B833F">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厅门门套装饰：</w:t>
                  </w:r>
                </w:p>
              </w:tc>
              <w:tc>
                <w:tcPr>
                  <w:tcW w:w="2907" w:type="pct"/>
                  <w:tcBorders>
                    <w:top w:val="nil"/>
                    <w:left w:val="nil"/>
                    <w:bottom w:val="single" w:color="auto" w:sz="4" w:space="0"/>
                    <w:right w:val="single" w:color="auto" w:sz="8" w:space="0"/>
                  </w:tcBorders>
                  <w:shd w:val="clear" w:color="auto" w:fill="auto"/>
                  <w:vAlign w:val="center"/>
                </w:tcPr>
                <w:p w14:paraId="457549D8">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各层型号:小门套，材质:发纹不锈钢</w:t>
                  </w:r>
                </w:p>
              </w:tc>
            </w:tr>
            <w:tr w14:paraId="1C6CC79E">
              <w:tblPrEx>
                <w:tblCellMar>
                  <w:top w:w="0" w:type="dxa"/>
                  <w:left w:w="108" w:type="dxa"/>
                  <w:bottom w:w="0" w:type="dxa"/>
                  <w:right w:w="108" w:type="dxa"/>
                </w:tblCellMar>
              </w:tblPrEx>
              <w:trPr>
                <w:trHeight w:val="567" w:hRule="atLeast"/>
                <w:jc w:val="center"/>
              </w:trPr>
              <w:tc>
                <w:tcPr>
                  <w:tcW w:w="639" w:type="pct"/>
                  <w:vMerge w:val="continue"/>
                  <w:tcBorders>
                    <w:top w:val="nil"/>
                    <w:left w:val="single" w:color="auto" w:sz="8" w:space="0"/>
                    <w:bottom w:val="single" w:color="auto" w:sz="4" w:space="0"/>
                    <w:right w:val="single" w:color="auto" w:sz="4" w:space="0"/>
                  </w:tcBorders>
                  <w:vAlign w:val="center"/>
                </w:tcPr>
                <w:p w14:paraId="07D7A4B8">
                  <w:pPr>
                    <w:widowControl/>
                    <w:jc w:val="left"/>
                    <w:rPr>
                      <w:rFonts w:ascii="仿宋_GB2312" w:hAnsi="仿宋_GB2312" w:eastAsia="仿宋_GB2312" w:cs="仿宋_GB2312"/>
                      <w:b/>
                      <w:color w:val="auto"/>
                      <w:kern w:val="0"/>
                      <w:sz w:val="24"/>
                      <w:highlight w:val="none"/>
                    </w:rPr>
                  </w:pPr>
                </w:p>
              </w:tc>
              <w:tc>
                <w:tcPr>
                  <w:tcW w:w="1453" w:type="pct"/>
                  <w:tcBorders>
                    <w:top w:val="nil"/>
                    <w:left w:val="nil"/>
                    <w:bottom w:val="single" w:color="auto" w:sz="4" w:space="0"/>
                    <w:right w:val="single" w:color="auto" w:sz="4" w:space="0"/>
                  </w:tcBorders>
                  <w:shd w:val="clear" w:color="auto" w:fill="auto"/>
                  <w:vAlign w:val="center"/>
                </w:tcPr>
                <w:p w14:paraId="11C3A08F">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厅门地坎：</w:t>
                  </w:r>
                </w:p>
              </w:tc>
              <w:tc>
                <w:tcPr>
                  <w:tcW w:w="2907" w:type="pct"/>
                  <w:tcBorders>
                    <w:top w:val="nil"/>
                    <w:left w:val="nil"/>
                    <w:bottom w:val="single" w:color="auto" w:sz="4" w:space="0"/>
                    <w:right w:val="single" w:color="auto" w:sz="8" w:space="0"/>
                  </w:tcBorders>
                  <w:shd w:val="clear" w:color="auto" w:fill="auto"/>
                  <w:vAlign w:val="center"/>
                </w:tcPr>
                <w:p w14:paraId="0796AA1C">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硬质铝合金</w:t>
                  </w:r>
                </w:p>
              </w:tc>
            </w:tr>
            <w:tr w14:paraId="0013392E">
              <w:tblPrEx>
                <w:tblCellMar>
                  <w:top w:w="0" w:type="dxa"/>
                  <w:left w:w="108" w:type="dxa"/>
                  <w:bottom w:w="0" w:type="dxa"/>
                  <w:right w:w="108" w:type="dxa"/>
                </w:tblCellMar>
              </w:tblPrEx>
              <w:trPr>
                <w:trHeight w:val="567" w:hRule="atLeast"/>
                <w:jc w:val="center"/>
              </w:trPr>
              <w:tc>
                <w:tcPr>
                  <w:tcW w:w="639" w:type="pct"/>
                  <w:vMerge w:val="restart"/>
                  <w:tcBorders>
                    <w:top w:val="nil"/>
                    <w:left w:val="single" w:color="auto" w:sz="8" w:space="0"/>
                    <w:right w:val="single" w:color="auto" w:sz="4" w:space="0"/>
                  </w:tcBorders>
                  <w:shd w:val="clear" w:color="auto" w:fill="auto"/>
                  <w:vAlign w:val="center"/>
                </w:tcPr>
                <w:p w14:paraId="2221585A">
                  <w:pPr>
                    <w:widowControl/>
                    <w:jc w:val="center"/>
                    <w:rPr>
                      <w:rFonts w:ascii="仿宋_GB2312" w:hAnsi="仿宋_GB2312" w:eastAsia="仿宋_GB2312" w:cs="仿宋_GB2312"/>
                      <w:b/>
                      <w:color w:val="auto"/>
                      <w:kern w:val="0"/>
                      <w:sz w:val="24"/>
                      <w:highlight w:val="none"/>
                    </w:rPr>
                  </w:pPr>
                  <w:r>
                    <w:rPr>
                      <w:rFonts w:hint="eastAsia" w:ascii="仿宋_GB2312" w:hAnsi="仿宋_GB2312" w:eastAsia="仿宋_GB2312" w:cs="仿宋_GB2312"/>
                      <w:b/>
                      <w:color w:val="auto"/>
                      <w:kern w:val="0"/>
                      <w:sz w:val="24"/>
                      <w:highlight w:val="none"/>
                    </w:rPr>
                    <w:t>五方通话及监控系统</w:t>
                  </w:r>
                </w:p>
              </w:tc>
              <w:tc>
                <w:tcPr>
                  <w:tcW w:w="1453" w:type="pct"/>
                  <w:vMerge w:val="restart"/>
                  <w:tcBorders>
                    <w:top w:val="nil"/>
                    <w:left w:val="single" w:color="auto" w:sz="4" w:space="0"/>
                    <w:bottom w:val="single" w:color="auto" w:sz="4" w:space="0"/>
                    <w:right w:val="single" w:color="auto" w:sz="4" w:space="0"/>
                  </w:tcBorders>
                  <w:shd w:val="clear" w:color="auto" w:fill="auto"/>
                  <w:vAlign w:val="center"/>
                </w:tcPr>
                <w:p w14:paraId="24CCF6A5">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五通话系统：</w:t>
                  </w:r>
                </w:p>
              </w:tc>
              <w:tc>
                <w:tcPr>
                  <w:tcW w:w="2907" w:type="pct"/>
                  <w:tcBorders>
                    <w:top w:val="nil"/>
                    <w:left w:val="nil"/>
                    <w:bottom w:val="single" w:color="auto" w:sz="4" w:space="0"/>
                    <w:right w:val="single" w:color="auto" w:sz="8" w:space="0"/>
                  </w:tcBorders>
                  <w:shd w:val="clear" w:color="auto" w:fill="auto"/>
                  <w:vAlign w:val="center"/>
                </w:tcPr>
                <w:p w14:paraId="39851E5F">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1.中标方负责电梯井道内部（含轿厢至电梯控制箱）的五方通话系统所有设备和管线的采购及安装。</w:t>
                  </w:r>
                </w:p>
              </w:tc>
            </w:tr>
            <w:tr w14:paraId="11C4BB77">
              <w:tblPrEx>
                <w:tblCellMar>
                  <w:top w:w="0" w:type="dxa"/>
                  <w:left w:w="108" w:type="dxa"/>
                  <w:bottom w:w="0" w:type="dxa"/>
                  <w:right w:w="108" w:type="dxa"/>
                </w:tblCellMar>
              </w:tblPrEx>
              <w:trPr>
                <w:trHeight w:val="567" w:hRule="atLeast"/>
                <w:jc w:val="center"/>
              </w:trPr>
              <w:tc>
                <w:tcPr>
                  <w:tcW w:w="639" w:type="pct"/>
                  <w:vMerge w:val="continue"/>
                  <w:tcBorders>
                    <w:left w:val="single" w:color="auto" w:sz="8" w:space="0"/>
                    <w:right w:val="single" w:color="auto" w:sz="4" w:space="0"/>
                  </w:tcBorders>
                  <w:vAlign w:val="center"/>
                </w:tcPr>
                <w:p w14:paraId="69ADB750">
                  <w:pPr>
                    <w:jc w:val="left"/>
                    <w:rPr>
                      <w:rFonts w:ascii="仿宋_GB2312" w:hAnsi="仿宋_GB2312" w:eastAsia="仿宋_GB2312" w:cs="仿宋_GB2312"/>
                      <w:b/>
                      <w:color w:val="auto"/>
                      <w:kern w:val="0"/>
                      <w:sz w:val="24"/>
                      <w:highlight w:val="none"/>
                    </w:rPr>
                  </w:pPr>
                </w:p>
              </w:tc>
              <w:tc>
                <w:tcPr>
                  <w:tcW w:w="1453" w:type="pct"/>
                  <w:vMerge w:val="continue"/>
                  <w:tcBorders>
                    <w:top w:val="nil"/>
                    <w:left w:val="single" w:color="auto" w:sz="4" w:space="0"/>
                    <w:bottom w:val="single" w:color="auto" w:sz="4" w:space="0"/>
                    <w:right w:val="single" w:color="auto" w:sz="4" w:space="0"/>
                  </w:tcBorders>
                  <w:vAlign w:val="center"/>
                </w:tcPr>
                <w:p w14:paraId="5C265DC1">
                  <w:pPr>
                    <w:widowControl/>
                    <w:jc w:val="left"/>
                    <w:rPr>
                      <w:rFonts w:ascii="仿宋_GB2312" w:hAnsi="仿宋_GB2312" w:eastAsia="仿宋_GB2312" w:cs="仿宋_GB2312"/>
                      <w:color w:val="auto"/>
                      <w:kern w:val="0"/>
                      <w:sz w:val="24"/>
                      <w:highlight w:val="none"/>
                    </w:rPr>
                  </w:pPr>
                </w:p>
              </w:tc>
              <w:tc>
                <w:tcPr>
                  <w:tcW w:w="2907" w:type="pct"/>
                  <w:tcBorders>
                    <w:top w:val="nil"/>
                    <w:left w:val="nil"/>
                    <w:bottom w:val="single" w:color="auto" w:sz="4" w:space="0"/>
                    <w:right w:val="single" w:color="auto" w:sz="8" w:space="0"/>
                  </w:tcBorders>
                  <w:shd w:val="clear" w:color="auto" w:fill="auto"/>
                  <w:vAlign w:val="center"/>
                </w:tcPr>
                <w:p w14:paraId="7BD721B2">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2.中标方负责由控制中心到电梯控制箱之间的五方通话系统所有设备和管线的采购及安装（含控制中心内部）。</w:t>
                  </w:r>
                </w:p>
              </w:tc>
            </w:tr>
            <w:tr w14:paraId="7A7C82BD">
              <w:tblPrEx>
                <w:tblCellMar>
                  <w:top w:w="0" w:type="dxa"/>
                  <w:left w:w="108" w:type="dxa"/>
                  <w:bottom w:w="0" w:type="dxa"/>
                  <w:right w:w="108" w:type="dxa"/>
                </w:tblCellMar>
              </w:tblPrEx>
              <w:trPr>
                <w:trHeight w:val="567" w:hRule="atLeast"/>
                <w:jc w:val="center"/>
              </w:trPr>
              <w:tc>
                <w:tcPr>
                  <w:tcW w:w="639" w:type="pct"/>
                  <w:vMerge w:val="continue"/>
                  <w:tcBorders>
                    <w:left w:val="single" w:color="auto" w:sz="8" w:space="0"/>
                    <w:bottom w:val="single" w:color="auto" w:sz="4" w:space="0"/>
                    <w:right w:val="single" w:color="auto" w:sz="4" w:space="0"/>
                  </w:tcBorders>
                  <w:shd w:val="clear" w:color="auto" w:fill="auto"/>
                  <w:vAlign w:val="center"/>
                </w:tcPr>
                <w:p w14:paraId="5BED9EA9">
                  <w:pPr>
                    <w:widowControl/>
                    <w:jc w:val="left"/>
                    <w:rPr>
                      <w:rFonts w:ascii="仿宋_GB2312" w:hAnsi="仿宋_GB2312" w:eastAsia="仿宋_GB2312" w:cs="仿宋_GB2312"/>
                      <w:b/>
                      <w:color w:val="auto"/>
                      <w:kern w:val="0"/>
                      <w:sz w:val="24"/>
                      <w:highlight w:val="none"/>
                    </w:rPr>
                  </w:pPr>
                </w:p>
              </w:tc>
              <w:tc>
                <w:tcPr>
                  <w:tcW w:w="1453" w:type="pct"/>
                  <w:tcBorders>
                    <w:top w:val="nil"/>
                    <w:left w:val="nil"/>
                    <w:bottom w:val="single" w:color="auto" w:sz="4" w:space="0"/>
                    <w:right w:val="single" w:color="auto" w:sz="4" w:space="0"/>
                  </w:tcBorders>
                  <w:shd w:val="clear" w:color="auto" w:fill="auto"/>
                  <w:vAlign w:val="center"/>
                </w:tcPr>
                <w:p w14:paraId="379B98FF">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监控系统：</w:t>
                  </w:r>
                </w:p>
              </w:tc>
              <w:tc>
                <w:tcPr>
                  <w:tcW w:w="2907" w:type="pct"/>
                  <w:tcBorders>
                    <w:top w:val="nil"/>
                    <w:left w:val="nil"/>
                    <w:bottom w:val="single" w:color="auto" w:sz="4" w:space="0"/>
                    <w:right w:val="single" w:color="auto" w:sz="8" w:space="0"/>
                  </w:tcBorders>
                  <w:shd w:val="clear" w:color="auto" w:fill="auto"/>
                  <w:vAlign w:val="center"/>
                </w:tcPr>
                <w:p w14:paraId="618C6A19">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中标方负责监控系统所有设备和管线的采购及安装（含控制中心内部）。</w:t>
                  </w:r>
                </w:p>
              </w:tc>
            </w:tr>
            <w:tr w14:paraId="53952225">
              <w:tblPrEx>
                <w:tblCellMar>
                  <w:top w:w="0" w:type="dxa"/>
                  <w:left w:w="108" w:type="dxa"/>
                  <w:bottom w:w="0" w:type="dxa"/>
                  <w:right w:w="108" w:type="dxa"/>
                </w:tblCellMar>
              </w:tblPrEx>
              <w:trPr>
                <w:trHeight w:val="567" w:hRule="atLeast"/>
                <w:jc w:val="center"/>
              </w:trPr>
              <w:tc>
                <w:tcPr>
                  <w:tcW w:w="639" w:type="pct"/>
                  <w:vMerge w:val="restart"/>
                  <w:tcBorders>
                    <w:top w:val="nil"/>
                    <w:left w:val="single" w:color="auto" w:sz="8" w:space="0"/>
                    <w:bottom w:val="single" w:color="auto" w:sz="4" w:space="0"/>
                    <w:right w:val="single" w:color="auto" w:sz="4" w:space="0"/>
                  </w:tcBorders>
                  <w:shd w:val="clear" w:color="auto" w:fill="auto"/>
                  <w:vAlign w:val="center"/>
                </w:tcPr>
                <w:p w14:paraId="54432AF3">
                  <w:pPr>
                    <w:widowControl/>
                    <w:jc w:val="center"/>
                    <w:rPr>
                      <w:rFonts w:ascii="仿宋_GB2312" w:hAnsi="仿宋_GB2312" w:eastAsia="仿宋_GB2312" w:cs="仿宋_GB2312"/>
                      <w:b/>
                      <w:color w:val="auto"/>
                      <w:kern w:val="0"/>
                      <w:sz w:val="24"/>
                      <w:highlight w:val="none"/>
                    </w:rPr>
                  </w:pPr>
                  <w:r>
                    <w:rPr>
                      <w:rFonts w:hint="eastAsia" w:ascii="仿宋_GB2312" w:hAnsi="仿宋_GB2312" w:eastAsia="仿宋_GB2312" w:cs="仿宋_GB2312"/>
                      <w:b/>
                      <w:color w:val="auto"/>
                      <w:kern w:val="0"/>
                      <w:sz w:val="24"/>
                      <w:highlight w:val="none"/>
                    </w:rPr>
                    <w:t>电源</w:t>
                  </w:r>
                </w:p>
              </w:tc>
              <w:tc>
                <w:tcPr>
                  <w:tcW w:w="1453" w:type="pct"/>
                  <w:vMerge w:val="restart"/>
                  <w:tcBorders>
                    <w:top w:val="nil"/>
                    <w:left w:val="single" w:color="auto" w:sz="4" w:space="0"/>
                    <w:bottom w:val="single" w:color="auto" w:sz="4" w:space="0"/>
                    <w:right w:val="single" w:color="auto" w:sz="4" w:space="0"/>
                  </w:tcBorders>
                  <w:shd w:val="clear" w:color="auto" w:fill="auto"/>
                  <w:vAlign w:val="center"/>
                </w:tcPr>
                <w:p w14:paraId="7D7F576C">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电源要求：</w:t>
                  </w:r>
                </w:p>
              </w:tc>
              <w:tc>
                <w:tcPr>
                  <w:tcW w:w="2907" w:type="pct"/>
                  <w:tcBorders>
                    <w:top w:val="nil"/>
                    <w:left w:val="nil"/>
                    <w:bottom w:val="single" w:color="auto" w:sz="4" w:space="0"/>
                    <w:right w:val="single" w:color="auto" w:sz="8" w:space="0"/>
                  </w:tcBorders>
                  <w:shd w:val="clear" w:color="auto" w:fill="auto"/>
                  <w:vAlign w:val="center"/>
                </w:tcPr>
                <w:p w14:paraId="3BA7F872">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动力电源：三相五线制380V±7%  50HZ</w:t>
                  </w:r>
                </w:p>
              </w:tc>
            </w:tr>
            <w:tr w14:paraId="65E1B91A">
              <w:tblPrEx>
                <w:tblCellMar>
                  <w:top w:w="0" w:type="dxa"/>
                  <w:left w:w="108" w:type="dxa"/>
                  <w:bottom w:w="0" w:type="dxa"/>
                  <w:right w:w="108" w:type="dxa"/>
                </w:tblCellMar>
              </w:tblPrEx>
              <w:trPr>
                <w:trHeight w:val="567" w:hRule="atLeast"/>
                <w:jc w:val="center"/>
              </w:trPr>
              <w:tc>
                <w:tcPr>
                  <w:tcW w:w="639" w:type="pct"/>
                  <w:vMerge w:val="continue"/>
                  <w:tcBorders>
                    <w:top w:val="nil"/>
                    <w:left w:val="single" w:color="auto" w:sz="8" w:space="0"/>
                    <w:bottom w:val="single" w:color="auto" w:sz="4" w:space="0"/>
                    <w:right w:val="single" w:color="auto" w:sz="4" w:space="0"/>
                  </w:tcBorders>
                  <w:vAlign w:val="center"/>
                </w:tcPr>
                <w:p w14:paraId="37136006">
                  <w:pPr>
                    <w:widowControl/>
                    <w:jc w:val="left"/>
                    <w:rPr>
                      <w:rFonts w:ascii="仿宋_GB2312" w:hAnsi="仿宋_GB2312" w:eastAsia="仿宋_GB2312" w:cs="仿宋_GB2312"/>
                      <w:b/>
                      <w:color w:val="auto"/>
                      <w:kern w:val="0"/>
                      <w:sz w:val="24"/>
                      <w:highlight w:val="none"/>
                    </w:rPr>
                  </w:pPr>
                </w:p>
              </w:tc>
              <w:tc>
                <w:tcPr>
                  <w:tcW w:w="1453" w:type="pct"/>
                  <w:vMerge w:val="continue"/>
                  <w:tcBorders>
                    <w:top w:val="nil"/>
                    <w:left w:val="single" w:color="auto" w:sz="4" w:space="0"/>
                    <w:bottom w:val="single" w:color="auto" w:sz="4" w:space="0"/>
                    <w:right w:val="single" w:color="auto" w:sz="4" w:space="0"/>
                  </w:tcBorders>
                  <w:vAlign w:val="center"/>
                </w:tcPr>
                <w:p w14:paraId="7A0A0F00">
                  <w:pPr>
                    <w:widowControl/>
                    <w:jc w:val="left"/>
                    <w:rPr>
                      <w:rFonts w:ascii="仿宋_GB2312" w:hAnsi="仿宋_GB2312" w:eastAsia="仿宋_GB2312" w:cs="仿宋_GB2312"/>
                      <w:color w:val="auto"/>
                      <w:kern w:val="0"/>
                      <w:sz w:val="24"/>
                      <w:highlight w:val="none"/>
                    </w:rPr>
                  </w:pPr>
                </w:p>
              </w:tc>
              <w:tc>
                <w:tcPr>
                  <w:tcW w:w="2907" w:type="pct"/>
                  <w:tcBorders>
                    <w:top w:val="nil"/>
                    <w:left w:val="nil"/>
                    <w:bottom w:val="single" w:color="auto" w:sz="4" w:space="0"/>
                    <w:right w:val="single" w:color="auto" w:sz="8" w:space="0"/>
                  </w:tcBorders>
                  <w:shd w:val="clear" w:color="auto" w:fill="auto"/>
                  <w:vAlign w:val="center"/>
                </w:tcPr>
                <w:p w14:paraId="1C83B375">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照明电源：单相220V±7%  50HZ</w:t>
                  </w:r>
                </w:p>
              </w:tc>
            </w:tr>
            <w:tr w14:paraId="3781266C">
              <w:tblPrEx>
                <w:tblCellMar>
                  <w:top w:w="0" w:type="dxa"/>
                  <w:left w:w="108" w:type="dxa"/>
                  <w:bottom w:w="0" w:type="dxa"/>
                  <w:right w:w="108" w:type="dxa"/>
                </w:tblCellMar>
              </w:tblPrEx>
              <w:trPr>
                <w:trHeight w:val="567" w:hRule="atLeast"/>
                <w:jc w:val="center"/>
              </w:trPr>
              <w:tc>
                <w:tcPr>
                  <w:tcW w:w="639" w:type="pct"/>
                  <w:vMerge w:val="restart"/>
                  <w:tcBorders>
                    <w:top w:val="nil"/>
                    <w:left w:val="single" w:color="auto" w:sz="8" w:space="0"/>
                    <w:right w:val="single" w:color="auto" w:sz="4" w:space="0"/>
                  </w:tcBorders>
                  <w:vAlign w:val="center"/>
                </w:tcPr>
                <w:p w14:paraId="0F86B67D">
                  <w:pPr>
                    <w:jc w:val="center"/>
                    <w:rPr>
                      <w:rFonts w:ascii="仿宋_GB2312" w:hAnsi="仿宋_GB2312" w:eastAsia="仿宋_GB2312" w:cs="仿宋_GB2312"/>
                      <w:b/>
                      <w:color w:val="auto"/>
                      <w:kern w:val="0"/>
                      <w:sz w:val="24"/>
                      <w:highlight w:val="none"/>
                    </w:rPr>
                  </w:pPr>
                  <w:r>
                    <w:rPr>
                      <w:rFonts w:hint="eastAsia" w:ascii="仿宋_GB2312" w:hAnsi="仿宋_GB2312" w:eastAsia="仿宋_GB2312" w:cs="仿宋_GB2312"/>
                      <w:b/>
                      <w:color w:val="auto"/>
                      <w:kern w:val="0"/>
                      <w:sz w:val="24"/>
                      <w:highlight w:val="none"/>
                    </w:rPr>
                    <w:t>配置及功能</w:t>
                  </w:r>
                </w:p>
              </w:tc>
              <w:tc>
                <w:tcPr>
                  <w:tcW w:w="1453" w:type="pct"/>
                  <w:tcBorders>
                    <w:top w:val="nil"/>
                    <w:left w:val="single" w:color="auto" w:sz="4" w:space="0"/>
                    <w:bottom w:val="single" w:color="auto" w:sz="4" w:space="0"/>
                    <w:right w:val="single" w:color="auto" w:sz="4" w:space="0"/>
                  </w:tcBorders>
                  <w:vAlign w:val="center"/>
                </w:tcPr>
                <w:p w14:paraId="469C2676">
                  <w:pPr>
                    <w:widowControl/>
                    <w:jc w:val="left"/>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标准功能：</w:t>
                  </w:r>
                </w:p>
              </w:tc>
              <w:tc>
                <w:tcPr>
                  <w:tcW w:w="2907" w:type="pct"/>
                  <w:tcBorders>
                    <w:top w:val="nil"/>
                    <w:left w:val="nil"/>
                    <w:bottom w:val="single" w:color="auto" w:sz="4" w:space="0"/>
                    <w:right w:val="single" w:color="auto" w:sz="8" w:space="0"/>
                  </w:tcBorders>
                  <w:shd w:val="clear" w:color="auto" w:fill="auto"/>
                  <w:vAlign w:val="center"/>
                </w:tcPr>
                <w:p w14:paraId="606FFA3D">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误招呼手动取消；自动再平层；电梯受阻失速保护；轿内反向指令消除；连续服务；轿内运行方向指示；层站运行方向指示；关门按扭响应指示；换向重开门； 门负载检测； 开门按扭响应指示；开门受阻控制；开门保持时间自动调整；轿箱应急照明；即时关门；警铃；检修操作；层站运行控制开关；独立运行；强制关门；称重启动；主层站待机；语音提示；次层停靠；分散待机；超载报警；带召唤按扭层站位置显示；上电再平层；重复关门；本层再开门；安全停靠；风扇照明自动关闭停层开门。</w:t>
                  </w:r>
                </w:p>
              </w:tc>
            </w:tr>
            <w:tr w14:paraId="4E9B8CF1">
              <w:tblPrEx>
                <w:tblCellMar>
                  <w:top w:w="0" w:type="dxa"/>
                  <w:left w:w="108" w:type="dxa"/>
                  <w:bottom w:w="0" w:type="dxa"/>
                  <w:right w:w="108" w:type="dxa"/>
                </w:tblCellMar>
              </w:tblPrEx>
              <w:trPr>
                <w:trHeight w:val="567" w:hRule="atLeast"/>
                <w:jc w:val="center"/>
              </w:trPr>
              <w:tc>
                <w:tcPr>
                  <w:tcW w:w="639" w:type="pct"/>
                  <w:vMerge w:val="continue"/>
                  <w:tcBorders>
                    <w:left w:val="single" w:color="auto" w:sz="8" w:space="0"/>
                    <w:right w:val="single" w:color="auto" w:sz="4" w:space="0"/>
                  </w:tcBorders>
                  <w:shd w:val="clear" w:color="auto" w:fill="auto"/>
                  <w:vAlign w:val="center"/>
                </w:tcPr>
                <w:p w14:paraId="79AEF7F2">
                  <w:pPr>
                    <w:widowControl/>
                    <w:jc w:val="center"/>
                    <w:rPr>
                      <w:rFonts w:ascii="仿宋_GB2312" w:hAnsi="仿宋_GB2312" w:eastAsia="仿宋_GB2312" w:cs="仿宋_GB2312"/>
                      <w:b/>
                      <w:color w:val="auto"/>
                      <w:kern w:val="0"/>
                      <w:sz w:val="24"/>
                      <w:highlight w:val="none"/>
                    </w:rPr>
                  </w:pPr>
                </w:p>
              </w:tc>
              <w:tc>
                <w:tcPr>
                  <w:tcW w:w="1453" w:type="pct"/>
                  <w:tcBorders>
                    <w:top w:val="nil"/>
                    <w:left w:val="nil"/>
                    <w:bottom w:val="single" w:color="auto" w:sz="4" w:space="0"/>
                    <w:right w:val="single" w:color="auto" w:sz="4" w:space="0"/>
                  </w:tcBorders>
                  <w:shd w:val="clear" w:color="auto" w:fill="auto"/>
                  <w:vAlign w:val="center"/>
                </w:tcPr>
                <w:p w14:paraId="1B53A75B">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其他功能：</w:t>
                  </w:r>
                </w:p>
              </w:tc>
              <w:tc>
                <w:tcPr>
                  <w:tcW w:w="2907" w:type="pct"/>
                  <w:tcBorders>
                    <w:top w:val="nil"/>
                    <w:left w:val="nil"/>
                    <w:bottom w:val="single" w:color="auto" w:sz="4" w:space="0"/>
                    <w:right w:val="single" w:color="auto" w:sz="8" w:space="0"/>
                  </w:tcBorders>
                  <w:shd w:val="clear" w:color="auto" w:fill="auto"/>
                  <w:vAlign w:val="center"/>
                </w:tcPr>
                <w:p w14:paraId="1793E27A">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消防反馈功能，消防值班室至机房布线，用线规格符合中国消防规范等标准要求</w:t>
                  </w:r>
                </w:p>
              </w:tc>
            </w:tr>
            <w:tr w14:paraId="657A471D">
              <w:tblPrEx>
                <w:tblCellMar>
                  <w:top w:w="0" w:type="dxa"/>
                  <w:left w:w="108" w:type="dxa"/>
                  <w:bottom w:w="0" w:type="dxa"/>
                  <w:right w:w="108" w:type="dxa"/>
                </w:tblCellMar>
              </w:tblPrEx>
              <w:trPr>
                <w:trHeight w:val="567" w:hRule="atLeast"/>
                <w:jc w:val="center"/>
              </w:trPr>
              <w:tc>
                <w:tcPr>
                  <w:tcW w:w="639" w:type="pct"/>
                  <w:vMerge w:val="continue"/>
                  <w:tcBorders>
                    <w:left w:val="single" w:color="auto" w:sz="8" w:space="0"/>
                    <w:bottom w:val="single" w:color="000000" w:sz="8" w:space="0"/>
                    <w:right w:val="single" w:color="auto" w:sz="4" w:space="0"/>
                  </w:tcBorders>
                  <w:vAlign w:val="center"/>
                </w:tcPr>
                <w:p w14:paraId="5153EA35">
                  <w:pPr>
                    <w:widowControl/>
                    <w:jc w:val="left"/>
                    <w:rPr>
                      <w:rFonts w:ascii="仿宋_GB2312" w:hAnsi="仿宋_GB2312" w:eastAsia="仿宋_GB2312" w:cs="仿宋_GB2312"/>
                      <w:color w:val="auto"/>
                      <w:kern w:val="0"/>
                      <w:sz w:val="24"/>
                      <w:highlight w:val="none"/>
                    </w:rPr>
                  </w:pPr>
                </w:p>
              </w:tc>
              <w:tc>
                <w:tcPr>
                  <w:tcW w:w="1453" w:type="pct"/>
                  <w:tcBorders>
                    <w:top w:val="nil"/>
                    <w:left w:val="nil"/>
                    <w:bottom w:val="single" w:color="auto" w:sz="8" w:space="0"/>
                    <w:right w:val="single" w:color="auto" w:sz="4" w:space="0"/>
                  </w:tcBorders>
                  <w:shd w:val="clear" w:color="auto" w:fill="auto"/>
                  <w:vAlign w:val="center"/>
                </w:tcPr>
                <w:p w14:paraId="282B9FD6">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标准配置：</w:t>
                  </w:r>
                </w:p>
              </w:tc>
              <w:tc>
                <w:tcPr>
                  <w:tcW w:w="2907" w:type="pct"/>
                  <w:tcBorders>
                    <w:top w:val="nil"/>
                    <w:left w:val="nil"/>
                    <w:bottom w:val="single" w:color="auto" w:sz="8" w:space="0"/>
                    <w:right w:val="single" w:color="auto" w:sz="8" w:space="0"/>
                  </w:tcBorders>
                  <w:shd w:val="clear" w:color="auto" w:fill="auto"/>
                  <w:vAlign w:val="center"/>
                </w:tcPr>
                <w:p w14:paraId="6351F6D6">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底坑爬梯、井道照明。</w:t>
                  </w:r>
                </w:p>
              </w:tc>
            </w:tr>
          </w:tbl>
          <w:p w14:paraId="09D7C06D">
            <w:pPr>
              <w:pStyle w:val="2"/>
              <w:keepNext/>
              <w:keepLines/>
              <w:pageBreakBefore w:val="0"/>
              <w:widowControl w:val="0"/>
              <w:kinsoku/>
              <w:wordWrap/>
              <w:overflowPunct/>
              <w:topLinePunct w:val="0"/>
              <w:autoSpaceDE/>
              <w:autoSpaceDN/>
              <w:bidi w:val="0"/>
              <w:adjustRightInd/>
              <w:snapToGrid w:val="0"/>
              <w:spacing w:before="0" w:after="0" w:line="360" w:lineRule="auto"/>
              <w:ind w:firstLine="240" w:firstLineChars="100"/>
              <w:jc w:val="both"/>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★二、安装要求</w:t>
            </w:r>
          </w:p>
          <w:p w14:paraId="64EFF7C3">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1.负责沈阳药科大学校本部食堂电梯更新项目4部扶梯和1部货梯的供货、安装、调试、保修、售后服务等。</w:t>
            </w:r>
          </w:p>
          <w:p w14:paraId="5834AAFA">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2.中标后须对现场进行勘察并对电梯井道进行二次深化设计（深化设计费用包含在投标报价内），须满足设计和施工现场要求。</w:t>
            </w:r>
          </w:p>
          <w:p w14:paraId="2A912AE0">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3.负责旧梯拆除，并运送到</w:t>
            </w:r>
            <w:r>
              <w:rPr>
                <w:rFonts w:hint="eastAsia" w:ascii="仿宋_GB2312" w:hAnsi="仿宋_GB2312" w:eastAsia="仿宋_GB2312" w:cs="仿宋_GB2312"/>
                <w:bCs/>
                <w:color w:val="auto"/>
                <w:sz w:val="24"/>
                <w:highlight w:val="none"/>
                <w:lang w:val="en-US" w:eastAsia="zh-CN"/>
              </w:rPr>
              <w:t>采购</w:t>
            </w:r>
            <w:r>
              <w:rPr>
                <w:rFonts w:hint="eastAsia" w:ascii="仿宋_GB2312" w:hAnsi="仿宋_GB2312" w:eastAsia="仿宋_GB2312" w:cs="仿宋_GB2312"/>
                <w:bCs/>
                <w:color w:val="auto"/>
                <w:sz w:val="24"/>
                <w:highlight w:val="none"/>
              </w:rPr>
              <w:t>方指定位置。</w:t>
            </w:r>
          </w:p>
          <w:p w14:paraId="57C117FE">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4.本次电梯的安装施工是在建筑及室内装修施工已完成的空间内进行，施工单位应对已完成建筑成品进行保护，并对施工破坏的部位进行修复。</w:t>
            </w:r>
          </w:p>
          <w:p w14:paraId="0339E0D4">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5.电梯安装单位应根据建筑结构自行完成各楼层电梯门洞、层显、呼叫按钮及相关电梯设备洞口开设，且要保证结构安全，并对周边相应装修施工内容进行保护及修复。</w:t>
            </w:r>
          </w:p>
          <w:p w14:paraId="42D05E2B">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6.电梯安装单位应据已完成井道的现状及结构安全，自行完成电梯轿厢导轨支架的安装施工和电梯底坑设备基础的安装施工。</w:t>
            </w:r>
          </w:p>
          <w:p w14:paraId="47A92F3A">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7.电梯安装单位须自行完成施工产生建筑垃圾的清理及外排。</w:t>
            </w:r>
          </w:p>
          <w:p w14:paraId="4AFE720E">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8.负责扶梯通道装饰以及货梯门套的采购和施工。</w:t>
            </w:r>
          </w:p>
          <w:p w14:paraId="1B7E9749">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9.负责电梯所有电气系统材料及电梯井道照明、开关、插座、线缆、线管等以及施工。</w:t>
            </w:r>
          </w:p>
          <w:p w14:paraId="1270F905">
            <w:pPr>
              <w:spacing w:line="360" w:lineRule="auto"/>
              <w:ind w:firstLine="480" w:firstLineChars="200"/>
              <w:rPr>
                <w:rFonts w:ascii="仿宋_GB2312" w:hAnsi="仿宋_GB2312" w:eastAsia="仿宋_GB2312" w:cs="仿宋_GB2312"/>
                <w:b/>
                <w:color w:val="auto"/>
                <w:sz w:val="24"/>
                <w:highlight w:val="none"/>
              </w:rPr>
            </w:pPr>
            <w:r>
              <w:rPr>
                <w:rFonts w:hint="eastAsia" w:ascii="仿宋_GB2312" w:hAnsi="仿宋_GB2312" w:eastAsia="仿宋_GB2312" w:cs="仿宋_GB2312"/>
                <w:b/>
                <w:color w:val="auto"/>
                <w:sz w:val="24"/>
                <w:highlight w:val="none"/>
              </w:rPr>
              <w:t>三、现行垂直输送电梯应符合下列标准：</w:t>
            </w:r>
          </w:p>
          <w:tbl>
            <w:tblPr>
              <w:tblStyle w:val="2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4"/>
              <w:gridCol w:w="1938"/>
            </w:tblGrid>
            <w:tr w14:paraId="5F641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528" w:type="pct"/>
                  <w:vAlign w:val="center"/>
                </w:tcPr>
                <w:p w14:paraId="0C03FE0A">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《电梯技术条件》</w:t>
                  </w:r>
                </w:p>
              </w:tc>
              <w:tc>
                <w:tcPr>
                  <w:tcW w:w="1472" w:type="pct"/>
                  <w:vAlign w:val="center"/>
                </w:tcPr>
                <w:p w14:paraId="373FFAA4">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GB/T10058</w:t>
                  </w:r>
                </w:p>
              </w:tc>
            </w:tr>
            <w:tr w14:paraId="5F5CA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528" w:type="pct"/>
                  <w:vAlign w:val="center"/>
                </w:tcPr>
                <w:p w14:paraId="65FA0E59">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《电梯制造与安装安全规范》</w:t>
                  </w:r>
                </w:p>
              </w:tc>
              <w:tc>
                <w:tcPr>
                  <w:tcW w:w="1472" w:type="pct"/>
                  <w:vAlign w:val="center"/>
                </w:tcPr>
                <w:p w14:paraId="7984AA14">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GB/T7588</w:t>
                  </w:r>
                </w:p>
              </w:tc>
            </w:tr>
            <w:tr w14:paraId="2CD85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528" w:type="pct"/>
                  <w:vAlign w:val="center"/>
                </w:tcPr>
                <w:p w14:paraId="249BED67">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《电梯试验方法》</w:t>
                  </w:r>
                </w:p>
              </w:tc>
              <w:tc>
                <w:tcPr>
                  <w:tcW w:w="1472" w:type="pct"/>
                  <w:vAlign w:val="center"/>
                </w:tcPr>
                <w:p w14:paraId="3A045F28">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GB/T10059</w:t>
                  </w:r>
                </w:p>
              </w:tc>
            </w:tr>
            <w:tr w14:paraId="5542F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528" w:type="pct"/>
                  <w:vAlign w:val="center"/>
                </w:tcPr>
                <w:p w14:paraId="26B08CF5">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《电梯安装验收规范》</w:t>
                  </w:r>
                </w:p>
              </w:tc>
              <w:tc>
                <w:tcPr>
                  <w:tcW w:w="1472" w:type="pct"/>
                  <w:vAlign w:val="center"/>
                </w:tcPr>
                <w:p w14:paraId="5391C94D">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GB/T10060</w:t>
                  </w:r>
                </w:p>
              </w:tc>
            </w:tr>
            <w:tr w14:paraId="3357D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528" w:type="pct"/>
                  <w:vAlign w:val="center"/>
                </w:tcPr>
                <w:p w14:paraId="59D57DF3">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《电梯主参数及轿厢、井道、机房的型式与尺寸》</w:t>
                  </w:r>
                </w:p>
              </w:tc>
              <w:tc>
                <w:tcPr>
                  <w:tcW w:w="1472" w:type="pct"/>
                  <w:vAlign w:val="center"/>
                </w:tcPr>
                <w:p w14:paraId="35810CA5">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GB/T7025</w:t>
                  </w:r>
                </w:p>
              </w:tc>
            </w:tr>
            <w:tr w14:paraId="438E6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528" w:type="pct"/>
                  <w:vAlign w:val="center"/>
                </w:tcPr>
                <w:p w14:paraId="114AE5DB">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《电梯工程施工质量验收规范》</w:t>
                  </w:r>
                </w:p>
              </w:tc>
              <w:tc>
                <w:tcPr>
                  <w:tcW w:w="1472" w:type="pct"/>
                  <w:vAlign w:val="center"/>
                </w:tcPr>
                <w:p w14:paraId="5F8C44AE">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 xml:space="preserve">GB50310 </w:t>
                  </w:r>
                </w:p>
              </w:tc>
            </w:tr>
            <w:tr w14:paraId="279CA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528" w:type="pct"/>
                  <w:vAlign w:val="center"/>
                </w:tcPr>
                <w:p w14:paraId="7BF49DD2">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《电梯、自动扶梯、自动人行道术语》</w:t>
                  </w:r>
                </w:p>
              </w:tc>
              <w:tc>
                <w:tcPr>
                  <w:tcW w:w="1472" w:type="pct"/>
                  <w:vAlign w:val="center"/>
                </w:tcPr>
                <w:p w14:paraId="2DF52FEF">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 xml:space="preserve">GB/T7024 </w:t>
                  </w:r>
                </w:p>
              </w:tc>
            </w:tr>
            <w:tr w14:paraId="56051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528" w:type="pct"/>
                  <w:vAlign w:val="center"/>
                </w:tcPr>
                <w:p w14:paraId="039C5633">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《建设工程项目管理规范》</w:t>
                  </w:r>
                </w:p>
              </w:tc>
              <w:tc>
                <w:tcPr>
                  <w:tcW w:w="1472" w:type="pct"/>
                  <w:vAlign w:val="center"/>
                </w:tcPr>
                <w:p w14:paraId="1154B84E">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 xml:space="preserve">GB/T50326 </w:t>
                  </w:r>
                </w:p>
              </w:tc>
            </w:tr>
            <w:tr w14:paraId="1C353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528" w:type="pct"/>
                  <w:vAlign w:val="center"/>
                </w:tcPr>
                <w:p w14:paraId="6D51EE36">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《建设工程监理规范》</w:t>
                  </w:r>
                </w:p>
              </w:tc>
              <w:tc>
                <w:tcPr>
                  <w:tcW w:w="1472" w:type="pct"/>
                  <w:vAlign w:val="center"/>
                </w:tcPr>
                <w:p w14:paraId="26C7977B">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 xml:space="preserve">GB50319 </w:t>
                  </w:r>
                </w:p>
              </w:tc>
            </w:tr>
            <w:tr w14:paraId="3183B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528" w:type="pct"/>
                  <w:vAlign w:val="center"/>
                </w:tcPr>
                <w:p w14:paraId="2205D2AB">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《建筑工程施工质量验收统一标准》</w:t>
                  </w:r>
                </w:p>
              </w:tc>
              <w:tc>
                <w:tcPr>
                  <w:tcW w:w="1472" w:type="pct"/>
                  <w:vAlign w:val="center"/>
                </w:tcPr>
                <w:p w14:paraId="0452AB5A">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 xml:space="preserve">GB50300 </w:t>
                  </w:r>
                </w:p>
              </w:tc>
            </w:tr>
            <w:tr w14:paraId="24A4C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528" w:type="pct"/>
                  <w:vAlign w:val="center"/>
                </w:tcPr>
                <w:p w14:paraId="1F081A3E">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《地震情况下的电梯要求》</w:t>
                  </w:r>
                </w:p>
              </w:tc>
              <w:tc>
                <w:tcPr>
                  <w:tcW w:w="1472" w:type="pct"/>
                  <w:vAlign w:val="center"/>
                </w:tcPr>
                <w:p w14:paraId="4550BAEF">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 xml:space="preserve">GB/T31095 </w:t>
                  </w:r>
                </w:p>
              </w:tc>
            </w:tr>
            <w:tr w14:paraId="1DA67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528" w:type="pct"/>
                  <w:vAlign w:val="center"/>
                </w:tcPr>
                <w:p w14:paraId="52101EE7">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《建筑设计防火规范》</w:t>
                  </w:r>
                </w:p>
              </w:tc>
              <w:tc>
                <w:tcPr>
                  <w:tcW w:w="1472" w:type="pct"/>
                  <w:vAlign w:val="center"/>
                </w:tcPr>
                <w:p w14:paraId="613ABEA7">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 xml:space="preserve">GB50016 </w:t>
                  </w:r>
                </w:p>
              </w:tc>
            </w:tr>
          </w:tbl>
          <w:p w14:paraId="07AC2F3B">
            <w:pPr>
              <w:spacing w:line="360" w:lineRule="auto"/>
              <w:ind w:firstLine="480" w:firstLineChars="200"/>
              <w:jc w:val="left"/>
              <w:textAlignment w:val="baseline"/>
              <w:rPr>
                <w:rFonts w:ascii="仿宋_GB2312" w:hAnsi="仿宋_GB2312" w:eastAsia="仿宋_GB2312" w:cs="仿宋_GB2312"/>
                <w:bCs/>
                <w:color w:val="auto"/>
                <w:sz w:val="24"/>
                <w:highlight w:val="none"/>
              </w:rPr>
            </w:pPr>
            <w:r>
              <w:rPr>
                <w:rFonts w:hint="eastAsia" w:ascii="仿宋_GB2312" w:hAnsi="仿宋_GB2312" w:eastAsia="仿宋_GB2312" w:cs="仿宋_GB2312"/>
                <w:color w:val="auto"/>
                <w:sz w:val="24"/>
                <w:highlight w:val="none"/>
              </w:rPr>
              <w:t>符合国家技术监督局安全局以及沈阳市技术监督局的有关规定要求。标准、法规以及招标文件中提出的其它相关要求等之间存有不同之处，均以高等级的新标准和要求为准。</w:t>
            </w:r>
          </w:p>
        </w:tc>
        <w:tc>
          <w:tcPr>
            <w:tcW w:w="5217" w:type="dxa"/>
            <w:tcBorders>
              <w:top w:val="single" w:color="auto" w:sz="4" w:space="0"/>
              <w:left w:val="single" w:color="auto" w:sz="4" w:space="0"/>
              <w:bottom w:val="single" w:color="auto" w:sz="4" w:space="0"/>
              <w:right w:val="single" w:color="auto" w:sz="4" w:space="0"/>
            </w:tcBorders>
            <w:vAlign w:val="center"/>
          </w:tcPr>
          <w:p w14:paraId="56BC7E90">
            <w:pPr>
              <w:tabs>
                <w:tab w:val="left" w:pos="0"/>
              </w:tabs>
              <w:adjustRightInd w:val="0"/>
              <w:snapToGrid w:val="0"/>
              <w:jc w:val="center"/>
              <w:rPr>
                <w:rFonts w:ascii="仿宋_GB2312" w:hAnsi="仿宋" w:eastAsia="仿宋_GB2312" w:cs="仿宋_GB2312"/>
                <w:color w:val="auto"/>
                <w:kern w:val="0"/>
                <w:sz w:val="24"/>
                <w:szCs w:val="21"/>
                <w:highlight w:val="none"/>
              </w:rPr>
            </w:pPr>
          </w:p>
        </w:tc>
        <w:tc>
          <w:tcPr>
            <w:tcW w:w="717" w:type="dxa"/>
            <w:tcBorders>
              <w:top w:val="single" w:color="auto" w:sz="4" w:space="0"/>
              <w:left w:val="single" w:color="auto" w:sz="4" w:space="0"/>
              <w:bottom w:val="single" w:color="auto" w:sz="4" w:space="0"/>
              <w:right w:val="single" w:color="auto" w:sz="4" w:space="0"/>
            </w:tcBorders>
            <w:vAlign w:val="center"/>
          </w:tcPr>
          <w:p w14:paraId="3D283325">
            <w:pPr>
              <w:tabs>
                <w:tab w:val="left" w:pos="0"/>
              </w:tabs>
              <w:spacing w:line="240" w:lineRule="exact"/>
              <w:jc w:val="center"/>
              <w:rPr>
                <w:rFonts w:ascii="仿宋_GB2312" w:hAnsi="仿宋" w:eastAsia="仿宋_GB2312" w:cs="仿宋_GB2312"/>
                <w:color w:val="auto"/>
                <w:kern w:val="0"/>
                <w:sz w:val="24"/>
                <w:szCs w:val="21"/>
                <w:highlight w:val="none"/>
              </w:rPr>
            </w:pPr>
          </w:p>
        </w:tc>
        <w:tc>
          <w:tcPr>
            <w:tcW w:w="700" w:type="dxa"/>
            <w:tcBorders>
              <w:top w:val="single" w:color="auto" w:sz="4" w:space="0"/>
              <w:left w:val="single" w:color="auto" w:sz="4" w:space="0"/>
              <w:bottom w:val="single" w:color="auto" w:sz="4" w:space="0"/>
              <w:right w:val="single" w:color="auto" w:sz="4" w:space="0"/>
            </w:tcBorders>
            <w:vAlign w:val="center"/>
          </w:tcPr>
          <w:p w14:paraId="77D69B1C">
            <w:pPr>
              <w:tabs>
                <w:tab w:val="left" w:pos="0"/>
              </w:tabs>
              <w:spacing w:line="240" w:lineRule="exact"/>
              <w:jc w:val="center"/>
              <w:rPr>
                <w:rFonts w:ascii="仿宋_GB2312" w:hAnsi="仿宋" w:eastAsia="仿宋_GB2312" w:cs="仿宋_GB2312"/>
                <w:color w:val="auto"/>
                <w:kern w:val="0"/>
                <w:sz w:val="24"/>
                <w:szCs w:val="21"/>
                <w:highlight w:val="none"/>
              </w:rPr>
            </w:pPr>
          </w:p>
        </w:tc>
        <w:tc>
          <w:tcPr>
            <w:tcW w:w="825" w:type="dxa"/>
            <w:tcBorders>
              <w:top w:val="single" w:color="auto" w:sz="4" w:space="0"/>
              <w:left w:val="single" w:color="auto" w:sz="4" w:space="0"/>
              <w:bottom w:val="single" w:color="auto" w:sz="4" w:space="0"/>
              <w:right w:val="single" w:color="auto" w:sz="4" w:space="0"/>
            </w:tcBorders>
            <w:vAlign w:val="center"/>
          </w:tcPr>
          <w:p w14:paraId="57F2CC3C">
            <w:pPr>
              <w:tabs>
                <w:tab w:val="left" w:pos="0"/>
              </w:tabs>
              <w:spacing w:line="240" w:lineRule="exact"/>
              <w:jc w:val="center"/>
              <w:rPr>
                <w:rFonts w:ascii="仿宋_GB2312" w:hAnsi="仿宋" w:eastAsia="仿宋_GB2312" w:cs="仿宋_GB2312"/>
                <w:color w:val="auto"/>
                <w:kern w:val="0"/>
                <w:sz w:val="24"/>
                <w:szCs w:val="21"/>
                <w:highlight w:val="none"/>
              </w:rPr>
            </w:pPr>
          </w:p>
        </w:tc>
      </w:tr>
      <w:tr w14:paraId="2149F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trPr>
        <w:tc>
          <w:tcPr>
            <w:tcW w:w="14268" w:type="dxa"/>
            <w:gridSpan w:val="5"/>
            <w:tcBorders>
              <w:top w:val="single" w:color="auto" w:sz="4" w:space="0"/>
              <w:left w:val="single" w:color="auto" w:sz="4" w:space="0"/>
              <w:bottom w:val="single" w:color="auto" w:sz="4" w:space="0"/>
              <w:right w:val="single" w:color="auto" w:sz="4" w:space="0"/>
            </w:tcBorders>
            <w:vAlign w:val="center"/>
          </w:tcPr>
          <w:p w14:paraId="272A11D2">
            <w:pPr>
              <w:adjustRightInd w:val="0"/>
              <w:snapToGrid w:val="0"/>
              <w:ind w:right="105" w:rightChars="50"/>
              <w:jc w:val="left"/>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品目2</w:t>
            </w:r>
          </w:p>
          <w:p w14:paraId="2561666A">
            <w:pPr>
              <w:pStyle w:val="20"/>
              <w:widowControl w:val="0"/>
              <w:adjustRightInd w:val="0"/>
              <w:snapToGrid w:val="0"/>
              <w:spacing w:before="0" w:beforeAutospacing="0" w:after="0" w:afterAutospacing="0"/>
              <w:jc w:val="both"/>
              <w:rPr>
                <w:rFonts w:ascii="仿宋_GB2312" w:hAnsi="仿宋" w:eastAsia="仿宋_GB2312" w:cs="仿宋_GB2312"/>
                <w:color w:val="auto"/>
                <w:kern w:val="2"/>
                <w:szCs w:val="21"/>
                <w:highlight w:val="none"/>
              </w:rPr>
            </w:pPr>
            <w:r>
              <w:rPr>
                <w:rFonts w:hint="eastAsia" w:ascii="仿宋_GB2312" w:hAnsi="仿宋" w:eastAsia="仿宋_GB2312" w:cs="仿宋_GB2312"/>
                <w:color w:val="auto"/>
                <w:kern w:val="2"/>
                <w:szCs w:val="21"/>
                <w:highlight w:val="none"/>
              </w:rPr>
              <w:t>产品名称：</w:t>
            </w:r>
            <w:r>
              <w:rPr>
                <w:rFonts w:hint="eastAsia" w:ascii="仿宋_GB2312" w:hAnsi="仿宋_GB2312" w:eastAsia="仿宋_GB2312" w:cs="仿宋_GB2312"/>
                <w:color w:val="auto"/>
                <w:highlight w:val="none"/>
              </w:rPr>
              <w:t>扶梯</w:t>
            </w:r>
          </w:p>
          <w:p w14:paraId="66273FEC">
            <w:pPr>
              <w:pStyle w:val="20"/>
              <w:widowControl w:val="0"/>
              <w:adjustRightInd w:val="0"/>
              <w:snapToGrid w:val="0"/>
              <w:spacing w:before="0" w:beforeAutospacing="0" w:after="0" w:afterAutospacing="0"/>
              <w:jc w:val="both"/>
              <w:rPr>
                <w:rFonts w:ascii="仿宋_GB2312" w:hAnsi="仿宋" w:eastAsia="仿宋_GB2312" w:cs="仿宋_GB2312"/>
                <w:color w:val="auto"/>
                <w:kern w:val="2"/>
                <w:szCs w:val="21"/>
                <w:highlight w:val="none"/>
              </w:rPr>
            </w:pPr>
            <w:r>
              <w:rPr>
                <w:rFonts w:hint="eastAsia" w:ascii="仿宋_GB2312" w:hAnsi="仿宋" w:eastAsia="仿宋_GB2312" w:cs="仿宋_GB2312"/>
                <w:color w:val="auto"/>
                <w:kern w:val="2"/>
                <w:szCs w:val="21"/>
                <w:highlight w:val="none"/>
              </w:rPr>
              <w:t>数量：</w:t>
            </w:r>
            <w:r>
              <w:rPr>
                <w:rFonts w:hint="eastAsia" w:ascii="仿宋_GB2312" w:hAnsi="仿宋_GB2312" w:eastAsia="仿宋_GB2312" w:cs="仿宋_GB2312"/>
                <w:color w:val="auto"/>
                <w:highlight w:val="none"/>
              </w:rPr>
              <w:t>4</w:t>
            </w:r>
            <w:r>
              <w:rPr>
                <w:rFonts w:hint="eastAsia" w:ascii="仿宋_GB2312" w:hAnsi="仿宋" w:eastAsia="仿宋_GB2312" w:cs="仿宋_GB2312"/>
                <w:color w:val="auto"/>
                <w:kern w:val="2"/>
                <w:szCs w:val="21"/>
                <w:highlight w:val="none"/>
              </w:rPr>
              <w:t>台</w:t>
            </w:r>
          </w:p>
          <w:p w14:paraId="6C041813">
            <w:pPr>
              <w:pStyle w:val="20"/>
              <w:widowControl w:val="0"/>
              <w:adjustRightInd w:val="0"/>
              <w:snapToGrid w:val="0"/>
              <w:spacing w:before="0" w:beforeAutospacing="0" w:after="0" w:afterAutospacing="0"/>
              <w:jc w:val="both"/>
              <w:rPr>
                <w:rFonts w:ascii="仿宋_GB2312" w:hAnsi="仿宋" w:eastAsia="仿宋_GB2312" w:cs="仿宋_GB2312"/>
                <w:b/>
                <w:bCs/>
                <w:color w:val="auto"/>
                <w:kern w:val="2"/>
                <w:szCs w:val="21"/>
                <w:highlight w:val="none"/>
              </w:rPr>
            </w:pPr>
            <w:r>
              <w:rPr>
                <w:rFonts w:hint="eastAsia" w:ascii="仿宋_GB2312" w:hAnsi="仿宋" w:eastAsia="仿宋_GB2312" w:cs="仿宋_GB2312"/>
                <w:b/>
                <w:bCs/>
                <w:color w:val="auto"/>
                <w:kern w:val="2"/>
                <w:szCs w:val="21"/>
                <w:highlight w:val="none"/>
              </w:rPr>
              <w:t>单价限价：</w:t>
            </w:r>
            <w:r>
              <w:rPr>
                <w:rFonts w:hint="eastAsia" w:ascii="仿宋_GB2312" w:hAnsi="仿宋" w:eastAsia="仿宋_GB2312" w:cs="仿宋_GB2312"/>
                <w:b/>
                <w:bCs/>
                <w:color w:val="auto"/>
                <w:kern w:val="2"/>
                <w:szCs w:val="21"/>
                <w:highlight w:val="none"/>
                <w:lang w:val="en-US" w:eastAsia="zh-CN"/>
              </w:rPr>
              <w:t>185</w:t>
            </w:r>
            <w:r>
              <w:rPr>
                <w:rFonts w:hint="eastAsia" w:ascii="仿宋_GB2312" w:hAnsi="仿宋" w:eastAsia="仿宋_GB2312" w:cs="仿宋_GB2312"/>
                <w:b/>
                <w:bCs/>
                <w:color w:val="auto"/>
                <w:kern w:val="2"/>
                <w:szCs w:val="21"/>
                <w:highlight w:val="none"/>
              </w:rPr>
              <w:t>,000.00元</w:t>
            </w:r>
          </w:p>
          <w:p w14:paraId="18540ECD">
            <w:pPr>
              <w:pStyle w:val="20"/>
              <w:widowControl w:val="0"/>
              <w:adjustRightInd w:val="0"/>
              <w:snapToGrid w:val="0"/>
              <w:spacing w:before="0" w:beforeAutospacing="0" w:after="0" w:afterAutospacing="0"/>
              <w:jc w:val="both"/>
              <w:rPr>
                <w:rFonts w:ascii="仿宋_GB2312" w:hAnsi="仿宋" w:eastAsia="仿宋_GB2312" w:cs="仿宋_GB2312"/>
                <w:b/>
                <w:bCs/>
                <w:color w:val="auto"/>
                <w:kern w:val="2"/>
                <w:szCs w:val="21"/>
                <w:highlight w:val="none"/>
              </w:rPr>
            </w:pPr>
            <w:r>
              <w:rPr>
                <w:rFonts w:hint="eastAsia" w:ascii="仿宋_GB2312" w:hAnsi="仿宋" w:eastAsia="仿宋_GB2312" w:cs="仿宋_GB2312"/>
                <w:b/>
                <w:bCs/>
                <w:color w:val="auto"/>
                <w:kern w:val="2"/>
                <w:szCs w:val="21"/>
                <w:highlight w:val="none"/>
              </w:rPr>
              <w:t>总价限价：740,000.00元</w:t>
            </w:r>
          </w:p>
          <w:p w14:paraId="52D336A7">
            <w:pPr>
              <w:tabs>
                <w:tab w:val="left" w:pos="0"/>
              </w:tabs>
              <w:adjustRightInd w:val="0"/>
              <w:snapToGrid w:val="0"/>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是否为经过审批采购的进口产品：否</w:t>
            </w:r>
          </w:p>
          <w:p w14:paraId="4C7E0B47">
            <w:pPr>
              <w:tabs>
                <w:tab w:val="left" w:pos="0"/>
              </w:tabs>
              <w:adjustRightInd w:val="0"/>
              <w:snapToGrid w:val="0"/>
              <w:rPr>
                <w:rFonts w:ascii="仿宋_GB2312" w:hAnsi="仿宋" w:eastAsia="仿宋_GB2312" w:cs="仿宋_GB2312"/>
                <w:color w:val="auto"/>
                <w:kern w:val="0"/>
                <w:sz w:val="24"/>
                <w:szCs w:val="21"/>
                <w:highlight w:val="none"/>
              </w:rPr>
            </w:pPr>
            <w:r>
              <w:rPr>
                <w:rFonts w:hint="eastAsia" w:ascii="仿宋_GB2312" w:hAnsi="仿宋" w:eastAsia="仿宋_GB2312" w:cs="仿宋_GB2312"/>
                <w:b/>
                <w:bCs/>
                <w:color w:val="auto"/>
                <w:sz w:val="24"/>
                <w:szCs w:val="21"/>
                <w:highlight w:val="none"/>
              </w:rPr>
              <w:t>是否为核心产品（非单一产品采购项目时适用）：是</w:t>
            </w:r>
          </w:p>
        </w:tc>
      </w:tr>
      <w:tr w14:paraId="5C877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809" w:type="dxa"/>
            <w:tcBorders>
              <w:top w:val="single" w:color="auto" w:sz="4" w:space="0"/>
              <w:left w:val="single" w:color="auto" w:sz="4" w:space="0"/>
              <w:bottom w:val="single" w:color="auto" w:sz="4" w:space="0"/>
              <w:right w:val="single" w:color="auto" w:sz="4" w:space="0"/>
            </w:tcBorders>
            <w:vAlign w:val="center"/>
          </w:tcPr>
          <w:p w14:paraId="3E68F1AF">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招标文件要求</w:t>
            </w:r>
          </w:p>
          <w:p w14:paraId="0A4B610E">
            <w:pPr>
              <w:ind w:hanging="1"/>
              <w:jc w:val="center"/>
              <w:rPr>
                <w:rFonts w:ascii="仿宋_GB2312" w:hAnsi="仿宋" w:eastAsia="仿宋_GB2312" w:cs="仿宋_GB2312"/>
                <w:color w:val="auto"/>
                <w:sz w:val="24"/>
                <w:szCs w:val="21"/>
                <w:highlight w:val="none"/>
              </w:rPr>
            </w:pPr>
            <w:r>
              <w:rPr>
                <w:rFonts w:hint="eastAsia" w:ascii="仿宋_GB2312" w:hAnsi="仿宋" w:eastAsia="仿宋_GB2312" w:cs="仿宋_GB2312"/>
                <w:b/>
                <w:color w:val="auto"/>
                <w:szCs w:val="18"/>
                <w:highlight w:val="none"/>
              </w:rPr>
              <w:t>重要提示：实质性要求及重要指标用★标注（“★”必须标注在序号前），★标注项不得负偏离，如果负偏离，则投标文件无效。</w:t>
            </w:r>
          </w:p>
        </w:tc>
        <w:tc>
          <w:tcPr>
            <w:tcW w:w="5217" w:type="dxa"/>
            <w:tcBorders>
              <w:top w:val="single" w:color="auto" w:sz="4" w:space="0"/>
              <w:left w:val="single" w:color="auto" w:sz="4" w:space="0"/>
              <w:bottom w:val="single" w:color="auto" w:sz="4" w:space="0"/>
              <w:right w:val="single" w:color="auto" w:sz="4" w:space="0"/>
            </w:tcBorders>
            <w:vAlign w:val="center"/>
          </w:tcPr>
          <w:p w14:paraId="2A86D4B0">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投标文件</w:t>
            </w:r>
          </w:p>
          <w:p w14:paraId="591AD053">
            <w:pPr>
              <w:tabs>
                <w:tab w:val="left" w:pos="0"/>
              </w:tabs>
              <w:spacing w:line="240" w:lineRule="exact"/>
              <w:jc w:val="center"/>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响应内容</w:t>
            </w:r>
          </w:p>
        </w:tc>
        <w:tc>
          <w:tcPr>
            <w:tcW w:w="717" w:type="dxa"/>
            <w:tcBorders>
              <w:top w:val="single" w:color="auto" w:sz="4" w:space="0"/>
              <w:left w:val="single" w:color="auto" w:sz="4" w:space="0"/>
              <w:bottom w:val="single" w:color="auto" w:sz="4" w:space="0"/>
              <w:right w:val="single" w:color="auto" w:sz="4" w:space="0"/>
            </w:tcBorders>
            <w:vAlign w:val="center"/>
          </w:tcPr>
          <w:p w14:paraId="3BA38D5C">
            <w:pPr>
              <w:tabs>
                <w:tab w:val="left" w:pos="0"/>
              </w:tabs>
              <w:adjustRightInd w:val="0"/>
              <w:snapToGrid w:val="0"/>
              <w:jc w:val="center"/>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偏离程度</w:t>
            </w:r>
          </w:p>
        </w:tc>
        <w:tc>
          <w:tcPr>
            <w:tcW w:w="700" w:type="dxa"/>
            <w:tcBorders>
              <w:top w:val="single" w:color="auto" w:sz="4" w:space="0"/>
              <w:left w:val="single" w:color="auto" w:sz="4" w:space="0"/>
              <w:bottom w:val="single" w:color="auto" w:sz="4" w:space="0"/>
              <w:right w:val="single" w:color="auto" w:sz="4" w:space="0"/>
            </w:tcBorders>
            <w:vAlign w:val="center"/>
          </w:tcPr>
          <w:p w14:paraId="00C911C7">
            <w:pPr>
              <w:tabs>
                <w:tab w:val="left" w:pos="0"/>
              </w:tabs>
              <w:snapToGrid w:val="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w:t>
            </w:r>
          </w:p>
          <w:p w14:paraId="11560750">
            <w:pPr>
              <w:tabs>
                <w:tab w:val="left" w:pos="0"/>
              </w:tabs>
              <w:snapToGrid w:val="0"/>
              <w:jc w:val="center"/>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说明</w:t>
            </w:r>
          </w:p>
        </w:tc>
        <w:tc>
          <w:tcPr>
            <w:tcW w:w="825" w:type="dxa"/>
            <w:tcBorders>
              <w:top w:val="single" w:color="auto" w:sz="4" w:space="0"/>
              <w:left w:val="single" w:color="auto" w:sz="4" w:space="0"/>
              <w:bottom w:val="single" w:color="auto" w:sz="4" w:space="0"/>
              <w:right w:val="single" w:color="auto" w:sz="4" w:space="0"/>
            </w:tcBorders>
            <w:vAlign w:val="center"/>
          </w:tcPr>
          <w:p w14:paraId="4407F9DA">
            <w:pPr>
              <w:tabs>
                <w:tab w:val="left" w:pos="0"/>
              </w:tabs>
              <w:snapToGrid w:val="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证明</w:t>
            </w:r>
          </w:p>
          <w:p w14:paraId="0D7B28FC">
            <w:pPr>
              <w:tabs>
                <w:tab w:val="left" w:pos="0"/>
              </w:tabs>
              <w:snapToGrid w:val="0"/>
              <w:jc w:val="center"/>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材料</w:t>
            </w:r>
          </w:p>
        </w:tc>
      </w:tr>
      <w:tr w14:paraId="0EC53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809" w:type="dxa"/>
            <w:tcBorders>
              <w:top w:val="single" w:color="auto" w:sz="4" w:space="0"/>
              <w:left w:val="single" w:color="auto" w:sz="4" w:space="0"/>
              <w:bottom w:val="single" w:color="auto" w:sz="4" w:space="0"/>
              <w:right w:val="single" w:color="auto" w:sz="4" w:space="0"/>
            </w:tcBorders>
            <w:vAlign w:val="center"/>
          </w:tcPr>
          <w:p w14:paraId="7C071E15">
            <w:pPr>
              <w:spacing w:line="360" w:lineRule="auto"/>
              <w:ind w:firstLine="240" w:firstLineChars="100"/>
              <w:rPr>
                <w:rFonts w:hint="eastAsia" w:ascii="仿宋_GB2312" w:hAnsi="仿宋_GB2312" w:eastAsia="仿宋_GB2312" w:cs="仿宋_GB2312"/>
                <w:b/>
                <w:bCs/>
                <w:color w:val="auto"/>
                <w:sz w:val="24"/>
                <w:highlight w:val="none"/>
              </w:rPr>
            </w:pP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b/>
                <w:color w:val="auto"/>
                <w:sz w:val="24"/>
                <w:highlight w:val="none"/>
              </w:rPr>
              <w:t>一、</w:t>
            </w:r>
            <w:r>
              <w:rPr>
                <w:rFonts w:hint="eastAsia" w:ascii="仿宋_GB2312" w:hAnsi="仿宋_GB2312" w:eastAsia="仿宋_GB2312" w:cs="仿宋_GB2312"/>
                <w:b/>
                <w:bCs/>
                <w:color w:val="auto"/>
                <w:sz w:val="24"/>
                <w:highlight w:val="none"/>
              </w:rPr>
              <w:t>技术要求</w:t>
            </w:r>
          </w:p>
          <w:p w14:paraId="345965FE">
            <w:pPr>
              <w:spacing w:line="360" w:lineRule="auto"/>
              <w:ind w:firstLine="480" w:firstLineChars="200"/>
              <w:rPr>
                <w:rFonts w:hint="default" w:ascii="仿宋_GB2312" w:hAnsi="仿宋_GB2312" w:eastAsia="仿宋_GB2312" w:cs="仿宋_GB2312"/>
                <w:b/>
                <w:bCs/>
                <w:color w:val="auto"/>
                <w:sz w:val="24"/>
                <w:highlight w:val="none"/>
                <w:lang w:val="en-US" w:eastAsia="zh-CN"/>
              </w:rPr>
            </w:pPr>
            <w:r>
              <w:rPr>
                <w:rFonts w:hint="eastAsia" w:ascii="仿宋_GB2312" w:hAnsi="仿宋_GB2312" w:eastAsia="仿宋_GB2312" w:cs="仿宋_GB2312"/>
                <w:b/>
                <w:bCs/>
                <w:color w:val="auto"/>
                <w:sz w:val="24"/>
                <w:highlight w:val="none"/>
                <w:lang w:val="en-US" w:eastAsia="zh-CN"/>
              </w:rPr>
              <w:t>1.扶梯技术要求</w:t>
            </w:r>
          </w:p>
          <w:tbl>
            <w:tblPr>
              <w:tblStyle w:val="24"/>
              <w:tblW w:w="6560" w:type="dxa"/>
              <w:jc w:val="center"/>
              <w:tblLayout w:type="fixed"/>
              <w:tblCellMar>
                <w:top w:w="0" w:type="dxa"/>
                <w:left w:w="0" w:type="dxa"/>
                <w:bottom w:w="0" w:type="dxa"/>
                <w:right w:w="0" w:type="dxa"/>
              </w:tblCellMar>
            </w:tblPr>
            <w:tblGrid>
              <w:gridCol w:w="717"/>
              <w:gridCol w:w="1221"/>
              <w:gridCol w:w="1771"/>
              <w:gridCol w:w="2851"/>
            </w:tblGrid>
            <w:tr w14:paraId="0F2AA9ED">
              <w:tblPrEx>
                <w:tblCellMar>
                  <w:top w:w="0" w:type="dxa"/>
                  <w:left w:w="0" w:type="dxa"/>
                  <w:bottom w:w="0" w:type="dxa"/>
                  <w:right w:w="0" w:type="dxa"/>
                </w:tblCellMar>
              </w:tblPrEx>
              <w:trPr>
                <w:trHeight w:val="850" w:hRule="atLeast"/>
                <w:jc w:val="center"/>
              </w:trPr>
              <w:tc>
                <w:tcPr>
                  <w:tcW w:w="5000" w:type="pct"/>
                  <w:gridSpan w:val="4"/>
                  <w:tcBorders>
                    <w:top w:val="single" w:color="auto" w:sz="8" w:space="0"/>
                    <w:left w:val="single" w:color="auto" w:sz="8" w:space="0"/>
                    <w:bottom w:val="single" w:color="auto" w:sz="4" w:space="0"/>
                    <w:right w:val="single" w:color="000000" w:sz="8" w:space="0"/>
                  </w:tcBorders>
                  <w:shd w:val="clear" w:color="auto" w:fill="auto"/>
                  <w:tcMar>
                    <w:top w:w="15" w:type="dxa"/>
                    <w:left w:w="15" w:type="dxa"/>
                    <w:bottom w:w="0" w:type="dxa"/>
                    <w:right w:w="15" w:type="dxa"/>
                  </w:tcMar>
                  <w:vAlign w:val="center"/>
                </w:tcPr>
                <w:p w14:paraId="559A7C79">
                  <w:pPr>
                    <w:widowControl/>
                    <w:snapToGrid w:val="0"/>
                    <w:jc w:val="center"/>
                    <w:rPr>
                      <w:rFonts w:ascii="仿宋_GB2312" w:hAnsi="仿宋_GB2312" w:eastAsia="仿宋_GB2312" w:cs="仿宋_GB2312"/>
                      <w:b/>
                      <w:bCs/>
                      <w:color w:val="auto"/>
                      <w:kern w:val="0"/>
                      <w:sz w:val="24"/>
                      <w:highlight w:val="none"/>
                    </w:rPr>
                  </w:pPr>
                  <w:r>
                    <w:rPr>
                      <w:rFonts w:hint="eastAsia" w:ascii="仿宋_GB2312" w:hAnsi="仿宋_GB2312" w:eastAsia="仿宋_GB2312" w:cs="仿宋_GB2312"/>
                      <w:b/>
                      <w:bCs/>
                      <w:color w:val="auto"/>
                      <w:sz w:val="24"/>
                      <w:highlight w:val="none"/>
                    </w:rPr>
                    <w:t>扶梯技术要求</w:t>
                  </w:r>
                </w:p>
              </w:tc>
            </w:tr>
            <w:tr w14:paraId="4E153C5D">
              <w:tblPrEx>
                <w:tblCellMar>
                  <w:top w:w="0" w:type="dxa"/>
                  <w:left w:w="0" w:type="dxa"/>
                  <w:bottom w:w="0" w:type="dxa"/>
                  <w:right w:w="0" w:type="dxa"/>
                </w:tblCellMar>
              </w:tblPrEx>
              <w:trPr>
                <w:trHeight w:val="850" w:hRule="atLeast"/>
                <w:jc w:val="center"/>
              </w:trPr>
              <w:tc>
                <w:tcPr>
                  <w:tcW w:w="546" w:type="pct"/>
                  <w:vMerge w:val="restart"/>
                  <w:tcBorders>
                    <w:top w:val="nil"/>
                    <w:left w:val="single" w:color="auto" w:sz="8" w:space="0"/>
                    <w:bottom w:val="single" w:color="auto" w:sz="4" w:space="0"/>
                    <w:right w:val="single" w:color="auto" w:sz="4" w:space="0"/>
                  </w:tcBorders>
                  <w:shd w:val="clear" w:color="auto" w:fill="auto"/>
                  <w:tcMar>
                    <w:top w:w="15" w:type="dxa"/>
                    <w:left w:w="15" w:type="dxa"/>
                    <w:bottom w:w="0" w:type="dxa"/>
                    <w:right w:w="15" w:type="dxa"/>
                  </w:tcMar>
                  <w:vAlign w:val="center"/>
                </w:tcPr>
                <w:p w14:paraId="4044A7AE">
                  <w:pPr>
                    <w:snapToGrid w:val="0"/>
                    <w:jc w:val="center"/>
                    <w:rPr>
                      <w:rFonts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rPr>
                    <w:t>标准及技术参数</w:t>
                  </w:r>
                </w:p>
              </w:tc>
              <w:tc>
                <w:tcPr>
                  <w:tcW w:w="931" w:type="pct"/>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1908CE69">
                  <w:pPr>
                    <w:snapToGrid w:val="0"/>
                    <w:jc w:val="center"/>
                    <w:rPr>
                      <w:rFonts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rPr>
                    <w:t>标准</w:t>
                  </w:r>
                </w:p>
              </w:tc>
              <w:tc>
                <w:tcPr>
                  <w:tcW w:w="3522" w:type="pct"/>
                  <w:gridSpan w:val="2"/>
                  <w:tcBorders>
                    <w:top w:val="single" w:color="auto" w:sz="4" w:space="0"/>
                    <w:left w:val="nil"/>
                    <w:bottom w:val="single" w:color="auto" w:sz="4" w:space="0"/>
                    <w:right w:val="single" w:color="000000" w:sz="8" w:space="0"/>
                  </w:tcBorders>
                  <w:shd w:val="clear" w:color="auto" w:fill="auto"/>
                  <w:tcMar>
                    <w:top w:w="15" w:type="dxa"/>
                    <w:left w:w="15" w:type="dxa"/>
                    <w:bottom w:w="0" w:type="dxa"/>
                    <w:right w:w="15" w:type="dxa"/>
                  </w:tcMar>
                  <w:vAlign w:val="center"/>
                </w:tcPr>
                <w:p w14:paraId="7BEDB24D">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《自动扶梯和自动人行道的制造与安装安全规范》（GB 16899-2011）</w:t>
                  </w:r>
                </w:p>
              </w:tc>
            </w:tr>
            <w:tr w14:paraId="06D56D49">
              <w:tblPrEx>
                <w:tblCellMar>
                  <w:top w:w="0" w:type="dxa"/>
                  <w:left w:w="0" w:type="dxa"/>
                  <w:bottom w:w="0" w:type="dxa"/>
                  <w:right w:w="0" w:type="dxa"/>
                </w:tblCellMar>
              </w:tblPrEx>
              <w:trPr>
                <w:trHeight w:val="850"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5E2F25FD">
                  <w:pPr>
                    <w:snapToGrid w:val="0"/>
                    <w:rPr>
                      <w:rFonts w:ascii="仿宋_GB2312" w:hAnsi="仿宋_GB2312" w:eastAsia="仿宋_GB2312" w:cs="仿宋_GB2312"/>
                      <w:b/>
                      <w:bCs/>
                      <w:color w:val="auto"/>
                      <w:sz w:val="24"/>
                      <w:highlight w:val="none"/>
                    </w:rPr>
                  </w:pPr>
                </w:p>
              </w:tc>
              <w:tc>
                <w:tcPr>
                  <w:tcW w:w="931" w:type="pct"/>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3EB864BD">
                  <w:pPr>
                    <w:snapToGrid w:val="0"/>
                    <w:jc w:val="center"/>
                    <w:rPr>
                      <w:rFonts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rPr>
                    <w:t>应用范围</w:t>
                  </w:r>
                </w:p>
              </w:tc>
              <w:tc>
                <w:tcPr>
                  <w:tcW w:w="3522" w:type="pct"/>
                  <w:gridSpan w:val="2"/>
                  <w:tcBorders>
                    <w:top w:val="single" w:color="auto" w:sz="4" w:space="0"/>
                    <w:left w:val="nil"/>
                    <w:bottom w:val="single" w:color="auto" w:sz="4" w:space="0"/>
                    <w:right w:val="single" w:color="000000" w:sz="8" w:space="0"/>
                  </w:tcBorders>
                  <w:shd w:val="clear" w:color="auto" w:fill="auto"/>
                  <w:tcMar>
                    <w:top w:w="15" w:type="dxa"/>
                    <w:left w:w="15" w:type="dxa"/>
                    <w:bottom w:w="0" w:type="dxa"/>
                    <w:right w:w="15" w:type="dxa"/>
                  </w:tcMar>
                  <w:vAlign w:val="center"/>
                </w:tcPr>
                <w:p w14:paraId="01CB4047">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所提供的自动扶梯符合GB 16899-2011中商用或公共交通型自动扶梯产品。</w:t>
                  </w:r>
                </w:p>
              </w:tc>
            </w:tr>
            <w:tr w14:paraId="67E6DC8F">
              <w:tblPrEx>
                <w:tblCellMar>
                  <w:top w:w="0" w:type="dxa"/>
                  <w:left w:w="0" w:type="dxa"/>
                  <w:bottom w:w="0" w:type="dxa"/>
                  <w:right w:w="0" w:type="dxa"/>
                </w:tblCellMar>
              </w:tblPrEx>
              <w:trPr>
                <w:trHeight w:val="850"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0CB4F7DE">
                  <w:pPr>
                    <w:snapToGrid w:val="0"/>
                    <w:rPr>
                      <w:rFonts w:ascii="仿宋_GB2312" w:hAnsi="仿宋_GB2312" w:eastAsia="仿宋_GB2312" w:cs="仿宋_GB2312"/>
                      <w:b/>
                      <w:bCs/>
                      <w:color w:val="auto"/>
                      <w:sz w:val="24"/>
                      <w:highlight w:val="none"/>
                    </w:rPr>
                  </w:pPr>
                </w:p>
              </w:tc>
              <w:tc>
                <w:tcPr>
                  <w:tcW w:w="931" w:type="pct"/>
                  <w:vMerge w:val="restart"/>
                  <w:tcBorders>
                    <w:top w:val="nil"/>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244F8E3E">
                  <w:pPr>
                    <w:snapToGrid w:val="0"/>
                    <w:jc w:val="center"/>
                    <w:rPr>
                      <w:rFonts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rPr>
                    <w:t>技术参数</w:t>
                  </w:r>
                </w:p>
              </w:tc>
              <w:tc>
                <w:tcPr>
                  <w:tcW w:w="1350" w:type="pct"/>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5FE40A25">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提升高度</w:t>
                  </w:r>
                  <w:r>
                    <w:rPr>
                      <w:rFonts w:hint="eastAsia" w:ascii="仿宋_GB2312" w:hAnsi="仿宋_GB2312" w:eastAsia="仿宋_GB2312" w:cs="仿宋_GB2312"/>
                      <w:color w:val="auto"/>
                      <w:sz w:val="24"/>
                      <w:highlight w:val="none"/>
                      <w:lang w:eastAsia="zh-CN"/>
                    </w:rPr>
                    <w:t>（</w:t>
                  </w:r>
                  <w:r>
                    <w:rPr>
                      <w:rFonts w:hint="eastAsia" w:ascii="仿宋_GB2312" w:hAnsi="仿宋_GB2312" w:eastAsia="仿宋_GB2312" w:cs="仿宋_GB2312"/>
                      <w:color w:val="auto"/>
                      <w:sz w:val="24"/>
                      <w:highlight w:val="none"/>
                    </w:rPr>
                    <w:t>mm</w:t>
                  </w:r>
                  <w:r>
                    <w:rPr>
                      <w:rFonts w:hint="eastAsia" w:ascii="仿宋_GB2312" w:hAnsi="仿宋_GB2312" w:eastAsia="仿宋_GB2312" w:cs="仿宋_GB2312"/>
                      <w:color w:val="auto"/>
                      <w:sz w:val="24"/>
                      <w:highlight w:val="none"/>
                      <w:lang w:eastAsia="zh-CN"/>
                    </w:rPr>
                    <w:t>）</w:t>
                  </w:r>
                </w:p>
              </w:tc>
              <w:tc>
                <w:tcPr>
                  <w:tcW w:w="2171" w:type="pct"/>
                  <w:tcBorders>
                    <w:top w:val="nil"/>
                    <w:left w:val="nil"/>
                    <w:bottom w:val="single" w:color="auto" w:sz="4" w:space="0"/>
                    <w:right w:val="single" w:color="auto" w:sz="8" w:space="0"/>
                  </w:tcBorders>
                  <w:shd w:val="clear" w:color="auto" w:fill="auto"/>
                  <w:tcMar>
                    <w:top w:w="15" w:type="dxa"/>
                    <w:left w:w="15" w:type="dxa"/>
                    <w:bottom w:w="0" w:type="dxa"/>
                    <w:right w:w="15" w:type="dxa"/>
                  </w:tcMar>
                  <w:vAlign w:val="center"/>
                </w:tcPr>
                <w:p w14:paraId="405EA1B8">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H=4200</w:t>
                  </w:r>
                </w:p>
              </w:tc>
            </w:tr>
            <w:tr w14:paraId="28B9D436">
              <w:tblPrEx>
                <w:tblCellMar>
                  <w:top w:w="0" w:type="dxa"/>
                  <w:left w:w="0" w:type="dxa"/>
                  <w:bottom w:w="0" w:type="dxa"/>
                  <w:right w:w="0" w:type="dxa"/>
                </w:tblCellMar>
              </w:tblPrEx>
              <w:trPr>
                <w:trHeight w:val="850"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7763E261">
                  <w:pPr>
                    <w:snapToGrid w:val="0"/>
                    <w:rPr>
                      <w:rFonts w:ascii="仿宋_GB2312" w:hAnsi="仿宋_GB2312" w:eastAsia="仿宋_GB2312" w:cs="仿宋_GB2312"/>
                      <w:b/>
                      <w:bCs/>
                      <w:color w:val="auto"/>
                      <w:sz w:val="24"/>
                      <w:highlight w:val="none"/>
                    </w:rPr>
                  </w:pPr>
                </w:p>
              </w:tc>
              <w:tc>
                <w:tcPr>
                  <w:tcW w:w="931" w:type="pct"/>
                  <w:vMerge w:val="continue"/>
                  <w:tcBorders>
                    <w:top w:val="nil"/>
                    <w:left w:val="single" w:color="auto" w:sz="4" w:space="0"/>
                    <w:bottom w:val="single" w:color="auto" w:sz="4" w:space="0"/>
                    <w:right w:val="single" w:color="auto" w:sz="4" w:space="0"/>
                  </w:tcBorders>
                  <w:vAlign w:val="center"/>
                </w:tcPr>
                <w:p w14:paraId="015AAC8F">
                  <w:pPr>
                    <w:snapToGrid w:val="0"/>
                    <w:jc w:val="center"/>
                    <w:rPr>
                      <w:rFonts w:ascii="仿宋_GB2312" w:hAnsi="仿宋_GB2312" w:eastAsia="仿宋_GB2312" w:cs="仿宋_GB2312"/>
                      <w:b/>
                      <w:bCs/>
                      <w:color w:val="auto"/>
                      <w:sz w:val="24"/>
                      <w:highlight w:val="none"/>
                    </w:rPr>
                  </w:pPr>
                </w:p>
              </w:tc>
              <w:tc>
                <w:tcPr>
                  <w:tcW w:w="1350" w:type="pct"/>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08882D79">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倾角(度)</w:t>
                  </w:r>
                </w:p>
              </w:tc>
              <w:tc>
                <w:tcPr>
                  <w:tcW w:w="2171" w:type="pct"/>
                  <w:tcBorders>
                    <w:top w:val="nil"/>
                    <w:left w:val="nil"/>
                    <w:bottom w:val="single" w:color="auto" w:sz="4" w:space="0"/>
                    <w:right w:val="single" w:color="auto" w:sz="8" w:space="0"/>
                  </w:tcBorders>
                  <w:shd w:val="clear" w:color="auto" w:fill="auto"/>
                  <w:tcMar>
                    <w:top w:w="15" w:type="dxa"/>
                    <w:left w:w="15" w:type="dxa"/>
                    <w:bottom w:w="0" w:type="dxa"/>
                    <w:right w:w="15" w:type="dxa"/>
                  </w:tcMar>
                  <w:vAlign w:val="center"/>
                </w:tcPr>
                <w:p w14:paraId="30345F6E">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35</w:t>
                  </w:r>
                </w:p>
              </w:tc>
            </w:tr>
            <w:tr w14:paraId="079418CA">
              <w:tblPrEx>
                <w:tblCellMar>
                  <w:top w:w="0" w:type="dxa"/>
                  <w:left w:w="0" w:type="dxa"/>
                  <w:bottom w:w="0" w:type="dxa"/>
                  <w:right w:w="0" w:type="dxa"/>
                </w:tblCellMar>
              </w:tblPrEx>
              <w:trPr>
                <w:trHeight w:val="850"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4FA707AD">
                  <w:pPr>
                    <w:snapToGrid w:val="0"/>
                    <w:rPr>
                      <w:rFonts w:ascii="仿宋_GB2312" w:hAnsi="仿宋_GB2312" w:eastAsia="仿宋_GB2312" w:cs="仿宋_GB2312"/>
                      <w:b/>
                      <w:bCs/>
                      <w:color w:val="auto"/>
                      <w:sz w:val="24"/>
                      <w:highlight w:val="none"/>
                    </w:rPr>
                  </w:pPr>
                </w:p>
              </w:tc>
              <w:tc>
                <w:tcPr>
                  <w:tcW w:w="931" w:type="pct"/>
                  <w:vMerge w:val="continue"/>
                  <w:tcBorders>
                    <w:top w:val="nil"/>
                    <w:left w:val="single" w:color="auto" w:sz="4" w:space="0"/>
                    <w:bottom w:val="single" w:color="auto" w:sz="4" w:space="0"/>
                    <w:right w:val="single" w:color="auto" w:sz="4" w:space="0"/>
                  </w:tcBorders>
                  <w:vAlign w:val="center"/>
                </w:tcPr>
                <w:p w14:paraId="5BAF7990">
                  <w:pPr>
                    <w:snapToGrid w:val="0"/>
                    <w:jc w:val="center"/>
                    <w:rPr>
                      <w:rFonts w:ascii="仿宋_GB2312" w:hAnsi="仿宋_GB2312" w:eastAsia="仿宋_GB2312" w:cs="仿宋_GB2312"/>
                      <w:b/>
                      <w:bCs/>
                      <w:color w:val="auto"/>
                      <w:sz w:val="24"/>
                      <w:highlight w:val="none"/>
                    </w:rPr>
                  </w:pPr>
                </w:p>
              </w:tc>
              <w:tc>
                <w:tcPr>
                  <w:tcW w:w="1350" w:type="pct"/>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077B6FF2">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梯级宽度(mm)</w:t>
                  </w:r>
                </w:p>
              </w:tc>
              <w:tc>
                <w:tcPr>
                  <w:tcW w:w="2171" w:type="pct"/>
                  <w:tcBorders>
                    <w:top w:val="nil"/>
                    <w:left w:val="nil"/>
                    <w:bottom w:val="single" w:color="auto" w:sz="4" w:space="0"/>
                    <w:right w:val="single" w:color="auto" w:sz="8" w:space="0"/>
                  </w:tcBorders>
                  <w:shd w:val="clear" w:color="auto" w:fill="auto"/>
                  <w:tcMar>
                    <w:top w:w="15" w:type="dxa"/>
                    <w:left w:w="15" w:type="dxa"/>
                    <w:bottom w:w="0" w:type="dxa"/>
                    <w:right w:w="15" w:type="dxa"/>
                  </w:tcMar>
                  <w:vAlign w:val="center"/>
                </w:tcPr>
                <w:p w14:paraId="5487ECA6">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1000</w:t>
                  </w:r>
                </w:p>
              </w:tc>
            </w:tr>
            <w:tr w14:paraId="249C3467">
              <w:tblPrEx>
                <w:tblCellMar>
                  <w:top w:w="0" w:type="dxa"/>
                  <w:left w:w="0" w:type="dxa"/>
                  <w:bottom w:w="0" w:type="dxa"/>
                  <w:right w:w="0" w:type="dxa"/>
                </w:tblCellMar>
              </w:tblPrEx>
              <w:trPr>
                <w:trHeight w:val="850"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250793B4">
                  <w:pPr>
                    <w:snapToGrid w:val="0"/>
                    <w:rPr>
                      <w:rFonts w:ascii="仿宋_GB2312" w:hAnsi="仿宋_GB2312" w:eastAsia="仿宋_GB2312" w:cs="仿宋_GB2312"/>
                      <w:b/>
                      <w:bCs/>
                      <w:color w:val="auto"/>
                      <w:sz w:val="24"/>
                      <w:highlight w:val="none"/>
                    </w:rPr>
                  </w:pPr>
                </w:p>
              </w:tc>
              <w:tc>
                <w:tcPr>
                  <w:tcW w:w="931" w:type="pct"/>
                  <w:vMerge w:val="continue"/>
                  <w:tcBorders>
                    <w:top w:val="nil"/>
                    <w:left w:val="single" w:color="auto" w:sz="4" w:space="0"/>
                    <w:bottom w:val="single" w:color="auto" w:sz="4" w:space="0"/>
                    <w:right w:val="single" w:color="auto" w:sz="4" w:space="0"/>
                  </w:tcBorders>
                  <w:vAlign w:val="center"/>
                </w:tcPr>
                <w:p w14:paraId="79F32BE9">
                  <w:pPr>
                    <w:snapToGrid w:val="0"/>
                    <w:jc w:val="center"/>
                    <w:rPr>
                      <w:rFonts w:ascii="仿宋_GB2312" w:hAnsi="仿宋_GB2312" w:eastAsia="仿宋_GB2312" w:cs="仿宋_GB2312"/>
                      <w:b/>
                      <w:bCs/>
                      <w:color w:val="auto"/>
                      <w:sz w:val="24"/>
                      <w:highlight w:val="none"/>
                    </w:rPr>
                  </w:pPr>
                </w:p>
              </w:tc>
              <w:tc>
                <w:tcPr>
                  <w:tcW w:w="1350" w:type="pct"/>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5714DF5A">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速度(米/秒)</w:t>
                  </w:r>
                </w:p>
              </w:tc>
              <w:tc>
                <w:tcPr>
                  <w:tcW w:w="2171" w:type="pct"/>
                  <w:tcBorders>
                    <w:top w:val="nil"/>
                    <w:left w:val="nil"/>
                    <w:bottom w:val="single" w:color="auto" w:sz="4" w:space="0"/>
                    <w:right w:val="single" w:color="auto" w:sz="8" w:space="0"/>
                  </w:tcBorders>
                  <w:shd w:val="clear" w:color="auto" w:fill="auto"/>
                  <w:tcMar>
                    <w:top w:w="15" w:type="dxa"/>
                    <w:left w:w="15" w:type="dxa"/>
                    <w:bottom w:w="0" w:type="dxa"/>
                    <w:right w:w="15" w:type="dxa"/>
                  </w:tcMar>
                  <w:vAlign w:val="center"/>
                </w:tcPr>
                <w:p w14:paraId="4608FCA7">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0.5</w:t>
                  </w:r>
                </w:p>
              </w:tc>
            </w:tr>
            <w:tr w14:paraId="2D0F7C5A">
              <w:tblPrEx>
                <w:tblCellMar>
                  <w:top w:w="0" w:type="dxa"/>
                  <w:left w:w="0" w:type="dxa"/>
                  <w:bottom w:w="0" w:type="dxa"/>
                  <w:right w:w="0" w:type="dxa"/>
                </w:tblCellMar>
              </w:tblPrEx>
              <w:trPr>
                <w:trHeight w:val="850"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337FE00E">
                  <w:pPr>
                    <w:snapToGrid w:val="0"/>
                    <w:rPr>
                      <w:rFonts w:ascii="仿宋_GB2312" w:hAnsi="仿宋_GB2312" w:eastAsia="仿宋_GB2312" w:cs="仿宋_GB2312"/>
                      <w:b/>
                      <w:bCs/>
                      <w:color w:val="auto"/>
                      <w:sz w:val="24"/>
                      <w:highlight w:val="none"/>
                    </w:rPr>
                  </w:pPr>
                </w:p>
              </w:tc>
              <w:tc>
                <w:tcPr>
                  <w:tcW w:w="931" w:type="pct"/>
                  <w:vMerge w:val="continue"/>
                  <w:tcBorders>
                    <w:top w:val="nil"/>
                    <w:left w:val="single" w:color="auto" w:sz="4" w:space="0"/>
                    <w:bottom w:val="single" w:color="auto" w:sz="4" w:space="0"/>
                    <w:right w:val="single" w:color="auto" w:sz="4" w:space="0"/>
                  </w:tcBorders>
                  <w:vAlign w:val="center"/>
                </w:tcPr>
                <w:p w14:paraId="78E8EC79">
                  <w:pPr>
                    <w:snapToGrid w:val="0"/>
                    <w:jc w:val="center"/>
                    <w:rPr>
                      <w:rFonts w:ascii="仿宋_GB2312" w:hAnsi="仿宋_GB2312" w:eastAsia="仿宋_GB2312" w:cs="仿宋_GB2312"/>
                      <w:b/>
                      <w:bCs/>
                      <w:color w:val="auto"/>
                      <w:sz w:val="24"/>
                      <w:highlight w:val="none"/>
                    </w:rPr>
                  </w:pPr>
                </w:p>
              </w:tc>
              <w:tc>
                <w:tcPr>
                  <w:tcW w:w="1350" w:type="pct"/>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0ED756E3">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最大输送能力(人/小时)</w:t>
                  </w:r>
                </w:p>
              </w:tc>
              <w:tc>
                <w:tcPr>
                  <w:tcW w:w="2171" w:type="pct"/>
                  <w:tcBorders>
                    <w:top w:val="nil"/>
                    <w:left w:val="nil"/>
                    <w:bottom w:val="single" w:color="auto" w:sz="4" w:space="0"/>
                    <w:right w:val="single" w:color="auto" w:sz="8" w:space="0"/>
                  </w:tcBorders>
                  <w:shd w:val="clear" w:color="auto" w:fill="auto"/>
                  <w:tcMar>
                    <w:top w:w="15" w:type="dxa"/>
                    <w:left w:w="15" w:type="dxa"/>
                    <w:bottom w:w="0" w:type="dxa"/>
                    <w:right w:w="15" w:type="dxa"/>
                  </w:tcMar>
                  <w:vAlign w:val="center"/>
                </w:tcPr>
                <w:p w14:paraId="12DDC592">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6000</w:t>
                  </w:r>
                </w:p>
              </w:tc>
            </w:tr>
            <w:tr w14:paraId="4D56D500">
              <w:tblPrEx>
                <w:tblCellMar>
                  <w:top w:w="0" w:type="dxa"/>
                  <w:left w:w="0" w:type="dxa"/>
                  <w:bottom w:w="0" w:type="dxa"/>
                  <w:right w:w="0" w:type="dxa"/>
                </w:tblCellMar>
              </w:tblPrEx>
              <w:trPr>
                <w:trHeight w:val="850"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16451E9F">
                  <w:pPr>
                    <w:snapToGrid w:val="0"/>
                    <w:rPr>
                      <w:rFonts w:ascii="仿宋_GB2312" w:hAnsi="仿宋_GB2312" w:eastAsia="仿宋_GB2312" w:cs="仿宋_GB2312"/>
                      <w:b/>
                      <w:bCs/>
                      <w:color w:val="auto"/>
                      <w:sz w:val="24"/>
                      <w:highlight w:val="none"/>
                    </w:rPr>
                  </w:pPr>
                </w:p>
              </w:tc>
              <w:tc>
                <w:tcPr>
                  <w:tcW w:w="931" w:type="pct"/>
                  <w:vMerge w:val="continue"/>
                  <w:tcBorders>
                    <w:top w:val="nil"/>
                    <w:left w:val="single" w:color="auto" w:sz="4" w:space="0"/>
                    <w:bottom w:val="single" w:color="auto" w:sz="4" w:space="0"/>
                    <w:right w:val="single" w:color="auto" w:sz="4" w:space="0"/>
                  </w:tcBorders>
                  <w:vAlign w:val="center"/>
                </w:tcPr>
                <w:p w14:paraId="421076DC">
                  <w:pPr>
                    <w:snapToGrid w:val="0"/>
                    <w:jc w:val="center"/>
                    <w:rPr>
                      <w:rFonts w:ascii="仿宋_GB2312" w:hAnsi="仿宋_GB2312" w:eastAsia="仿宋_GB2312" w:cs="仿宋_GB2312"/>
                      <w:b/>
                      <w:bCs/>
                      <w:color w:val="auto"/>
                      <w:sz w:val="24"/>
                      <w:highlight w:val="none"/>
                    </w:rPr>
                  </w:pPr>
                </w:p>
              </w:tc>
              <w:tc>
                <w:tcPr>
                  <w:tcW w:w="1350" w:type="pct"/>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70FC997A">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水平梯级段</w:t>
                  </w:r>
                </w:p>
              </w:tc>
              <w:tc>
                <w:tcPr>
                  <w:tcW w:w="2171" w:type="pct"/>
                  <w:tcBorders>
                    <w:top w:val="nil"/>
                    <w:left w:val="nil"/>
                    <w:bottom w:val="single" w:color="auto" w:sz="4" w:space="0"/>
                    <w:right w:val="single" w:color="auto" w:sz="8" w:space="0"/>
                  </w:tcBorders>
                  <w:shd w:val="clear" w:color="auto" w:fill="auto"/>
                  <w:tcMar>
                    <w:top w:w="15" w:type="dxa"/>
                    <w:left w:w="15" w:type="dxa"/>
                    <w:bottom w:w="0" w:type="dxa"/>
                    <w:right w:w="15" w:type="dxa"/>
                  </w:tcMar>
                  <w:vAlign w:val="center"/>
                </w:tcPr>
                <w:p w14:paraId="081B0E9A">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两个，1000mm</w:t>
                  </w:r>
                </w:p>
              </w:tc>
            </w:tr>
            <w:tr w14:paraId="3F1D0AA7">
              <w:tblPrEx>
                <w:tblCellMar>
                  <w:top w:w="0" w:type="dxa"/>
                  <w:left w:w="0" w:type="dxa"/>
                  <w:bottom w:w="0" w:type="dxa"/>
                  <w:right w:w="0" w:type="dxa"/>
                </w:tblCellMar>
              </w:tblPrEx>
              <w:trPr>
                <w:trHeight w:val="850"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552F2EBD">
                  <w:pPr>
                    <w:snapToGrid w:val="0"/>
                    <w:rPr>
                      <w:rFonts w:ascii="仿宋_GB2312" w:hAnsi="仿宋_GB2312" w:eastAsia="仿宋_GB2312" w:cs="仿宋_GB2312"/>
                      <w:b/>
                      <w:bCs/>
                      <w:color w:val="auto"/>
                      <w:sz w:val="24"/>
                      <w:highlight w:val="none"/>
                    </w:rPr>
                  </w:pPr>
                </w:p>
              </w:tc>
              <w:tc>
                <w:tcPr>
                  <w:tcW w:w="931" w:type="pct"/>
                  <w:vMerge w:val="continue"/>
                  <w:tcBorders>
                    <w:top w:val="nil"/>
                    <w:left w:val="single" w:color="auto" w:sz="4" w:space="0"/>
                    <w:bottom w:val="single" w:color="auto" w:sz="4" w:space="0"/>
                    <w:right w:val="single" w:color="auto" w:sz="4" w:space="0"/>
                  </w:tcBorders>
                  <w:vAlign w:val="center"/>
                </w:tcPr>
                <w:p w14:paraId="4B93E895">
                  <w:pPr>
                    <w:snapToGrid w:val="0"/>
                    <w:jc w:val="center"/>
                    <w:rPr>
                      <w:rFonts w:ascii="仿宋_GB2312" w:hAnsi="仿宋_GB2312" w:eastAsia="仿宋_GB2312" w:cs="仿宋_GB2312"/>
                      <w:b/>
                      <w:bCs/>
                      <w:color w:val="auto"/>
                      <w:sz w:val="24"/>
                      <w:highlight w:val="none"/>
                    </w:rPr>
                  </w:pPr>
                </w:p>
              </w:tc>
              <w:tc>
                <w:tcPr>
                  <w:tcW w:w="1350" w:type="pct"/>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02255D5D">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安装场所</w:t>
                  </w:r>
                </w:p>
              </w:tc>
              <w:tc>
                <w:tcPr>
                  <w:tcW w:w="2171" w:type="pct"/>
                  <w:tcBorders>
                    <w:top w:val="nil"/>
                    <w:left w:val="nil"/>
                    <w:bottom w:val="single" w:color="auto" w:sz="4" w:space="0"/>
                    <w:right w:val="single" w:color="auto" w:sz="8" w:space="0"/>
                  </w:tcBorders>
                  <w:shd w:val="clear" w:color="auto" w:fill="auto"/>
                  <w:tcMar>
                    <w:top w:w="15" w:type="dxa"/>
                    <w:left w:w="15" w:type="dxa"/>
                    <w:bottom w:w="0" w:type="dxa"/>
                    <w:right w:w="15" w:type="dxa"/>
                  </w:tcMar>
                  <w:vAlign w:val="center"/>
                </w:tcPr>
                <w:p w14:paraId="443283C8">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室内型</w:t>
                  </w:r>
                </w:p>
              </w:tc>
            </w:tr>
            <w:tr w14:paraId="7059A503">
              <w:tblPrEx>
                <w:tblCellMar>
                  <w:top w:w="0" w:type="dxa"/>
                  <w:left w:w="0" w:type="dxa"/>
                  <w:bottom w:w="0" w:type="dxa"/>
                  <w:right w:w="0" w:type="dxa"/>
                </w:tblCellMar>
              </w:tblPrEx>
              <w:trPr>
                <w:trHeight w:val="850"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56026E08">
                  <w:pPr>
                    <w:snapToGrid w:val="0"/>
                    <w:rPr>
                      <w:rFonts w:ascii="仿宋_GB2312" w:hAnsi="仿宋_GB2312" w:eastAsia="仿宋_GB2312" w:cs="仿宋_GB2312"/>
                      <w:b/>
                      <w:bCs/>
                      <w:color w:val="auto"/>
                      <w:sz w:val="24"/>
                      <w:highlight w:val="none"/>
                    </w:rPr>
                  </w:pPr>
                </w:p>
              </w:tc>
              <w:tc>
                <w:tcPr>
                  <w:tcW w:w="931" w:type="pct"/>
                  <w:vMerge w:val="continue"/>
                  <w:tcBorders>
                    <w:top w:val="nil"/>
                    <w:left w:val="single" w:color="auto" w:sz="4" w:space="0"/>
                    <w:bottom w:val="single" w:color="auto" w:sz="4" w:space="0"/>
                    <w:right w:val="single" w:color="auto" w:sz="4" w:space="0"/>
                  </w:tcBorders>
                  <w:vAlign w:val="center"/>
                </w:tcPr>
                <w:p w14:paraId="5C4A4DAB">
                  <w:pPr>
                    <w:snapToGrid w:val="0"/>
                    <w:jc w:val="center"/>
                    <w:rPr>
                      <w:rFonts w:ascii="仿宋_GB2312" w:hAnsi="仿宋_GB2312" w:eastAsia="仿宋_GB2312" w:cs="仿宋_GB2312"/>
                      <w:b/>
                      <w:bCs/>
                      <w:color w:val="auto"/>
                      <w:sz w:val="24"/>
                      <w:highlight w:val="none"/>
                    </w:rPr>
                  </w:pPr>
                </w:p>
              </w:tc>
              <w:tc>
                <w:tcPr>
                  <w:tcW w:w="1350" w:type="pct"/>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4A18E6B9">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控制方式</w:t>
                  </w:r>
                </w:p>
              </w:tc>
              <w:tc>
                <w:tcPr>
                  <w:tcW w:w="2171" w:type="pct"/>
                  <w:tcBorders>
                    <w:top w:val="nil"/>
                    <w:left w:val="nil"/>
                    <w:bottom w:val="single" w:color="auto" w:sz="4" w:space="0"/>
                    <w:right w:val="single" w:color="auto" w:sz="8" w:space="0"/>
                  </w:tcBorders>
                  <w:shd w:val="clear" w:color="auto" w:fill="auto"/>
                  <w:tcMar>
                    <w:top w:w="15" w:type="dxa"/>
                    <w:left w:w="15" w:type="dxa"/>
                    <w:bottom w:w="0" w:type="dxa"/>
                    <w:right w:w="15" w:type="dxa"/>
                  </w:tcMar>
                  <w:vAlign w:val="center"/>
                </w:tcPr>
                <w:p w14:paraId="3523764A">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微电脑控制</w:t>
                  </w:r>
                </w:p>
              </w:tc>
            </w:tr>
            <w:tr w14:paraId="72EF4810">
              <w:tblPrEx>
                <w:tblCellMar>
                  <w:top w:w="0" w:type="dxa"/>
                  <w:left w:w="0" w:type="dxa"/>
                  <w:bottom w:w="0" w:type="dxa"/>
                  <w:right w:w="0" w:type="dxa"/>
                </w:tblCellMar>
              </w:tblPrEx>
              <w:trPr>
                <w:trHeight w:val="850"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67FCA5BA">
                  <w:pPr>
                    <w:snapToGrid w:val="0"/>
                    <w:rPr>
                      <w:rFonts w:ascii="仿宋_GB2312" w:hAnsi="仿宋_GB2312" w:eastAsia="仿宋_GB2312" w:cs="仿宋_GB2312"/>
                      <w:b/>
                      <w:bCs/>
                      <w:color w:val="auto"/>
                      <w:sz w:val="24"/>
                      <w:highlight w:val="none"/>
                    </w:rPr>
                  </w:pPr>
                </w:p>
              </w:tc>
              <w:tc>
                <w:tcPr>
                  <w:tcW w:w="931" w:type="pct"/>
                  <w:vMerge w:val="continue"/>
                  <w:tcBorders>
                    <w:top w:val="nil"/>
                    <w:left w:val="single" w:color="auto" w:sz="4" w:space="0"/>
                    <w:bottom w:val="single" w:color="auto" w:sz="4" w:space="0"/>
                    <w:right w:val="single" w:color="auto" w:sz="4" w:space="0"/>
                  </w:tcBorders>
                  <w:vAlign w:val="center"/>
                </w:tcPr>
                <w:p w14:paraId="6D94DA2F">
                  <w:pPr>
                    <w:snapToGrid w:val="0"/>
                    <w:jc w:val="center"/>
                    <w:rPr>
                      <w:rFonts w:ascii="仿宋_GB2312" w:hAnsi="仿宋_GB2312" w:eastAsia="仿宋_GB2312" w:cs="仿宋_GB2312"/>
                      <w:b/>
                      <w:bCs/>
                      <w:color w:val="auto"/>
                      <w:sz w:val="24"/>
                      <w:highlight w:val="none"/>
                    </w:rPr>
                  </w:pPr>
                </w:p>
              </w:tc>
              <w:tc>
                <w:tcPr>
                  <w:tcW w:w="1350" w:type="pct"/>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504295BB">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运行方向</w:t>
                  </w:r>
                </w:p>
              </w:tc>
              <w:tc>
                <w:tcPr>
                  <w:tcW w:w="2171" w:type="pct"/>
                  <w:tcBorders>
                    <w:top w:val="nil"/>
                    <w:left w:val="nil"/>
                    <w:bottom w:val="single" w:color="auto" w:sz="4" w:space="0"/>
                    <w:right w:val="single" w:color="auto" w:sz="8" w:space="0"/>
                  </w:tcBorders>
                  <w:shd w:val="clear" w:color="auto" w:fill="auto"/>
                  <w:tcMar>
                    <w:top w:w="15" w:type="dxa"/>
                    <w:left w:w="15" w:type="dxa"/>
                    <w:bottom w:w="0" w:type="dxa"/>
                    <w:right w:w="15" w:type="dxa"/>
                  </w:tcMar>
                  <w:vAlign w:val="center"/>
                </w:tcPr>
                <w:p w14:paraId="55091C67">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上下行可逆转</w:t>
                  </w:r>
                </w:p>
              </w:tc>
            </w:tr>
            <w:tr w14:paraId="691AF232">
              <w:tblPrEx>
                <w:tblCellMar>
                  <w:top w:w="0" w:type="dxa"/>
                  <w:left w:w="0" w:type="dxa"/>
                  <w:bottom w:w="0" w:type="dxa"/>
                  <w:right w:w="0" w:type="dxa"/>
                </w:tblCellMar>
              </w:tblPrEx>
              <w:trPr>
                <w:trHeight w:val="850"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40EC573C">
                  <w:pPr>
                    <w:snapToGrid w:val="0"/>
                    <w:rPr>
                      <w:rFonts w:ascii="仿宋_GB2312" w:hAnsi="仿宋_GB2312" w:eastAsia="仿宋_GB2312" w:cs="仿宋_GB2312"/>
                      <w:b/>
                      <w:bCs/>
                      <w:color w:val="auto"/>
                      <w:sz w:val="24"/>
                      <w:highlight w:val="none"/>
                    </w:rPr>
                  </w:pPr>
                </w:p>
              </w:tc>
              <w:tc>
                <w:tcPr>
                  <w:tcW w:w="931" w:type="pct"/>
                  <w:vMerge w:val="continue"/>
                  <w:tcBorders>
                    <w:top w:val="nil"/>
                    <w:left w:val="single" w:color="auto" w:sz="4" w:space="0"/>
                    <w:bottom w:val="single" w:color="auto" w:sz="4" w:space="0"/>
                    <w:right w:val="single" w:color="auto" w:sz="4" w:space="0"/>
                  </w:tcBorders>
                  <w:vAlign w:val="center"/>
                </w:tcPr>
                <w:p w14:paraId="1FE4FE0D">
                  <w:pPr>
                    <w:snapToGrid w:val="0"/>
                    <w:jc w:val="center"/>
                    <w:rPr>
                      <w:rFonts w:ascii="仿宋_GB2312" w:hAnsi="仿宋_GB2312" w:eastAsia="仿宋_GB2312" w:cs="仿宋_GB2312"/>
                      <w:b/>
                      <w:bCs/>
                      <w:color w:val="auto"/>
                      <w:sz w:val="24"/>
                      <w:highlight w:val="none"/>
                    </w:rPr>
                  </w:pPr>
                </w:p>
              </w:tc>
              <w:tc>
                <w:tcPr>
                  <w:tcW w:w="1350" w:type="pct"/>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404A2323">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操作方式</w:t>
                  </w:r>
                </w:p>
              </w:tc>
              <w:tc>
                <w:tcPr>
                  <w:tcW w:w="2171" w:type="pct"/>
                  <w:tcBorders>
                    <w:top w:val="nil"/>
                    <w:left w:val="nil"/>
                    <w:bottom w:val="single" w:color="auto" w:sz="4" w:space="0"/>
                    <w:right w:val="single" w:color="auto" w:sz="8" w:space="0"/>
                  </w:tcBorders>
                  <w:shd w:val="clear" w:color="auto" w:fill="auto"/>
                  <w:tcMar>
                    <w:top w:w="15" w:type="dxa"/>
                    <w:left w:w="15" w:type="dxa"/>
                    <w:bottom w:w="0" w:type="dxa"/>
                    <w:right w:w="15" w:type="dxa"/>
                  </w:tcMar>
                  <w:vAlign w:val="center"/>
                </w:tcPr>
                <w:p w14:paraId="126F10A1">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手控钥匙开关</w:t>
                  </w:r>
                </w:p>
              </w:tc>
            </w:tr>
            <w:tr w14:paraId="1C26B4A7">
              <w:tblPrEx>
                <w:tblCellMar>
                  <w:top w:w="0" w:type="dxa"/>
                  <w:left w:w="0" w:type="dxa"/>
                  <w:bottom w:w="0" w:type="dxa"/>
                  <w:right w:w="0" w:type="dxa"/>
                </w:tblCellMar>
              </w:tblPrEx>
              <w:trPr>
                <w:trHeight w:val="850"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61822FF6">
                  <w:pPr>
                    <w:snapToGrid w:val="0"/>
                    <w:rPr>
                      <w:rFonts w:ascii="仿宋_GB2312" w:hAnsi="仿宋_GB2312" w:eastAsia="仿宋_GB2312" w:cs="仿宋_GB2312"/>
                      <w:b/>
                      <w:bCs/>
                      <w:color w:val="auto"/>
                      <w:sz w:val="24"/>
                      <w:highlight w:val="none"/>
                    </w:rPr>
                  </w:pPr>
                </w:p>
              </w:tc>
              <w:tc>
                <w:tcPr>
                  <w:tcW w:w="931" w:type="pct"/>
                  <w:vMerge w:val="continue"/>
                  <w:tcBorders>
                    <w:top w:val="nil"/>
                    <w:left w:val="single" w:color="auto" w:sz="4" w:space="0"/>
                    <w:bottom w:val="single" w:color="auto" w:sz="4" w:space="0"/>
                    <w:right w:val="single" w:color="auto" w:sz="4" w:space="0"/>
                  </w:tcBorders>
                  <w:vAlign w:val="center"/>
                </w:tcPr>
                <w:p w14:paraId="198239C0">
                  <w:pPr>
                    <w:snapToGrid w:val="0"/>
                    <w:jc w:val="center"/>
                    <w:rPr>
                      <w:rFonts w:ascii="仿宋_GB2312" w:hAnsi="仿宋_GB2312" w:eastAsia="仿宋_GB2312" w:cs="仿宋_GB2312"/>
                      <w:b/>
                      <w:bCs/>
                      <w:color w:val="auto"/>
                      <w:sz w:val="24"/>
                      <w:highlight w:val="none"/>
                    </w:rPr>
                  </w:pPr>
                </w:p>
              </w:tc>
              <w:tc>
                <w:tcPr>
                  <w:tcW w:w="1350" w:type="pct"/>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19BB7415">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动力电源</w:t>
                  </w:r>
                </w:p>
              </w:tc>
              <w:tc>
                <w:tcPr>
                  <w:tcW w:w="2171" w:type="pct"/>
                  <w:tcBorders>
                    <w:top w:val="nil"/>
                    <w:left w:val="nil"/>
                    <w:bottom w:val="single" w:color="auto" w:sz="4" w:space="0"/>
                    <w:right w:val="single" w:color="auto" w:sz="8" w:space="0"/>
                  </w:tcBorders>
                  <w:shd w:val="clear" w:color="auto" w:fill="auto"/>
                  <w:tcMar>
                    <w:top w:w="15" w:type="dxa"/>
                    <w:left w:w="15" w:type="dxa"/>
                    <w:bottom w:w="0" w:type="dxa"/>
                    <w:right w:w="15" w:type="dxa"/>
                  </w:tcMar>
                  <w:vAlign w:val="center"/>
                </w:tcPr>
                <w:p w14:paraId="1B01E7E7">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380伏±7%/50赫兹</w:t>
                  </w:r>
                </w:p>
              </w:tc>
            </w:tr>
            <w:tr w14:paraId="5BE70BBE">
              <w:tblPrEx>
                <w:tblCellMar>
                  <w:top w:w="0" w:type="dxa"/>
                  <w:left w:w="0" w:type="dxa"/>
                  <w:bottom w:w="0" w:type="dxa"/>
                  <w:right w:w="0" w:type="dxa"/>
                </w:tblCellMar>
              </w:tblPrEx>
              <w:trPr>
                <w:trHeight w:val="850"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1A4AC204">
                  <w:pPr>
                    <w:snapToGrid w:val="0"/>
                    <w:rPr>
                      <w:rFonts w:ascii="仿宋_GB2312" w:hAnsi="仿宋_GB2312" w:eastAsia="仿宋_GB2312" w:cs="仿宋_GB2312"/>
                      <w:b/>
                      <w:bCs/>
                      <w:color w:val="auto"/>
                      <w:sz w:val="24"/>
                      <w:highlight w:val="none"/>
                    </w:rPr>
                  </w:pPr>
                </w:p>
              </w:tc>
              <w:tc>
                <w:tcPr>
                  <w:tcW w:w="931" w:type="pct"/>
                  <w:vMerge w:val="continue"/>
                  <w:tcBorders>
                    <w:top w:val="nil"/>
                    <w:left w:val="single" w:color="auto" w:sz="4" w:space="0"/>
                    <w:bottom w:val="single" w:color="auto" w:sz="4" w:space="0"/>
                    <w:right w:val="single" w:color="auto" w:sz="4" w:space="0"/>
                  </w:tcBorders>
                  <w:vAlign w:val="center"/>
                </w:tcPr>
                <w:p w14:paraId="104E8AEE">
                  <w:pPr>
                    <w:snapToGrid w:val="0"/>
                    <w:jc w:val="center"/>
                    <w:rPr>
                      <w:rFonts w:ascii="仿宋_GB2312" w:hAnsi="仿宋_GB2312" w:eastAsia="仿宋_GB2312" w:cs="仿宋_GB2312"/>
                      <w:b/>
                      <w:bCs/>
                      <w:color w:val="auto"/>
                      <w:sz w:val="24"/>
                      <w:highlight w:val="none"/>
                    </w:rPr>
                  </w:pPr>
                </w:p>
              </w:tc>
              <w:tc>
                <w:tcPr>
                  <w:tcW w:w="1350" w:type="pct"/>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2120A859">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照明电源</w:t>
                  </w:r>
                </w:p>
              </w:tc>
              <w:tc>
                <w:tcPr>
                  <w:tcW w:w="2171" w:type="pct"/>
                  <w:tcBorders>
                    <w:top w:val="nil"/>
                    <w:left w:val="nil"/>
                    <w:bottom w:val="single" w:color="auto" w:sz="4" w:space="0"/>
                    <w:right w:val="single" w:color="auto" w:sz="8" w:space="0"/>
                  </w:tcBorders>
                  <w:shd w:val="clear" w:color="auto" w:fill="auto"/>
                  <w:tcMar>
                    <w:top w:w="15" w:type="dxa"/>
                    <w:left w:w="15" w:type="dxa"/>
                    <w:bottom w:w="0" w:type="dxa"/>
                    <w:right w:w="15" w:type="dxa"/>
                  </w:tcMar>
                  <w:vAlign w:val="center"/>
                </w:tcPr>
                <w:p w14:paraId="56562399">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220伏±7%/50赫兹</w:t>
                  </w:r>
                </w:p>
              </w:tc>
            </w:tr>
            <w:tr w14:paraId="70446780">
              <w:tblPrEx>
                <w:tblCellMar>
                  <w:top w:w="0" w:type="dxa"/>
                  <w:left w:w="0" w:type="dxa"/>
                  <w:bottom w:w="0" w:type="dxa"/>
                  <w:right w:w="0" w:type="dxa"/>
                </w:tblCellMar>
              </w:tblPrEx>
              <w:trPr>
                <w:trHeight w:val="850" w:hRule="atLeast"/>
                <w:jc w:val="center"/>
              </w:trPr>
              <w:tc>
                <w:tcPr>
                  <w:tcW w:w="546" w:type="pct"/>
                  <w:vMerge w:val="restart"/>
                  <w:tcBorders>
                    <w:top w:val="nil"/>
                    <w:left w:val="single" w:color="auto" w:sz="8" w:space="0"/>
                    <w:bottom w:val="single" w:color="auto" w:sz="4" w:space="0"/>
                    <w:right w:val="single" w:color="auto" w:sz="4" w:space="0"/>
                  </w:tcBorders>
                  <w:shd w:val="clear" w:color="auto" w:fill="auto"/>
                  <w:tcMar>
                    <w:top w:w="15" w:type="dxa"/>
                    <w:left w:w="15" w:type="dxa"/>
                    <w:bottom w:w="0" w:type="dxa"/>
                    <w:right w:w="15" w:type="dxa"/>
                  </w:tcMar>
                  <w:vAlign w:val="center"/>
                </w:tcPr>
                <w:p w14:paraId="72F9064E">
                  <w:pPr>
                    <w:snapToGrid w:val="0"/>
                    <w:jc w:val="center"/>
                    <w:rPr>
                      <w:rFonts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rPr>
                    <w:t>技术描述</w:t>
                  </w:r>
                </w:p>
                <w:p w14:paraId="336128B0">
                  <w:pPr>
                    <w:snapToGrid w:val="0"/>
                    <w:jc w:val="center"/>
                    <w:rPr>
                      <w:rFonts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rPr>
                    <w:t>（机械部分）</w:t>
                  </w:r>
                </w:p>
              </w:tc>
              <w:tc>
                <w:tcPr>
                  <w:tcW w:w="931" w:type="pct"/>
                  <w:vMerge w:val="restart"/>
                  <w:tcBorders>
                    <w:top w:val="nil"/>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29278198">
                  <w:pPr>
                    <w:snapToGrid w:val="0"/>
                    <w:jc w:val="center"/>
                    <w:rPr>
                      <w:rFonts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rPr>
                    <w:t>驱动系统</w:t>
                  </w:r>
                </w:p>
              </w:tc>
              <w:tc>
                <w:tcPr>
                  <w:tcW w:w="3522" w:type="pct"/>
                  <w:gridSpan w:val="2"/>
                  <w:tcBorders>
                    <w:top w:val="single" w:color="auto" w:sz="4" w:space="0"/>
                    <w:left w:val="nil"/>
                    <w:bottom w:val="single" w:color="auto" w:sz="4" w:space="0"/>
                    <w:right w:val="single" w:color="000000" w:sz="8" w:space="0"/>
                  </w:tcBorders>
                  <w:shd w:val="clear" w:color="auto" w:fill="auto"/>
                  <w:tcMar>
                    <w:top w:w="15" w:type="dxa"/>
                    <w:left w:w="15" w:type="dxa"/>
                    <w:bottom w:w="0" w:type="dxa"/>
                    <w:right w:w="15" w:type="dxa"/>
                  </w:tcMar>
                  <w:vAlign w:val="center"/>
                </w:tcPr>
                <w:p w14:paraId="6DDCA13A">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扶梯驱动主机应采用高精度蜗轮蜗杆驱动主机或更高端产品。</w:t>
                  </w:r>
                </w:p>
              </w:tc>
            </w:tr>
            <w:tr w14:paraId="56B2DCBB">
              <w:tblPrEx>
                <w:tblCellMar>
                  <w:top w:w="0" w:type="dxa"/>
                  <w:left w:w="0" w:type="dxa"/>
                  <w:bottom w:w="0" w:type="dxa"/>
                  <w:right w:w="0" w:type="dxa"/>
                </w:tblCellMar>
              </w:tblPrEx>
              <w:trPr>
                <w:trHeight w:val="850"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7A8B6677">
                  <w:pPr>
                    <w:snapToGrid w:val="0"/>
                    <w:rPr>
                      <w:rFonts w:ascii="仿宋_GB2312" w:hAnsi="仿宋_GB2312" w:eastAsia="仿宋_GB2312" w:cs="仿宋_GB2312"/>
                      <w:b/>
                      <w:bCs/>
                      <w:color w:val="auto"/>
                      <w:sz w:val="24"/>
                      <w:highlight w:val="none"/>
                    </w:rPr>
                  </w:pPr>
                </w:p>
              </w:tc>
              <w:tc>
                <w:tcPr>
                  <w:tcW w:w="931" w:type="pct"/>
                  <w:vMerge w:val="continue"/>
                  <w:tcBorders>
                    <w:top w:val="nil"/>
                    <w:left w:val="single" w:color="auto" w:sz="4" w:space="0"/>
                    <w:bottom w:val="single" w:color="auto" w:sz="4" w:space="0"/>
                    <w:right w:val="single" w:color="auto" w:sz="4" w:space="0"/>
                  </w:tcBorders>
                  <w:vAlign w:val="center"/>
                </w:tcPr>
                <w:p w14:paraId="728F9E7D">
                  <w:pPr>
                    <w:snapToGrid w:val="0"/>
                    <w:jc w:val="center"/>
                    <w:rPr>
                      <w:rFonts w:ascii="仿宋_GB2312" w:hAnsi="仿宋_GB2312" w:eastAsia="仿宋_GB2312" w:cs="仿宋_GB2312"/>
                      <w:b/>
                      <w:bCs/>
                      <w:color w:val="auto"/>
                      <w:sz w:val="24"/>
                      <w:highlight w:val="none"/>
                    </w:rPr>
                  </w:pPr>
                </w:p>
              </w:tc>
              <w:tc>
                <w:tcPr>
                  <w:tcW w:w="3522" w:type="pct"/>
                  <w:gridSpan w:val="2"/>
                  <w:tcBorders>
                    <w:top w:val="single" w:color="auto" w:sz="4" w:space="0"/>
                    <w:left w:val="nil"/>
                    <w:bottom w:val="single" w:color="auto" w:sz="4" w:space="0"/>
                    <w:right w:val="single" w:color="000000" w:sz="8" w:space="0"/>
                  </w:tcBorders>
                  <w:shd w:val="clear" w:color="auto" w:fill="auto"/>
                  <w:tcMar>
                    <w:top w:w="15" w:type="dxa"/>
                    <w:left w:w="15" w:type="dxa"/>
                    <w:bottom w:w="0" w:type="dxa"/>
                    <w:right w:w="15" w:type="dxa"/>
                  </w:tcMar>
                  <w:vAlign w:val="center"/>
                </w:tcPr>
                <w:p w14:paraId="01FD0971">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电机应采用四极及以上电机。整套驱动系统应结构简洁，安装在桁架上方。</w:t>
                  </w:r>
                </w:p>
              </w:tc>
            </w:tr>
            <w:tr w14:paraId="096BD557">
              <w:tblPrEx>
                <w:tblCellMar>
                  <w:top w:w="0" w:type="dxa"/>
                  <w:left w:w="0" w:type="dxa"/>
                  <w:bottom w:w="0" w:type="dxa"/>
                  <w:right w:w="0" w:type="dxa"/>
                </w:tblCellMar>
              </w:tblPrEx>
              <w:trPr>
                <w:trHeight w:val="850"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1EC0AA47">
                  <w:pPr>
                    <w:snapToGrid w:val="0"/>
                    <w:rPr>
                      <w:rFonts w:ascii="仿宋_GB2312" w:hAnsi="仿宋_GB2312" w:eastAsia="仿宋_GB2312" w:cs="仿宋_GB2312"/>
                      <w:b/>
                      <w:bCs/>
                      <w:color w:val="auto"/>
                      <w:sz w:val="24"/>
                      <w:highlight w:val="none"/>
                    </w:rPr>
                  </w:pPr>
                </w:p>
              </w:tc>
              <w:tc>
                <w:tcPr>
                  <w:tcW w:w="931" w:type="pct"/>
                  <w:vMerge w:val="continue"/>
                  <w:tcBorders>
                    <w:top w:val="nil"/>
                    <w:left w:val="single" w:color="auto" w:sz="4" w:space="0"/>
                    <w:bottom w:val="single" w:color="auto" w:sz="4" w:space="0"/>
                    <w:right w:val="single" w:color="auto" w:sz="4" w:space="0"/>
                  </w:tcBorders>
                  <w:vAlign w:val="center"/>
                </w:tcPr>
                <w:p w14:paraId="249C78F8">
                  <w:pPr>
                    <w:snapToGrid w:val="0"/>
                    <w:jc w:val="center"/>
                    <w:rPr>
                      <w:rFonts w:ascii="仿宋_GB2312" w:hAnsi="仿宋_GB2312" w:eastAsia="仿宋_GB2312" w:cs="仿宋_GB2312"/>
                      <w:b/>
                      <w:bCs/>
                      <w:color w:val="auto"/>
                      <w:sz w:val="24"/>
                      <w:highlight w:val="none"/>
                    </w:rPr>
                  </w:pPr>
                </w:p>
              </w:tc>
              <w:tc>
                <w:tcPr>
                  <w:tcW w:w="3522" w:type="pct"/>
                  <w:gridSpan w:val="2"/>
                  <w:tcBorders>
                    <w:top w:val="single" w:color="auto" w:sz="4" w:space="0"/>
                    <w:left w:val="nil"/>
                    <w:bottom w:val="single" w:color="auto" w:sz="4" w:space="0"/>
                    <w:right w:val="single" w:color="000000" w:sz="8" w:space="0"/>
                  </w:tcBorders>
                  <w:shd w:val="clear" w:color="auto" w:fill="auto"/>
                  <w:tcMar>
                    <w:top w:w="15" w:type="dxa"/>
                    <w:left w:w="15" w:type="dxa"/>
                    <w:bottom w:w="0" w:type="dxa"/>
                    <w:right w:w="15" w:type="dxa"/>
                  </w:tcMar>
                  <w:vAlign w:val="center"/>
                </w:tcPr>
                <w:p w14:paraId="34099D7C">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电机与减速箱之间用挠性联轴器传动。工作制动器为带式制动器，安装在电机上部。驱动主机与驱动主轴之间采用双排链条传动，其安全系数不小于5。</w:t>
                  </w:r>
                </w:p>
              </w:tc>
            </w:tr>
            <w:tr w14:paraId="423DF278">
              <w:tblPrEx>
                <w:tblCellMar>
                  <w:top w:w="0" w:type="dxa"/>
                  <w:left w:w="0" w:type="dxa"/>
                  <w:bottom w:w="0" w:type="dxa"/>
                  <w:right w:w="0" w:type="dxa"/>
                </w:tblCellMar>
              </w:tblPrEx>
              <w:trPr>
                <w:trHeight w:val="850"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3725A94E">
                  <w:pPr>
                    <w:snapToGrid w:val="0"/>
                    <w:rPr>
                      <w:rFonts w:ascii="仿宋_GB2312" w:hAnsi="仿宋_GB2312" w:eastAsia="仿宋_GB2312" w:cs="仿宋_GB2312"/>
                      <w:b/>
                      <w:bCs/>
                      <w:color w:val="auto"/>
                      <w:sz w:val="24"/>
                      <w:highlight w:val="none"/>
                    </w:rPr>
                  </w:pPr>
                </w:p>
              </w:tc>
              <w:tc>
                <w:tcPr>
                  <w:tcW w:w="931" w:type="pct"/>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1FB88763">
                  <w:pPr>
                    <w:snapToGrid w:val="0"/>
                    <w:jc w:val="center"/>
                    <w:rPr>
                      <w:rFonts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rPr>
                    <w:t>桁架结构</w:t>
                  </w:r>
                </w:p>
              </w:tc>
              <w:tc>
                <w:tcPr>
                  <w:tcW w:w="3522" w:type="pct"/>
                  <w:gridSpan w:val="2"/>
                  <w:tcBorders>
                    <w:top w:val="single" w:color="auto" w:sz="4" w:space="0"/>
                    <w:left w:val="nil"/>
                    <w:bottom w:val="single" w:color="auto" w:sz="4" w:space="0"/>
                    <w:right w:val="single" w:color="000000" w:sz="8" w:space="0"/>
                  </w:tcBorders>
                  <w:shd w:val="clear" w:color="auto" w:fill="auto"/>
                  <w:tcMar>
                    <w:top w:w="15" w:type="dxa"/>
                    <w:left w:w="15" w:type="dxa"/>
                    <w:bottom w:w="0" w:type="dxa"/>
                    <w:right w:w="15" w:type="dxa"/>
                  </w:tcMar>
                  <w:vAlign w:val="center"/>
                </w:tcPr>
                <w:p w14:paraId="4F94A498">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桁架为优质角钢焊接框架结构。</w:t>
                  </w:r>
                </w:p>
              </w:tc>
            </w:tr>
            <w:tr w14:paraId="04EFA84F">
              <w:tblPrEx>
                <w:tblCellMar>
                  <w:top w:w="0" w:type="dxa"/>
                  <w:left w:w="0" w:type="dxa"/>
                  <w:bottom w:w="0" w:type="dxa"/>
                  <w:right w:w="0" w:type="dxa"/>
                </w:tblCellMar>
              </w:tblPrEx>
              <w:trPr>
                <w:trHeight w:val="850"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32D31836">
                  <w:pPr>
                    <w:snapToGrid w:val="0"/>
                    <w:rPr>
                      <w:rFonts w:ascii="仿宋_GB2312" w:hAnsi="仿宋_GB2312" w:eastAsia="仿宋_GB2312" w:cs="仿宋_GB2312"/>
                      <w:b/>
                      <w:bCs/>
                      <w:color w:val="auto"/>
                      <w:sz w:val="24"/>
                      <w:highlight w:val="none"/>
                    </w:rPr>
                  </w:pPr>
                </w:p>
              </w:tc>
              <w:tc>
                <w:tcPr>
                  <w:tcW w:w="931" w:type="pct"/>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19762ACD">
                  <w:pPr>
                    <w:snapToGrid w:val="0"/>
                    <w:jc w:val="center"/>
                    <w:rPr>
                      <w:rFonts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rPr>
                    <w:t>桁架挠度</w:t>
                  </w:r>
                </w:p>
              </w:tc>
              <w:tc>
                <w:tcPr>
                  <w:tcW w:w="3522" w:type="pct"/>
                  <w:gridSpan w:val="2"/>
                  <w:tcBorders>
                    <w:top w:val="single" w:color="auto" w:sz="4" w:space="0"/>
                    <w:left w:val="nil"/>
                    <w:bottom w:val="single" w:color="auto" w:sz="4" w:space="0"/>
                    <w:right w:val="single" w:color="000000" w:sz="8" w:space="0"/>
                  </w:tcBorders>
                  <w:shd w:val="clear" w:color="auto" w:fill="auto"/>
                  <w:tcMar>
                    <w:top w:w="15" w:type="dxa"/>
                    <w:left w:w="15" w:type="dxa"/>
                    <w:bottom w:w="0" w:type="dxa"/>
                    <w:right w:w="15" w:type="dxa"/>
                  </w:tcMar>
                  <w:vAlign w:val="center"/>
                </w:tcPr>
                <w:p w14:paraId="54D413E1">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符合GB 16899-2011中规范要求，根据5000N/m'的载荷计算或实测的最大挠度，不大于支承距离的1/750。</w:t>
                  </w:r>
                </w:p>
              </w:tc>
            </w:tr>
            <w:tr w14:paraId="731B5D42">
              <w:tblPrEx>
                <w:tblCellMar>
                  <w:top w:w="0" w:type="dxa"/>
                  <w:left w:w="0" w:type="dxa"/>
                  <w:bottom w:w="0" w:type="dxa"/>
                  <w:right w:w="0" w:type="dxa"/>
                </w:tblCellMar>
              </w:tblPrEx>
              <w:trPr>
                <w:trHeight w:val="850"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5276A9EE">
                  <w:pPr>
                    <w:snapToGrid w:val="0"/>
                    <w:rPr>
                      <w:rFonts w:ascii="仿宋_GB2312" w:hAnsi="仿宋_GB2312" w:eastAsia="仿宋_GB2312" w:cs="仿宋_GB2312"/>
                      <w:b/>
                      <w:bCs/>
                      <w:color w:val="auto"/>
                      <w:sz w:val="24"/>
                      <w:highlight w:val="none"/>
                    </w:rPr>
                  </w:pPr>
                </w:p>
              </w:tc>
              <w:tc>
                <w:tcPr>
                  <w:tcW w:w="931" w:type="pct"/>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69080255">
                  <w:pPr>
                    <w:snapToGrid w:val="0"/>
                    <w:jc w:val="center"/>
                    <w:rPr>
                      <w:rFonts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rPr>
                    <w:t>驱动主轴</w:t>
                  </w:r>
                </w:p>
              </w:tc>
              <w:tc>
                <w:tcPr>
                  <w:tcW w:w="3522" w:type="pct"/>
                  <w:gridSpan w:val="2"/>
                  <w:tcBorders>
                    <w:top w:val="single" w:color="auto" w:sz="4" w:space="0"/>
                    <w:left w:val="nil"/>
                    <w:bottom w:val="single" w:color="auto" w:sz="4" w:space="0"/>
                    <w:right w:val="single" w:color="000000" w:sz="8" w:space="0"/>
                  </w:tcBorders>
                  <w:shd w:val="clear" w:color="auto" w:fill="auto"/>
                  <w:tcMar>
                    <w:top w:w="15" w:type="dxa"/>
                    <w:left w:w="15" w:type="dxa"/>
                    <w:bottom w:w="0" w:type="dxa"/>
                    <w:right w:w="15" w:type="dxa"/>
                  </w:tcMar>
                  <w:vAlign w:val="center"/>
                </w:tcPr>
                <w:p w14:paraId="39B936BA">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主驱动轴上安装有主驱动链轮，链轮通过链条与位于下端转向站内的张紧链轮相连，形成一个闭环，是传递动力的核心旋转部件，具有高强度结构性能。</w:t>
                  </w:r>
                </w:p>
              </w:tc>
            </w:tr>
            <w:tr w14:paraId="3A2CC0C7">
              <w:tblPrEx>
                <w:tblCellMar>
                  <w:top w:w="0" w:type="dxa"/>
                  <w:left w:w="0" w:type="dxa"/>
                  <w:bottom w:w="0" w:type="dxa"/>
                  <w:right w:w="0" w:type="dxa"/>
                </w:tblCellMar>
              </w:tblPrEx>
              <w:trPr>
                <w:trHeight w:val="850"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281013A8">
                  <w:pPr>
                    <w:snapToGrid w:val="0"/>
                    <w:rPr>
                      <w:rFonts w:ascii="仿宋_GB2312" w:hAnsi="仿宋_GB2312" w:eastAsia="仿宋_GB2312" w:cs="仿宋_GB2312"/>
                      <w:b/>
                      <w:bCs/>
                      <w:color w:val="auto"/>
                      <w:sz w:val="24"/>
                      <w:highlight w:val="none"/>
                    </w:rPr>
                  </w:pPr>
                </w:p>
              </w:tc>
              <w:tc>
                <w:tcPr>
                  <w:tcW w:w="931" w:type="pct"/>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0F8FE9D8">
                  <w:pPr>
                    <w:snapToGrid w:val="0"/>
                    <w:jc w:val="center"/>
                    <w:rPr>
                      <w:rFonts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rPr>
                    <w:t>驱动链安全装置</w:t>
                  </w:r>
                </w:p>
              </w:tc>
              <w:tc>
                <w:tcPr>
                  <w:tcW w:w="3522" w:type="pct"/>
                  <w:gridSpan w:val="2"/>
                  <w:tcBorders>
                    <w:top w:val="single" w:color="auto" w:sz="4" w:space="0"/>
                    <w:left w:val="nil"/>
                    <w:bottom w:val="single" w:color="auto" w:sz="4" w:space="0"/>
                    <w:right w:val="single" w:color="000000" w:sz="8" w:space="0"/>
                  </w:tcBorders>
                  <w:shd w:val="clear" w:color="auto" w:fill="auto"/>
                  <w:tcMar>
                    <w:top w:w="15" w:type="dxa"/>
                    <w:left w:w="15" w:type="dxa"/>
                    <w:bottom w:w="0" w:type="dxa"/>
                    <w:right w:w="15" w:type="dxa"/>
                  </w:tcMar>
                  <w:vAlign w:val="center"/>
                </w:tcPr>
                <w:p w14:paraId="7DD485AF">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链条张紧装置安装在扶梯下部机房。其由一个带滚轮的滑动底座，张紧弹簧及梯级断裂保护装置组成。此装置应易于调整，维修方便。以保护乘客的人身安全。</w:t>
                  </w:r>
                </w:p>
              </w:tc>
            </w:tr>
            <w:tr w14:paraId="2D23AF84">
              <w:tblPrEx>
                <w:tblCellMar>
                  <w:top w:w="0" w:type="dxa"/>
                  <w:left w:w="0" w:type="dxa"/>
                  <w:bottom w:w="0" w:type="dxa"/>
                  <w:right w:w="0" w:type="dxa"/>
                </w:tblCellMar>
              </w:tblPrEx>
              <w:trPr>
                <w:trHeight w:val="850"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452A430A">
                  <w:pPr>
                    <w:snapToGrid w:val="0"/>
                    <w:rPr>
                      <w:rFonts w:ascii="仿宋_GB2312" w:hAnsi="仿宋_GB2312" w:eastAsia="仿宋_GB2312" w:cs="仿宋_GB2312"/>
                      <w:b/>
                      <w:bCs/>
                      <w:color w:val="auto"/>
                      <w:sz w:val="24"/>
                      <w:highlight w:val="none"/>
                    </w:rPr>
                  </w:pPr>
                </w:p>
              </w:tc>
              <w:tc>
                <w:tcPr>
                  <w:tcW w:w="931" w:type="pct"/>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748D4710">
                  <w:pPr>
                    <w:snapToGrid w:val="0"/>
                    <w:jc w:val="center"/>
                    <w:rPr>
                      <w:rFonts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rPr>
                    <w:t>反向导轨装置</w:t>
                  </w:r>
                </w:p>
              </w:tc>
              <w:tc>
                <w:tcPr>
                  <w:tcW w:w="3522" w:type="pct"/>
                  <w:gridSpan w:val="2"/>
                  <w:tcBorders>
                    <w:top w:val="single" w:color="auto" w:sz="4" w:space="0"/>
                    <w:left w:val="nil"/>
                    <w:bottom w:val="single" w:color="auto" w:sz="4" w:space="0"/>
                    <w:right w:val="single" w:color="000000" w:sz="8" w:space="0"/>
                  </w:tcBorders>
                  <w:shd w:val="clear" w:color="auto" w:fill="auto"/>
                  <w:tcMar>
                    <w:top w:w="15" w:type="dxa"/>
                    <w:left w:w="15" w:type="dxa"/>
                    <w:bottom w:w="0" w:type="dxa"/>
                    <w:right w:w="15" w:type="dxa"/>
                  </w:tcMar>
                  <w:vAlign w:val="center"/>
                </w:tcPr>
                <w:p w14:paraId="23C53D34">
                  <w:pPr>
                    <w:snapToGrid w:val="0"/>
                    <w:jc w:val="left"/>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其安装在下部曲线导轨的转向链装置上。一旦梯级链断裂，其可防止梯级链滑入下部机房。</w:t>
                  </w:r>
                </w:p>
              </w:tc>
            </w:tr>
            <w:tr w14:paraId="6FFEF321">
              <w:tblPrEx>
                <w:tblCellMar>
                  <w:top w:w="0" w:type="dxa"/>
                  <w:left w:w="0" w:type="dxa"/>
                  <w:bottom w:w="0" w:type="dxa"/>
                  <w:right w:w="0" w:type="dxa"/>
                </w:tblCellMar>
              </w:tblPrEx>
              <w:trPr>
                <w:trHeight w:val="850"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69657F8F">
                  <w:pPr>
                    <w:snapToGrid w:val="0"/>
                    <w:rPr>
                      <w:rFonts w:ascii="仿宋_GB2312" w:hAnsi="仿宋_GB2312" w:eastAsia="仿宋_GB2312" w:cs="仿宋_GB2312"/>
                      <w:b/>
                      <w:bCs/>
                      <w:color w:val="auto"/>
                      <w:sz w:val="24"/>
                      <w:highlight w:val="none"/>
                    </w:rPr>
                  </w:pPr>
                </w:p>
              </w:tc>
              <w:tc>
                <w:tcPr>
                  <w:tcW w:w="931" w:type="pct"/>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58B46129">
                  <w:pPr>
                    <w:snapToGrid w:val="0"/>
                    <w:jc w:val="center"/>
                    <w:rPr>
                      <w:rFonts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rPr>
                    <w:t>铝合金梯级</w:t>
                  </w:r>
                </w:p>
              </w:tc>
              <w:tc>
                <w:tcPr>
                  <w:tcW w:w="3522" w:type="pct"/>
                  <w:gridSpan w:val="2"/>
                  <w:tcBorders>
                    <w:top w:val="single" w:color="auto" w:sz="4" w:space="0"/>
                    <w:left w:val="nil"/>
                    <w:bottom w:val="single" w:color="auto" w:sz="4" w:space="0"/>
                    <w:right w:val="single" w:color="000000" w:sz="8" w:space="0"/>
                  </w:tcBorders>
                  <w:shd w:val="clear" w:color="auto" w:fill="auto"/>
                  <w:tcMar>
                    <w:top w:w="15" w:type="dxa"/>
                    <w:left w:w="15" w:type="dxa"/>
                    <w:bottom w:w="0" w:type="dxa"/>
                    <w:right w:w="15" w:type="dxa"/>
                  </w:tcMar>
                  <w:vAlign w:val="center"/>
                </w:tcPr>
                <w:p w14:paraId="24DD6F08">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梯级为防腐铝压铸而成；有梯级丢失监控装置，梯级丢失时，丢失梯级处在进入梳齿板前停止运行。</w:t>
                  </w:r>
                </w:p>
              </w:tc>
            </w:tr>
            <w:tr w14:paraId="3A5A3746">
              <w:tblPrEx>
                <w:tblCellMar>
                  <w:top w:w="0" w:type="dxa"/>
                  <w:left w:w="0" w:type="dxa"/>
                  <w:bottom w:w="0" w:type="dxa"/>
                  <w:right w:w="0" w:type="dxa"/>
                </w:tblCellMar>
              </w:tblPrEx>
              <w:trPr>
                <w:trHeight w:val="850"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1ABCC597">
                  <w:pPr>
                    <w:snapToGrid w:val="0"/>
                    <w:rPr>
                      <w:rFonts w:ascii="仿宋_GB2312" w:hAnsi="仿宋_GB2312" w:eastAsia="仿宋_GB2312" w:cs="仿宋_GB2312"/>
                      <w:b/>
                      <w:bCs/>
                      <w:color w:val="auto"/>
                      <w:sz w:val="24"/>
                      <w:highlight w:val="none"/>
                    </w:rPr>
                  </w:pPr>
                </w:p>
              </w:tc>
              <w:tc>
                <w:tcPr>
                  <w:tcW w:w="931" w:type="pct"/>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5E151F23">
                  <w:pPr>
                    <w:snapToGrid w:val="0"/>
                    <w:jc w:val="center"/>
                    <w:rPr>
                      <w:rFonts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rPr>
                    <w:t>梯级轴</w:t>
                  </w:r>
                </w:p>
              </w:tc>
              <w:tc>
                <w:tcPr>
                  <w:tcW w:w="3522" w:type="pct"/>
                  <w:gridSpan w:val="2"/>
                  <w:tcBorders>
                    <w:top w:val="single" w:color="auto" w:sz="4" w:space="0"/>
                    <w:left w:val="nil"/>
                    <w:bottom w:val="single" w:color="auto" w:sz="4" w:space="0"/>
                    <w:right w:val="single" w:color="000000" w:sz="8" w:space="0"/>
                  </w:tcBorders>
                  <w:shd w:val="clear" w:color="auto" w:fill="auto"/>
                  <w:tcMar>
                    <w:top w:w="15" w:type="dxa"/>
                    <w:left w:w="15" w:type="dxa"/>
                    <w:bottom w:w="0" w:type="dxa"/>
                    <w:right w:w="15" w:type="dxa"/>
                  </w:tcMar>
                  <w:vAlign w:val="center"/>
                </w:tcPr>
                <w:p w14:paraId="14939739">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使用连续的梯级长轴连接梯级和梯级链。梯级长轴应可以分担瞬时梯级的偏载扭矩，减少瞬时冲击对扶梯系统的破坏，提高乘客的乘梯的安全。</w:t>
                  </w:r>
                </w:p>
              </w:tc>
            </w:tr>
            <w:tr w14:paraId="3A10EA4D">
              <w:tblPrEx>
                <w:tblCellMar>
                  <w:top w:w="0" w:type="dxa"/>
                  <w:left w:w="0" w:type="dxa"/>
                  <w:bottom w:w="0" w:type="dxa"/>
                  <w:right w:w="0" w:type="dxa"/>
                </w:tblCellMar>
              </w:tblPrEx>
              <w:trPr>
                <w:trHeight w:val="850"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294E605C">
                  <w:pPr>
                    <w:snapToGrid w:val="0"/>
                    <w:rPr>
                      <w:rFonts w:ascii="仿宋_GB2312" w:hAnsi="仿宋_GB2312" w:eastAsia="仿宋_GB2312" w:cs="仿宋_GB2312"/>
                      <w:b/>
                      <w:bCs/>
                      <w:color w:val="auto"/>
                      <w:sz w:val="24"/>
                      <w:highlight w:val="none"/>
                    </w:rPr>
                  </w:pPr>
                </w:p>
              </w:tc>
              <w:tc>
                <w:tcPr>
                  <w:tcW w:w="931" w:type="pct"/>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2DF61325">
                  <w:pPr>
                    <w:snapToGrid w:val="0"/>
                    <w:jc w:val="center"/>
                    <w:rPr>
                      <w:rFonts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rPr>
                    <w:t>梯级滚轮</w:t>
                  </w:r>
                </w:p>
              </w:tc>
              <w:tc>
                <w:tcPr>
                  <w:tcW w:w="3522" w:type="pct"/>
                  <w:gridSpan w:val="2"/>
                  <w:tcBorders>
                    <w:top w:val="single" w:color="auto" w:sz="4" w:space="0"/>
                    <w:left w:val="nil"/>
                    <w:bottom w:val="single" w:color="auto" w:sz="4" w:space="0"/>
                    <w:right w:val="single" w:color="000000" w:sz="8" w:space="0"/>
                  </w:tcBorders>
                  <w:shd w:val="clear" w:color="auto" w:fill="auto"/>
                  <w:tcMar>
                    <w:top w:w="15" w:type="dxa"/>
                    <w:left w:w="15" w:type="dxa"/>
                    <w:bottom w:w="0" w:type="dxa"/>
                    <w:right w:w="15" w:type="dxa"/>
                  </w:tcMar>
                  <w:vAlign w:val="center"/>
                </w:tcPr>
                <w:p w14:paraId="0F5774DF">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梯级滚轮应由特殊耐磨的抗水解的聚亚安酯材料加工的轮缘和高质量的轴承组成。提高了其使用的寿命，保证整个系统高效，安全的运行。</w:t>
                  </w:r>
                </w:p>
              </w:tc>
            </w:tr>
            <w:tr w14:paraId="47DC0038">
              <w:tblPrEx>
                <w:tblCellMar>
                  <w:top w:w="0" w:type="dxa"/>
                  <w:left w:w="0" w:type="dxa"/>
                  <w:bottom w:w="0" w:type="dxa"/>
                  <w:right w:w="0" w:type="dxa"/>
                </w:tblCellMar>
              </w:tblPrEx>
              <w:trPr>
                <w:trHeight w:val="850"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062F31FE">
                  <w:pPr>
                    <w:snapToGrid w:val="0"/>
                    <w:rPr>
                      <w:rFonts w:ascii="仿宋_GB2312" w:hAnsi="仿宋_GB2312" w:eastAsia="仿宋_GB2312" w:cs="仿宋_GB2312"/>
                      <w:b/>
                      <w:bCs/>
                      <w:color w:val="auto"/>
                      <w:sz w:val="24"/>
                      <w:highlight w:val="none"/>
                    </w:rPr>
                  </w:pPr>
                </w:p>
              </w:tc>
              <w:tc>
                <w:tcPr>
                  <w:tcW w:w="931" w:type="pct"/>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437AE379">
                  <w:pPr>
                    <w:snapToGrid w:val="0"/>
                    <w:jc w:val="center"/>
                    <w:rPr>
                      <w:rFonts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rPr>
                    <w:t>梯级导向装置</w:t>
                  </w:r>
                </w:p>
              </w:tc>
              <w:tc>
                <w:tcPr>
                  <w:tcW w:w="3522" w:type="pct"/>
                  <w:gridSpan w:val="2"/>
                  <w:tcBorders>
                    <w:top w:val="single" w:color="auto" w:sz="4" w:space="0"/>
                    <w:left w:val="nil"/>
                    <w:bottom w:val="single" w:color="auto" w:sz="4" w:space="0"/>
                    <w:right w:val="single" w:color="000000" w:sz="8" w:space="0"/>
                  </w:tcBorders>
                  <w:shd w:val="clear" w:color="auto" w:fill="auto"/>
                  <w:tcMar>
                    <w:top w:w="15" w:type="dxa"/>
                    <w:left w:w="15" w:type="dxa"/>
                    <w:bottom w:w="0" w:type="dxa"/>
                    <w:right w:w="15" w:type="dxa"/>
                  </w:tcMar>
                  <w:vAlign w:val="center"/>
                </w:tcPr>
                <w:p w14:paraId="4A8CAC86">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梯级导向装置应防止梯级与围裙板直接接触，避免划伤围裙板。</w:t>
                  </w:r>
                </w:p>
              </w:tc>
            </w:tr>
            <w:tr w14:paraId="14754480">
              <w:tblPrEx>
                <w:tblCellMar>
                  <w:top w:w="0" w:type="dxa"/>
                  <w:left w:w="0" w:type="dxa"/>
                  <w:bottom w:w="0" w:type="dxa"/>
                  <w:right w:w="0" w:type="dxa"/>
                </w:tblCellMar>
              </w:tblPrEx>
              <w:trPr>
                <w:trHeight w:val="850"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02162925">
                  <w:pPr>
                    <w:snapToGrid w:val="0"/>
                    <w:rPr>
                      <w:rFonts w:ascii="仿宋_GB2312" w:hAnsi="仿宋_GB2312" w:eastAsia="仿宋_GB2312" w:cs="仿宋_GB2312"/>
                      <w:b/>
                      <w:bCs/>
                      <w:color w:val="auto"/>
                      <w:sz w:val="24"/>
                      <w:highlight w:val="none"/>
                    </w:rPr>
                  </w:pPr>
                </w:p>
              </w:tc>
              <w:tc>
                <w:tcPr>
                  <w:tcW w:w="931" w:type="pct"/>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02E240D5">
                  <w:pPr>
                    <w:snapToGrid w:val="0"/>
                    <w:jc w:val="center"/>
                    <w:rPr>
                      <w:rFonts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rPr>
                    <w:t>梯级链条</w:t>
                  </w:r>
                </w:p>
              </w:tc>
              <w:tc>
                <w:tcPr>
                  <w:tcW w:w="3522" w:type="pct"/>
                  <w:gridSpan w:val="2"/>
                  <w:tcBorders>
                    <w:top w:val="single" w:color="auto" w:sz="4" w:space="0"/>
                    <w:left w:val="nil"/>
                    <w:bottom w:val="single" w:color="auto" w:sz="4" w:space="0"/>
                    <w:right w:val="single" w:color="000000" w:sz="8" w:space="0"/>
                  </w:tcBorders>
                  <w:shd w:val="clear" w:color="auto" w:fill="auto"/>
                  <w:tcMar>
                    <w:top w:w="15" w:type="dxa"/>
                    <w:left w:w="15" w:type="dxa"/>
                    <w:bottom w:w="0" w:type="dxa"/>
                    <w:right w:w="15" w:type="dxa"/>
                  </w:tcMar>
                  <w:vAlign w:val="center"/>
                </w:tcPr>
                <w:p w14:paraId="4E024232">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梯级链应是为扶梯设计的专用滚子链条。</w:t>
                  </w:r>
                </w:p>
              </w:tc>
            </w:tr>
            <w:tr w14:paraId="53CDF236">
              <w:tblPrEx>
                <w:tblCellMar>
                  <w:top w:w="0" w:type="dxa"/>
                  <w:left w:w="0" w:type="dxa"/>
                  <w:bottom w:w="0" w:type="dxa"/>
                  <w:right w:w="0" w:type="dxa"/>
                </w:tblCellMar>
              </w:tblPrEx>
              <w:trPr>
                <w:trHeight w:val="850"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380E5242">
                  <w:pPr>
                    <w:snapToGrid w:val="0"/>
                    <w:rPr>
                      <w:rFonts w:ascii="仿宋_GB2312" w:hAnsi="仿宋_GB2312" w:eastAsia="仿宋_GB2312" w:cs="仿宋_GB2312"/>
                      <w:b/>
                      <w:bCs/>
                      <w:color w:val="auto"/>
                      <w:sz w:val="24"/>
                      <w:highlight w:val="none"/>
                    </w:rPr>
                  </w:pPr>
                </w:p>
              </w:tc>
              <w:tc>
                <w:tcPr>
                  <w:tcW w:w="931" w:type="pct"/>
                  <w:vMerge w:val="restart"/>
                  <w:tcBorders>
                    <w:top w:val="nil"/>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337E0C6E">
                  <w:pPr>
                    <w:snapToGrid w:val="0"/>
                    <w:jc w:val="center"/>
                    <w:rPr>
                      <w:rFonts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rPr>
                    <w:t>梯级链滚轮</w:t>
                  </w:r>
                </w:p>
              </w:tc>
              <w:tc>
                <w:tcPr>
                  <w:tcW w:w="3522" w:type="pct"/>
                  <w:gridSpan w:val="2"/>
                  <w:vMerge w:val="restart"/>
                  <w:tcBorders>
                    <w:top w:val="single" w:color="auto" w:sz="4" w:space="0"/>
                    <w:left w:val="single" w:color="auto" w:sz="4" w:space="0"/>
                    <w:bottom w:val="single" w:color="auto" w:sz="4" w:space="0"/>
                    <w:right w:val="single" w:color="000000" w:sz="8" w:space="0"/>
                  </w:tcBorders>
                  <w:shd w:val="clear" w:color="auto" w:fill="auto"/>
                  <w:tcMar>
                    <w:top w:w="15" w:type="dxa"/>
                    <w:left w:w="15" w:type="dxa"/>
                    <w:bottom w:w="0" w:type="dxa"/>
                    <w:right w:w="15" w:type="dxa"/>
                  </w:tcMar>
                  <w:vAlign w:val="center"/>
                </w:tcPr>
                <w:p w14:paraId="3FF1E728">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梯级链滚轮应由特殊耐磨的抗水解的聚亚安酯材料加工的轮缘组成。可以使得在链条的使用期间，不会因为滚轮的水解而更换整个链条。</w:t>
                  </w:r>
                </w:p>
              </w:tc>
            </w:tr>
            <w:tr w14:paraId="294C2F55">
              <w:tblPrEx>
                <w:tblCellMar>
                  <w:top w:w="0" w:type="dxa"/>
                  <w:left w:w="0" w:type="dxa"/>
                  <w:bottom w:w="0" w:type="dxa"/>
                  <w:right w:w="0" w:type="dxa"/>
                </w:tblCellMar>
              </w:tblPrEx>
              <w:trPr>
                <w:trHeight w:val="850"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4215ABB8">
                  <w:pPr>
                    <w:snapToGrid w:val="0"/>
                    <w:rPr>
                      <w:rFonts w:ascii="仿宋_GB2312" w:hAnsi="仿宋_GB2312" w:eastAsia="仿宋_GB2312" w:cs="仿宋_GB2312"/>
                      <w:b/>
                      <w:bCs/>
                      <w:color w:val="auto"/>
                      <w:sz w:val="24"/>
                      <w:highlight w:val="none"/>
                    </w:rPr>
                  </w:pPr>
                </w:p>
              </w:tc>
              <w:tc>
                <w:tcPr>
                  <w:tcW w:w="931" w:type="pct"/>
                  <w:vMerge w:val="continue"/>
                  <w:tcBorders>
                    <w:top w:val="nil"/>
                    <w:left w:val="single" w:color="auto" w:sz="4" w:space="0"/>
                    <w:bottom w:val="single" w:color="auto" w:sz="4" w:space="0"/>
                    <w:right w:val="single" w:color="auto" w:sz="4" w:space="0"/>
                  </w:tcBorders>
                  <w:vAlign w:val="center"/>
                </w:tcPr>
                <w:p w14:paraId="234F2ABF">
                  <w:pPr>
                    <w:snapToGrid w:val="0"/>
                    <w:jc w:val="center"/>
                    <w:rPr>
                      <w:rFonts w:ascii="仿宋_GB2312" w:hAnsi="仿宋_GB2312" w:eastAsia="仿宋_GB2312" w:cs="仿宋_GB2312"/>
                      <w:b/>
                      <w:bCs/>
                      <w:color w:val="auto"/>
                      <w:sz w:val="24"/>
                      <w:highlight w:val="none"/>
                    </w:rPr>
                  </w:pPr>
                </w:p>
              </w:tc>
              <w:tc>
                <w:tcPr>
                  <w:tcW w:w="3522" w:type="pct"/>
                  <w:gridSpan w:val="2"/>
                  <w:vMerge w:val="continue"/>
                  <w:tcBorders>
                    <w:top w:val="single" w:color="auto" w:sz="4" w:space="0"/>
                    <w:left w:val="single" w:color="auto" w:sz="4" w:space="0"/>
                    <w:bottom w:val="single" w:color="auto" w:sz="4" w:space="0"/>
                    <w:right w:val="single" w:color="000000" w:sz="8" w:space="0"/>
                  </w:tcBorders>
                  <w:vAlign w:val="center"/>
                </w:tcPr>
                <w:p w14:paraId="52F585F2">
                  <w:pPr>
                    <w:snapToGrid w:val="0"/>
                    <w:rPr>
                      <w:rFonts w:ascii="仿宋_GB2312" w:hAnsi="仿宋_GB2312" w:eastAsia="仿宋_GB2312" w:cs="仿宋_GB2312"/>
                      <w:color w:val="auto"/>
                      <w:sz w:val="24"/>
                      <w:highlight w:val="none"/>
                    </w:rPr>
                  </w:pPr>
                </w:p>
              </w:tc>
            </w:tr>
            <w:tr w14:paraId="09906D1B">
              <w:tblPrEx>
                <w:tblCellMar>
                  <w:top w:w="0" w:type="dxa"/>
                  <w:left w:w="0" w:type="dxa"/>
                  <w:bottom w:w="0" w:type="dxa"/>
                  <w:right w:w="0" w:type="dxa"/>
                </w:tblCellMar>
              </w:tblPrEx>
              <w:trPr>
                <w:trHeight w:val="850"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08AF562D">
                  <w:pPr>
                    <w:snapToGrid w:val="0"/>
                    <w:rPr>
                      <w:rFonts w:ascii="仿宋_GB2312" w:hAnsi="仿宋_GB2312" w:eastAsia="仿宋_GB2312" w:cs="仿宋_GB2312"/>
                      <w:b/>
                      <w:bCs/>
                      <w:color w:val="auto"/>
                      <w:sz w:val="24"/>
                      <w:highlight w:val="none"/>
                    </w:rPr>
                  </w:pPr>
                </w:p>
              </w:tc>
              <w:tc>
                <w:tcPr>
                  <w:tcW w:w="931" w:type="pct"/>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401173AC">
                  <w:pPr>
                    <w:snapToGrid w:val="0"/>
                    <w:jc w:val="center"/>
                    <w:rPr>
                      <w:rFonts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rPr>
                    <w:t>梳齿与梳齿板</w:t>
                  </w:r>
                </w:p>
              </w:tc>
              <w:tc>
                <w:tcPr>
                  <w:tcW w:w="3522" w:type="pct"/>
                  <w:gridSpan w:val="2"/>
                  <w:tcBorders>
                    <w:top w:val="single" w:color="auto" w:sz="4" w:space="0"/>
                    <w:left w:val="nil"/>
                    <w:bottom w:val="single" w:color="auto" w:sz="4" w:space="0"/>
                    <w:right w:val="single" w:color="000000" w:sz="8" w:space="0"/>
                  </w:tcBorders>
                  <w:shd w:val="clear" w:color="auto" w:fill="auto"/>
                  <w:tcMar>
                    <w:top w:w="15" w:type="dxa"/>
                    <w:left w:w="15" w:type="dxa"/>
                    <w:bottom w:w="0" w:type="dxa"/>
                    <w:right w:w="15" w:type="dxa"/>
                  </w:tcMar>
                  <w:vAlign w:val="center"/>
                </w:tcPr>
                <w:p w14:paraId="5AD18E2A">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梳齿应固定在防滑的梳齿板上，可以互换。梳齿嵌入首级梯级踏板凹槽内。整个梳齿板可作微量移动。如有异物塞入梳齿与梯级凹槽之间，梳齿板即会在水平方向移位，触发梳齿板安全开关，使扶梯停车。梳齿材料为铝合金。</w:t>
                  </w:r>
                </w:p>
              </w:tc>
            </w:tr>
            <w:tr w14:paraId="3887DAAE">
              <w:tblPrEx>
                <w:tblCellMar>
                  <w:top w:w="0" w:type="dxa"/>
                  <w:left w:w="0" w:type="dxa"/>
                  <w:bottom w:w="0" w:type="dxa"/>
                  <w:right w:w="0" w:type="dxa"/>
                </w:tblCellMar>
              </w:tblPrEx>
              <w:trPr>
                <w:trHeight w:val="850"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0C4D535A">
                  <w:pPr>
                    <w:snapToGrid w:val="0"/>
                    <w:rPr>
                      <w:rFonts w:ascii="仿宋_GB2312" w:hAnsi="仿宋_GB2312" w:eastAsia="仿宋_GB2312" w:cs="仿宋_GB2312"/>
                      <w:b/>
                      <w:bCs/>
                      <w:color w:val="auto"/>
                      <w:sz w:val="24"/>
                      <w:highlight w:val="none"/>
                    </w:rPr>
                  </w:pPr>
                </w:p>
              </w:tc>
              <w:tc>
                <w:tcPr>
                  <w:tcW w:w="931" w:type="pct"/>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5138D4DB">
                  <w:pPr>
                    <w:snapToGrid w:val="0"/>
                    <w:jc w:val="center"/>
                    <w:rPr>
                      <w:rFonts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rPr>
                    <w:t>扶手护壁板</w:t>
                  </w:r>
                </w:p>
              </w:tc>
              <w:tc>
                <w:tcPr>
                  <w:tcW w:w="3522" w:type="pct"/>
                  <w:gridSpan w:val="2"/>
                  <w:tcBorders>
                    <w:top w:val="single" w:color="auto" w:sz="4" w:space="0"/>
                    <w:left w:val="nil"/>
                    <w:bottom w:val="single" w:color="auto" w:sz="4" w:space="0"/>
                    <w:right w:val="single" w:color="000000" w:sz="8" w:space="0"/>
                  </w:tcBorders>
                  <w:shd w:val="clear" w:color="auto" w:fill="auto"/>
                  <w:tcMar>
                    <w:top w:w="15" w:type="dxa"/>
                    <w:left w:w="15" w:type="dxa"/>
                    <w:bottom w:w="0" w:type="dxa"/>
                    <w:right w:w="15" w:type="dxa"/>
                  </w:tcMar>
                  <w:vAlign w:val="center"/>
                </w:tcPr>
                <w:p w14:paraId="3BC572B3">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≥10毫米厚无色钢化玻璃</w:t>
                  </w:r>
                </w:p>
              </w:tc>
            </w:tr>
            <w:tr w14:paraId="74CAD4D3">
              <w:tblPrEx>
                <w:tblCellMar>
                  <w:top w:w="0" w:type="dxa"/>
                  <w:left w:w="0" w:type="dxa"/>
                  <w:bottom w:w="0" w:type="dxa"/>
                  <w:right w:w="0" w:type="dxa"/>
                </w:tblCellMar>
              </w:tblPrEx>
              <w:trPr>
                <w:trHeight w:val="850"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041C8A6F">
                  <w:pPr>
                    <w:snapToGrid w:val="0"/>
                    <w:rPr>
                      <w:rFonts w:ascii="仿宋_GB2312" w:hAnsi="仿宋_GB2312" w:eastAsia="仿宋_GB2312" w:cs="仿宋_GB2312"/>
                      <w:b/>
                      <w:bCs/>
                      <w:color w:val="auto"/>
                      <w:sz w:val="24"/>
                      <w:highlight w:val="none"/>
                    </w:rPr>
                  </w:pPr>
                </w:p>
              </w:tc>
              <w:tc>
                <w:tcPr>
                  <w:tcW w:w="931" w:type="pct"/>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11E66B2B">
                  <w:pPr>
                    <w:snapToGrid w:val="0"/>
                    <w:jc w:val="center"/>
                    <w:rPr>
                      <w:rFonts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rPr>
                    <w:t>扶手支架型材</w:t>
                  </w:r>
                </w:p>
              </w:tc>
              <w:tc>
                <w:tcPr>
                  <w:tcW w:w="3522" w:type="pct"/>
                  <w:gridSpan w:val="2"/>
                  <w:tcBorders>
                    <w:top w:val="single" w:color="auto" w:sz="4" w:space="0"/>
                    <w:left w:val="nil"/>
                    <w:bottom w:val="single" w:color="auto" w:sz="4" w:space="0"/>
                    <w:right w:val="single" w:color="000000" w:sz="8" w:space="0"/>
                  </w:tcBorders>
                  <w:shd w:val="clear" w:color="auto" w:fill="auto"/>
                  <w:tcMar>
                    <w:top w:w="15" w:type="dxa"/>
                    <w:left w:w="15" w:type="dxa"/>
                    <w:bottom w:w="0" w:type="dxa"/>
                    <w:right w:w="15" w:type="dxa"/>
                  </w:tcMar>
                  <w:vAlign w:val="center"/>
                </w:tcPr>
                <w:p w14:paraId="413958C2">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镀锌钢板</w:t>
                  </w:r>
                </w:p>
              </w:tc>
            </w:tr>
            <w:tr w14:paraId="14925A61">
              <w:tblPrEx>
                <w:tblCellMar>
                  <w:top w:w="0" w:type="dxa"/>
                  <w:left w:w="0" w:type="dxa"/>
                  <w:bottom w:w="0" w:type="dxa"/>
                  <w:right w:w="0" w:type="dxa"/>
                </w:tblCellMar>
              </w:tblPrEx>
              <w:trPr>
                <w:trHeight w:val="850"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676B8DE0">
                  <w:pPr>
                    <w:snapToGrid w:val="0"/>
                    <w:rPr>
                      <w:rFonts w:ascii="仿宋_GB2312" w:hAnsi="仿宋_GB2312" w:eastAsia="仿宋_GB2312" w:cs="仿宋_GB2312"/>
                      <w:b/>
                      <w:bCs/>
                      <w:color w:val="auto"/>
                      <w:sz w:val="24"/>
                      <w:highlight w:val="none"/>
                    </w:rPr>
                  </w:pPr>
                </w:p>
              </w:tc>
              <w:tc>
                <w:tcPr>
                  <w:tcW w:w="931" w:type="pct"/>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45BA4A49">
                  <w:pPr>
                    <w:snapToGrid w:val="0"/>
                    <w:jc w:val="center"/>
                    <w:rPr>
                      <w:rFonts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rPr>
                    <w:t>护壁板接缝</w:t>
                  </w:r>
                </w:p>
              </w:tc>
              <w:tc>
                <w:tcPr>
                  <w:tcW w:w="3522" w:type="pct"/>
                  <w:gridSpan w:val="2"/>
                  <w:tcBorders>
                    <w:top w:val="single" w:color="auto" w:sz="4" w:space="0"/>
                    <w:left w:val="nil"/>
                    <w:bottom w:val="single" w:color="auto" w:sz="4" w:space="0"/>
                    <w:right w:val="single" w:color="000000" w:sz="8" w:space="0"/>
                  </w:tcBorders>
                  <w:shd w:val="clear" w:color="auto" w:fill="auto"/>
                  <w:tcMar>
                    <w:top w:w="15" w:type="dxa"/>
                    <w:left w:w="15" w:type="dxa"/>
                    <w:bottom w:w="0" w:type="dxa"/>
                    <w:right w:w="15" w:type="dxa"/>
                  </w:tcMar>
                  <w:vAlign w:val="center"/>
                </w:tcPr>
                <w:p w14:paraId="6DCE54E2">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与运行方向垂直</w:t>
                  </w:r>
                </w:p>
              </w:tc>
            </w:tr>
            <w:tr w14:paraId="01880F3B">
              <w:tblPrEx>
                <w:tblCellMar>
                  <w:top w:w="0" w:type="dxa"/>
                  <w:left w:w="0" w:type="dxa"/>
                  <w:bottom w:w="0" w:type="dxa"/>
                  <w:right w:w="0" w:type="dxa"/>
                </w:tblCellMar>
              </w:tblPrEx>
              <w:trPr>
                <w:trHeight w:val="850"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0A9D997B">
                  <w:pPr>
                    <w:snapToGrid w:val="0"/>
                    <w:rPr>
                      <w:rFonts w:ascii="仿宋_GB2312" w:hAnsi="仿宋_GB2312" w:eastAsia="仿宋_GB2312" w:cs="仿宋_GB2312"/>
                      <w:b/>
                      <w:bCs/>
                      <w:color w:val="auto"/>
                      <w:sz w:val="24"/>
                      <w:highlight w:val="none"/>
                    </w:rPr>
                  </w:pPr>
                </w:p>
              </w:tc>
              <w:tc>
                <w:tcPr>
                  <w:tcW w:w="931" w:type="pct"/>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195A28E1">
                  <w:pPr>
                    <w:snapToGrid w:val="0"/>
                    <w:jc w:val="center"/>
                    <w:rPr>
                      <w:rFonts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rPr>
                    <w:t>扶手支架高度</w:t>
                  </w:r>
                </w:p>
              </w:tc>
              <w:tc>
                <w:tcPr>
                  <w:tcW w:w="3522" w:type="pct"/>
                  <w:gridSpan w:val="2"/>
                  <w:tcBorders>
                    <w:top w:val="single" w:color="auto" w:sz="4" w:space="0"/>
                    <w:left w:val="nil"/>
                    <w:bottom w:val="single" w:color="auto" w:sz="4" w:space="0"/>
                    <w:right w:val="single" w:color="000000" w:sz="8" w:space="0"/>
                  </w:tcBorders>
                  <w:shd w:val="clear" w:color="auto" w:fill="auto"/>
                  <w:tcMar>
                    <w:top w:w="15" w:type="dxa"/>
                    <w:left w:w="15" w:type="dxa"/>
                    <w:bottom w:w="0" w:type="dxa"/>
                    <w:right w:w="15" w:type="dxa"/>
                  </w:tcMar>
                  <w:vAlign w:val="center"/>
                </w:tcPr>
                <w:p w14:paraId="023291CD">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≥1000mm </w:t>
                  </w:r>
                </w:p>
              </w:tc>
            </w:tr>
            <w:tr w14:paraId="5F36A15C">
              <w:tblPrEx>
                <w:tblCellMar>
                  <w:top w:w="0" w:type="dxa"/>
                  <w:left w:w="0" w:type="dxa"/>
                  <w:bottom w:w="0" w:type="dxa"/>
                  <w:right w:w="0" w:type="dxa"/>
                </w:tblCellMar>
              </w:tblPrEx>
              <w:trPr>
                <w:trHeight w:val="850"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7ED5965E">
                  <w:pPr>
                    <w:snapToGrid w:val="0"/>
                    <w:rPr>
                      <w:rFonts w:ascii="仿宋_GB2312" w:hAnsi="仿宋_GB2312" w:eastAsia="仿宋_GB2312" w:cs="仿宋_GB2312"/>
                      <w:b/>
                      <w:bCs/>
                      <w:color w:val="auto"/>
                      <w:sz w:val="24"/>
                      <w:highlight w:val="none"/>
                    </w:rPr>
                  </w:pPr>
                </w:p>
              </w:tc>
              <w:tc>
                <w:tcPr>
                  <w:tcW w:w="931" w:type="pct"/>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3F31D5B5">
                  <w:pPr>
                    <w:snapToGrid w:val="0"/>
                    <w:jc w:val="center"/>
                    <w:rPr>
                      <w:rFonts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rPr>
                    <w:t>围裙板</w:t>
                  </w:r>
                </w:p>
              </w:tc>
              <w:tc>
                <w:tcPr>
                  <w:tcW w:w="3522" w:type="pct"/>
                  <w:gridSpan w:val="2"/>
                  <w:tcBorders>
                    <w:top w:val="single" w:color="auto" w:sz="4" w:space="0"/>
                    <w:left w:val="nil"/>
                    <w:bottom w:val="single" w:color="auto" w:sz="4" w:space="0"/>
                    <w:right w:val="single" w:color="000000" w:sz="8" w:space="0"/>
                  </w:tcBorders>
                  <w:shd w:val="clear" w:color="auto" w:fill="auto"/>
                  <w:tcMar>
                    <w:top w:w="15" w:type="dxa"/>
                    <w:left w:w="15" w:type="dxa"/>
                    <w:bottom w:w="0" w:type="dxa"/>
                    <w:right w:w="15" w:type="dxa"/>
                  </w:tcMar>
                  <w:vAlign w:val="center"/>
                </w:tcPr>
                <w:p w14:paraId="210751E2">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≥2.0mm厚304#发纹不锈钢， </w:t>
                  </w:r>
                </w:p>
              </w:tc>
            </w:tr>
            <w:tr w14:paraId="115DAB9C">
              <w:tblPrEx>
                <w:tblCellMar>
                  <w:top w:w="0" w:type="dxa"/>
                  <w:left w:w="0" w:type="dxa"/>
                  <w:bottom w:w="0" w:type="dxa"/>
                  <w:right w:w="0" w:type="dxa"/>
                </w:tblCellMar>
              </w:tblPrEx>
              <w:trPr>
                <w:trHeight w:val="850"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79C62709">
                  <w:pPr>
                    <w:snapToGrid w:val="0"/>
                    <w:rPr>
                      <w:rFonts w:ascii="仿宋_GB2312" w:hAnsi="仿宋_GB2312" w:eastAsia="仿宋_GB2312" w:cs="仿宋_GB2312"/>
                      <w:b/>
                      <w:bCs/>
                      <w:color w:val="auto"/>
                      <w:sz w:val="24"/>
                      <w:highlight w:val="none"/>
                    </w:rPr>
                  </w:pPr>
                </w:p>
              </w:tc>
              <w:tc>
                <w:tcPr>
                  <w:tcW w:w="931" w:type="pct"/>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0C39E08A">
                  <w:pPr>
                    <w:snapToGrid w:val="0"/>
                    <w:jc w:val="center"/>
                    <w:rPr>
                      <w:rFonts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rPr>
                    <w:t>内/外盖板</w:t>
                  </w:r>
                </w:p>
              </w:tc>
              <w:tc>
                <w:tcPr>
                  <w:tcW w:w="3522" w:type="pct"/>
                  <w:gridSpan w:val="2"/>
                  <w:tcBorders>
                    <w:top w:val="single" w:color="auto" w:sz="4" w:space="0"/>
                    <w:left w:val="nil"/>
                    <w:bottom w:val="single" w:color="auto" w:sz="4" w:space="0"/>
                    <w:right w:val="single" w:color="000000" w:sz="8" w:space="0"/>
                  </w:tcBorders>
                  <w:shd w:val="clear" w:color="auto" w:fill="auto"/>
                  <w:tcMar>
                    <w:top w:w="15" w:type="dxa"/>
                    <w:left w:w="15" w:type="dxa"/>
                    <w:bottom w:w="0" w:type="dxa"/>
                    <w:right w:w="15" w:type="dxa"/>
                  </w:tcMar>
                  <w:vAlign w:val="center"/>
                </w:tcPr>
                <w:p w14:paraId="39E41F4A">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≥1.5mm厚304#发纹不锈钢 </w:t>
                  </w:r>
                </w:p>
              </w:tc>
            </w:tr>
            <w:tr w14:paraId="56FCD36C">
              <w:tblPrEx>
                <w:tblCellMar>
                  <w:top w:w="0" w:type="dxa"/>
                  <w:left w:w="0" w:type="dxa"/>
                  <w:bottom w:w="0" w:type="dxa"/>
                  <w:right w:w="0" w:type="dxa"/>
                </w:tblCellMar>
              </w:tblPrEx>
              <w:trPr>
                <w:trHeight w:val="850"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62E2EB2D">
                  <w:pPr>
                    <w:snapToGrid w:val="0"/>
                    <w:rPr>
                      <w:rFonts w:ascii="仿宋_GB2312" w:hAnsi="仿宋_GB2312" w:eastAsia="仿宋_GB2312" w:cs="仿宋_GB2312"/>
                      <w:b/>
                      <w:bCs/>
                      <w:color w:val="auto"/>
                      <w:sz w:val="24"/>
                      <w:highlight w:val="none"/>
                    </w:rPr>
                  </w:pPr>
                </w:p>
              </w:tc>
              <w:tc>
                <w:tcPr>
                  <w:tcW w:w="931" w:type="pct"/>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0D53E9A3">
                  <w:pPr>
                    <w:snapToGrid w:val="0"/>
                    <w:jc w:val="center"/>
                    <w:rPr>
                      <w:rFonts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rPr>
                    <w:t>前沿板</w:t>
                  </w:r>
                </w:p>
              </w:tc>
              <w:tc>
                <w:tcPr>
                  <w:tcW w:w="3522" w:type="pct"/>
                  <w:gridSpan w:val="2"/>
                  <w:tcBorders>
                    <w:top w:val="single" w:color="auto" w:sz="4" w:space="0"/>
                    <w:left w:val="nil"/>
                    <w:bottom w:val="single" w:color="auto" w:sz="4" w:space="0"/>
                    <w:right w:val="single" w:color="000000" w:sz="8" w:space="0"/>
                  </w:tcBorders>
                  <w:shd w:val="clear" w:color="auto" w:fill="auto"/>
                  <w:tcMar>
                    <w:top w:w="15" w:type="dxa"/>
                    <w:left w:w="15" w:type="dxa"/>
                    <w:bottom w:w="0" w:type="dxa"/>
                    <w:right w:w="15" w:type="dxa"/>
                  </w:tcMar>
                  <w:vAlign w:val="center"/>
                </w:tcPr>
                <w:p w14:paraId="1411479D">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铝合金，带防滑花纹</w:t>
                  </w:r>
                </w:p>
              </w:tc>
            </w:tr>
            <w:tr w14:paraId="5EF8345B">
              <w:tblPrEx>
                <w:tblCellMar>
                  <w:top w:w="0" w:type="dxa"/>
                  <w:left w:w="0" w:type="dxa"/>
                  <w:bottom w:w="0" w:type="dxa"/>
                  <w:right w:w="0" w:type="dxa"/>
                </w:tblCellMar>
              </w:tblPrEx>
              <w:trPr>
                <w:trHeight w:val="850"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2AAFE8DD">
                  <w:pPr>
                    <w:snapToGrid w:val="0"/>
                    <w:rPr>
                      <w:rFonts w:ascii="仿宋_GB2312" w:hAnsi="仿宋_GB2312" w:eastAsia="仿宋_GB2312" w:cs="仿宋_GB2312"/>
                      <w:b/>
                      <w:bCs/>
                      <w:color w:val="auto"/>
                      <w:sz w:val="24"/>
                      <w:highlight w:val="none"/>
                    </w:rPr>
                  </w:pPr>
                </w:p>
              </w:tc>
              <w:tc>
                <w:tcPr>
                  <w:tcW w:w="931" w:type="pct"/>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6C421375">
                  <w:pPr>
                    <w:snapToGrid w:val="0"/>
                    <w:jc w:val="center"/>
                    <w:rPr>
                      <w:rFonts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rPr>
                    <w:t>扶手带</w:t>
                  </w:r>
                </w:p>
              </w:tc>
              <w:tc>
                <w:tcPr>
                  <w:tcW w:w="3522" w:type="pct"/>
                  <w:gridSpan w:val="2"/>
                  <w:tcBorders>
                    <w:top w:val="single" w:color="auto" w:sz="4" w:space="0"/>
                    <w:left w:val="nil"/>
                    <w:bottom w:val="single" w:color="auto" w:sz="4" w:space="0"/>
                    <w:right w:val="single" w:color="000000" w:sz="8" w:space="0"/>
                  </w:tcBorders>
                  <w:shd w:val="clear" w:color="auto" w:fill="auto"/>
                  <w:tcMar>
                    <w:top w:w="15" w:type="dxa"/>
                    <w:left w:w="15" w:type="dxa"/>
                    <w:bottom w:w="0" w:type="dxa"/>
                    <w:right w:w="15" w:type="dxa"/>
                  </w:tcMar>
                  <w:vAlign w:val="center"/>
                </w:tcPr>
                <w:p w14:paraId="51F8EACA">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扶手带为特制防老化黑色橡胶制作，内加预应力处理后的多股钢丝。内表面为耐磨、防水的尼龙滑动层。</w:t>
                  </w:r>
                </w:p>
              </w:tc>
            </w:tr>
            <w:tr w14:paraId="78F522CF">
              <w:tblPrEx>
                <w:tblCellMar>
                  <w:top w:w="0" w:type="dxa"/>
                  <w:left w:w="0" w:type="dxa"/>
                  <w:bottom w:w="0" w:type="dxa"/>
                  <w:right w:w="0" w:type="dxa"/>
                </w:tblCellMar>
              </w:tblPrEx>
              <w:trPr>
                <w:trHeight w:val="850"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46AEB5D4">
                  <w:pPr>
                    <w:snapToGrid w:val="0"/>
                    <w:rPr>
                      <w:rFonts w:ascii="仿宋_GB2312" w:hAnsi="仿宋_GB2312" w:eastAsia="仿宋_GB2312" w:cs="仿宋_GB2312"/>
                      <w:b/>
                      <w:bCs/>
                      <w:color w:val="auto"/>
                      <w:sz w:val="24"/>
                      <w:highlight w:val="none"/>
                    </w:rPr>
                  </w:pPr>
                </w:p>
              </w:tc>
              <w:tc>
                <w:tcPr>
                  <w:tcW w:w="931" w:type="pct"/>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13BA70DF">
                  <w:pPr>
                    <w:snapToGrid w:val="0"/>
                    <w:jc w:val="center"/>
                    <w:rPr>
                      <w:rFonts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rPr>
                    <w:t>扶手驱动系统</w:t>
                  </w:r>
                </w:p>
              </w:tc>
              <w:tc>
                <w:tcPr>
                  <w:tcW w:w="3522" w:type="pct"/>
                  <w:gridSpan w:val="2"/>
                  <w:tcBorders>
                    <w:top w:val="single" w:color="auto" w:sz="4" w:space="0"/>
                    <w:left w:val="nil"/>
                    <w:bottom w:val="single" w:color="auto" w:sz="4" w:space="0"/>
                    <w:right w:val="single" w:color="000000" w:sz="8" w:space="0"/>
                  </w:tcBorders>
                  <w:shd w:val="clear" w:color="auto" w:fill="auto"/>
                  <w:tcMar>
                    <w:top w:w="15" w:type="dxa"/>
                    <w:left w:w="15" w:type="dxa"/>
                    <w:bottom w:w="0" w:type="dxa"/>
                    <w:right w:w="15" w:type="dxa"/>
                  </w:tcMar>
                  <w:vAlign w:val="center"/>
                </w:tcPr>
                <w:p w14:paraId="2ABF119C">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扶手带驱动系统由扶手驱动轴、摩擦轮、压带轮系统、扶手张紧装置组成。其通过扶手驱动链来驱动。扶手出入口异物夹入时，扶梯停止运行。</w:t>
                  </w:r>
                </w:p>
              </w:tc>
            </w:tr>
            <w:tr w14:paraId="310F7BA7">
              <w:tblPrEx>
                <w:tblCellMar>
                  <w:top w:w="0" w:type="dxa"/>
                  <w:left w:w="0" w:type="dxa"/>
                  <w:bottom w:w="0" w:type="dxa"/>
                  <w:right w:w="0" w:type="dxa"/>
                </w:tblCellMar>
              </w:tblPrEx>
              <w:trPr>
                <w:trHeight w:val="850" w:hRule="atLeast"/>
                <w:jc w:val="center"/>
              </w:trPr>
              <w:tc>
                <w:tcPr>
                  <w:tcW w:w="546" w:type="pct"/>
                  <w:vMerge w:val="restart"/>
                  <w:tcBorders>
                    <w:top w:val="nil"/>
                    <w:left w:val="single" w:color="auto" w:sz="8" w:space="0"/>
                    <w:bottom w:val="single" w:color="auto" w:sz="4" w:space="0"/>
                    <w:right w:val="single" w:color="auto" w:sz="4" w:space="0"/>
                  </w:tcBorders>
                  <w:shd w:val="clear" w:color="auto" w:fill="auto"/>
                  <w:tcMar>
                    <w:top w:w="15" w:type="dxa"/>
                    <w:left w:w="15" w:type="dxa"/>
                    <w:bottom w:w="0" w:type="dxa"/>
                    <w:right w:w="15" w:type="dxa"/>
                  </w:tcMar>
                  <w:vAlign w:val="center"/>
                </w:tcPr>
                <w:p w14:paraId="38D1AB5F">
                  <w:pPr>
                    <w:snapToGrid w:val="0"/>
                    <w:jc w:val="center"/>
                    <w:rPr>
                      <w:rFonts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rPr>
                    <w:t>技术描述</w:t>
                  </w:r>
                </w:p>
                <w:p w14:paraId="388DC6C9">
                  <w:pPr>
                    <w:snapToGrid w:val="0"/>
                    <w:jc w:val="center"/>
                    <w:rPr>
                      <w:rFonts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rPr>
                    <w:t>（电气部分）</w:t>
                  </w:r>
                </w:p>
              </w:tc>
              <w:tc>
                <w:tcPr>
                  <w:tcW w:w="931" w:type="pct"/>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0A713E98">
                  <w:pPr>
                    <w:snapToGrid w:val="0"/>
                    <w:jc w:val="center"/>
                    <w:rPr>
                      <w:rFonts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rPr>
                    <w:t>电机防护等级</w:t>
                  </w:r>
                </w:p>
              </w:tc>
              <w:tc>
                <w:tcPr>
                  <w:tcW w:w="3522" w:type="pct"/>
                  <w:gridSpan w:val="2"/>
                  <w:tcBorders>
                    <w:top w:val="single" w:color="auto" w:sz="4" w:space="0"/>
                    <w:left w:val="nil"/>
                    <w:bottom w:val="single" w:color="auto" w:sz="4" w:space="0"/>
                    <w:right w:val="single" w:color="000000" w:sz="8" w:space="0"/>
                  </w:tcBorders>
                  <w:shd w:val="clear" w:color="auto" w:fill="auto"/>
                  <w:tcMar>
                    <w:top w:w="15" w:type="dxa"/>
                    <w:left w:w="15" w:type="dxa"/>
                    <w:bottom w:w="0" w:type="dxa"/>
                    <w:right w:w="15" w:type="dxa"/>
                  </w:tcMar>
                  <w:vAlign w:val="center"/>
                </w:tcPr>
                <w:p w14:paraId="3A5B4BC5">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IP21，绝缘等级为F</w:t>
                  </w:r>
                </w:p>
              </w:tc>
            </w:tr>
            <w:tr w14:paraId="67EB259E">
              <w:tblPrEx>
                <w:tblCellMar>
                  <w:top w:w="0" w:type="dxa"/>
                  <w:left w:w="0" w:type="dxa"/>
                  <w:bottom w:w="0" w:type="dxa"/>
                  <w:right w:w="0" w:type="dxa"/>
                </w:tblCellMar>
              </w:tblPrEx>
              <w:trPr>
                <w:trHeight w:val="850"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22689FA4">
                  <w:pPr>
                    <w:snapToGrid w:val="0"/>
                    <w:rPr>
                      <w:rFonts w:ascii="仿宋_GB2312" w:hAnsi="仿宋_GB2312" w:eastAsia="仿宋_GB2312" w:cs="仿宋_GB2312"/>
                      <w:b/>
                      <w:bCs/>
                      <w:color w:val="auto"/>
                      <w:sz w:val="24"/>
                      <w:highlight w:val="none"/>
                    </w:rPr>
                  </w:pPr>
                </w:p>
              </w:tc>
              <w:tc>
                <w:tcPr>
                  <w:tcW w:w="931" w:type="pct"/>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48B7E54F">
                  <w:pPr>
                    <w:snapToGrid w:val="0"/>
                    <w:jc w:val="center"/>
                    <w:rPr>
                      <w:rFonts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rPr>
                    <w:t>控制箱</w:t>
                  </w:r>
                </w:p>
              </w:tc>
              <w:tc>
                <w:tcPr>
                  <w:tcW w:w="3522" w:type="pct"/>
                  <w:gridSpan w:val="2"/>
                  <w:tcBorders>
                    <w:top w:val="single" w:color="auto" w:sz="4" w:space="0"/>
                    <w:left w:val="nil"/>
                    <w:bottom w:val="single" w:color="auto" w:sz="4" w:space="0"/>
                    <w:right w:val="single" w:color="000000" w:sz="8" w:space="0"/>
                  </w:tcBorders>
                  <w:shd w:val="clear" w:color="auto" w:fill="auto"/>
                  <w:tcMar>
                    <w:top w:w="15" w:type="dxa"/>
                    <w:left w:w="15" w:type="dxa"/>
                    <w:bottom w:w="0" w:type="dxa"/>
                    <w:right w:w="15" w:type="dxa"/>
                  </w:tcMar>
                  <w:vAlign w:val="center"/>
                </w:tcPr>
                <w:p w14:paraId="3FC018A6">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32位微电脑控制，所有的控制元件全部装在一个封好的钢制箱内。高度智能的电脑控制系统-双控制柜。</w:t>
                  </w:r>
                </w:p>
              </w:tc>
            </w:tr>
            <w:tr w14:paraId="6D47B3B9">
              <w:tblPrEx>
                <w:tblCellMar>
                  <w:top w:w="0" w:type="dxa"/>
                  <w:left w:w="0" w:type="dxa"/>
                  <w:bottom w:w="0" w:type="dxa"/>
                  <w:right w:w="0" w:type="dxa"/>
                </w:tblCellMar>
              </w:tblPrEx>
              <w:trPr>
                <w:trHeight w:val="850"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42E6BA53">
                  <w:pPr>
                    <w:snapToGrid w:val="0"/>
                    <w:rPr>
                      <w:rFonts w:ascii="仿宋_GB2312" w:hAnsi="仿宋_GB2312" w:eastAsia="仿宋_GB2312" w:cs="仿宋_GB2312"/>
                      <w:b/>
                      <w:bCs/>
                      <w:color w:val="auto"/>
                      <w:sz w:val="24"/>
                      <w:highlight w:val="none"/>
                    </w:rPr>
                  </w:pPr>
                </w:p>
              </w:tc>
              <w:tc>
                <w:tcPr>
                  <w:tcW w:w="931" w:type="pct"/>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754E2E81">
                  <w:pPr>
                    <w:snapToGrid w:val="0"/>
                    <w:jc w:val="center"/>
                    <w:rPr>
                      <w:rFonts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rPr>
                    <w:t>控制面板</w:t>
                  </w:r>
                </w:p>
              </w:tc>
              <w:tc>
                <w:tcPr>
                  <w:tcW w:w="3522" w:type="pct"/>
                  <w:gridSpan w:val="2"/>
                  <w:tcBorders>
                    <w:top w:val="single" w:color="auto" w:sz="4" w:space="0"/>
                    <w:left w:val="nil"/>
                    <w:bottom w:val="single" w:color="auto" w:sz="4" w:space="0"/>
                    <w:right w:val="single" w:color="000000" w:sz="8" w:space="0"/>
                  </w:tcBorders>
                  <w:shd w:val="clear" w:color="auto" w:fill="auto"/>
                  <w:tcMar>
                    <w:top w:w="15" w:type="dxa"/>
                    <w:left w:w="15" w:type="dxa"/>
                    <w:bottom w:w="0" w:type="dxa"/>
                    <w:right w:w="15" w:type="dxa"/>
                  </w:tcMar>
                  <w:vAlign w:val="center"/>
                </w:tcPr>
                <w:p w14:paraId="358A9CE4">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位于扶梯上下部扶手带入口处。其为一特制的流线型黑色塑料盖板，钥匙开关等元件固定在其上面。</w:t>
                  </w:r>
                </w:p>
              </w:tc>
            </w:tr>
            <w:tr w14:paraId="67C46C75">
              <w:tblPrEx>
                <w:tblCellMar>
                  <w:top w:w="0" w:type="dxa"/>
                  <w:left w:w="0" w:type="dxa"/>
                  <w:bottom w:w="0" w:type="dxa"/>
                  <w:right w:w="0" w:type="dxa"/>
                </w:tblCellMar>
              </w:tblPrEx>
              <w:trPr>
                <w:trHeight w:val="850"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28A79332">
                  <w:pPr>
                    <w:snapToGrid w:val="0"/>
                    <w:rPr>
                      <w:rFonts w:ascii="仿宋_GB2312" w:hAnsi="仿宋_GB2312" w:eastAsia="仿宋_GB2312" w:cs="仿宋_GB2312"/>
                      <w:b/>
                      <w:bCs/>
                      <w:color w:val="auto"/>
                      <w:sz w:val="24"/>
                      <w:highlight w:val="none"/>
                    </w:rPr>
                  </w:pPr>
                </w:p>
              </w:tc>
              <w:tc>
                <w:tcPr>
                  <w:tcW w:w="931" w:type="pct"/>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095FEBCC">
                  <w:pPr>
                    <w:snapToGrid w:val="0"/>
                    <w:jc w:val="center"/>
                    <w:rPr>
                      <w:rFonts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rPr>
                    <w:t>紧急停止按纽</w:t>
                  </w:r>
                </w:p>
              </w:tc>
              <w:tc>
                <w:tcPr>
                  <w:tcW w:w="3522" w:type="pct"/>
                  <w:gridSpan w:val="2"/>
                  <w:tcBorders>
                    <w:top w:val="single" w:color="auto" w:sz="4" w:space="0"/>
                    <w:left w:val="nil"/>
                    <w:bottom w:val="single" w:color="auto" w:sz="4" w:space="0"/>
                    <w:right w:val="single" w:color="000000" w:sz="8" w:space="0"/>
                  </w:tcBorders>
                  <w:shd w:val="clear" w:color="auto" w:fill="auto"/>
                  <w:tcMar>
                    <w:top w:w="15" w:type="dxa"/>
                    <w:left w:w="15" w:type="dxa"/>
                    <w:bottom w:w="0" w:type="dxa"/>
                    <w:right w:w="15" w:type="dxa"/>
                  </w:tcMar>
                  <w:vAlign w:val="center"/>
                </w:tcPr>
                <w:p w14:paraId="24D987DD">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紧急情况按下紧急停止按钮，扶梯将立即停车。</w:t>
                  </w:r>
                </w:p>
              </w:tc>
            </w:tr>
            <w:tr w14:paraId="3E4BBAE1">
              <w:tblPrEx>
                <w:tblCellMar>
                  <w:top w:w="0" w:type="dxa"/>
                  <w:left w:w="0" w:type="dxa"/>
                  <w:bottom w:w="0" w:type="dxa"/>
                  <w:right w:w="0" w:type="dxa"/>
                </w:tblCellMar>
              </w:tblPrEx>
              <w:trPr>
                <w:trHeight w:val="850"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785FFF11">
                  <w:pPr>
                    <w:snapToGrid w:val="0"/>
                    <w:rPr>
                      <w:rFonts w:ascii="仿宋_GB2312" w:hAnsi="仿宋_GB2312" w:eastAsia="仿宋_GB2312" w:cs="仿宋_GB2312"/>
                      <w:b/>
                      <w:bCs/>
                      <w:color w:val="auto"/>
                      <w:sz w:val="24"/>
                      <w:highlight w:val="none"/>
                    </w:rPr>
                  </w:pPr>
                </w:p>
              </w:tc>
              <w:tc>
                <w:tcPr>
                  <w:tcW w:w="931" w:type="pct"/>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1FF0AB25">
                  <w:pPr>
                    <w:snapToGrid w:val="0"/>
                    <w:jc w:val="center"/>
                    <w:rPr>
                      <w:rFonts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rPr>
                    <w:t>软停车</w:t>
                  </w:r>
                </w:p>
              </w:tc>
              <w:tc>
                <w:tcPr>
                  <w:tcW w:w="3522" w:type="pct"/>
                  <w:gridSpan w:val="2"/>
                  <w:tcBorders>
                    <w:top w:val="single" w:color="auto" w:sz="4" w:space="0"/>
                    <w:left w:val="nil"/>
                    <w:bottom w:val="single" w:color="auto" w:sz="4" w:space="0"/>
                    <w:right w:val="single" w:color="000000" w:sz="8" w:space="0"/>
                  </w:tcBorders>
                  <w:shd w:val="clear" w:color="auto" w:fill="auto"/>
                  <w:tcMar>
                    <w:top w:w="15" w:type="dxa"/>
                    <w:left w:w="15" w:type="dxa"/>
                    <w:bottom w:w="0" w:type="dxa"/>
                    <w:right w:w="15" w:type="dxa"/>
                  </w:tcMar>
                  <w:vAlign w:val="center"/>
                </w:tcPr>
                <w:p w14:paraId="75609CFB">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按扶梯运行方向的相反方向旋转钥匙开关，制动器将在扶梯几乎停稳后再抱闸，其将极大的提高制动器的使用寿命。</w:t>
                  </w:r>
                </w:p>
              </w:tc>
            </w:tr>
            <w:tr w14:paraId="1B46731B">
              <w:tblPrEx>
                <w:tblCellMar>
                  <w:top w:w="0" w:type="dxa"/>
                  <w:left w:w="0" w:type="dxa"/>
                  <w:bottom w:w="0" w:type="dxa"/>
                  <w:right w:w="0" w:type="dxa"/>
                </w:tblCellMar>
              </w:tblPrEx>
              <w:trPr>
                <w:trHeight w:val="850"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54764CCE">
                  <w:pPr>
                    <w:snapToGrid w:val="0"/>
                    <w:rPr>
                      <w:rFonts w:ascii="仿宋_GB2312" w:hAnsi="仿宋_GB2312" w:eastAsia="仿宋_GB2312" w:cs="仿宋_GB2312"/>
                      <w:b/>
                      <w:bCs/>
                      <w:color w:val="auto"/>
                      <w:sz w:val="24"/>
                      <w:highlight w:val="none"/>
                    </w:rPr>
                  </w:pPr>
                </w:p>
              </w:tc>
              <w:tc>
                <w:tcPr>
                  <w:tcW w:w="931" w:type="pct"/>
                  <w:vMerge w:val="restart"/>
                  <w:tcBorders>
                    <w:top w:val="nil"/>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1734B6C8">
                  <w:pPr>
                    <w:snapToGrid w:val="0"/>
                    <w:jc w:val="center"/>
                    <w:rPr>
                      <w:rFonts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rPr>
                    <w:t>故障显示</w:t>
                  </w:r>
                </w:p>
              </w:tc>
              <w:tc>
                <w:tcPr>
                  <w:tcW w:w="3522" w:type="pct"/>
                  <w:gridSpan w:val="2"/>
                  <w:vMerge w:val="restart"/>
                  <w:tcBorders>
                    <w:top w:val="single" w:color="auto" w:sz="4" w:space="0"/>
                    <w:left w:val="single" w:color="auto" w:sz="4" w:space="0"/>
                    <w:bottom w:val="single" w:color="auto" w:sz="4" w:space="0"/>
                    <w:right w:val="single" w:color="000000" w:sz="8" w:space="0"/>
                  </w:tcBorders>
                  <w:shd w:val="clear" w:color="auto" w:fill="auto"/>
                  <w:tcMar>
                    <w:top w:w="15" w:type="dxa"/>
                    <w:left w:w="15" w:type="dxa"/>
                    <w:bottom w:w="0" w:type="dxa"/>
                    <w:right w:w="15" w:type="dxa"/>
                  </w:tcMar>
                  <w:vAlign w:val="center"/>
                </w:tcPr>
                <w:p w14:paraId="0E2304E9">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故障显示装置固定在控制柜上。通过该装置，能很快找出扶梯的故障点。</w:t>
                  </w:r>
                </w:p>
              </w:tc>
            </w:tr>
            <w:tr w14:paraId="452C3FB4">
              <w:tblPrEx>
                <w:tblCellMar>
                  <w:top w:w="0" w:type="dxa"/>
                  <w:left w:w="0" w:type="dxa"/>
                  <w:bottom w:w="0" w:type="dxa"/>
                  <w:right w:w="0" w:type="dxa"/>
                </w:tblCellMar>
              </w:tblPrEx>
              <w:trPr>
                <w:trHeight w:val="850"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34AD6735">
                  <w:pPr>
                    <w:snapToGrid w:val="0"/>
                    <w:rPr>
                      <w:rFonts w:ascii="仿宋_GB2312" w:hAnsi="仿宋_GB2312" w:eastAsia="仿宋_GB2312" w:cs="仿宋_GB2312"/>
                      <w:b/>
                      <w:bCs/>
                      <w:color w:val="auto"/>
                      <w:sz w:val="24"/>
                      <w:highlight w:val="none"/>
                    </w:rPr>
                  </w:pPr>
                </w:p>
              </w:tc>
              <w:tc>
                <w:tcPr>
                  <w:tcW w:w="931" w:type="pct"/>
                  <w:vMerge w:val="continue"/>
                  <w:tcBorders>
                    <w:top w:val="nil"/>
                    <w:left w:val="single" w:color="auto" w:sz="4" w:space="0"/>
                    <w:bottom w:val="single" w:color="auto" w:sz="4" w:space="0"/>
                    <w:right w:val="single" w:color="auto" w:sz="4" w:space="0"/>
                  </w:tcBorders>
                  <w:vAlign w:val="center"/>
                </w:tcPr>
                <w:p w14:paraId="50351C45">
                  <w:pPr>
                    <w:snapToGrid w:val="0"/>
                    <w:jc w:val="center"/>
                    <w:rPr>
                      <w:rFonts w:ascii="仿宋_GB2312" w:hAnsi="仿宋_GB2312" w:eastAsia="仿宋_GB2312" w:cs="仿宋_GB2312"/>
                      <w:b/>
                      <w:bCs/>
                      <w:color w:val="auto"/>
                      <w:sz w:val="24"/>
                      <w:highlight w:val="none"/>
                    </w:rPr>
                  </w:pPr>
                </w:p>
              </w:tc>
              <w:tc>
                <w:tcPr>
                  <w:tcW w:w="3522" w:type="pct"/>
                  <w:gridSpan w:val="2"/>
                  <w:vMerge w:val="continue"/>
                  <w:tcBorders>
                    <w:top w:val="single" w:color="auto" w:sz="4" w:space="0"/>
                    <w:left w:val="single" w:color="auto" w:sz="4" w:space="0"/>
                    <w:bottom w:val="single" w:color="auto" w:sz="4" w:space="0"/>
                    <w:right w:val="single" w:color="000000" w:sz="8" w:space="0"/>
                  </w:tcBorders>
                  <w:vAlign w:val="center"/>
                </w:tcPr>
                <w:p w14:paraId="39E5A3B7">
                  <w:pPr>
                    <w:snapToGrid w:val="0"/>
                    <w:rPr>
                      <w:rFonts w:ascii="仿宋_GB2312" w:hAnsi="仿宋_GB2312" w:eastAsia="仿宋_GB2312" w:cs="仿宋_GB2312"/>
                      <w:color w:val="auto"/>
                      <w:sz w:val="24"/>
                      <w:highlight w:val="none"/>
                    </w:rPr>
                  </w:pPr>
                </w:p>
              </w:tc>
            </w:tr>
            <w:tr w14:paraId="55FD7814">
              <w:tblPrEx>
                <w:tblCellMar>
                  <w:top w:w="0" w:type="dxa"/>
                  <w:left w:w="0" w:type="dxa"/>
                  <w:bottom w:w="0" w:type="dxa"/>
                  <w:right w:w="0" w:type="dxa"/>
                </w:tblCellMar>
              </w:tblPrEx>
              <w:trPr>
                <w:trHeight w:val="850"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77AC0524">
                  <w:pPr>
                    <w:snapToGrid w:val="0"/>
                    <w:rPr>
                      <w:rFonts w:ascii="仿宋_GB2312" w:hAnsi="仿宋_GB2312" w:eastAsia="仿宋_GB2312" w:cs="仿宋_GB2312"/>
                      <w:b/>
                      <w:bCs/>
                      <w:color w:val="auto"/>
                      <w:sz w:val="24"/>
                      <w:highlight w:val="none"/>
                    </w:rPr>
                  </w:pPr>
                </w:p>
              </w:tc>
              <w:tc>
                <w:tcPr>
                  <w:tcW w:w="931" w:type="pct"/>
                  <w:tcBorders>
                    <w:top w:val="nil"/>
                    <w:left w:val="nil"/>
                    <w:bottom w:val="single" w:color="auto" w:sz="4" w:space="0"/>
                    <w:right w:val="single" w:color="auto" w:sz="4" w:space="0"/>
                  </w:tcBorders>
                  <w:shd w:val="clear" w:color="auto" w:fill="auto"/>
                  <w:tcMar>
                    <w:top w:w="15" w:type="dxa"/>
                    <w:left w:w="15" w:type="dxa"/>
                    <w:bottom w:w="0" w:type="dxa"/>
                    <w:right w:w="15" w:type="dxa"/>
                  </w:tcMar>
                  <w:vAlign w:val="center"/>
                </w:tcPr>
                <w:p w14:paraId="2D1D10EA">
                  <w:pPr>
                    <w:snapToGrid w:val="0"/>
                    <w:jc w:val="center"/>
                    <w:rPr>
                      <w:rFonts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rPr>
                    <w:t>变频节能</w:t>
                  </w:r>
                </w:p>
              </w:tc>
              <w:tc>
                <w:tcPr>
                  <w:tcW w:w="3522" w:type="pct"/>
                  <w:gridSpan w:val="2"/>
                  <w:tcBorders>
                    <w:top w:val="single" w:color="auto" w:sz="4" w:space="0"/>
                    <w:left w:val="nil"/>
                    <w:bottom w:val="single" w:color="auto" w:sz="4" w:space="0"/>
                    <w:right w:val="single" w:color="000000" w:sz="8" w:space="0"/>
                  </w:tcBorders>
                  <w:shd w:val="clear" w:color="auto" w:fill="auto"/>
                  <w:tcMar>
                    <w:top w:w="15" w:type="dxa"/>
                    <w:left w:w="15" w:type="dxa"/>
                    <w:bottom w:w="0" w:type="dxa"/>
                    <w:right w:w="15" w:type="dxa"/>
                  </w:tcMar>
                  <w:vAlign w:val="center"/>
                </w:tcPr>
                <w:p w14:paraId="2134E166">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通过出入口设置的雷达及围裙板光栅两级探测，检测乘客，如扶梯长时间无人乘坐时（时间可调），扶梯自动转为慢速蠕动状态运行</w:t>
                  </w:r>
                </w:p>
              </w:tc>
            </w:tr>
            <w:tr w14:paraId="02972196">
              <w:tblPrEx>
                <w:tblCellMar>
                  <w:top w:w="0" w:type="dxa"/>
                  <w:left w:w="0" w:type="dxa"/>
                  <w:bottom w:w="0" w:type="dxa"/>
                  <w:right w:w="0" w:type="dxa"/>
                </w:tblCellMar>
              </w:tblPrEx>
              <w:trPr>
                <w:trHeight w:val="850"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4E542209">
                  <w:pPr>
                    <w:snapToGrid w:val="0"/>
                    <w:rPr>
                      <w:rFonts w:ascii="仿宋_GB2312" w:hAnsi="仿宋_GB2312" w:eastAsia="仿宋_GB2312" w:cs="仿宋_GB2312"/>
                      <w:b/>
                      <w:bCs/>
                      <w:color w:val="auto"/>
                      <w:sz w:val="24"/>
                      <w:highlight w:val="none"/>
                    </w:rPr>
                  </w:pPr>
                </w:p>
              </w:tc>
              <w:tc>
                <w:tcPr>
                  <w:tcW w:w="931" w:type="pct"/>
                  <w:vMerge w:val="restart"/>
                  <w:tcBorders>
                    <w:top w:val="nil"/>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2D5537BD">
                  <w:pPr>
                    <w:snapToGrid w:val="0"/>
                    <w:jc w:val="center"/>
                    <w:rPr>
                      <w:rFonts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rPr>
                    <w:t>安全装置</w:t>
                  </w:r>
                </w:p>
              </w:tc>
              <w:tc>
                <w:tcPr>
                  <w:tcW w:w="3522" w:type="pct"/>
                  <w:gridSpan w:val="2"/>
                  <w:tcBorders>
                    <w:top w:val="single" w:color="auto" w:sz="4" w:space="0"/>
                    <w:left w:val="nil"/>
                    <w:bottom w:val="single" w:color="auto" w:sz="4" w:space="0"/>
                    <w:right w:val="single" w:color="000000" w:sz="8" w:space="0"/>
                  </w:tcBorders>
                  <w:shd w:val="clear" w:color="auto" w:fill="auto"/>
                  <w:tcMar>
                    <w:top w:w="15" w:type="dxa"/>
                    <w:left w:w="15" w:type="dxa"/>
                    <w:bottom w:w="0" w:type="dxa"/>
                    <w:right w:w="15" w:type="dxa"/>
                  </w:tcMar>
                  <w:vAlign w:val="center"/>
                </w:tcPr>
                <w:p w14:paraId="07A5A291">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梯级链断裂保护装置</w:t>
                  </w:r>
                </w:p>
              </w:tc>
            </w:tr>
            <w:tr w14:paraId="2A65B735">
              <w:tblPrEx>
                <w:tblCellMar>
                  <w:top w:w="0" w:type="dxa"/>
                  <w:left w:w="0" w:type="dxa"/>
                  <w:bottom w:w="0" w:type="dxa"/>
                  <w:right w:w="0" w:type="dxa"/>
                </w:tblCellMar>
              </w:tblPrEx>
              <w:trPr>
                <w:trHeight w:val="850"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68BF6142">
                  <w:pPr>
                    <w:snapToGrid w:val="0"/>
                    <w:rPr>
                      <w:rFonts w:ascii="仿宋_GB2312" w:hAnsi="仿宋_GB2312" w:eastAsia="仿宋_GB2312" w:cs="仿宋_GB2312"/>
                      <w:b/>
                      <w:bCs/>
                      <w:color w:val="auto"/>
                      <w:sz w:val="24"/>
                      <w:highlight w:val="none"/>
                    </w:rPr>
                  </w:pPr>
                </w:p>
              </w:tc>
              <w:tc>
                <w:tcPr>
                  <w:tcW w:w="931" w:type="pct"/>
                  <w:vMerge w:val="continue"/>
                  <w:tcBorders>
                    <w:top w:val="nil"/>
                    <w:left w:val="single" w:color="auto" w:sz="4" w:space="0"/>
                    <w:bottom w:val="single" w:color="auto" w:sz="4" w:space="0"/>
                    <w:right w:val="single" w:color="auto" w:sz="4" w:space="0"/>
                  </w:tcBorders>
                  <w:vAlign w:val="center"/>
                </w:tcPr>
                <w:p w14:paraId="2A3D6A16">
                  <w:pPr>
                    <w:snapToGrid w:val="0"/>
                    <w:rPr>
                      <w:rFonts w:ascii="仿宋_GB2312" w:hAnsi="仿宋_GB2312" w:eastAsia="仿宋_GB2312" w:cs="仿宋_GB2312"/>
                      <w:b/>
                      <w:bCs/>
                      <w:color w:val="auto"/>
                      <w:sz w:val="24"/>
                      <w:highlight w:val="none"/>
                    </w:rPr>
                  </w:pPr>
                </w:p>
              </w:tc>
              <w:tc>
                <w:tcPr>
                  <w:tcW w:w="3522" w:type="pct"/>
                  <w:gridSpan w:val="2"/>
                  <w:tcBorders>
                    <w:top w:val="single" w:color="auto" w:sz="4" w:space="0"/>
                    <w:left w:val="nil"/>
                    <w:bottom w:val="single" w:color="auto" w:sz="4" w:space="0"/>
                    <w:right w:val="single" w:color="000000" w:sz="8" w:space="0"/>
                  </w:tcBorders>
                  <w:shd w:val="clear" w:color="auto" w:fill="auto"/>
                  <w:tcMar>
                    <w:top w:w="15" w:type="dxa"/>
                    <w:left w:w="15" w:type="dxa"/>
                    <w:bottom w:w="0" w:type="dxa"/>
                    <w:right w:w="15" w:type="dxa"/>
                  </w:tcMar>
                  <w:vAlign w:val="center"/>
                </w:tcPr>
                <w:p w14:paraId="1E533AED">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梳齿板接触器，位于上部和下部梯级出入口处，可在水平方向触发</w:t>
                  </w:r>
                </w:p>
              </w:tc>
            </w:tr>
            <w:tr w14:paraId="7C1FC84A">
              <w:tblPrEx>
                <w:tblCellMar>
                  <w:top w:w="0" w:type="dxa"/>
                  <w:left w:w="0" w:type="dxa"/>
                  <w:bottom w:w="0" w:type="dxa"/>
                  <w:right w:w="0" w:type="dxa"/>
                </w:tblCellMar>
              </w:tblPrEx>
              <w:trPr>
                <w:trHeight w:val="850"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613CEA4F">
                  <w:pPr>
                    <w:snapToGrid w:val="0"/>
                    <w:rPr>
                      <w:rFonts w:ascii="仿宋_GB2312" w:hAnsi="仿宋_GB2312" w:eastAsia="仿宋_GB2312" w:cs="仿宋_GB2312"/>
                      <w:b/>
                      <w:bCs/>
                      <w:color w:val="auto"/>
                      <w:sz w:val="24"/>
                      <w:highlight w:val="none"/>
                    </w:rPr>
                  </w:pPr>
                </w:p>
              </w:tc>
              <w:tc>
                <w:tcPr>
                  <w:tcW w:w="931" w:type="pct"/>
                  <w:vMerge w:val="continue"/>
                  <w:tcBorders>
                    <w:top w:val="nil"/>
                    <w:left w:val="single" w:color="auto" w:sz="4" w:space="0"/>
                    <w:bottom w:val="single" w:color="auto" w:sz="4" w:space="0"/>
                    <w:right w:val="single" w:color="auto" w:sz="4" w:space="0"/>
                  </w:tcBorders>
                  <w:vAlign w:val="center"/>
                </w:tcPr>
                <w:p w14:paraId="6CB51E07">
                  <w:pPr>
                    <w:snapToGrid w:val="0"/>
                    <w:rPr>
                      <w:rFonts w:ascii="仿宋_GB2312" w:hAnsi="仿宋_GB2312" w:eastAsia="仿宋_GB2312" w:cs="仿宋_GB2312"/>
                      <w:b/>
                      <w:bCs/>
                      <w:color w:val="auto"/>
                      <w:sz w:val="24"/>
                      <w:highlight w:val="none"/>
                    </w:rPr>
                  </w:pPr>
                </w:p>
              </w:tc>
              <w:tc>
                <w:tcPr>
                  <w:tcW w:w="3522" w:type="pct"/>
                  <w:gridSpan w:val="2"/>
                  <w:tcBorders>
                    <w:top w:val="single" w:color="auto" w:sz="4" w:space="0"/>
                    <w:left w:val="nil"/>
                    <w:bottom w:val="single" w:color="auto" w:sz="4" w:space="0"/>
                    <w:right w:val="single" w:color="000000" w:sz="8" w:space="0"/>
                  </w:tcBorders>
                  <w:shd w:val="clear" w:color="auto" w:fill="auto"/>
                  <w:tcMar>
                    <w:top w:w="15" w:type="dxa"/>
                    <w:left w:w="15" w:type="dxa"/>
                    <w:bottom w:w="0" w:type="dxa"/>
                    <w:right w:w="15" w:type="dxa"/>
                  </w:tcMar>
                  <w:vAlign w:val="center"/>
                </w:tcPr>
                <w:p w14:paraId="1287F74E">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扶手带进出口处接触器</w:t>
                  </w:r>
                </w:p>
              </w:tc>
            </w:tr>
            <w:tr w14:paraId="28FAB822">
              <w:tblPrEx>
                <w:tblCellMar>
                  <w:top w:w="0" w:type="dxa"/>
                  <w:left w:w="0" w:type="dxa"/>
                  <w:bottom w:w="0" w:type="dxa"/>
                  <w:right w:w="0" w:type="dxa"/>
                </w:tblCellMar>
              </w:tblPrEx>
              <w:trPr>
                <w:trHeight w:val="850"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3645D605">
                  <w:pPr>
                    <w:snapToGrid w:val="0"/>
                    <w:rPr>
                      <w:rFonts w:ascii="仿宋_GB2312" w:hAnsi="仿宋_GB2312" w:eastAsia="仿宋_GB2312" w:cs="仿宋_GB2312"/>
                      <w:b/>
                      <w:bCs/>
                      <w:color w:val="auto"/>
                      <w:sz w:val="24"/>
                      <w:highlight w:val="none"/>
                    </w:rPr>
                  </w:pPr>
                </w:p>
              </w:tc>
              <w:tc>
                <w:tcPr>
                  <w:tcW w:w="931" w:type="pct"/>
                  <w:vMerge w:val="continue"/>
                  <w:tcBorders>
                    <w:top w:val="nil"/>
                    <w:left w:val="single" w:color="auto" w:sz="4" w:space="0"/>
                    <w:bottom w:val="single" w:color="auto" w:sz="4" w:space="0"/>
                    <w:right w:val="single" w:color="auto" w:sz="4" w:space="0"/>
                  </w:tcBorders>
                  <w:vAlign w:val="center"/>
                </w:tcPr>
                <w:p w14:paraId="3B624513">
                  <w:pPr>
                    <w:snapToGrid w:val="0"/>
                    <w:rPr>
                      <w:rFonts w:ascii="仿宋_GB2312" w:hAnsi="仿宋_GB2312" w:eastAsia="仿宋_GB2312" w:cs="仿宋_GB2312"/>
                      <w:b/>
                      <w:bCs/>
                      <w:color w:val="auto"/>
                      <w:sz w:val="24"/>
                      <w:highlight w:val="none"/>
                    </w:rPr>
                  </w:pPr>
                </w:p>
              </w:tc>
              <w:tc>
                <w:tcPr>
                  <w:tcW w:w="3522" w:type="pct"/>
                  <w:gridSpan w:val="2"/>
                  <w:tcBorders>
                    <w:top w:val="single" w:color="auto" w:sz="4" w:space="0"/>
                    <w:left w:val="nil"/>
                    <w:bottom w:val="single" w:color="auto" w:sz="4" w:space="0"/>
                    <w:right w:val="single" w:color="000000" w:sz="8" w:space="0"/>
                  </w:tcBorders>
                  <w:shd w:val="clear" w:color="auto" w:fill="auto"/>
                  <w:tcMar>
                    <w:top w:w="15" w:type="dxa"/>
                    <w:left w:w="15" w:type="dxa"/>
                    <w:bottom w:w="0" w:type="dxa"/>
                    <w:right w:w="15" w:type="dxa"/>
                  </w:tcMar>
                  <w:vAlign w:val="center"/>
                </w:tcPr>
                <w:p w14:paraId="5A86CB9E">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梯级监控：运行检查、缺梯级检查、超速和欠速检查、改变运行方向</w:t>
                  </w:r>
                </w:p>
              </w:tc>
            </w:tr>
            <w:tr w14:paraId="6C7E2C23">
              <w:tblPrEx>
                <w:tblCellMar>
                  <w:top w:w="0" w:type="dxa"/>
                  <w:left w:w="0" w:type="dxa"/>
                  <w:bottom w:w="0" w:type="dxa"/>
                  <w:right w:w="0" w:type="dxa"/>
                </w:tblCellMar>
              </w:tblPrEx>
              <w:trPr>
                <w:trHeight w:val="737"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274B6E43">
                  <w:pPr>
                    <w:snapToGrid w:val="0"/>
                    <w:rPr>
                      <w:rFonts w:ascii="仿宋_GB2312" w:hAnsi="仿宋_GB2312" w:eastAsia="仿宋_GB2312" w:cs="仿宋_GB2312"/>
                      <w:b/>
                      <w:bCs/>
                      <w:color w:val="auto"/>
                      <w:sz w:val="24"/>
                      <w:highlight w:val="none"/>
                    </w:rPr>
                  </w:pPr>
                </w:p>
              </w:tc>
              <w:tc>
                <w:tcPr>
                  <w:tcW w:w="931" w:type="pct"/>
                  <w:vMerge w:val="continue"/>
                  <w:tcBorders>
                    <w:top w:val="nil"/>
                    <w:left w:val="single" w:color="auto" w:sz="4" w:space="0"/>
                    <w:bottom w:val="single" w:color="auto" w:sz="4" w:space="0"/>
                    <w:right w:val="single" w:color="auto" w:sz="4" w:space="0"/>
                  </w:tcBorders>
                  <w:vAlign w:val="center"/>
                </w:tcPr>
                <w:p w14:paraId="7B6AB9B7">
                  <w:pPr>
                    <w:snapToGrid w:val="0"/>
                    <w:rPr>
                      <w:rFonts w:ascii="仿宋_GB2312" w:hAnsi="仿宋_GB2312" w:eastAsia="仿宋_GB2312" w:cs="仿宋_GB2312"/>
                      <w:b/>
                      <w:bCs/>
                      <w:color w:val="auto"/>
                      <w:sz w:val="24"/>
                      <w:highlight w:val="none"/>
                    </w:rPr>
                  </w:pPr>
                </w:p>
              </w:tc>
              <w:tc>
                <w:tcPr>
                  <w:tcW w:w="3522" w:type="pct"/>
                  <w:gridSpan w:val="2"/>
                  <w:tcBorders>
                    <w:top w:val="single" w:color="auto" w:sz="4" w:space="0"/>
                    <w:left w:val="nil"/>
                    <w:bottom w:val="single" w:color="auto" w:sz="4" w:space="0"/>
                    <w:right w:val="single" w:color="000000" w:sz="8" w:space="0"/>
                  </w:tcBorders>
                  <w:shd w:val="clear" w:color="auto" w:fill="auto"/>
                  <w:tcMar>
                    <w:top w:w="15" w:type="dxa"/>
                    <w:left w:w="15" w:type="dxa"/>
                    <w:bottom w:w="0" w:type="dxa"/>
                    <w:right w:w="15" w:type="dxa"/>
                  </w:tcMar>
                  <w:vAlign w:val="center"/>
                </w:tcPr>
                <w:p w14:paraId="6E92E0CF">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梯级防上冲装置</w:t>
                  </w:r>
                </w:p>
              </w:tc>
            </w:tr>
            <w:tr w14:paraId="0286CB35">
              <w:tblPrEx>
                <w:tblCellMar>
                  <w:top w:w="0" w:type="dxa"/>
                  <w:left w:w="0" w:type="dxa"/>
                  <w:bottom w:w="0" w:type="dxa"/>
                  <w:right w:w="0" w:type="dxa"/>
                </w:tblCellMar>
              </w:tblPrEx>
              <w:trPr>
                <w:trHeight w:val="737"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6A64440B">
                  <w:pPr>
                    <w:snapToGrid w:val="0"/>
                    <w:rPr>
                      <w:rFonts w:ascii="仿宋_GB2312" w:hAnsi="仿宋_GB2312" w:eastAsia="仿宋_GB2312" w:cs="仿宋_GB2312"/>
                      <w:b/>
                      <w:bCs/>
                      <w:color w:val="auto"/>
                      <w:sz w:val="24"/>
                      <w:highlight w:val="none"/>
                    </w:rPr>
                  </w:pPr>
                </w:p>
              </w:tc>
              <w:tc>
                <w:tcPr>
                  <w:tcW w:w="931" w:type="pct"/>
                  <w:vMerge w:val="continue"/>
                  <w:tcBorders>
                    <w:top w:val="nil"/>
                    <w:left w:val="single" w:color="auto" w:sz="4" w:space="0"/>
                    <w:bottom w:val="single" w:color="auto" w:sz="4" w:space="0"/>
                    <w:right w:val="single" w:color="auto" w:sz="4" w:space="0"/>
                  </w:tcBorders>
                  <w:vAlign w:val="center"/>
                </w:tcPr>
                <w:p w14:paraId="6E481AE9">
                  <w:pPr>
                    <w:snapToGrid w:val="0"/>
                    <w:rPr>
                      <w:rFonts w:ascii="仿宋_GB2312" w:hAnsi="仿宋_GB2312" w:eastAsia="仿宋_GB2312" w:cs="仿宋_GB2312"/>
                      <w:b/>
                      <w:bCs/>
                      <w:color w:val="auto"/>
                      <w:sz w:val="24"/>
                      <w:highlight w:val="none"/>
                    </w:rPr>
                  </w:pPr>
                </w:p>
              </w:tc>
              <w:tc>
                <w:tcPr>
                  <w:tcW w:w="3522" w:type="pct"/>
                  <w:gridSpan w:val="2"/>
                  <w:tcBorders>
                    <w:top w:val="single" w:color="auto" w:sz="4" w:space="0"/>
                    <w:left w:val="nil"/>
                    <w:bottom w:val="single" w:color="auto" w:sz="4" w:space="0"/>
                    <w:right w:val="single" w:color="000000" w:sz="8" w:space="0"/>
                  </w:tcBorders>
                  <w:shd w:val="clear" w:color="auto" w:fill="auto"/>
                  <w:tcMar>
                    <w:top w:w="15" w:type="dxa"/>
                    <w:left w:w="15" w:type="dxa"/>
                    <w:bottom w:w="0" w:type="dxa"/>
                    <w:right w:w="15" w:type="dxa"/>
                  </w:tcMar>
                  <w:vAlign w:val="center"/>
                </w:tcPr>
                <w:p w14:paraId="478BCDBC">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相位监控</w:t>
                  </w:r>
                </w:p>
              </w:tc>
            </w:tr>
            <w:tr w14:paraId="61B8D2D2">
              <w:tblPrEx>
                <w:tblCellMar>
                  <w:top w:w="0" w:type="dxa"/>
                  <w:left w:w="0" w:type="dxa"/>
                  <w:bottom w:w="0" w:type="dxa"/>
                  <w:right w:w="0" w:type="dxa"/>
                </w:tblCellMar>
              </w:tblPrEx>
              <w:trPr>
                <w:trHeight w:val="737"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6F1F28BD">
                  <w:pPr>
                    <w:snapToGrid w:val="0"/>
                    <w:rPr>
                      <w:rFonts w:ascii="仿宋_GB2312" w:hAnsi="仿宋_GB2312" w:eastAsia="仿宋_GB2312" w:cs="仿宋_GB2312"/>
                      <w:b/>
                      <w:bCs/>
                      <w:color w:val="auto"/>
                      <w:sz w:val="24"/>
                      <w:highlight w:val="none"/>
                    </w:rPr>
                  </w:pPr>
                </w:p>
              </w:tc>
              <w:tc>
                <w:tcPr>
                  <w:tcW w:w="931" w:type="pct"/>
                  <w:vMerge w:val="continue"/>
                  <w:tcBorders>
                    <w:top w:val="nil"/>
                    <w:left w:val="single" w:color="auto" w:sz="4" w:space="0"/>
                    <w:bottom w:val="single" w:color="auto" w:sz="4" w:space="0"/>
                    <w:right w:val="single" w:color="auto" w:sz="4" w:space="0"/>
                  </w:tcBorders>
                  <w:vAlign w:val="center"/>
                </w:tcPr>
                <w:p w14:paraId="3AD9A577">
                  <w:pPr>
                    <w:snapToGrid w:val="0"/>
                    <w:rPr>
                      <w:rFonts w:ascii="仿宋_GB2312" w:hAnsi="仿宋_GB2312" w:eastAsia="仿宋_GB2312" w:cs="仿宋_GB2312"/>
                      <w:b/>
                      <w:bCs/>
                      <w:color w:val="auto"/>
                      <w:sz w:val="24"/>
                      <w:highlight w:val="none"/>
                    </w:rPr>
                  </w:pPr>
                </w:p>
              </w:tc>
              <w:tc>
                <w:tcPr>
                  <w:tcW w:w="3522" w:type="pct"/>
                  <w:gridSpan w:val="2"/>
                  <w:tcBorders>
                    <w:top w:val="single" w:color="auto" w:sz="4" w:space="0"/>
                    <w:left w:val="nil"/>
                    <w:bottom w:val="single" w:color="auto" w:sz="4" w:space="0"/>
                    <w:right w:val="single" w:color="000000" w:sz="8" w:space="0"/>
                  </w:tcBorders>
                  <w:shd w:val="clear" w:color="auto" w:fill="auto"/>
                  <w:tcMar>
                    <w:top w:w="15" w:type="dxa"/>
                    <w:left w:w="15" w:type="dxa"/>
                    <w:bottom w:w="0" w:type="dxa"/>
                    <w:right w:w="15" w:type="dxa"/>
                  </w:tcMar>
                  <w:vAlign w:val="center"/>
                </w:tcPr>
                <w:p w14:paraId="08D8D3DD">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紧急停止按纽，位于上部和下部出入口处</w:t>
                  </w:r>
                </w:p>
              </w:tc>
            </w:tr>
            <w:tr w14:paraId="1EFF0B99">
              <w:tblPrEx>
                <w:tblCellMar>
                  <w:top w:w="0" w:type="dxa"/>
                  <w:left w:w="0" w:type="dxa"/>
                  <w:bottom w:w="0" w:type="dxa"/>
                  <w:right w:w="0" w:type="dxa"/>
                </w:tblCellMar>
              </w:tblPrEx>
              <w:trPr>
                <w:trHeight w:val="737"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48577828">
                  <w:pPr>
                    <w:snapToGrid w:val="0"/>
                    <w:rPr>
                      <w:rFonts w:ascii="仿宋_GB2312" w:hAnsi="仿宋_GB2312" w:eastAsia="仿宋_GB2312" w:cs="仿宋_GB2312"/>
                      <w:b/>
                      <w:bCs/>
                      <w:color w:val="auto"/>
                      <w:sz w:val="24"/>
                      <w:highlight w:val="none"/>
                    </w:rPr>
                  </w:pPr>
                </w:p>
              </w:tc>
              <w:tc>
                <w:tcPr>
                  <w:tcW w:w="931" w:type="pct"/>
                  <w:vMerge w:val="continue"/>
                  <w:tcBorders>
                    <w:top w:val="nil"/>
                    <w:left w:val="single" w:color="auto" w:sz="4" w:space="0"/>
                    <w:bottom w:val="single" w:color="auto" w:sz="4" w:space="0"/>
                    <w:right w:val="single" w:color="auto" w:sz="4" w:space="0"/>
                  </w:tcBorders>
                  <w:vAlign w:val="center"/>
                </w:tcPr>
                <w:p w14:paraId="2A38A91A">
                  <w:pPr>
                    <w:snapToGrid w:val="0"/>
                    <w:rPr>
                      <w:rFonts w:ascii="仿宋_GB2312" w:hAnsi="仿宋_GB2312" w:eastAsia="仿宋_GB2312" w:cs="仿宋_GB2312"/>
                      <w:b/>
                      <w:bCs/>
                      <w:color w:val="auto"/>
                      <w:sz w:val="24"/>
                      <w:highlight w:val="none"/>
                    </w:rPr>
                  </w:pPr>
                </w:p>
              </w:tc>
              <w:tc>
                <w:tcPr>
                  <w:tcW w:w="3522" w:type="pct"/>
                  <w:gridSpan w:val="2"/>
                  <w:tcBorders>
                    <w:top w:val="single" w:color="auto" w:sz="4" w:space="0"/>
                    <w:left w:val="nil"/>
                    <w:bottom w:val="single" w:color="auto" w:sz="4" w:space="0"/>
                    <w:right w:val="single" w:color="000000" w:sz="8" w:space="0"/>
                  </w:tcBorders>
                  <w:shd w:val="clear" w:color="auto" w:fill="auto"/>
                  <w:tcMar>
                    <w:top w:w="15" w:type="dxa"/>
                    <w:left w:w="15" w:type="dxa"/>
                    <w:bottom w:w="0" w:type="dxa"/>
                    <w:right w:w="15" w:type="dxa"/>
                  </w:tcMar>
                  <w:vAlign w:val="center"/>
                </w:tcPr>
                <w:p w14:paraId="22831A0E">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钥匙开关置零位监控</w:t>
                  </w:r>
                </w:p>
              </w:tc>
            </w:tr>
            <w:tr w14:paraId="4BE6D346">
              <w:tblPrEx>
                <w:tblCellMar>
                  <w:top w:w="0" w:type="dxa"/>
                  <w:left w:w="0" w:type="dxa"/>
                  <w:bottom w:w="0" w:type="dxa"/>
                  <w:right w:w="0" w:type="dxa"/>
                </w:tblCellMar>
              </w:tblPrEx>
              <w:trPr>
                <w:trHeight w:val="737"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41A56032">
                  <w:pPr>
                    <w:snapToGrid w:val="0"/>
                    <w:rPr>
                      <w:rFonts w:ascii="仿宋_GB2312" w:hAnsi="仿宋_GB2312" w:eastAsia="仿宋_GB2312" w:cs="仿宋_GB2312"/>
                      <w:b/>
                      <w:bCs/>
                      <w:color w:val="auto"/>
                      <w:sz w:val="24"/>
                      <w:highlight w:val="none"/>
                    </w:rPr>
                  </w:pPr>
                </w:p>
              </w:tc>
              <w:tc>
                <w:tcPr>
                  <w:tcW w:w="931" w:type="pct"/>
                  <w:vMerge w:val="continue"/>
                  <w:tcBorders>
                    <w:top w:val="nil"/>
                    <w:left w:val="single" w:color="auto" w:sz="4" w:space="0"/>
                    <w:bottom w:val="single" w:color="auto" w:sz="4" w:space="0"/>
                    <w:right w:val="single" w:color="auto" w:sz="4" w:space="0"/>
                  </w:tcBorders>
                  <w:vAlign w:val="center"/>
                </w:tcPr>
                <w:p w14:paraId="36AD02C6">
                  <w:pPr>
                    <w:snapToGrid w:val="0"/>
                    <w:rPr>
                      <w:rFonts w:ascii="仿宋_GB2312" w:hAnsi="仿宋_GB2312" w:eastAsia="仿宋_GB2312" w:cs="仿宋_GB2312"/>
                      <w:b/>
                      <w:bCs/>
                      <w:color w:val="auto"/>
                      <w:sz w:val="24"/>
                      <w:highlight w:val="none"/>
                    </w:rPr>
                  </w:pPr>
                </w:p>
              </w:tc>
              <w:tc>
                <w:tcPr>
                  <w:tcW w:w="3522" w:type="pct"/>
                  <w:gridSpan w:val="2"/>
                  <w:tcBorders>
                    <w:top w:val="single" w:color="auto" w:sz="4" w:space="0"/>
                    <w:left w:val="nil"/>
                    <w:bottom w:val="single" w:color="auto" w:sz="4" w:space="0"/>
                    <w:right w:val="single" w:color="000000" w:sz="8" w:space="0"/>
                  </w:tcBorders>
                  <w:shd w:val="clear" w:color="auto" w:fill="auto"/>
                  <w:tcMar>
                    <w:top w:w="15" w:type="dxa"/>
                    <w:left w:w="15" w:type="dxa"/>
                    <w:bottom w:w="0" w:type="dxa"/>
                    <w:right w:w="15" w:type="dxa"/>
                  </w:tcMar>
                  <w:vAlign w:val="center"/>
                </w:tcPr>
                <w:p w14:paraId="73BA93B8">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梯级断裂保护</w:t>
                  </w:r>
                </w:p>
              </w:tc>
            </w:tr>
            <w:tr w14:paraId="478A4D75">
              <w:tblPrEx>
                <w:tblCellMar>
                  <w:top w:w="0" w:type="dxa"/>
                  <w:left w:w="0" w:type="dxa"/>
                  <w:bottom w:w="0" w:type="dxa"/>
                  <w:right w:w="0" w:type="dxa"/>
                </w:tblCellMar>
              </w:tblPrEx>
              <w:trPr>
                <w:trHeight w:val="737"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1EF3BCD0">
                  <w:pPr>
                    <w:snapToGrid w:val="0"/>
                    <w:rPr>
                      <w:rFonts w:ascii="仿宋_GB2312" w:hAnsi="仿宋_GB2312" w:eastAsia="仿宋_GB2312" w:cs="仿宋_GB2312"/>
                      <w:b/>
                      <w:bCs/>
                      <w:color w:val="auto"/>
                      <w:sz w:val="24"/>
                      <w:highlight w:val="none"/>
                    </w:rPr>
                  </w:pPr>
                </w:p>
              </w:tc>
              <w:tc>
                <w:tcPr>
                  <w:tcW w:w="931" w:type="pct"/>
                  <w:vMerge w:val="continue"/>
                  <w:tcBorders>
                    <w:top w:val="nil"/>
                    <w:left w:val="single" w:color="auto" w:sz="4" w:space="0"/>
                    <w:bottom w:val="single" w:color="auto" w:sz="4" w:space="0"/>
                    <w:right w:val="single" w:color="auto" w:sz="4" w:space="0"/>
                  </w:tcBorders>
                  <w:vAlign w:val="center"/>
                </w:tcPr>
                <w:p w14:paraId="3DC8857F">
                  <w:pPr>
                    <w:snapToGrid w:val="0"/>
                    <w:rPr>
                      <w:rFonts w:ascii="仿宋_GB2312" w:hAnsi="仿宋_GB2312" w:eastAsia="仿宋_GB2312" w:cs="仿宋_GB2312"/>
                      <w:b/>
                      <w:bCs/>
                      <w:color w:val="auto"/>
                      <w:sz w:val="24"/>
                      <w:highlight w:val="none"/>
                    </w:rPr>
                  </w:pPr>
                </w:p>
              </w:tc>
              <w:tc>
                <w:tcPr>
                  <w:tcW w:w="3522" w:type="pct"/>
                  <w:gridSpan w:val="2"/>
                  <w:tcBorders>
                    <w:top w:val="single" w:color="auto" w:sz="4" w:space="0"/>
                    <w:left w:val="nil"/>
                    <w:bottom w:val="single" w:color="auto" w:sz="4" w:space="0"/>
                    <w:right w:val="single" w:color="000000" w:sz="8" w:space="0"/>
                  </w:tcBorders>
                  <w:shd w:val="clear" w:color="auto" w:fill="auto"/>
                  <w:tcMar>
                    <w:top w:w="15" w:type="dxa"/>
                    <w:left w:w="15" w:type="dxa"/>
                    <w:bottom w:w="0" w:type="dxa"/>
                    <w:right w:w="15" w:type="dxa"/>
                  </w:tcMar>
                  <w:vAlign w:val="center"/>
                </w:tcPr>
                <w:p w14:paraId="19003AD9">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PTC电阻电机保护</w:t>
                  </w:r>
                </w:p>
              </w:tc>
            </w:tr>
            <w:tr w14:paraId="51B0E2EE">
              <w:tblPrEx>
                <w:tblCellMar>
                  <w:top w:w="0" w:type="dxa"/>
                  <w:left w:w="0" w:type="dxa"/>
                  <w:bottom w:w="0" w:type="dxa"/>
                  <w:right w:w="0" w:type="dxa"/>
                </w:tblCellMar>
              </w:tblPrEx>
              <w:trPr>
                <w:trHeight w:val="737"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11BE1E4C">
                  <w:pPr>
                    <w:snapToGrid w:val="0"/>
                    <w:rPr>
                      <w:rFonts w:ascii="仿宋_GB2312" w:hAnsi="仿宋_GB2312" w:eastAsia="仿宋_GB2312" w:cs="仿宋_GB2312"/>
                      <w:b/>
                      <w:bCs/>
                      <w:color w:val="auto"/>
                      <w:sz w:val="24"/>
                      <w:highlight w:val="none"/>
                    </w:rPr>
                  </w:pPr>
                </w:p>
              </w:tc>
              <w:tc>
                <w:tcPr>
                  <w:tcW w:w="931" w:type="pct"/>
                  <w:vMerge w:val="continue"/>
                  <w:tcBorders>
                    <w:top w:val="nil"/>
                    <w:left w:val="single" w:color="auto" w:sz="4" w:space="0"/>
                    <w:bottom w:val="single" w:color="auto" w:sz="4" w:space="0"/>
                    <w:right w:val="single" w:color="auto" w:sz="4" w:space="0"/>
                  </w:tcBorders>
                  <w:vAlign w:val="center"/>
                </w:tcPr>
                <w:p w14:paraId="3AF5F8DB">
                  <w:pPr>
                    <w:snapToGrid w:val="0"/>
                    <w:rPr>
                      <w:rFonts w:ascii="仿宋_GB2312" w:hAnsi="仿宋_GB2312" w:eastAsia="仿宋_GB2312" w:cs="仿宋_GB2312"/>
                      <w:b/>
                      <w:bCs/>
                      <w:color w:val="auto"/>
                      <w:sz w:val="24"/>
                      <w:highlight w:val="none"/>
                    </w:rPr>
                  </w:pPr>
                </w:p>
              </w:tc>
              <w:tc>
                <w:tcPr>
                  <w:tcW w:w="3522" w:type="pct"/>
                  <w:gridSpan w:val="2"/>
                  <w:tcBorders>
                    <w:top w:val="single" w:color="auto" w:sz="4" w:space="0"/>
                    <w:left w:val="nil"/>
                    <w:bottom w:val="single" w:color="auto" w:sz="4" w:space="0"/>
                    <w:right w:val="single" w:color="000000" w:sz="8" w:space="0"/>
                  </w:tcBorders>
                  <w:shd w:val="clear" w:color="auto" w:fill="auto"/>
                  <w:tcMar>
                    <w:top w:w="15" w:type="dxa"/>
                    <w:left w:w="15" w:type="dxa"/>
                    <w:bottom w:w="0" w:type="dxa"/>
                    <w:right w:w="15" w:type="dxa"/>
                  </w:tcMar>
                  <w:vAlign w:val="center"/>
                </w:tcPr>
                <w:p w14:paraId="102DE328">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制动器监控</w:t>
                  </w:r>
                </w:p>
              </w:tc>
            </w:tr>
            <w:tr w14:paraId="713244C9">
              <w:tblPrEx>
                <w:tblCellMar>
                  <w:top w:w="0" w:type="dxa"/>
                  <w:left w:w="0" w:type="dxa"/>
                  <w:bottom w:w="0" w:type="dxa"/>
                  <w:right w:w="0" w:type="dxa"/>
                </w:tblCellMar>
              </w:tblPrEx>
              <w:trPr>
                <w:trHeight w:val="737"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56F8EE77">
                  <w:pPr>
                    <w:snapToGrid w:val="0"/>
                    <w:rPr>
                      <w:rFonts w:ascii="仿宋_GB2312" w:hAnsi="仿宋_GB2312" w:eastAsia="仿宋_GB2312" w:cs="仿宋_GB2312"/>
                      <w:b/>
                      <w:bCs/>
                      <w:color w:val="auto"/>
                      <w:sz w:val="24"/>
                      <w:highlight w:val="none"/>
                    </w:rPr>
                  </w:pPr>
                </w:p>
              </w:tc>
              <w:tc>
                <w:tcPr>
                  <w:tcW w:w="931" w:type="pct"/>
                  <w:vMerge w:val="continue"/>
                  <w:tcBorders>
                    <w:top w:val="nil"/>
                    <w:left w:val="single" w:color="auto" w:sz="4" w:space="0"/>
                    <w:bottom w:val="single" w:color="auto" w:sz="4" w:space="0"/>
                    <w:right w:val="single" w:color="auto" w:sz="4" w:space="0"/>
                  </w:tcBorders>
                  <w:vAlign w:val="center"/>
                </w:tcPr>
                <w:p w14:paraId="5BB5B8F2">
                  <w:pPr>
                    <w:snapToGrid w:val="0"/>
                    <w:rPr>
                      <w:rFonts w:ascii="仿宋_GB2312" w:hAnsi="仿宋_GB2312" w:eastAsia="仿宋_GB2312" w:cs="仿宋_GB2312"/>
                      <w:b/>
                      <w:bCs/>
                      <w:color w:val="auto"/>
                      <w:sz w:val="24"/>
                      <w:highlight w:val="none"/>
                    </w:rPr>
                  </w:pPr>
                </w:p>
              </w:tc>
              <w:tc>
                <w:tcPr>
                  <w:tcW w:w="3522" w:type="pct"/>
                  <w:gridSpan w:val="2"/>
                  <w:tcBorders>
                    <w:top w:val="single" w:color="auto" w:sz="4" w:space="0"/>
                    <w:left w:val="nil"/>
                    <w:bottom w:val="single" w:color="auto" w:sz="4" w:space="0"/>
                    <w:right w:val="single" w:color="000000" w:sz="8" w:space="0"/>
                  </w:tcBorders>
                  <w:shd w:val="clear" w:color="auto" w:fill="auto"/>
                  <w:tcMar>
                    <w:top w:w="15" w:type="dxa"/>
                    <w:left w:w="15" w:type="dxa"/>
                    <w:bottom w:w="0" w:type="dxa"/>
                    <w:right w:w="15" w:type="dxa"/>
                  </w:tcMar>
                  <w:vAlign w:val="center"/>
                </w:tcPr>
                <w:p w14:paraId="71A9B6AA">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电子防逆转装置</w:t>
                  </w:r>
                </w:p>
              </w:tc>
            </w:tr>
            <w:tr w14:paraId="77E710E9">
              <w:tblPrEx>
                <w:tblCellMar>
                  <w:top w:w="0" w:type="dxa"/>
                  <w:left w:w="0" w:type="dxa"/>
                  <w:bottom w:w="0" w:type="dxa"/>
                  <w:right w:w="0" w:type="dxa"/>
                </w:tblCellMar>
              </w:tblPrEx>
              <w:trPr>
                <w:trHeight w:val="90"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14CEF17F">
                  <w:pPr>
                    <w:snapToGrid w:val="0"/>
                    <w:rPr>
                      <w:rFonts w:ascii="仿宋_GB2312" w:hAnsi="仿宋_GB2312" w:eastAsia="仿宋_GB2312" w:cs="仿宋_GB2312"/>
                      <w:b/>
                      <w:bCs/>
                      <w:color w:val="auto"/>
                      <w:sz w:val="24"/>
                      <w:highlight w:val="none"/>
                    </w:rPr>
                  </w:pPr>
                </w:p>
              </w:tc>
              <w:tc>
                <w:tcPr>
                  <w:tcW w:w="931" w:type="pct"/>
                  <w:vMerge w:val="continue"/>
                  <w:tcBorders>
                    <w:top w:val="nil"/>
                    <w:left w:val="single" w:color="auto" w:sz="4" w:space="0"/>
                    <w:bottom w:val="single" w:color="auto" w:sz="4" w:space="0"/>
                    <w:right w:val="single" w:color="auto" w:sz="4" w:space="0"/>
                  </w:tcBorders>
                  <w:vAlign w:val="center"/>
                </w:tcPr>
                <w:p w14:paraId="749DA661">
                  <w:pPr>
                    <w:snapToGrid w:val="0"/>
                    <w:rPr>
                      <w:rFonts w:ascii="仿宋_GB2312" w:hAnsi="仿宋_GB2312" w:eastAsia="仿宋_GB2312" w:cs="仿宋_GB2312"/>
                      <w:b/>
                      <w:bCs/>
                      <w:color w:val="auto"/>
                      <w:sz w:val="24"/>
                      <w:highlight w:val="none"/>
                    </w:rPr>
                  </w:pPr>
                </w:p>
              </w:tc>
              <w:tc>
                <w:tcPr>
                  <w:tcW w:w="3522" w:type="pct"/>
                  <w:gridSpan w:val="2"/>
                  <w:tcBorders>
                    <w:top w:val="single" w:color="auto" w:sz="4" w:space="0"/>
                    <w:left w:val="nil"/>
                    <w:bottom w:val="single" w:color="auto" w:sz="4" w:space="0"/>
                    <w:right w:val="single" w:color="000000" w:sz="8" w:space="0"/>
                  </w:tcBorders>
                  <w:shd w:val="clear" w:color="auto" w:fill="auto"/>
                  <w:tcMar>
                    <w:top w:w="15" w:type="dxa"/>
                    <w:left w:w="15" w:type="dxa"/>
                    <w:bottom w:w="0" w:type="dxa"/>
                    <w:right w:w="15" w:type="dxa"/>
                  </w:tcMar>
                  <w:vAlign w:val="center"/>
                </w:tcPr>
                <w:p w14:paraId="7FA89F75">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围裙板刷</w:t>
                  </w:r>
                </w:p>
              </w:tc>
            </w:tr>
            <w:tr w14:paraId="70029170">
              <w:tblPrEx>
                <w:tblCellMar>
                  <w:top w:w="0" w:type="dxa"/>
                  <w:left w:w="0" w:type="dxa"/>
                  <w:bottom w:w="0" w:type="dxa"/>
                  <w:right w:w="0" w:type="dxa"/>
                </w:tblCellMar>
              </w:tblPrEx>
              <w:trPr>
                <w:trHeight w:val="737"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344F1F81">
                  <w:pPr>
                    <w:snapToGrid w:val="0"/>
                    <w:rPr>
                      <w:rFonts w:ascii="仿宋_GB2312" w:hAnsi="仿宋_GB2312" w:eastAsia="仿宋_GB2312" w:cs="仿宋_GB2312"/>
                      <w:b/>
                      <w:bCs/>
                      <w:color w:val="auto"/>
                      <w:sz w:val="24"/>
                      <w:highlight w:val="none"/>
                    </w:rPr>
                  </w:pPr>
                </w:p>
              </w:tc>
              <w:tc>
                <w:tcPr>
                  <w:tcW w:w="931" w:type="pct"/>
                  <w:vMerge w:val="continue"/>
                  <w:tcBorders>
                    <w:top w:val="nil"/>
                    <w:left w:val="single" w:color="auto" w:sz="4" w:space="0"/>
                    <w:bottom w:val="single" w:color="auto" w:sz="4" w:space="0"/>
                    <w:right w:val="single" w:color="auto" w:sz="4" w:space="0"/>
                  </w:tcBorders>
                  <w:vAlign w:val="center"/>
                </w:tcPr>
                <w:p w14:paraId="6938831E">
                  <w:pPr>
                    <w:snapToGrid w:val="0"/>
                    <w:rPr>
                      <w:rFonts w:ascii="仿宋_GB2312" w:hAnsi="仿宋_GB2312" w:eastAsia="仿宋_GB2312" w:cs="仿宋_GB2312"/>
                      <w:b/>
                      <w:bCs/>
                      <w:color w:val="auto"/>
                      <w:sz w:val="24"/>
                      <w:highlight w:val="none"/>
                    </w:rPr>
                  </w:pPr>
                </w:p>
              </w:tc>
              <w:tc>
                <w:tcPr>
                  <w:tcW w:w="3522" w:type="pct"/>
                  <w:gridSpan w:val="2"/>
                  <w:tcBorders>
                    <w:top w:val="single" w:color="auto" w:sz="4" w:space="0"/>
                    <w:left w:val="nil"/>
                    <w:bottom w:val="single" w:color="auto" w:sz="4" w:space="0"/>
                    <w:right w:val="single" w:color="000000" w:sz="8" w:space="0"/>
                  </w:tcBorders>
                  <w:shd w:val="clear" w:color="auto" w:fill="auto"/>
                  <w:tcMar>
                    <w:top w:w="15" w:type="dxa"/>
                    <w:left w:w="15" w:type="dxa"/>
                    <w:bottom w:w="0" w:type="dxa"/>
                    <w:right w:w="15" w:type="dxa"/>
                  </w:tcMar>
                  <w:vAlign w:val="center"/>
                </w:tcPr>
                <w:p w14:paraId="26CB9264">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扶手带速度监控</w:t>
                  </w:r>
                </w:p>
              </w:tc>
            </w:tr>
            <w:tr w14:paraId="35AA2CB4">
              <w:tblPrEx>
                <w:tblCellMar>
                  <w:top w:w="0" w:type="dxa"/>
                  <w:left w:w="0" w:type="dxa"/>
                  <w:bottom w:w="0" w:type="dxa"/>
                  <w:right w:w="0" w:type="dxa"/>
                </w:tblCellMar>
              </w:tblPrEx>
              <w:trPr>
                <w:trHeight w:val="737" w:hRule="atLeast"/>
                <w:jc w:val="center"/>
              </w:trPr>
              <w:tc>
                <w:tcPr>
                  <w:tcW w:w="546" w:type="pct"/>
                  <w:vMerge w:val="continue"/>
                  <w:tcBorders>
                    <w:top w:val="nil"/>
                    <w:left w:val="single" w:color="auto" w:sz="8" w:space="0"/>
                    <w:bottom w:val="single" w:color="auto" w:sz="4" w:space="0"/>
                    <w:right w:val="single" w:color="auto" w:sz="4" w:space="0"/>
                  </w:tcBorders>
                  <w:vAlign w:val="center"/>
                </w:tcPr>
                <w:p w14:paraId="31018C72">
                  <w:pPr>
                    <w:snapToGrid w:val="0"/>
                    <w:rPr>
                      <w:rFonts w:ascii="仿宋_GB2312" w:hAnsi="仿宋_GB2312" w:eastAsia="仿宋_GB2312" w:cs="仿宋_GB2312"/>
                      <w:b/>
                      <w:bCs/>
                      <w:color w:val="auto"/>
                      <w:sz w:val="24"/>
                      <w:highlight w:val="none"/>
                    </w:rPr>
                  </w:pPr>
                </w:p>
              </w:tc>
              <w:tc>
                <w:tcPr>
                  <w:tcW w:w="931" w:type="pct"/>
                  <w:vMerge w:val="continue"/>
                  <w:tcBorders>
                    <w:top w:val="nil"/>
                    <w:left w:val="single" w:color="auto" w:sz="4" w:space="0"/>
                    <w:bottom w:val="single" w:color="auto" w:sz="4" w:space="0"/>
                    <w:right w:val="single" w:color="auto" w:sz="4" w:space="0"/>
                  </w:tcBorders>
                  <w:vAlign w:val="center"/>
                </w:tcPr>
                <w:p w14:paraId="5E563B96">
                  <w:pPr>
                    <w:snapToGrid w:val="0"/>
                    <w:rPr>
                      <w:rFonts w:ascii="仿宋_GB2312" w:hAnsi="仿宋_GB2312" w:eastAsia="仿宋_GB2312" w:cs="仿宋_GB2312"/>
                      <w:b/>
                      <w:bCs/>
                      <w:color w:val="auto"/>
                      <w:sz w:val="24"/>
                      <w:highlight w:val="none"/>
                    </w:rPr>
                  </w:pPr>
                </w:p>
              </w:tc>
              <w:tc>
                <w:tcPr>
                  <w:tcW w:w="3522" w:type="pct"/>
                  <w:gridSpan w:val="2"/>
                  <w:tcBorders>
                    <w:top w:val="single" w:color="auto" w:sz="4" w:space="0"/>
                    <w:left w:val="nil"/>
                    <w:bottom w:val="single" w:color="auto" w:sz="4" w:space="0"/>
                    <w:right w:val="single" w:color="000000" w:sz="8" w:space="0"/>
                  </w:tcBorders>
                  <w:shd w:val="clear" w:color="auto" w:fill="auto"/>
                  <w:tcMar>
                    <w:top w:w="15" w:type="dxa"/>
                    <w:left w:w="15" w:type="dxa"/>
                    <w:bottom w:w="0" w:type="dxa"/>
                    <w:right w:w="15" w:type="dxa"/>
                  </w:tcMar>
                  <w:vAlign w:val="center"/>
                </w:tcPr>
                <w:p w14:paraId="0191B668">
                  <w:pPr>
                    <w:snapToGrid w:val="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前沿板安全触点</w:t>
                  </w:r>
                </w:p>
              </w:tc>
            </w:tr>
            <w:tr w14:paraId="1E8FD428">
              <w:tblPrEx>
                <w:tblCellMar>
                  <w:top w:w="0" w:type="dxa"/>
                  <w:left w:w="0" w:type="dxa"/>
                  <w:bottom w:w="0" w:type="dxa"/>
                  <w:right w:w="0" w:type="dxa"/>
                </w:tblCellMar>
              </w:tblPrEx>
              <w:trPr>
                <w:trHeight w:val="737" w:hRule="atLeast"/>
                <w:jc w:val="center"/>
              </w:trPr>
              <w:tc>
                <w:tcPr>
                  <w:tcW w:w="546" w:type="pct"/>
                  <w:tcBorders>
                    <w:top w:val="nil"/>
                    <w:left w:val="single" w:color="auto" w:sz="8" w:space="0"/>
                    <w:bottom w:val="single" w:color="auto" w:sz="8" w:space="0"/>
                    <w:right w:val="single" w:color="auto" w:sz="4" w:space="0"/>
                  </w:tcBorders>
                  <w:shd w:val="clear" w:color="auto" w:fill="auto"/>
                  <w:tcMar>
                    <w:top w:w="15" w:type="dxa"/>
                    <w:left w:w="15" w:type="dxa"/>
                    <w:bottom w:w="0" w:type="dxa"/>
                    <w:right w:w="15" w:type="dxa"/>
                  </w:tcMar>
                  <w:vAlign w:val="center"/>
                </w:tcPr>
                <w:p w14:paraId="51926E4B">
                  <w:pPr>
                    <w:snapToGrid w:val="0"/>
                    <w:jc w:val="center"/>
                    <w:rPr>
                      <w:rFonts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rPr>
                    <w:t>外包板</w:t>
                  </w:r>
                </w:p>
              </w:tc>
              <w:tc>
                <w:tcPr>
                  <w:tcW w:w="931" w:type="pct"/>
                  <w:tcBorders>
                    <w:top w:val="nil"/>
                    <w:left w:val="nil"/>
                    <w:bottom w:val="single" w:color="auto" w:sz="8" w:space="0"/>
                    <w:right w:val="single" w:color="auto" w:sz="4" w:space="0"/>
                  </w:tcBorders>
                  <w:shd w:val="clear" w:color="auto" w:fill="auto"/>
                  <w:tcMar>
                    <w:top w:w="15" w:type="dxa"/>
                    <w:left w:w="15" w:type="dxa"/>
                    <w:bottom w:w="0" w:type="dxa"/>
                    <w:right w:w="15" w:type="dxa"/>
                  </w:tcMar>
                  <w:vAlign w:val="center"/>
                </w:tcPr>
                <w:p w14:paraId="16273EB2">
                  <w:pPr>
                    <w:snapToGrid w:val="0"/>
                    <w:rPr>
                      <w:rFonts w:ascii="仿宋_GB2312" w:hAnsi="仿宋_GB2312" w:eastAsia="仿宋_GB2312" w:cs="仿宋_GB2312"/>
                      <w:b/>
                      <w:bCs/>
                      <w:color w:val="auto"/>
                      <w:sz w:val="24"/>
                      <w:highlight w:val="none"/>
                    </w:rPr>
                  </w:pPr>
                </w:p>
              </w:tc>
              <w:tc>
                <w:tcPr>
                  <w:tcW w:w="3522" w:type="pct"/>
                  <w:gridSpan w:val="2"/>
                  <w:tcBorders>
                    <w:top w:val="nil"/>
                    <w:left w:val="nil"/>
                    <w:bottom w:val="single" w:color="auto" w:sz="8" w:space="0"/>
                    <w:right w:val="single" w:color="auto" w:sz="8" w:space="0"/>
                  </w:tcBorders>
                  <w:shd w:val="clear" w:color="auto" w:fill="auto"/>
                  <w:noWrap/>
                  <w:tcMar>
                    <w:top w:w="15" w:type="dxa"/>
                    <w:left w:w="15" w:type="dxa"/>
                    <w:bottom w:w="0" w:type="dxa"/>
                    <w:right w:w="15" w:type="dxa"/>
                  </w:tcMar>
                  <w:vAlign w:val="center"/>
                </w:tcPr>
                <w:p w14:paraId="1CEBCA27">
                  <w:pPr>
                    <w:snapToGrid w:val="0"/>
                    <w:jc w:val="left"/>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扶梯两侧及底部，采用304#发纹不锈钢外装饰</w:t>
                  </w:r>
                </w:p>
              </w:tc>
            </w:tr>
          </w:tbl>
          <w:p w14:paraId="784A9848">
            <w:pPr>
              <w:pStyle w:val="2"/>
              <w:pageBreakBefore w:val="0"/>
              <w:widowControl w:val="0"/>
              <w:kinsoku/>
              <w:wordWrap/>
              <w:overflowPunct/>
              <w:topLinePunct w:val="0"/>
              <w:autoSpaceDE/>
              <w:autoSpaceDN/>
              <w:bidi w:val="0"/>
              <w:adjustRightInd/>
              <w:snapToGrid w:val="0"/>
              <w:spacing w:before="0" w:after="0" w:line="360" w:lineRule="auto"/>
              <w:ind w:firstLine="240" w:firstLineChars="100"/>
              <w:jc w:val="both"/>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★二、安装要求</w:t>
            </w:r>
          </w:p>
          <w:p w14:paraId="02E1FAAB">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1.负责沈阳药科大学校本部食堂电梯更新项目4部扶梯和1部货梯的供货、安装、调试、保修、售后服务等。</w:t>
            </w:r>
          </w:p>
          <w:p w14:paraId="4ABF3DE9">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2.中标后须对现场进行勘察并对电梯井道进行二次深化设计（深化设计费用包含在投标报价内），须满足设计和施工现场要求。</w:t>
            </w:r>
          </w:p>
          <w:p w14:paraId="22350A18">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3.负责旧梯拆除，并运送到</w:t>
            </w:r>
            <w:r>
              <w:rPr>
                <w:rFonts w:hint="eastAsia" w:ascii="仿宋_GB2312" w:hAnsi="仿宋_GB2312" w:eastAsia="仿宋_GB2312" w:cs="仿宋_GB2312"/>
                <w:bCs/>
                <w:color w:val="auto"/>
                <w:sz w:val="24"/>
                <w:highlight w:val="none"/>
                <w:lang w:val="en-US" w:eastAsia="zh-CN"/>
              </w:rPr>
              <w:t>采购</w:t>
            </w:r>
            <w:r>
              <w:rPr>
                <w:rFonts w:hint="eastAsia" w:ascii="仿宋_GB2312" w:hAnsi="仿宋_GB2312" w:eastAsia="仿宋_GB2312" w:cs="仿宋_GB2312"/>
                <w:bCs/>
                <w:color w:val="auto"/>
                <w:sz w:val="24"/>
                <w:highlight w:val="none"/>
              </w:rPr>
              <w:t>方指定位置。</w:t>
            </w:r>
          </w:p>
          <w:p w14:paraId="24B9D712">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4.本次电梯的安装施工是在建筑及室内装修施工已完成的空间内进行，施工单位应对已完成建筑成品进行保护，并对施工破坏的部位进行修复。</w:t>
            </w:r>
          </w:p>
          <w:p w14:paraId="75CAEFF4">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5.电梯安装单位应根据建筑结构自行完成各楼层电梯门洞、层显、呼叫按钮及相关电梯设备洞口开设，且要保证结构安全，并对周边相应装修施工内容进行保护及修复。</w:t>
            </w:r>
          </w:p>
          <w:p w14:paraId="3902EF11">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6.电梯安装单位应据已完成井道的现状及结构安全，自行完成电梯轿厢导轨支架的安装施工和电梯底坑设备基础的安装施工。</w:t>
            </w:r>
          </w:p>
          <w:p w14:paraId="3FBFC6DD">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7.电梯安装单位须自行完成施工产生建筑垃圾的清理及外排。</w:t>
            </w:r>
          </w:p>
          <w:p w14:paraId="1F3FBDEE">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8.负责扶梯通道装饰以及货梯门套的采购和施工。</w:t>
            </w:r>
          </w:p>
          <w:p w14:paraId="3579AD72">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9.负责电梯所有电气系统材料及电梯井道照明、开关、插座、线缆、线管等以及施工。</w:t>
            </w:r>
          </w:p>
          <w:p w14:paraId="7E38A19B">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仿宋_GB2312" w:hAnsi="仿宋_GB2312" w:eastAsia="仿宋_GB2312" w:cs="仿宋_GB2312"/>
                <w:b/>
                <w:color w:val="auto"/>
                <w:sz w:val="24"/>
                <w:highlight w:val="none"/>
              </w:rPr>
            </w:pPr>
            <w:r>
              <w:rPr>
                <w:rFonts w:hint="eastAsia" w:ascii="仿宋_GB2312" w:hAnsi="仿宋_GB2312" w:eastAsia="仿宋_GB2312" w:cs="仿宋_GB2312"/>
                <w:b/>
                <w:color w:val="auto"/>
                <w:sz w:val="24"/>
                <w:highlight w:val="none"/>
              </w:rPr>
              <w:t>三、现行垂直输送电梯应符合下列标准：</w:t>
            </w:r>
          </w:p>
          <w:tbl>
            <w:tblPr>
              <w:tblStyle w:val="2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4"/>
              <w:gridCol w:w="1938"/>
            </w:tblGrid>
            <w:tr w14:paraId="203C9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528" w:type="pct"/>
                  <w:vAlign w:val="center"/>
                </w:tcPr>
                <w:p w14:paraId="6AE7C9A6">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《电梯技术条件》</w:t>
                  </w:r>
                </w:p>
              </w:tc>
              <w:tc>
                <w:tcPr>
                  <w:tcW w:w="1472" w:type="pct"/>
                  <w:vAlign w:val="center"/>
                </w:tcPr>
                <w:p w14:paraId="5EDBEF6B">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GB/T10058</w:t>
                  </w:r>
                </w:p>
              </w:tc>
            </w:tr>
            <w:tr w14:paraId="713F0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528" w:type="pct"/>
                  <w:vAlign w:val="center"/>
                </w:tcPr>
                <w:p w14:paraId="67DE421D">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《电梯制造与安装安全规范》</w:t>
                  </w:r>
                </w:p>
              </w:tc>
              <w:tc>
                <w:tcPr>
                  <w:tcW w:w="1472" w:type="pct"/>
                  <w:vAlign w:val="center"/>
                </w:tcPr>
                <w:p w14:paraId="18D5ECCD">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GB/T7588</w:t>
                  </w:r>
                </w:p>
              </w:tc>
            </w:tr>
            <w:tr w14:paraId="195A1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528" w:type="pct"/>
                  <w:vAlign w:val="center"/>
                </w:tcPr>
                <w:p w14:paraId="24071965">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《电梯试验方法》</w:t>
                  </w:r>
                </w:p>
              </w:tc>
              <w:tc>
                <w:tcPr>
                  <w:tcW w:w="1472" w:type="pct"/>
                  <w:vAlign w:val="center"/>
                </w:tcPr>
                <w:p w14:paraId="29C9E850">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GB/T10059</w:t>
                  </w:r>
                </w:p>
              </w:tc>
            </w:tr>
            <w:tr w14:paraId="2827D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528" w:type="pct"/>
                  <w:vAlign w:val="center"/>
                </w:tcPr>
                <w:p w14:paraId="703AD120">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《电梯安装验收规范》</w:t>
                  </w:r>
                </w:p>
              </w:tc>
              <w:tc>
                <w:tcPr>
                  <w:tcW w:w="1472" w:type="pct"/>
                  <w:vAlign w:val="center"/>
                </w:tcPr>
                <w:p w14:paraId="5CB900BB">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GB/T10060</w:t>
                  </w:r>
                </w:p>
              </w:tc>
            </w:tr>
            <w:tr w14:paraId="29CDF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528" w:type="pct"/>
                  <w:vAlign w:val="center"/>
                </w:tcPr>
                <w:p w14:paraId="2CCDD68F">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《电梯主参数及轿厢、井道、机房的型式与尺寸》</w:t>
                  </w:r>
                </w:p>
              </w:tc>
              <w:tc>
                <w:tcPr>
                  <w:tcW w:w="1472" w:type="pct"/>
                  <w:vAlign w:val="center"/>
                </w:tcPr>
                <w:p w14:paraId="7FCD79B7">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GB/T7025</w:t>
                  </w:r>
                </w:p>
              </w:tc>
            </w:tr>
            <w:tr w14:paraId="551C7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528" w:type="pct"/>
                  <w:vAlign w:val="center"/>
                </w:tcPr>
                <w:p w14:paraId="5C0BA2D9">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《电梯工程施工质量验收规范》</w:t>
                  </w:r>
                </w:p>
              </w:tc>
              <w:tc>
                <w:tcPr>
                  <w:tcW w:w="1472" w:type="pct"/>
                  <w:vAlign w:val="center"/>
                </w:tcPr>
                <w:p w14:paraId="0187455E">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 xml:space="preserve">GB50310 </w:t>
                  </w:r>
                </w:p>
              </w:tc>
            </w:tr>
            <w:tr w14:paraId="79A76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528" w:type="pct"/>
                  <w:vAlign w:val="center"/>
                </w:tcPr>
                <w:p w14:paraId="4328F857">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《电梯、自动扶梯、自动人行道术语》</w:t>
                  </w:r>
                </w:p>
              </w:tc>
              <w:tc>
                <w:tcPr>
                  <w:tcW w:w="1472" w:type="pct"/>
                  <w:vAlign w:val="center"/>
                </w:tcPr>
                <w:p w14:paraId="67DBC869">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 xml:space="preserve">GB/T7024 </w:t>
                  </w:r>
                </w:p>
              </w:tc>
            </w:tr>
            <w:tr w14:paraId="333D4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528" w:type="pct"/>
                  <w:vAlign w:val="center"/>
                </w:tcPr>
                <w:p w14:paraId="5E5DD166">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《建设工程项目管理规范》</w:t>
                  </w:r>
                </w:p>
              </w:tc>
              <w:tc>
                <w:tcPr>
                  <w:tcW w:w="1472" w:type="pct"/>
                  <w:vAlign w:val="center"/>
                </w:tcPr>
                <w:p w14:paraId="24359055">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 xml:space="preserve">GB/T50326 </w:t>
                  </w:r>
                </w:p>
              </w:tc>
            </w:tr>
            <w:tr w14:paraId="3D6EE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528" w:type="pct"/>
                  <w:vAlign w:val="center"/>
                </w:tcPr>
                <w:p w14:paraId="35B21116">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《建设工程监理规范》</w:t>
                  </w:r>
                </w:p>
              </w:tc>
              <w:tc>
                <w:tcPr>
                  <w:tcW w:w="1472" w:type="pct"/>
                  <w:vAlign w:val="center"/>
                </w:tcPr>
                <w:p w14:paraId="6D844853">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 xml:space="preserve">GB50319 </w:t>
                  </w:r>
                </w:p>
              </w:tc>
            </w:tr>
            <w:tr w14:paraId="2EBD2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528" w:type="pct"/>
                  <w:vAlign w:val="center"/>
                </w:tcPr>
                <w:p w14:paraId="110A2F5C">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《建筑工程施工质量验收统一标准》</w:t>
                  </w:r>
                </w:p>
              </w:tc>
              <w:tc>
                <w:tcPr>
                  <w:tcW w:w="1472" w:type="pct"/>
                  <w:vAlign w:val="center"/>
                </w:tcPr>
                <w:p w14:paraId="5052C32C">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 xml:space="preserve">GB50300 </w:t>
                  </w:r>
                </w:p>
              </w:tc>
            </w:tr>
            <w:tr w14:paraId="5E5DB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528" w:type="pct"/>
                  <w:vAlign w:val="center"/>
                </w:tcPr>
                <w:p w14:paraId="2BADACC3">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《地震情况下的电梯要求》</w:t>
                  </w:r>
                </w:p>
              </w:tc>
              <w:tc>
                <w:tcPr>
                  <w:tcW w:w="1472" w:type="pct"/>
                  <w:vAlign w:val="center"/>
                </w:tcPr>
                <w:p w14:paraId="595B55F2">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 xml:space="preserve">GB/T31095 </w:t>
                  </w:r>
                </w:p>
              </w:tc>
            </w:tr>
            <w:tr w14:paraId="1DC91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528" w:type="pct"/>
                  <w:vAlign w:val="center"/>
                </w:tcPr>
                <w:p w14:paraId="62F2B8E3">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《建筑设计防火规范》</w:t>
                  </w:r>
                </w:p>
              </w:tc>
              <w:tc>
                <w:tcPr>
                  <w:tcW w:w="1472" w:type="pct"/>
                  <w:vAlign w:val="center"/>
                </w:tcPr>
                <w:p w14:paraId="2552F5C4">
                  <w:pPr>
                    <w:widowControl/>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 xml:space="preserve">GB50016 </w:t>
                  </w:r>
                </w:p>
              </w:tc>
            </w:tr>
          </w:tbl>
          <w:p w14:paraId="4118D7B5">
            <w:pPr>
              <w:snapToGrid w:val="0"/>
              <w:spacing w:line="360" w:lineRule="auto"/>
              <w:ind w:firstLine="240" w:firstLineChars="100"/>
              <w:rPr>
                <w:rFonts w:ascii="仿宋_GB2312" w:hAnsi="仿宋" w:eastAsia="仿宋_GB2312" w:cs="仿宋_GB2312"/>
                <w:color w:val="auto"/>
                <w:sz w:val="24"/>
                <w:szCs w:val="21"/>
                <w:highlight w:val="none"/>
              </w:rPr>
            </w:pPr>
            <w:r>
              <w:rPr>
                <w:rFonts w:hint="eastAsia" w:ascii="仿宋_GB2312" w:hAnsi="仿宋_GB2312" w:eastAsia="仿宋_GB2312" w:cs="仿宋_GB2312"/>
                <w:color w:val="auto"/>
                <w:sz w:val="24"/>
                <w:highlight w:val="none"/>
              </w:rPr>
              <w:t>符合国家技术监督局安全局以及沈阳市技术监督局的有关规定要求。标准、法规以及招标文件中提出的其它相关要求等之间存有不同之处，均以高等级的新标准和要求为准。</w:t>
            </w:r>
          </w:p>
        </w:tc>
        <w:tc>
          <w:tcPr>
            <w:tcW w:w="5217" w:type="dxa"/>
            <w:tcBorders>
              <w:top w:val="single" w:color="auto" w:sz="4" w:space="0"/>
              <w:left w:val="single" w:color="auto" w:sz="4" w:space="0"/>
              <w:bottom w:val="single" w:color="auto" w:sz="4" w:space="0"/>
              <w:right w:val="single" w:color="auto" w:sz="4" w:space="0"/>
            </w:tcBorders>
            <w:vAlign w:val="center"/>
          </w:tcPr>
          <w:p w14:paraId="1425777E">
            <w:pPr>
              <w:tabs>
                <w:tab w:val="left" w:pos="0"/>
              </w:tabs>
              <w:adjustRightInd w:val="0"/>
              <w:snapToGrid w:val="0"/>
              <w:jc w:val="center"/>
              <w:rPr>
                <w:rFonts w:ascii="仿宋_GB2312" w:hAnsi="仿宋" w:eastAsia="仿宋_GB2312" w:cs="仿宋_GB2312"/>
                <w:color w:val="auto"/>
                <w:kern w:val="0"/>
                <w:sz w:val="24"/>
                <w:szCs w:val="21"/>
                <w:highlight w:val="none"/>
              </w:rPr>
            </w:pPr>
          </w:p>
        </w:tc>
        <w:tc>
          <w:tcPr>
            <w:tcW w:w="717" w:type="dxa"/>
            <w:tcBorders>
              <w:top w:val="single" w:color="auto" w:sz="4" w:space="0"/>
              <w:left w:val="single" w:color="auto" w:sz="4" w:space="0"/>
              <w:bottom w:val="single" w:color="auto" w:sz="4" w:space="0"/>
              <w:right w:val="single" w:color="auto" w:sz="4" w:space="0"/>
            </w:tcBorders>
            <w:vAlign w:val="center"/>
          </w:tcPr>
          <w:p w14:paraId="0F3C1DC1">
            <w:pPr>
              <w:tabs>
                <w:tab w:val="left" w:pos="0"/>
              </w:tabs>
              <w:spacing w:line="240" w:lineRule="exact"/>
              <w:jc w:val="center"/>
              <w:rPr>
                <w:rFonts w:ascii="仿宋_GB2312" w:hAnsi="仿宋" w:eastAsia="仿宋_GB2312" w:cs="仿宋_GB2312"/>
                <w:color w:val="auto"/>
                <w:kern w:val="0"/>
                <w:sz w:val="24"/>
                <w:szCs w:val="21"/>
                <w:highlight w:val="none"/>
              </w:rPr>
            </w:pPr>
          </w:p>
        </w:tc>
        <w:tc>
          <w:tcPr>
            <w:tcW w:w="700" w:type="dxa"/>
            <w:tcBorders>
              <w:top w:val="single" w:color="auto" w:sz="4" w:space="0"/>
              <w:left w:val="single" w:color="auto" w:sz="4" w:space="0"/>
              <w:bottom w:val="single" w:color="auto" w:sz="4" w:space="0"/>
              <w:right w:val="single" w:color="auto" w:sz="4" w:space="0"/>
            </w:tcBorders>
            <w:vAlign w:val="center"/>
          </w:tcPr>
          <w:p w14:paraId="2AC9A129">
            <w:pPr>
              <w:tabs>
                <w:tab w:val="left" w:pos="0"/>
              </w:tabs>
              <w:spacing w:line="240" w:lineRule="exact"/>
              <w:jc w:val="center"/>
              <w:rPr>
                <w:rFonts w:ascii="仿宋_GB2312" w:hAnsi="仿宋" w:eastAsia="仿宋_GB2312" w:cs="仿宋_GB2312"/>
                <w:color w:val="auto"/>
                <w:kern w:val="0"/>
                <w:sz w:val="24"/>
                <w:szCs w:val="21"/>
                <w:highlight w:val="none"/>
              </w:rPr>
            </w:pPr>
          </w:p>
        </w:tc>
        <w:tc>
          <w:tcPr>
            <w:tcW w:w="825" w:type="dxa"/>
            <w:tcBorders>
              <w:top w:val="single" w:color="auto" w:sz="4" w:space="0"/>
              <w:left w:val="single" w:color="auto" w:sz="4" w:space="0"/>
              <w:bottom w:val="single" w:color="auto" w:sz="4" w:space="0"/>
              <w:right w:val="single" w:color="auto" w:sz="4" w:space="0"/>
            </w:tcBorders>
            <w:vAlign w:val="center"/>
          </w:tcPr>
          <w:p w14:paraId="22081069">
            <w:pPr>
              <w:tabs>
                <w:tab w:val="left" w:pos="0"/>
              </w:tabs>
              <w:spacing w:line="240" w:lineRule="exact"/>
              <w:jc w:val="center"/>
              <w:rPr>
                <w:rFonts w:ascii="仿宋_GB2312" w:hAnsi="仿宋" w:eastAsia="仿宋_GB2312" w:cs="仿宋_GB2312"/>
                <w:color w:val="auto"/>
                <w:kern w:val="0"/>
                <w:sz w:val="24"/>
                <w:szCs w:val="21"/>
                <w:highlight w:val="none"/>
              </w:rPr>
            </w:pPr>
          </w:p>
        </w:tc>
      </w:tr>
    </w:tbl>
    <w:p w14:paraId="1F05AB93">
      <w:pPr>
        <w:adjustRightInd w:val="0"/>
        <w:snapToGrid w:val="0"/>
        <w:spacing w:line="360" w:lineRule="auto"/>
        <w:ind w:right="105" w:rightChars="50"/>
        <w:jc w:val="left"/>
        <w:rPr>
          <w:rFonts w:ascii="仿宋_GB2312" w:hAnsi="仿宋" w:eastAsia="仿宋_GB2312" w:cs="仿宋_GB2312"/>
          <w:b/>
          <w:color w:val="auto"/>
          <w:sz w:val="24"/>
          <w:szCs w:val="21"/>
          <w:highlight w:val="none"/>
        </w:rPr>
      </w:pPr>
      <w:r>
        <w:rPr>
          <w:rFonts w:hint="eastAsia" w:ascii="仿宋_GB2312" w:hAnsi="仿宋" w:eastAsia="仿宋_GB2312" w:cs="仿宋_GB2312"/>
          <w:b/>
          <w:color w:val="auto"/>
          <w:sz w:val="24"/>
          <w:szCs w:val="21"/>
          <w:highlight w:val="none"/>
        </w:rPr>
        <w:t>填表要求：</w:t>
      </w:r>
    </w:p>
    <w:p w14:paraId="230E7AD5">
      <w:pPr>
        <w:adjustRightInd w:val="0"/>
        <w:snapToGrid w:val="0"/>
        <w:spacing w:line="360" w:lineRule="auto"/>
        <w:rPr>
          <w:rFonts w:ascii="仿宋_GB2312" w:hAnsi="仿宋" w:eastAsia="仿宋_GB2312" w:cs="仿宋_GB2312"/>
          <w:color w:val="auto"/>
          <w:sz w:val="24"/>
          <w:szCs w:val="21"/>
          <w:highlight w:val="none"/>
        </w:rPr>
      </w:pPr>
      <w:r>
        <w:rPr>
          <w:rFonts w:hint="eastAsia" w:ascii="仿宋_GB2312" w:hAnsi="仿宋" w:eastAsia="仿宋_GB2312" w:cs="仿宋_GB2312"/>
          <w:b/>
          <w:bCs/>
          <w:color w:val="auto"/>
          <w:sz w:val="24"/>
          <w:szCs w:val="21"/>
          <w:highlight w:val="none"/>
        </w:rPr>
        <w:t>1．</w:t>
      </w:r>
      <w:r>
        <w:rPr>
          <w:rFonts w:hint="eastAsia" w:ascii="仿宋_GB2312" w:hAnsi="仿宋" w:eastAsia="仿宋_GB2312"/>
          <w:b/>
          <w:bCs/>
          <w:color w:val="auto"/>
          <w:sz w:val="24"/>
          <w:highlight w:val="none"/>
        </w:rPr>
        <w:t>“响应文件响应内容”--栏由投标人按照招标文件要求填写，结合本企业情况（所投产品情况）进行逐项（逐条）响应，不可概括性作“完全响应”等表述，否则视为不响应招标文件实质性要求而被否决；</w:t>
      </w:r>
    </w:p>
    <w:p w14:paraId="46D11E58">
      <w:pPr>
        <w:adjustRightInd w:val="0"/>
        <w:snapToGrid w:val="0"/>
        <w:spacing w:line="360" w:lineRule="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2．“偏离程度”一栏根据“投标文件响应内容”与招标文件逐项对照的结果填写。偏离必须用“正偏离、负偏离或无偏离”三个名称中的一种进行标注。</w:t>
      </w:r>
    </w:p>
    <w:p w14:paraId="19FDC1B0">
      <w:pPr>
        <w:adjustRightInd w:val="0"/>
        <w:snapToGrid w:val="0"/>
        <w:spacing w:line="360" w:lineRule="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3．“偏离说明”一栏由投标人对偏离的情况做详细说明。</w:t>
      </w:r>
    </w:p>
    <w:p w14:paraId="371E6158">
      <w:pPr>
        <w:snapToGrid w:val="0"/>
        <w:spacing w:line="360" w:lineRule="auto"/>
        <w:rPr>
          <w:rFonts w:hint="eastAsia" w:ascii="仿宋_GB2312" w:hAnsi="仿宋" w:eastAsia="仿宋_GB2312" w:cs="仿宋_GB2312"/>
          <w:color w:val="auto"/>
          <w:sz w:val="24"/>
          <w:highlight w:val="none"/>
          <w:lang w:eastAsia="zh-CN"/>
        </w:rPr>
      </w:pPr>
      <w:r>
        <w:rPr>
          <w:rFonts w:hint="eastAsia" w:ascii="仿宋_GB2312" w:hAnsi="仿宋" w:eastAsia="仿宋_GB2312" w:cs="仿宋_GB2312"/>
          <w:color w:val="auto"/>
          <w:sz w:val="24"/>
          <w:highlight w:val="none"/>
          <w:lang w:val="en-US" w:eastAsia="zh-CN"/>
        </w:rPr>
        <w:t>4.</w:t>
      </w:r>
      <w:r>
        <w:rPr>
          <w:rFonts w:hint="eastAsia" w:ascii="仿宋_GB2312" w:hAnsi="仿宋" w:eastAsia="仿宋_GB2312" w:cs="仿宋_GB2312"/>
          <w:color w:val="auto"/>
          <w:sz w:val="24"/>
          <w:highlight w:val="none"/>
        </w:rPr>
        <w:t>除特殊要求提供证明材料的采购需求项外，其他未特殊要求的无需提供证明材料，仅对需求进行响应即可</w:t>
      </w:r>
      <w:r>
        <w:rPr>
          <w:rFonts w:hint="eastAsia" w:ascii="仿宋_GB2312" w:hAnsi="仿宋" w:eastAsia="仿宋_GB2312" w:cs="仿宋_GB2312"/>
          <w:color w:val="auto"/>
          <w:sz w:val="24"/>
          <w:highlight w:val="none"/>
          <w:lang w:eastAsia="zh-CN"/>
        </w:rPr>
        <w:t>。</w:t>
      </w:r>
    </w:p>
    <w:p w14:paraId="7A673F4D">
      <w:pPr>
        <w:snapToGrid w:val="0"/>
        <w:spacing w:line="480" w:lineRule="auto"/>
        <w:rPr>
          <w:rFonts w:ascii="仿宋_GB2312" w:hAnsi="仿宋" w:eastAsia="仿宋_GB2312" w:cs="仿宋_GB2312"/>
          <w:color w:val="auto"/>
          <w:sz w:val="24"/>
          <w:highlight w:val="none"/>
        </w:rPr>
      </w:pPr>
    </w:p>
    <w:p w14:paraId="5D377850">
      <w:pPr>
        <w:snapToGrid w:val="0"/>
        <w:spacing w:line="480" w:lineRule="auto"/>
        <w:rPr>
          <w:rFonts w:ascii="仿宋_GB2312" w:hAnsi="仿宋" w:eastAsia="仿宋_GB2312" w:cs="仿宋_GB2312"/>
          <w:color w:val="auto"/>
          <w:sz w:val="24"/>
          <w:highlight w:val="none"/>
        </w:rPr>
      </w:pPr>
    </w:p>
    <w:p w14:paraId="3F254315">
      <w:pPr>
        <w:snapToGrid w:val="0"/>
        <w:spacing w:line="480" w:lineRule="auto"/>
        <w:rPr>
          <w:rFonts w:ascii="仿宋_GB2312" w:hAnsi="仿宋" w:eastAsia="仿宋_GB2312" w:cs="仿宋_GB2312"/>
          <w:color w:val="auto"/>
          <w:sz w:val="24"/>
          <w:highlight w:val="none"/>
        </w:rPr>
      </w:pPr>
    </w:p>
    <w:p w14:paraId="6445CDCB">
      <w:pPr>
        <w:snapToGrid w:val="0"/>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投标人名称（加盖单位公章）：</w:t>
      </w:r>
      <w:r>
        <w:rPr>
          <w:rFonts w:hint="eastAsia" w:ascii="仿宋_GB2312" w:hAnsi="仿宋" w:eastAsia="仿宋_GB2312" w:cs="仿宋_GB2312"/>
          <w:color w:val="auto"/>
          <w:sz w:val="24"/>
          <w:highlight w:val="none"/>
          <w:u w:val="single"/>
        </w:rPr>
        <w:t xml:space="preserve">           </w:t>
      </w:r>
    </w:p>
    <w:p w14:paraId="0BE0AA58">
      <w:pPr>
        <w:snapToGrid w:val="0"/>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法定代表人（或</w:t>
      </w:r>
      <w:r>
        <w:rPr>
          <w:rFonts w:hint="eastAsia" w:ascii="仿宋_GB2312" w:hAnsi="仿宋" w:eastAsia="仿宋_GB2312" w:cs="仿宋_GB2312"/>
          <w:color w:val="auto"/>
          <w:sz w:val="24"/>
          <w:szCs w:val="21"/>
          <w:highlight w:val="none"/>
        </w:rPr>
        <w:t>非法人组织负责人）或</w:t>
      </w:r>
      <w:r>
        <w:rPr>
          <w:rFonts w:hint="eastAsia" w:ascii="仿宋_GB2312" w:hAnsi="仿宋" w:eastAsia="仿宋_GB2312" w:cs="仿宋_GB2312"/>
          <w:color w:val="auto"/>
          <w:sz w:val="24"/>
          <w:highlight w:val="none"/>
        </w:rPr>
        <w:t>其</w:t>
      </w:r>
      <w:r>
        <w:rPr>
          <w:rFonts w:hint="eastAsia" w:ascii="仿宋_GB2312" w:hAnsi="仿宋" w:eastAsia="仿宋_GB2312" w:cs="仿宋_GB2312"/>
          <w:color w:val="auto"/>
          <w:sz w:val="24"/>
          <w:szCs w:val="21"/>
          <w:highlight w:val="none"/>
        </w:rPr>
        <w:t>授权</w:t>
      </w:r>
      <w:r>
        <w:rPr>
          <w:rFonts w:hint="eastAsia" w:ascii="仿宋_GB2312" w:hAnsi="仿宋" w:eastAsia="仿宋_GB2312" w:cs="仿宋_GB2312"/>
          <w:color w:val="auto"/>
          <w:sz w:val="24"/>
          <w:highlight w:val="none"/>
        </w:rPr>
        <w:t>委托</w:t>
      </w:r>
      <w:r>
        <w:rPr>
          <w:rFonts w:hint="eastAsia" w:ascii="仿宋_GB2312" w:hAnsi="仿宋" w:eastAsia="仿宋_GB2312" w:cs="仿宋_GB2312"/>
          <w:color w:val="auto"/>
          <w:sz w:val="24"/>
          <w:szCs w:val="21"/>
          <w:highlight w:val="none"/>
        </w:rPr>
        <w:t>人</w:t>
      </w:r>
      <w:r>
        <w:rPr>
          <w:rFonts w:hint="eastAsia" w:ascii="仿宋_GB2312" w:hAnsi="仿宋" w:eastAsia="仿宋_GB2312" w:cs="仿宋_GB2312"/>
          <w:color w:val="auto"/>
          <w:sz w:val="24"/>
          <w:highlight w:val="none"/>
        </w:rPr>
        <w:t>(签字或盖章)：</w:t>
      </w:r>
      <w:r>
        <w:rPr>
          <w:rFonts w:hint="eastAsia" w:ascii="仿宋_GB2312" w:hAnsi="仿宋" w:eastAsia="仿宋_GB2312" w:cs="仿宋_GB2312"/>
          <w:color w:val="auto"/>
          <w:sz w:val="24"/>
          <w:highlight w:val="none"/>
          <w:u w:val="single"/>
        </w:rPr>
        <w:t xml:space="preserve">        </w:t>
      </w:r>
    </w:p>
    <w:p w14:paraId="00CC6A84">
      <w:pPr>
        <w:adjustRightInd w:val="0"/>
        <w:snapToGrid w:val="0"/>
        <w:spacing w:line="480" w:lineRule="auto"/>
        <w:ind w:right="105" w:rightChars="50"/>
        <w:jc w:val="left"/>
        <w:rPr>
          <w:rFonts w:ascii="仿宋_GB2312" w:hAnsi="仿宋" w:eastAsia="仿宋_GB2312" w:cs="仿宋_GB2312"/>
          <w:color w:val="auto"/>
          <w:sz w:val="24"/>
          <w:highlight w:val="none"/>
          <w:u w:val="single"/>
        </w:rPr>
      </w:pPr>
      <w:r>
        <w:rPr>
          <w:rFonts w:hint="eastAsia" w:ascii="仿宋_GB2312" w:hAnsi="仿宋" w:eastAsia="仿宋_GB2312" w:cs="仿宋_GB2312"/>
          <w:color w:val="auto"/>
          <w:sz w:val="24"/>
          <w:highlight w:val="none"/>
        </w:rPr>
        <w:t>日      期：</w:t>
      </w:r>
      <w:r>
        <w:rPr>
          <w:rFonts w:hint="eastAsia" w:ascii="仿宋_GB2312" w:hAnsi="仿宋" w:eastAsia="仿宋_GB2312" w:cs="仿宋_GB2312"/>
          <w:color w:val="auto"/>
          <w:sz w:val="24"/>
          <w:highlight w:val="none"/>
          <w:u w:val="single"/>
        </w:rPr>
        <w:t xml:space="preserve">               </w:t>
      </w:r>
      <w:r>
        <w:rPr>
          <w:rFonts w:hint="eastAsia" w:ascii="仿宋_GB2312" w:hAnsi="仿宋" w:eastAsia="仿宋_GB2312" w:cs="仿宋_GB2312"/>
          <w:color w:val="auto"/>
          <w:sz w:val="24"/>
          <w:highlight w:val="none"/>
          <w:u w:val="single"/>
        </w:rPr>
        <w:br w:type="page"/>
      </w:r>
    </w:p>
    <w:p w14:paraId="4D4BF535">
      <w:pPr>
        <w:rPr>
          <w:color w:val="auto"/>
          <w:highlight w:val="none"/>
        </w:rPr>
        <w:sectPr>
          <w:headerReference r:id="rId7" w:type="default"/>
          <w:pgSz w:w="16838" w:h="11906" w:orient="landscape"/>
          <w:pgMar w:top="1403" w:right="1468" w:bottom="1803" w:left="1418" w:header="851" w:footer="1024" w:gutter="0"/>
          <w:cols w:space="720" w:num="1"/>
          <w:docGrid w:type="linesAndChars" w:linePitch="319" w:charSpace="0"/>
        </w:sectPr>
      </w:pPr>
    </w:p>
    <w:p w14:paraId="51782D6C">
      <w:pPr>
        <w:pStyle w:val="3"/>
        <w:adjustRightInd w:val="0"/>
        <w:snapToGrid w:val="0"/>
        <w:spacing w:before="0" w:after="0" w:line="240" w:lineRule="atLeast"/>
        <w:jc w:val="left"/>
        <w:rPr>
          <w:rFonts w:ascii="仿宋_GB2312" w:hAnsi="仿宋" w:eastAsia="仿宋_GB2312" w:cs="仿宋_GB2312"/>
          <w:color w:val="auto"/>
          <w:szCs w:val="28"/>
          <w:highlight w:val="none"/>
        </w:rPr>
      </w:pPr>
      <w:r>
        <w:rPr>
          <w:rFonts w:hint="eastAsia" w:ascii="仿宋_GB2312" w:hAnsi="仿宋" w:eastAsia="仿宋_GB2312" w:cs="仿宋_GB2312"/>
          <w:color w:val="auto"/>
          <w:szCs w:val="28"/>
          <w:highlight w:val="none"/>
        </w:rPr>
        <w:t>格式14</w:t>
      </w:r>
    </w:p>
    <w:p w14:paraId="4FD32D0C">
      <w:pPr>
        <w:spacing w:before="159" w:beforeLines="50" w:after="159" w:afterLines="50" w:line="360" w:lineRule="auto"/>
        <w:ind w:right="-21" w:rightChars="-10"/>
        <w:jc w:val="center"/>
        <w:rPr>
          <w:rFonts w:ascii="方正小标宋简体" w:hAnsi="仿宋_GB2312" w:eastAsia="方正小标宋简体" w:cs="仿宋_GB2312"/>
          <w:color w:val="auto"/>
          <w:sz w:val="32"/>
          <w:szCs w:val="32"/>
          <w:highlight w:val="none"/>
        </w:rPr>
      </w:pPr>
      <w:bookmarkStart w:id="121" w:name="_Toc8488_WPSOffice_Level2"/>
      <w:bookmarkStart w:id="122" w:name="_Toc4431_WPSOffice_Level2"/>
      <w:r>
        <w:rPr>
          <w:rFonts w:hint="eastAsia" w:ascii="方正小标宋简体" w:hAnsi="仿宋_GB2312" w:eastAsia="方正小标宋简体" w:cs="仿宋_GB2312"/>
          <w:color w:val="auto"/>
          <w:sz w:val="32"/>
          <w:szCs w:val="32"/>
          <w:highlight w:val="none"/>
        </w:rPr>
        <w:t>商务条款偏离表</w:t>
      </w:r>
      <w:bookmarkEnd w:id="121"/>
      <w:bookmarkEnd w:id="122"/>
    </w:p>
    <w:p w14:paraId="71AA3AC3">
      <w:pPr>
        <w:adjustRightInd w:val="0"/>
        <w:snapToGrid w:val="0"/>
        <w:spacing w:line="240" w:lineRule="atLeast"/>
        <w:ind w:right="105" w:rightChars="50"/>
        <w:jc w:val="left"/>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包号：001</w:t>
      </w:r>
    </w:p>
    <w:tbl>
      <w:tblPr>
        <w:tblStyle w:val="24"/>
        <w:tblW w:w="86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6"/>
        <w:gridCol w:w="4131"/>
        <w:gridCol w:w="2228"/>
        <w:gridCol w:w="804"/>
        <w:gridCol w:w="790"/>
      </w:tblGrid>
      <w:tr w14:paraId="4FDA4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716" w:type="dxa"/>
            <w:tcBorders>
              <w:top w:val="single" w:color="auto" w:sz="4" w:space="0"/>
              <w:left w:val="single" w:color="auto" w:sz="4" w:space="0"/>
              <w:bottom w:val="single" w:color="auto" w:sz="4" w:space="0"/>
              <w:right w:val="single" w:color="auto" w:sz="4" w:space="0"/>
            </w:tcBorders>
            <w:vAlign w:val="center"/>
          </w:tcPr>
          <w:p w14:paraId="785FCB08">
            <w:pPr>
              <w:adjustRightInd w:val="0"/>
              <w:snapToGrid w:val="0"/>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序号</w:t>
            </w:r>
          </w:p>
        </w:tc>
        <w:tc>
          <w:tcPr>
            <w:tcW w:w="4131" w:type="dxa"/>
            <w:tcBorders>
              <w:top w:val="single" w:color="auto" w:sz="4" w:space="0"/>
              <w:left w:val="single" w:color="auto" w:sz="4" w:space="0"/>
              <w:bottom w:val="single" w:color="auto" w:sz="4" w:space="0"/>
              <w:right w:val="single" w:color="auto" w:sz="4" w:space="0"/>
            </w:tcBorders>
            <w:vAlign w:val="center"/>
          </w:tcPr>
          <w:p w14:paraId="6A2B13D1">
            <w:pPr>
              <w:adjustRightInd w:val="0"/>
              <w:snapToGrid w:val="0"/>
              <w:ind w:right="-73" w:rightChars="-35"/>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招标文件的商务条款</w:t>
            </w:r>
          </w:p>
          <w:p w14:paraId="2BB21B3D">
            <w:pPr>
              <w:adjustRightInd w:val="0"/>
              <w:snapToGrid w:val="0"/>
              <w:ind w:right="-73" w:rightChars="-35"/>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w:t>
            </w:r>
            <w:r>
              <w:rPr>
                <w:rFonts w:hint="eastAsia" w:ascii="仿宋_GB2312" w:hAnsi="仿宋" w:eastAsia="仿宋_GB2312"/>
                <w:b/>
                <w:color w:val="auto"/>
                <w:sz w:val="24"/>
                <w:highlight w:val="none"/>
              </w:rPr>
              <w:t>实质性要求及重要指标用★标注，★标注项不得负偏离，如果负偏离，则投标文件无效。</w:t>
            </w:r>
            <w:r>
              <w:rPr>
                <w:rFonts w:hint="eastAsia" w:ascii="仿宋_GB2312" w:hAnsi="仿宋" w:eastAsia="仿宋_GB2312"/>
                <w:color w:val="auto"/>
                <w:sz w:val="24"/>
                <w:highlight w:val="none"/>
              </w:rPr>
              <w:t>）</w:t>
            </w:r>
          </w:p>
        </w:tc>
        <w:tc>
          <w:tcPr>
            <w:tcW w:w="2228" w:type="dxa"/>
            <w:tcBorders>
              <w:top w:val="single" w:color="auto" w:sz="4" w:space="0"/>
              <w:left w:val="single" w:color="auto" w:sz="4" w:space="0"/>
              <w:bottom w:val="single" w:color="auto" w:sz="4" w:space="0"/>
              <w:right w:val="single" w:color="auto" w:sz="4" w:space="0"/>
            </w:tcBorders>
            <w:vAlign w:val="center"/>
          </w:tcPr>
          <w:p w14:paraId="43EB643B">
            <w:pPr>
              <w:adjustRightInd w:val="0"/>
              <w:snapToGrid w:val="0"/>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投标文件响应内容</w:t>
            </w:r>
          </w:p>
        </w:tc>
        <w:tc>
          <w:tcPr>
            <w:tcW w:w="804" w:type="dxa"/>
            <w:tcBorders>
              <w:top w:val="single" w:color="auto" w:sz="4" w:space="0"/>
              <w:left w:val="single" w:color="auto" w:sz="4" w:space="0"/>
              <w:bottom w:val="single" w:color="auto" w:sz="4" w:space="0"/>
              <w:right w:val="single" w:color="auto" w:sz="4" w:space="0"/>
            </w:tcBorders>
            <w:vAlign w:val="center"/>
          </w:tcPr>
          <w:p w14:paraId="5D559348">
            <w:pPr>
              <w:adjustRightInd w:val="0"/>
              <w:snapToGrid w:val="0"/>
              <w:ind w:left="-58" w:leftChars="-28"/>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偏离</w:t>
            </w:r>
          </w:p>
          <w:p w14:paraId="2A166F65">
            <w:pPr>
              <w:adjustRightInd w:val="0"/>
              <w:snapToGrid w:val="0"/>
              <w:ind w:left="-58" w:leftChars="-28"/>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程度</w:t>
            </w:r>
          </w:p>
        </w:tc>
        <w:tc>
          <w:tcPr>
            <w:tcW w:w="790" w:type="dxa"/>
            <w:tcBorders>
              <w:top w:val="single" w:color="auto" w:sz="4" w:space="0"/>
              <w:left w:val="single" w:color="auto" w:sz="4" w:space="0"/>
              <w:bottom w:val="single" w:color="auto" w:sz="4" w:space="0"/>
              <w:right w:val="single" w:color="auto" w:sz="4" w:space="0"/>
            </w:tcBorders>
            <w:vAlign w:val="center"/>
          </w:tcPr>
          <w:p w14:paraId="701EE31E">
            <w:pPr>
              <w:adjustRightInd w:val="0"/>
              <w:snapToGrid w:val="0"/>
              <w:ind w:left="-58" w:leftChars="-28"/>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偏离</w:t>
            </w:r>
          </w:p>
          <w:p w14:paraId="73E56F6E">
            <w:pPr>
              <w:adjustRightInd w:val="0"/>
              <w:snapToGrid w:val="0"/>
              <w:ind w:left="-58" w:leftChars="-28"/>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说明</w:t>
            </w:r>
          </w:p>
        </w:tc>
      </w:tr>
      <w:tr w14:paraId="1C7F2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716" w:type="dxa"/>
            <w:tcBorders>
              <w:top w:val="single" w:color="auto" w:sz="4" w:space="0"/>
              <w:left w:val="single" w:color="auto" w:sz="4" w:space="0"/>
              <w:bottom w:val="single" w:color="auto" w:sz="4" w:space="0"/>
              <w:right w:val="single" w:color="auto" w:sz="4" w:space="0"/>
            </w:tcBorders>
            <w:vAlign w:val="center"/>
          </w:tcPr>
          <w:p w14:paraId="1FE334DD">
            <w:pPr>
              <w:adjustRightInd w:val="0"/>
              <w:snapToGrid w:val="0"/>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1</w:t>
            </w:r>
          </w:p>
        </w:tc>
        <w:tc>
          <w:tcPr>
            <w:tcW w:w="4131" w:type="dxa"/>
            <w:tcBorders>
              <w:top w:val="single" w:color="auto" w:sz="4" w:space="0"/>
              <w:left w:val="single" w:color="auto" w:sz="4" w:space="0"/>
              <w:bottom w:val="single" w:color="auto" w:sz="4" w:space="0"/>
              <w:right w:val="single" w:color="auto" w:sz="4" w:space="0"/>
            </w:tcBorders>
            <w:vAlign w:val="center"/>
          </w:tcPr>
          <w:p w14:paraId="77A97B5B">
            <w:pPr>
              <w:adjustRightInd w:val="0"/>
              <w:snapToGrid w:val="0"/>
              <w:rPr>
                <w:rFonts w:ascii="仿宋_GB2312" w:hAnsi="仿宋" w:eastAsia="仿宋_GB2312"/>
                <w:color w:val="auto"/>
                <w:sz w:val="24"/>
                <w:highlight w:val="none"/>
              </w:rPr>
            </w:pPr>
            <w:r>
              <w:rPr>
                <w:rFonts w:hint="eastAsia" w:ascii="仿宋_GB2312" w:hAnsi="仿宋" w:eastAsia="仿宋_GB2312"/>
                <w:b/>
                <w:color w:val="auto"/>
                <w:sz w:val="24"/>
                <w:highlight w:val="none"/>
              </w:rPr>
              <w:t>★</w:t>
            </w:r>
            <w:r>
              <w:rPr>
                <w:rFonts w:hint="eastAsia" w:ascii="仿宋_GB2312" w:hAnsi="仿宋" w:eastAsia="仿宋_GB2312"/>
                <w:bCs/>
                <w:color w:val="auto"/>
                <w:sz w:val="24"/>
                <w:highlight w:val="none"/>
              </w:rPr>
              <w:t>交货时间：合同签订之日起</w:t>
            </w:r>
            <w:r>
              <w:rPr>
                <w:rFonts w:ascii="仿宋_GB2312" w:hAnsi="仿宋" w:eastAsia="仿宋_GB2312"/>
                <w:bCs/>
                <w:color w:val="auto"/>
                <w:sz w:val="24"/>
                <w:highlight w:val="none"/>
              </w:rPr>
              <w:t>4</w:t>
            </w:r>
            <w:r>
              <w:rPr>
                <w:rFonts w:hint="eastAsia" w:ascii="仿宋_GB2312" w:hAnsi="仿宋" w:eastAsia="仿宋_GB2312"/>
                <w:bCs/>
                <w:color w:val="auto"/>
                <w:sz w:val="24"/>
                <w:highlight w:val="none"/>
              </w:rPr>
              <w:t>0个日历日内完成货物供货、安装调试及验收，并投入使用。</w:t>
            </w:r>
          </w:p>
        </w:tc>
        <w:tc>
          <w:tcPr>
            <w:tcW w:w="2228" w:type="dxa"/>
            <w:tcBorders>
              <w:top w:val="single" w:color="auto" w:sz="4" w:space="0"/>
              <w:left w:val="single" w:color="auto" w:sz="4" w:space="0"/>
              <w:bottom w:val="single" w:color="auto" w:sz="4" w:space="0"/>
              <w:right w:val="single" w:color="auto" w:sz="4" w:space="0"/>
            </w:tcBorders>
            <w:vAlign w:val="center"/>
          </w:tcPr>
          <w:p w14:paraId="12AFB26E">
            <w:pPr>
              <w:adjustRightInd w:val="0"/>
              <w:snapToGrid w:val="0"/>
              <w:ind w:right="105" w:rightChars="50"/>
              <w:jc w:val="center"/>
              <w:rPr>
                <w:rFonts w:ascii="仿宋_GB2312" w:hAnsi="仿宋" w:eastAsia="仿宋_GB2312"/>
                <w:color w:val="auto"/>
                <w:sz w:val="24"/>
                <w:highlight w:val="none"/>
              </w:rPr>
            </w:pPr>
          </w:p>
        </w:tc>
        <w:tc>
          <w:tcPr>
            <w:tcW w:w="804" w:type="dxa"/>
            <w:tcBorders>
              <w:top w:val="single" w:color="auto" w:sz="4" w:space="0"/>
              <w:left w:val="single" w:color="auto" w:sz="4" w:space="0"/>
              <w:bottom w:val="single" w:color="auto" w:sz="4" w:space="0"/>
              <w:right w:val="single" w:color="auto" w:sz="4" w:space="0"/>
            </w:tcBorders>
            <w:vAlign w:val="center"/>
          </w:tcPr>
          <w:p w14:paraId="6166DDCF">
            <w:pPr>
              <w:adjustRightInd w:val="0"/>
              <w:snapToGrid w:val="0"/>
              <w:ind w:right="105" w:rightChars="50"/>
              <w:jc w:val="center"/>
              <w:rPr>
                <w:rFonts w:ascii="仿宋_GB2312" w:hAnsi="仿宋" w:eastAsia="仿宋_GB2312"/>
                <w:color w:val="auto"/>
                <w:sz w:val="24"/>
                <w:highlight w:val="none"/>
              </w:rPr>
            </w:pPr>
          </w:p>
        </w:tc>
        <w:tc>
          <w:tcPr>
            <w:tcW w:w="790" w:type="dxa"/>
            <w:tcBorders>
              <w:top w:val="single" w:color="auto" w:sz="4" w:space="0"/>
              <w:left w:val="single" w:color="auto" w:sz="4" w:space="0"/>
              <w:bottom w:val="single" w:color="auto" w:sz="4" w:space="0"/>
              <w:right w:val="single" w:color="auto" w:sz="4" w:space="0"/>
            </w:tcBorders>
            <w:vAlign w:val="center"/>
          </w:tcPr>
          <w:p w14:paraId="2E1E11CE">
            <w:pPr>
              <w:adjustRightInd w:val="0"/>
              <w:snapToGrid w:val="0"/>
              <w:ind w:right="105" w:rightChars="50"/>
              <w:jc w:val="center"/>
              <w:rPr>
                <w:rFonts w:ascii="仿宋_GB2312" w:hAnsi="仿宋" w:eastAsia="仿宋_GB2312"/>
                <w:color w:val="auto"/>
                <w:sz w:val="24"/>
                <w:highlight w:val="none"/>
              </w:rPr>
            </w:pPr>
          </w:p>
        </w:tc>
      </w:tr>
      <w:tr w14:paraId="7608C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16" w:type="dxa"/>
            <w:tcBorders>
              <w:top w:val="single" w:color="auto" w:sz="4" w:space="0"/>
              <w:left w:val="single" w:color="auto" w:sz="4" w:space="0"/>
              <w:bottom w:val="single" w:color="auto" w:sz="4" w:space="0"/>
              <w:right w:val="single" w:color="auto" w:sz="4" w:space="0"/>
            </w:tcBorders>
            <w:vAlign w:val="center"/>
          </w:tcPr>
          <w:p w14:paraId="0B9A74DE">
            <w:pPr>
              <w:adjustRightInd w:val="0"/>
              <w:snapToGrid w:val="0"/>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2</w:t>
            </w:r>
          </w:p>
        </w:tc>
        <w:tc>
          <w:tcPr>
            <w:tcW w:w="4131" w:type="dxa"/>
            <w:tcBorders>
              <w:top w:val="single" w:color="auto" w:sz="4" w:space="0"/>
              <w:left w:val="single" w:color="auto" w:sz="4" w:space="0"/>
              <w:bottom w:val="single" w:color="auto" w:sz="4" w:space="0"/>
              <w:right w:val="single" w:color="auto" w:sz="4" w:space="0"/>
            </w:tcBorders>
            <w:vAlign w:val="center"/>
          </w:tcPr>
          <w:p w14:paraId="7BDF056F">
            <w:pPr>
              <w:adjustRightInd w:val="0"/>
              <w:snapToGrid w:val="0"/>
              <w:rPr>
                <w:rFonts w:ascii="仿宋_GB2312" w:hAnsi="仿宋" w:eastAsia="仿宋_GB2312"/>
                <w:color w:val="auto"/>
                <w:sz w:val="24"/>
                <w:highlight w:val="none"/>
              </w:rPr>
            </w:pPr>
            <w:r>
              <w:rPr>
                <w:rFonts w:hint="eastAsia" w:ascii="仿宋_GB2312" w:hAnsi="仿宋" w:eastAsia="仿宋_GB2312"/>
                <w:b/>
                <w:color w:val="auto"/>
                <w:sz w:val="24"/>
                <w:highlight w:val="none"/>
              </w:rPr>
              <w:t>★</w:t>
            </w:r>
            <w:r>
              <w:rPr>
                <w:rFonts w:hint="eastAsia" w:ascii="仿宋_GB2312" w:hAnsi="仿宋" w:eastAsia="仿宋_GB2312"/>
                <w:color w:val="auto"/>
                <w:sz w:val="24"/>
                <w:highlight w:val="none"/>
              </w:rPr>
              <w:t>交货地点：采购人指定地点。</w:t>
            </w:r>
          </w:p>
        </w:tc>
        <w:tc>
          <w:tcPr>
            <w:tcW w:w="2228" w:type="dxa"/>
            <w:tcBorders>
              <w:top w:val="single" w:color="auto" w:sz="4" w:space="0"/>
              <w:left w:val="single" w:color="auto" w:sz="4" w:space="0"/>
              <w:bottom w:val="single" w:color="auto" w:sz="4" w:space="0"/>
              <w:right w:val="single" w:color="auto" w:sz="4" w:space="0"/>
            </w:tcBorders>
            <w:vAlign w:val="center"/>
          </w:tcPr>
          <w:p w14:paraId="56024BB1">
            <w:pPr>
              <w:adjustRightInd w:val="0"/>
              <w:snapToGrid w:val="0"/>
              <w:ind w:right="105" w:rightChars="50"/>
              <w:jc w:val="center"/>
              <w:rPr>
                <w:rFonts w:ascii="仿宋_GB2312" w:hAnsi="仿宋" w:eastAsia="仿宋_GB2312"/>
                <w:color w:val="auto"/>
                <w:sz w:val="24"/>
                <w:highlight w:val="none"/>
              </w:rPr>
            </w:pPr>
          </w:p>
        </w:tc>
        <w:tc>
          <w:tcPr>
            <w:tcW w:w="804" w:type="dxa"/>
            <w:tcBorders>
              <w:top w:val="single" w:color="auto" w:sz="4" w:space="0"/>
              <w:left w:val="single" w:color="auto" w:sz="4" w:space="0"/>
              <w:bottom w:val="single" w:color="auto" w:sz="4" w:space="0"/>
              <w:right w:val="single" w:color="auto" w:sz="4" w:space="0"/>
            </w:tcBorders>
            <w:vAlign w:val="center"/>
          </w:tcPr>
          <w:p w14:paraId="23AEA3CC">
            <w:pPr>
              <w:adjustRightInd w:val="0"/>
              <w:snapToGrid w:val="0"/>
              <w:ind w:right="105" w:rightChars="50"/>
              <w:jc w:val="center"/>
              <w:rPr>
                <w:rFonts w:ascii="仿宋_GB2312" w:hAnsi="仿宋" w:eastAsia="仿宋_GB2312"/>
                <w:color w:val="auto"/>
                <w:sz w:val="24"/>
                <w:highlight w:val="none"/>
              </w:rPr>
            </w:pPr>
          </w:p>
        </w:tc>
        <w:tc>
          <w:tcPr>
            <w:tcW w:w="790" w:type="dxa"/>
            <w:tcBorders>
              <w:top w:val="single" w:color="auto" w:sz="4" w:space="0"/>
              <w:left w:val="single" w:color="auto" w:sz="4" w:space="0"/>
              <w:bottom w:val="single" w:color="auto" w:sz="4" w:space="0"/>
              <w:right w:val="single" w:color="auto" w:sz="4" w:space="0"/>
            </w:tcBorders>
            <w:vAlign w:val="center"/>
          </w:tcPr>
          <w:p w14:paraId="7A85DBB9">
            <w:pPr>
              <w:adjustRightInd w:val="0"/>
              <w:snapToGrid w:val="0"/>
              <w:ind w:right="105" w:rightChars="50"/>
              <w:jc w:val="center"/>
              <w:rPr>
                <w:rFonts w:ascii="仿宋_GB2312" w:hAnsi="仿宋" w:eastAsia="仿宋_GB2312"/>
                <w:color w:val="auto"/>
                <w:sz w:val="24"/>
                <w:highlight w:val="none"/>
              </w:rPr>
            </w:pPr>
          </w:p>
        </w:tc>
      </w:tr>
      <w:tr w14:paraId="5A13D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716" w:type="dxa"/>
            <w:tcBorders>
              <w:top w:val="single" w:color="auto" w:sz="4" w:space="0"/>
              <w:left w:val="single" w:color="auto" w:sz="4" w:space="0"/>
              <w:bottom w:val="single" w:color="auto" w:sz="4" w:space="0"/>
              <w:right w:val="single" w:color="auto" w:sz="4" w:space="0"/>
            </w:tcBorders>
            <w:vAlign w:val="center"/>
          </w:tcPr>
          <w:p w14:paraId="7846FB51">
            <w:pPr>
              <w:adjustRightInd w:val="0"/>
              <w:snapToGrid w:val="0"/>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3</w:t>
            </w:r>
          </w:p>
        </w:tc>
        <w:tc>
          <w:tcPr>
            <w:tcW w:w="4131" w:type="dxa"/>
            <w:tcBorders>
              <w:top w:val="single" w:color="auto" w:sz="4" w:space="0"/>
              <w:left w:val="single" w:color="auto" w:sz="4" w:space="0"/>
              <w:bottom w:val="single" w:color="auto" w:sz="4" w:space="0"/>
              <w:right w:val="single" w:color="auto" w:sz="4" w:space="0"/>
            </w:tcBorders>
            <w:vAlign w:val="center"/>
          </w:tcPr>
          <w:p w14:paraId="6F376133">
            <w:pPr>
              <w:pStyle w:val="9"/>
              <w:rPr>
                <w:rFonts w:ascii="仿宋_GB2312" w:hAnsi="仿宋" w:eastAsia="仿宋_GB2312"/>
                <w:color w:val="auto"/>
                <w:sz w:val="24"/>
                <w:highlight w:val="none"/>
              </w:rPr>
            </w:pPr>
            <w:r>
              <w:rPr>
                <w:rFonts w:hint="eastAsia" w:ascii="仿宋_GB2312" w:hAnsi="仿宋" w:eastAsia="仿宋_GB2312"/>
                <w:b/>
                <w:color w:val="auto"/>
                <w:sz w:val="24"/>
                <w:highlight w:val="none"/>
              </w:rPr>
              <w:t>★</w:t>
            </w:r>
            <w:r>
              <w:rPr>
                <w:rFonts w:hint="eastAsia" w:ascii="仿宋_GB2312" w:hAnsi="仿宋" w:eastAsia="仿宋_GB2312"/>
                <w:color w:val="auto"/>
                <w:sz w:val="24"/>
                <w:highlight w:val="none"/>
              </w:rPr>
              <w:t>1.付款方式：</w:t>
            </w:r>
            <w:r>
              <w:rPr>
                <w:rFonts w:hint="eastAsia" w:ascii="Calibri" w:hAnsi="Calibri" w:eastAsia="仿宋_GB2312" w:cs="Calibri"/>
                <w:color w:val="auto"/>
                <w:sz w:val="24"/>
                <w:highlight w:val="none"/>
              </w:rPr>
              <w:t>全部</w:t>
            </w:r>
            <w:r>
              <w:rPr>
                <w:rFonts w:hint="eastAsia" w:ascii="仿宋_GB2312" w:hAnsi="仿宋" w:eastAsia="仿宋_GB2312"/>
                <w:color w:val="auto"/>
                <w:sz w:val="24"/>
                <w:highlight w:val="none"/>
              </w:rPr>
              <w:t>货物到现场后1</w:t>
            </w:r>
            <w:r>
              <w:rPr>
                <w:rFonts w:ascii="仿宋_GB2312" w:hAnsi="仿宋" w:eastAsia="仿宋_GB2312"/>
                <w:color w:val="auto"/>
                <w:sz w:val="24"/>
                <w:highlight w:val="none"/>
              </w:rPr>
              <w:t>0</w:t>
            </w:r>
            <w:r>
              <w:rPr>
                <w:rFonts w:hint="eastAsia" w:ascii="仿宋_GB2312" w:hAnsi="仿宋" w:eastAsia="仿宋_GB2312"/>
                <w:color w:val="auto"/>
                <w:sz w:val="24"/>
                <w:highlight w:val="none"/>
              </w:rPr>
              <w:t>日内支付合同价款的</w:t>
            </w:r>
            <w:r>
              <w:rPr>
                <w:rFonts w:ascii="仿宋_GB2312" w:hAnsi="仿宋" w:eastAsia="仿宋_GB2312"/>
                <w:color w:val="auto"/>
                <w:sz w:val="24"/>
                <w:highlight w:val="none"/>
              </w:rPr>
              <w:t>7</w:t>
            </w:r>
            <w:r>
              <w:rPr>
                <w:rFonts w:hint="eastAsia" w:ascii="仿宋_GB2312" w:hAnsi="仿宋" w:eastAsia="仿宋_GB2312"/>
                <w:color w:val="auto"/>
                <w:sz w:val="24"/>
                <w:highlight w:val="none"/>
              </w:rPr>
              <w:t>0%；所有电梯安装完工并经当地质量监督部门签发验收合格证书后1</w:t>
            </w:r>
            <w:r>
              <w:rPr>
                <w:rFonts w:ascii="仿宋_GB2312" w:hAnsi="仿宋" w:eastAsia="仿宋_GB2312"/>
                <w:color w:val="auto"/>
                <w:sz w:val="24"/>
                <w:highlight w:val="none"/>
              </w:rPr>
              <w:t>0</w:t>
            </w:r>
            <w:r>
              <w:rPr>
                <w:rFonts w:hint="eastAsia" w:ascii="仿宋_GB2312" w:hAnsi="仿宋" w:eastAsia="仿宋_GB2312"/>
                <w:color w:val="auto"/>
                <w:sz w:val="24"/>
                <w:highlight w:val="none"/>
              </w:rPr>
              <w:t>日内支付合同价款的</w:t>
            </w:r>
            <w:r>
              <w:rPr>
                <w:rFonts w:ascii="仿宋_GB2312" w:hAnsi="仿宋" w:eastAsia="仿宋_GB2312"/>
                <w:color w:val="auto"/>
                <w:sz w:val="24"/>
                <w:highlight w:val="none"/>
              </w:rPr>
              <w:t>3</w:t>
            </w:r>
            <w:r>
              <w:rPr>
                <w:rFonts w:hint="eastAsia" w:ascii="仿宋_GB2312" w:hAnsi="仿宋" w:eastAsia="仿宋_GB2312"/>
                <w:color w:val="auto"/>
                <w:sz w:val="24"/>
                <w:highlight w:val="none"/>
              </w:rPr>
              <w:t>0%。</w:t>
            </w:r>
          </w:p>
          <w:p w14:paraId="7EB8FC60">
            <w:pPr>
              <w:pStyle w:val="9"/>
              <w:rPr>
                <w:rFonts w:ascii="仿宋_GB2312" w:hAnsi="仿宋" w:eastAsia="仿宋_GB2312"/>
                <w:color w:val="auto"/>
                <w:sz w:val="24"/>
                <w:highlight w:val="none"/>
              </w:rPr>
            </w:pPr>
            <w:r>
              <w:rPr>
                <w:rFonts w:hint="eastAsia" w:ascii="仿宋_GB2312" w:hAnsi="仿宋" w:eastAsia="仿宋_GB2312"/>
                <w:b/>
                <w:color w:val="auto"/>
                <w:sz w:val="24"/>
                <w:highlight w:val="none"/>
              </w:rPr>
              <w:t>★</w:t>
            </w:r>
            <w:r>
              <w:rPr>
                <w:rFonts w:hint="eastAsia" w:ascii="仿宋_GB2312" w:hAnsi="仿宋" w:eastAsia="仿宋_GB2312"/>
                <w:bCs/>
                <w:color w:val="auto"/>
                <w:sz w:val="24"/>
                <w:highlight w:val="none"/>
              </w:rPr>
              <w:t>2.</w:t>
            </w:r>
            <w:r>
              <w:rPr>
                <w:rFonts w:hint="eastAsia" w:ascii="仿宋_GB2312" w:hAnsi="仿宋" w:eastAsia="仿宋_GB2312"/>
                <w:color w:val="auto"/>
                <w:sz w:val="24"/>
                <w:highlight w:val="none"/>
              </w:rPr>
              <w:t>支付方式：电汇。</w:t>
            </w:r>
          </w:p>
        </w:tc>
        <w:tc>
          <w:tcPr>
            <w:tcW w:w="2228" w:type="dxa"/>
            <w:tcBorders>
              <w:top w:val="single" w:color="auto" w:sz="4" w:space="0"/>
              <w:left w:val="single" w:color="auto" w:sz="4" w:space="0"/>
              <w:bottom w:val="single" w:color="auto" w:sz="4" w:space="0"/>
              <w:right w:val="single" w:color="auto" w:sz="4" w:space="0"/>
            </w:tcBorders>
            <w:vAlign w:val="center"/>
          </w:tcPr>
          <w:p w14:paraId="6A408E07">
            <w:pPr>
              <w:adjustRightInd w:val="0"/>
              <w:snapToGrid w:val="0"/>
              <w:ind w:right="105" w:rightChars="50"/>
              <w:jc w:val="center"/>
              <w:rPr>
                <w:rFonts w:ascii="仿宋_GB2312" w:hAnsi="仿宋" w:eastAsia="仿宋_GB2312"/>
                <w:color w:val="auto"/>
                <w:sz w:val="24"/>
                <w:highlight w:val="none"/>
              </w:rPr>
            </w:pPr>
          </w:p>
        </w:tc>
        <w:tc>
          <w:tcPr>
            <w:tcW w:w="804" w:type="dxa"/>
            <w:tcBorders>
              <w:top w:val="single" w:color="auto" w:sz="4" w:space="0"/>
              <w:left w:val="single" w:color="auto" w:sz="4" w:space="0"/>
              <w:bottom w:val="single" w:color="auto" w:sz="4" w:space="0"/>
              <w:right w:val="single" w:color="auto" w:sz="4" w:space="0"/>
            </w:tcBorders>
            <w:vAlign w:val="center"/>
          </w:tcPr>
          <w:p w14:paraId="05DB7C27">
            <w:pPr>
              <w:adjustRightInd w:val="0"/>
              <w:snapToGrid w:val="0"/>
              <w:ind w:right="105" w:rightChars="50"/>
              <w:jc w:val="center"/>
              <w:rPr>
                <w:rFonts w:ascii="仿宋_GB2312" w:hAnsi="仿宋" w:eastAsia="仿宋_GB2312"/>
                <w:color w:val="auto"/>
                <w:sz w:val="24"/>
                <w:highlight w:val="none"/>
              </w:rPr>
            </w:pPr>
          </w:p>
        </w:tc>
        <w:tc>
          <w:tcPr>
            <w:tcW w:w="790" w:type="dxa"/>
            <w:tcBorders>
              <w:top w:val="single" w:color="auto" w:sz="4" w:space="0"/>
              <w:left w:val="single" w:color="auto" w:sz="4" w:space="0"/>
              <w:bottom w:val="single" w:color="auto" w:sz="4" w:space="0"/>
              <w:right w:val="single" w:color="auto" w:sz="4" w:space="0"/>
            </w:tcBorders>
            <w:vAlign w:val="center"/>
          </w:tcPr>
          <w:p w14:paraId="0E43A253">
            <w:pPr>
              <w:adjustRightInd w:val="0"/>
              <w:snapToGrid w:val="0"/>
              <w:ind w:right="105" w:rightChars="50"/>
              <w:jc w:val="center"/>
              <w:rPr>
                <w:rFonts w:ascii="仿宋_GB2312" w:hAnsi="仿宋" w:eastAsia="仿宋_GB2312"/>
                <w:color w:val="auto"/>
                <w:sz w:val="24"/>
                <w:highlight w:val="none"/>
              </w:rPr>
            </w:pPr>
          </w:p>
        </w:tc>
      </w:tr>
      <w:tr w14:paraId="6FE56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9" w:hRule="atLeast"/>
          <w:jc w:val="center"/>
        </w:trPr>
        <w:tc>
          <w:tcPr>
            <w:tcW w:w="716" w:type="dxa"/>
            <w:tcBorders>
              <w:top w:val="single" w:color="auto" w:sz="4" w:space="0"/>
              <w:left w:val="single" w:color="auto" w:sz="4" w:space="0"/>
              <w:bottom w:val="single" w:color="auto" w:sz="4" w:space="0"/>
              <w:right w:val="single" w:color="auto" w:sz="4" w:space="0"/>
            </w:tcBorders>
            <w:vAlign w:val="center"/>
          </w:tcPr>
          <w:p w14:paraId="0B9083C3">
            <w:pPr>
              <w:adjustRightInd w:val="0"/>
              <w:snapToGrid w:val="0"/>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4</w:t>
            </w:r>
          </w:p>
        </w:tc>
        <w:tc>
          <w:tcPr>
            <w:tcW w:w="4131" w:type="dxa"/>
            <w:tcBorders>
              <w:top w:val="single" w:color="auto" w:sz="4" w:space="0"/>
              <w:left w:val="single" w:color="auto" w:sz="4" w:space="0"/>
              <w:bottom w:val="single" w:color="auto" w:sz="4" w:space="0"/>
              <w:right w:val="single" w:color="auto" w:sz="4" w:space="0"/>
            </w:tcBorders>
            <w:vAlign w:val="center"/>
          </w:tcPr>
          <w:p w14:paraId="7B528331">
            <w:pPr>
              <w:adjustRightInd w:val="0"/>
              <w:snapToGrid w:val="0"/>
              <w:rPr>
                <w:rFonts w:ascii="仿宋_GB2312" w:hAnsi="仿宋" w:eastAsia="仿宋_GB2312" w:cs="仿宋_GB2312"/>
                <w:color w:val="auto"/>
                <w:sz w:val="24"/>
                <w:highlight w:val="none"/>
              </w:rPr>
            </w:pPr>
            <w:r>
              <w:rPr>
                <w:rFonts w:hint="eastAsia" w:ascii="仿宋_GB2312" w:hAnsi="仿宋" w:eastAsia="仿宋_GB2312" w:cs="仿宋_GB2312"/>
                <w:b/>
                <w:color w:val="auto"/>
                <w:sz w:val="24"/>
                <w:highlight w:val="none"/>
              </w:rPr>
              <w:t>★</w:t>
            </w:r>
            <w:r>
              <w:rPr>
                <w:rFonts w:hint="eastAsia" w:ascii="仿宋_GB2312" w:hAnsi="仿宋_GB2312" w:eastAsia="仿宋_GB2312" w:cs="仿宋_GB2312"/>
                <w:color w:val="auto"/>
                <w:sz w:val="24"/>
                <w:highlight w:val="none"/>
              </w:rPr>
              <w:t>验收标准、</w:t>
            </w:r>
            <w:r>
              <w:rPr>
                <w:rFonts w:hint="eastAsia" w:ascii="仿宋_GB2312" w:hAnsi="仿宋" w:eastAsia="仿宋_GB2312" w:cs="仿宋_GB2312"/>
                <w:color w:val="auto"/>
                <w:sz w:val="24"/>
                <w:highlight w:val="none"/>
              </w:rPr>
              <w:t>验收程序、验收报告</w:t>
            </w:r>
            <w:r>
              <w:rPr>
                <w:rFonts w:hint="eastAsia" w:ascii="仿宋_GB2312" w:hAnsi="仿宋_GB2312" w:eastAsia="仿宋_GB2312" w:cs="仿宋_GB2312"/>
                <w:color w:val="auto"/>
                <w:sz w:val="24"/>
                <w:highlight w:val="none"/>
              </w:rPr>
              <w:t>：</w:t>
            </w:r>
            <w:r>
              <w:rPr>
                <w:rFonts w:hint="eastAsia" w:ascii="仿宋_GB2312" w:hAnsi="仿宋" w:eastAsia="仿宋_GB2312" w:cs="仿宋_GB2312"/>
                <w:color w:val="auto"/>
                <w:sz w:val="24"/>
                <w:highlight w:val="none"/>
              </w:rPr>
              <w:t>本项目将严格按照政府采购相关法律法规以及《辽宁省政府采购履约验收管理办法》（辽财采〔2017〕603号）的要求进行验收。</w:t>
            </w:r>
          </w:p>
          <w:p w14:paraId="4DB0B5AC">
            <w:pPr>
              <w:adjustRightInd w:val="0"/>
              <w:snapToGrid w:val="0"/>
              <w:ind w:left="1" w:hanging="1"/>
              <w:rPr>
                <w:rFonts w:ascii="仿宋_GB2312" w:hAnsi="仿宋" w:eastAsia="仿宋_GB2312"/>
                <w:color w:val="auto"/>
                <w:sz w:val="24"/>
                <w:highlight w:val="none"/>
              </w:rPr>
            </w:pPr>
            <w:r>
              <w:rPr>
                <w:rFonts w:hint="eastAsia" w:ascii="仿宋_GB2312" w:hAnsi="仿宋" w:eastAsia="仿宋_GB2312" w:cs="仿宋_GB2312"/>
                <w:color w:val="auto"/>
                <w:sz w:val="24"/>
                <w:highlight w:val="none"/>
              </w:rPr>
              <w:t>组织验收主体：本项目的履约验收工作由采购人依法组织实施。</w:t>
            </w:r>
          </w:p>
        </w:tc>
        <w:tc>
          <w:tcPr>
            <w:tcW w:w="2228" w:type="dxa"/>
            <w:tcBorders>
              <w:top w:val="single" w:color="auto" w:sz="4" w:space="0"/>
              <w:left w:val="single" w:color="auto" w:sz="4" w:space="0"/>
              <w:bottom w:val="single" w:color="auto" w:sz="4" w:space="0"/>
              <w:right w:val="single" w:color="auto" w:sz="4" w:space="0"/>
            </w:tcBorders>
            <w:vAlign w:val="center"/>
          </w:tcPr>
          <w:p w14:paraId="4F5FAAEB">
            <w:pPr>
              <w:adjustRightInd w:val="0"/>
              <w:snapToGrid w:val="0"/>
              <w:ind w:right="105" w:rightChars="50"/>
              <w:jc w:val="center"/>
              <w:rPr>
                <w:rFonts w:ascii="仿宋_GB2312" w:hAnsi="仿宋" w:eastAsia="仿宋_GB2312"/>
                <w:color w:val="auto"/>
                <w:sz w:val="24"/>
                <w:highlight w:val="none"/>
              </w:rPr>
            </w:pPr>
          </w:p>
        </w:tc>
        <w:tc>
          <w:tcPr>
            <w:tcW w:w="804" w:type="dxa"/>
            <w:tcBorders>
              <w:top w:val="single" w:color="auto" w:sz="4" w:space="0"/>
              <w:left w:val="single" w:color="auto" w:sz="4" w:space="0"/>
              <w:bottom w:val="single" w:color="auto" w:sz="4" w:space="0"/>
              <w:right w:val="single" w:color="auto" w:sz="4" w:space="0"/>
            </w:tcBorders>
            <w:vAlign w:val="center"/>
          </w:tcPr>
          <w:p w14:paraId="4C30DF19">
            <w:pPr>
              <w:adjustRightInd w:val="0"/>
              <w:snapToGrid w:val="0"/>
              <w:ind w:right="105" w:rightChars="50"/>
              <w:jc w:val="center"/>
              <w:rPr>
                <w:rFonts w:ascii="仿宋_GB2312" w:hAnsi="仿宋" w:eastAsia="仿宋_GB2312"/>
                <w:color w:val="auto"/>
                <w:sz w:val="24"/>
                <w:highlight w:val="none"/>
              </w:rPr>
            </w:pPr>
          </w:p>
        </w:tc>
        <w:tc>
          <w:tcPr>
            <w:tcW w:w="790" w:type="dxa"/>
            <w:tcBorders>
              <w:top w:val="single" w:color="auto" w:sz="4" w:space="0"/>
              <w:left w:val="single" w:color="auto" w:sz="4" w:space="0"/>
              <w:bottom w:val="single" w:color="auto" w:sz="4" w:space="0"/>
              <w:right w:val="single" w:color="auto" w:sz="4" w:space="0"/>
            </w:tcBorders>
            <w:vAlign w:val="center"/>
          </w:tcPr>
          <w:p w14:paraId="32B7050B">
            <w:pPr>
              <w:adjustRightInd w:val="0"/>
              <w:snapToGrid w:val="0"/>
              <w:ind w:right="105" w:rightChars="50"/>
              <w:jc w:val="center"/>
              <w:rPr>
                <w:rFonts w:ascii="仿宋_GB2312" w:hAnsi="仿宋" w:eastAsia="仿宋_GB2312"/>
                <w:color w:val="auto"/>
                <w:sz w:val="24"/>
                <w:highlight w:val="none"/>
              </w:rPr>
            </w:pPr>
          </w:p>
        </w:tc>
      </w:tr>
      <w:tr w14:paraId="22C05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716" w:type="dxa"/>
            <w:tcBorders>
              <w:top w:val="single" w:color="auto" w:sz="4" w:space="0"/>
              <w:left w:val="single" w:color="auto" w:sz="4" w:space="0"/>
              <w:bottom w:val="single" w:color="auto" w:sz="4" w:space="0"/>
              <w:right w:val="single" w:color="auto" w:sz="4" w:space="0"/>
            </w:tcBorders>
            <w:vAlign w:val="center"/>
          </w:tcPr>
          <w:p w14:paraId="2296B5B2">
            <w:pPr>
              <w:adjustRightInd w:val="0"/>
              <w:snapToGrid w:val="0"/>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5</w:t>
            </w:r>
          </w:p>
        </w:tc>
        <w:tc>
          <w:tcPr>
            <w:tcW w:w="4131" w:type="dxa"/>
            <w:tcBorders>
              <w:top w:val="single" w:color="auto" w:sz="4" w:space="0"/>
              <w:left w:val="single" w:color="auto" w:sz="4" w:space="0"/>
              <w:bottom w:val="single" w:color="auto" w:sz="4" w:space="0"/>
              <w:right w:val="single" w:color="auto" w:sz="4" w:space="0"/>
            </w:tcBorders>
            <w:vAlign w:val="center"/>
          </w:tcPr>
          <w:p w14:paraId="084C0D22">
            <w:pPr>
              <w:adjustRightInd w:val="0"/>
              <w:snapToGrid w:val="0"/>
              <w:ind w:left="1" w:hanging="1"/>
              <w:rPr>
                <w:rFonts w:ascii="仿宋_GB2312" w:hAnsi="仿宋_GB2312" w:eastAsia="仿宋_GB2312" w:cs="仿宋_GB2312"/>
                <w:bCs/>
                <w:color w:val="auto"/>
                <w:sz w:val="24"/>
                <w:highlight w:val="none"/>
              </w:rPr>
            </w:pPr>
            <w:r>
              <w:rPr>
                <w:rFonts w:hint="eastAsia" w:ascii="仿宋_GB2312" w:hAnsi="仿宋" w:eastAsia="仿宋_GB2312" w:cs="仿宋_GB2312"/>
                <w:b/>
                <w:color w:val="auto"/>
                <w:sz w:val="24"/>
                <w:highlight w:val="none"/>
              </w:rPr>
              <w:t>★</w:t>
            </w:r>
            <w:r>
              <w:rPr>
                <w:rFonts w:hint="eastAsia" w:ascii="仿宋_GB2312" w:hAnsi="仿宋_GB2312" w:eastAsia="仿宋_GB2312" w:cs="仿宋_GB2312"/>
                <w:color w:val="auto"/>
                <w:sz w:val="24"/>
                <w:highlight w:val="none"/>
              </w:rPr>
              <w:t>质量保证期：</w:t>
            </w:r>
            <w:r>
              <w:rPr>
                <w:rFonts w:ascii="仿宋_GB2312" w:hAnsi="仿宋_GB2312" w:eastAsia="仿宋_GB2312" w:cs="仿宋_GB2312"/>
                <w:color w:val="auto"/>
                <w:sz w:val="24"/>
                <w:highlight w:val="none"/>
              </w:rPr>
              <w:t>5</w:t>
            </w:r>
            <w:r>
              <w:rPr>
                <w:rFonts w:hint="eastAsia" w:ascii="仿宋_GB2312" w:hAnsi="仿宋_GB2312" w:eastAsia="仿宋_GB2312" w:cs="仿宋_GB2312"/>
                <w:color w:val="auto"/>
                <w:sz w:val="24"/>
                <w:highlight w:val="none"/>
              </w:rPr>
              <w:t>年</w:t>
            </w:r>
          </w:p>
          <w:p w14:paraId="330FD4B8">
            <w:pPr>
              <w:adjustRightInd w:val="0"/>
              <w:snapToGrid w:val="0"/>
              <w:ind w:left="1" w:hanging="1"/>
              <w:rPr>
                <w:rFonts w:ascii="仿宋_GB2312" w:hAnsi="仿宋_GB2312" w:eastAsia="仿宋_GB2312" w:cs="仿宋_GB2312"/>
                <w:color w:val="auto"/>
                <w:sz w:val="24"/>
                <w:highlight w:val="none"/>
              </w:rPr>
            </w:pPr>
            <w:r>
              <w:rPr>
                <w:rFonts w:hint="eastAsia" w:ascii="仿宋_GB2312" w:hAnsi="仿宋" w:eastAsia="仿宋_GB2312" w:cs="仿宋_GB2312"/>
                <w:b/>
                <w:color w:val="auto"/>
                <w:sz w:val="24"/>
                <w:highlight w:val="none"/>
              </w:rPr>
              <w:t>★</w:t>
            </w:r>
            <w:r>
              <w:rPr>
                <w:rFonts w:hint="eastAsia" w:ascii="仿宋_GB2312" w:hAnsi="仿宋_GB2312" w:eastAsia="仿宋_GB2312" w:cs="仿宋_GB2312"/>
                <w:color w:val="auto"/>
                <w:sz w:val="24"/>
                <w:highlight w:val="none"/>
              </w:rPr>
              <w:t>质量保证期内上门免费服务，终身维修，免费提供配件：</w:t>
            </w:r>
            <w:r>
              <w:rPr>
                <w:rFonts w:ascii="仿宋_GB2312" w:hAnsi="仿宋_GB2312" w:eastAsia="仿宋_GB2312" w:cs="仿宋_GB2312"/>
                <w:color w:val="auto"/>
                <w:sz w:val="24"/>
                <w:highlight w:val="none"/>
              </w:rPr>
              <w:t>5</w:t>
            </w:r>
            <w:r>
              <w:rPr>
                <w:rFonts w:hint="eastAsia" w:ascii="仿宋_GB2312" w:hAnsi="仿宋_GB2312" w:eastAsia="仿宋_GB2312" w:cs="仿宋_GB2312"/>
                <w:color w:val="auto"/>
                <w:sz w:val="24"/>
                <w:highlight w:val="none"/>
              </w:rPr>
              <w:t>年</w:t>
            </w:r>
          </w:p>
          <w:p w14:paraId="334064DF">
            <w:pPr>
              <w:adjustRightInd w:val="0"/>
              <w:snapToGrid w:val="0"/>
              <w:ind w:left="1" w:hanging="1"/>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注：在保修期内，货物非采购方原因而出现的质量问题由中标人负责退换，过程产生的实际费用由中标人承担。中标人不能修复、调换或不能退货的，应退回相应货款，并承担相应的违约责任。</w:t>
            </w:r>
          </w:p>
        </w:tc>
        <w:tc>
          <w:tcPr>
            <w:tcW w:w="2228" w:type="dxa"/>
            <w:tcBorders>
              <w:top w:val="single" w:color="auto" w:sz="4" w:space="0"/>
              <w:left w:val="single" w:color="auto" w:sz="4" w:space="0"/>
              <w:bottom w:val="single" w:color="auto" w:sz="4" w:space="0"/>
              <w:right w:val="single" w:color="auto" w:sz="4" w:space="0"/>
            </w:tcBorders>
            <w:vAlign w:val="center"/>
          </w:tcPr>
          <w:p w14:paraId="1557380F">
            <w:pPr>
              <w:adjustRightInd w:val="0"/>
              <w:snapToGrid w:val="0"/>
              <w:ind w:right="105" w:rightChars="50"/>
              <w:jc w:val="center"/>
              <w:rPr>
                <w:rFonts w:ascii="仿宋_GB2312" w:hAnsi="仿宋" w:eastAsia="仿宋_GB2312"/>
                <w:color w:val="auto"/>
                <w:sz w:val="24"/>
                <w:highlight w:val="none"/>
              </w:rPr>
            </w:pPr>
          </w:p>
        </w:tc>
        <w:tc>
          <w:tcPr>
            <w:tcW w:w="804" w:type="dxa"/>
            <w:tcBorders>
              <w:top w:val="single" w:color="auto" w:sz="4" w:space="0"/>
              <w:left w:val="single" w:color="auto" w:sz="4" w:space="0"/>
              <w:bottom w:val="single" w:color="auto" w:sz="4" w:space="0"/>
              <w:right w:val="single" w:color="auto" w:sz="4" w:space="0"/>
            </w:tcBorders>
            <w:vAlign w:val="center"/>
          </w:tcPr>
          <w:p w14:paraId="77070FBA">
            <w:pPr>
              <w:adjustRightInd w:val="0"/>
              <w:snapToGrid w:val="0"/>
              <w:ind w:right="105" w:rightChars="50"/>
              <w:jc w:val="center"/>
              <w:rPr>
                <w:rFonts w:ascii="仿宋_GB2312" w:hAnsi="仿宋" w:eastAsia="仿宋_GB2312"/>
                <w:color w:val="auto"/>
                <w:sz w:val="24"/>
                <w:highlight w:val="none"/>
              </w:rPr>
            </w:pPr>
          </w:p>
        </w:tc>
        <w:tc>
          <w:tcPr>
            <w:tcW w:w="790" w:type="dxa"/>
            <w:tcBorders>
              <w:top w:val="single" w:color="auto" w:sz="4" w:space="0"/>
              <w:left w:val="single" w:color="auto" w:sz="4" w:space="0"/>
              <w:bottom w:val="single" w:color="auto" w:sz="4" w:space="0"/>
              <w:right w:val="single" w:color="auto" w:sz="4" w:space="0"/>
            </w:tcBorders>
            <w:vAlign w:val="center"/>
          </w:tcPr>
          <w:p w14:paraId="5790CB30">
            <w:pPr>
              <w:adjustRightInd w:val="0"/>
              <w:snapToGrid w:val="0"/>
              <w:ind w:right="105" w:rightChars="50"/>
              <w:jc w:val="center"/>
              <w:rPr>
                <w:rFonts w:ascii="仿宋_GB2312" w:hAnsi="仿宋" w:eastAsia="仿宋_GB2312"/>
                <w:color w:val="auto"/>
                <w:sz w:val="24"/>
                <w:highlight w:val="none"/>
              </w:rPr>
            </w:pPr>
          </w:p>
        </w:tc>
      </w:tr>
      <w:tr w14:paraId="014B9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716" w:type="dxa"/>
            <w:tcBorders>
              <w:top w:val="single" w:color="auto" w:sz="4" w:space="0"/>
              <w:left w:val="single" w:color="auto" w:sz="4" w:space="0"/>
              <w:bottom w:val="single" w:color="auto" w:sz="4" w:space="0"/>
              <w:right w:val="single" w:color="auto" w:sz="4" w:space="0"/>
            </w:tcBorders>
            <w:vAlign w:val="center"/>
          </w:tcPr>
          <w:p w14:paraId="5BB2AF36">
            <w:pPr>
              <w:adjustRightInd w:val="0"/>
              <w:snapToGrid w:val="0"/>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6</w:t>
            </w:r>
          </w:p>
        </w:tc>
        <w:tc>
          <w:tcPr>
            <w:tcW w:w="4131" w:type="dxa"/>
            <w:tcBorders>
              <w:top w:val="single" w:color="auto" w:sz="4" w:space="0"/>
              <w:left w:val="single" w:color="auto" w:sz="4" w:space="0"/>
              <w:bottom w:val="single" w:color="auto" w:sz="4" w:space="0"/>
              <w:right w:val="single" w:color="auto" w:sz="4" w:space="0"/>
            </w:tcBorders>
            <w:vAlign w:val="center"/>
          </w:tcPr>
          <w:p w14:paraId="6CC0B225">
            <w:pPr>
              <w:adjustRightInd w:val="0"/>
              <w:snapToGrid w:val="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★技术服务要求：</w:t>
            </w:r>
          </w:p>
          <w:p w14:paraId="1F8026DC">
            <w:pPr>
              <w:adjustRightInd w:val="0"/>
              <w:snapToGrid w:val="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（1）负责沈阳药科大学校本部食堂电梯更新项目4部扶梯和1部货梯的供货、安装、调试、保修、售后服务等。</w:t>
            </w:r>
          </w:p>
          <w:p w14:paraId="571E2E50">
            <w:pPr>
              <w:adjustRightInd w:val="0"/>
              <w:snapToGrid w:val="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提供产品时中标方应负责提供详细的出厂质量检验标准、质量证明、出厂合格证、验收手册、安装调试报告及检测数据等有关内容；提供产品说明书、使用说明书、详细操作手册和维护手册、设备结构图及电气原理图等与产品有关的中英文对照，并以中文版为准的一切文件资料和图纸资料等。</w:t>
            </w:r>
          </w:p>
          <w:p w14:paraId="08005AAD">
            <w:pPr>
              <w:adjustRightInd w:val="0"/>
              <w:snapToGrid w:val="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本次招标的电梯设备均为交钥匙工程。中标方应负责电梯的设备购置、运输、安装、调试、劳动安检及特种设备部门检测和报验，其费用均含在投标报价中，临时施工用电费用也含在投标报价中。中标方应负责提供电梯设备及电梯安装的详细资料，免费负责电梯管理使用人员的培训，培训内容包括但不限于设备原理、设备维修、紧急救援等。培训在工地现场进行。</w:t>
            </w:r>
          </w:p>
          <w:p w14:paraId="23A09ECA">
            <w:pPr>
              <w:adjustRightInd w:val="0"/>
              <w:snapToGrid w:val="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（4）验收：应向采购人提供详细的出厂质量检验标准、质量证明、出厂合格证、验收手册、安装调试报告及检测数据，按买方所在地的国家有关部门按标准验收。</w:t>
            </w:r>
          </w:p>
        </w:tc>
        <w:tc>
          <w:tcPr>
            <w:tcW w:w="2228" w:type="dxa"/>
            <w:tcBorders>
              <w:top w:val="single" w:color="auto" w:sz="4" w:space="0"/>
              <w:left w:val="single" w:color="auto" w:sz="4" w:space="0"/>
              <w:bottom w:val="single" w:color="auto" w:sz="4" w:space="0"/>
              <w:right w:val="single" w:color="auto" w:sz="4" w:space="0"/>
            </w:tcBorders>
            <w:vAlign w:val="center"/>
          </w:tcPr>
          <w:p w14:paraId="1BF2F922">
            <w:pPr>
              <w:adjustRightInd w:val="0"/>
              <w:snapToGrid w:val="0"/>
              <w:ind w:right="105" w:rightChars="50"/>
              <w:jc w:val="center"/>
              <w:rPr>
                <w:rFonts w:ascii="仿宋_GB2312" w:hAnsi="仿宋" w:eastAsia="仿宋_GB2312"/>
                <w:color w:val="auto"/>
                <w:sz w:val="24"/>
                <w:highlight w:val="none"/>
              </w:rPr>
            </w:pPr>
          </w:p>
        </w:tc>
        <w:tc>
          <w:tcPr>
            <w:tcW w:w="804" w:type="dxa"/>
            <w:tcBorders>
              <w:top w:val="single" w:color="auto" w:sz="4" w:space="0"/>
              <w:left w:val="single" w:color="auto" w:sz="4" w:space="0"/>
              <w:bottom w:val="single" w:color="auto" w:sz="4" w:space="0"/>
              <w:right w:val="single" w:color="auto" w:sz="4" w:space="0"/>
            </w:tcBorders>
            <w:vAlign w:val="center"/>
          </w:tcPr>
          <w:p w14:paraId="392A3A17">
            <w:pPr>
              <w:adjustRightInd w:val="0"/>
              <w:snapToGrid w:val="0"/>
              <w:ind w:right="105" w:rightChars="50"/>
              <w:jc w:val="center"/>
              <w:rPr>
                <w:rFonts w:ascii="仿宋_GB2312" w:hAnsi="仿宋" w:eastAsia="仿宋_GB2312"/>
                <w:color w:val="auto"/>
                <w:sz w:val="24"/>
                <w:highlight w:val="none"/>
              </w:rPr>
            </w:pPr>
          </w:p>
        </w:tc>
        <w:tc>
          <w:tcPr>
            <w:tcW w:w="790" w:type="dxa"/>
            <w:tcBorders>
              <w:top w:val="single" w:color="auto" w:sz="4" w:space="0"/>
              <w:left w:val="single" w:color="auto" w:sz="4" w:space="0"/>
              <w:bottom w:val="single" w:color="auto" w:sz="4" w:space="0"/>
              <w:right w:val="single" w:color="auto" w:sz="4" w:space="0"/>
            </w:tcBorders>
            <w:vAlign w:val="center"/>
          </w:tcPr>
          <w:p w14:paraId="40C08537">
            <w:pPr>
              <w:adjustRightInd w:val="0"/>
              <w:snapToGrid w:val="0"/>
              <w:ind w:right="105" w:rightChars="50"/>
              <w:jc w:val="center"/>
              <w:rPr>
                <w:rFonts w:ascii="仿宋_GB2312" w:hAnsi="仿宋" w:eastAsia="仿宋_GB2312"/>
                <w:color w:val="auto"/>
                <w:sz w:val="24"/>
                <w:highlight w:val="none"/>
              </w:rPr>
            </w:pPr>
          </w:p>
        </w:tc>
      </w:tr>
      <w:tr w14:paraId="1AB71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716" w:type="dxa"/>
            <w:tcBorders>
              <w:top w:val="single" w:color="auto" w:sz="4" w:space="0"/>
              <w:left w:val="single" w:color="auto" w:sz="4" w:space="0"/>
              <w:bottom w:val="single" w:color="auto" w:sz="4" w:space="0"/>
              <w:right w:val="single" w:color="auto" w:sz="4" w:space="0"/>
            </w:tcBorders>
            <w:vAlign w:val="center"/>
          </w:tcPr>
          <w:p w14:paraId="5B7B36BC">
            <w:pPr>
              <w:adjustRightInd w:val="0"/>
              <w:snapToGrid w:val="0"/>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7</w:t>
            </w:r>
          </w:p>
        </w:tc>
        <w:tc>
          <w:tcPr>
            <w:tcW w:w="4131" w:type="dxa"/>
            <w:tcBorders>
              <w:top w:val="single" w:color="auto" w:sz="4" w:space="0"/>
              <w:left w:val="single" w:color="auto" w:sz="4" w:space="0"/>
              <w:bottom w:val="single" w:color="auto" w:sz="4" w:space="0"/>
              <w:right w:val="single" w:color="auto" w:sz="4" w:space="0"/>
            </w:tcBorders>
            <w:vAlign w:val="center"/>
          </w:tcPr>
          <w:p w14:paraId="09BFE089">
            <w:pPr>
              <w:adjustRightInd w:val="0"/>
              <w:snapToGrid w:val="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★质量保证和售后服务要求：</w:t>
            </w:r>
          </w:p>
          <w:p w14:paraId="7A1DF090">
            <w:pPr>
              <w:adjustRightInd w:val="0"/>
              <w:snapToGrid w:val="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中标方保证货物是全新、未使用过的，是用一流的工艺和最佳材料制造而成的，并完全符合招标文件要求的质量、规格和性能的要求。中标方保证所提供的货物经正确安装、正常运转和保养在其使用寿命期内应具有达到质量标准的性能。在货物质量保证期之内，中标方对由于设计、工艺、材料、安装、调试或服务的缺陷而发生的任何不足或故障负责。</w:t>
            </w:r>
          </w:p>
          <w:p w14:paraId="7DDBE665">
            <w:pPr>
              <w:adjustRightInd w:val="0"/>
              <w:snapToGrid w:val="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（2）中标方向采购人提供从当地质量监督部门签发验收合格证书（全部电梯设备之最后一部）之日起</w:t>
            </w:r>
            <w:r>
              <w:rPr>
                <w:rFonts w:hint="eastAsia" w:ascii="仿宋_GB2312" w:hAnsi="仿宋_GB2312" w:eastAsia="仿宋_GB2312" w:cs="仿宋_GB2312"/>
                <w:color w:val="auto"/>
                <w:sz w:val="24"/>
                <w:highlight w:val="none"/>
                <w:lang w:val="en-US" w:eastAsia="zh-CN"/>
              </w:rPr>
              <w:t>伍</w:t>
            </w:r>
            <w:r>
              <w:rPr>
                <w:rFonts w:hint="eastAsia" w:ascii="仿宋_GB2312" w:hAnsi="仿宋_GB2312" w:eastAsia="仿宋_GB2312" w:cs="仿宋_GB2312"/>
                <w:color w:val="auto"/>
                <w:sz w:val="24"/>
                <w:highlight w:val="none"/>
              </w:rPr>
              <w:t>年（或中标单位提出的质量保证期）的免费维修保养期。中标方对在保修期内发生故障，中标方要免费更换或维修有缺陷的设备、部件和材料，直至达到终验指标和性能要求。保修人员24小时全天候服务，能在30分钟内到达现场处理故障。</w:t>
            </w:r>
          </w:p>
          <w:p w14:paraId="0F39CC2F">
            <w:pPr>
              <w:adjustRightInd w:val="0"/>
              <w:snapToGrid w:val="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w:t>
            </w:r>
            <w:r>
              <w:rPr>
                <w:rFonts w:hint="eastAsia" w:ascii="仿宋_GB2312" w:hAnsi="仿宋_GB2312" w:eastAsia="仿宋_GB2312" w:cs="仿宋_GB2312"/>
                <w:bCs/>
                <w:color w:val="auto"/>
                <w:sz w:val="24"/>
                <w:szCs w:val="18"/>
                <w:highlight w:val="none"/>
              </w:rPr>
              <w:t>备品备件供应及优惠价格要求：终身提供备品备件供应，质保期内不收取备品备件费用，不收取人工费；质保期外只收取备品备件成本价格。</w:t>
            </w:r>
          </w:p>
        </w:tc>
        <w:tc>
          <w:tcPr>
            <w:tcW w:w="2228" w:type="dxa"/>
            <w:tcBorders>
              <w:top w:val="single" w:color="auto" w:sz="4" w:space="0"/>
              <w:left w:val="single" w:color="auto" w:sz="4" w:space="0"/>
              <w:bottom w:val="single" w:color="auto" w:sz="4" w:space="0"/>
              <w:right w:val="single" w:color="auto" w:sz="4" w:space="0"/>
            </w:tcBorders>
            <w:vAlign w:val="center"/>
          </w:tcPr>
          <w:p w14:paraId="73C2B8BF">
            <w:pPr>
              <w:adjustRightInd w:val="0"/>
              <w:snapToGrid w:val="0"/>
              <w:ind w:right="105" w:rightChars="50"/>
              <w:jc w:val="center"/>
              <w:rPr>
                <w:rFonts w:ascii="仿宋_GB2312" w:hAnsi="仿宋" w:eastAsia="仿宋_GB2312"/>
                <w:color w:val="auto"/>
                <w:sz w:val="24"/>
                <w:highlight w:val="none"/>
              </w:rPr>
            </w:pPr>
          </w:p>
        </w:tc>
        <w:tc>
          <w:tcPr>
            <w:tcW w:w="804" w:type="dxa"/>
            <w:tcBorders>
              <w:top w:val="single" w:color="auto" w:sz="4" w:space="0"/>
              <w:left w:val="single" w:color="auto" w:sz="4" w:space="0"/>
              <w:bottom w:val="single" w:color="auto" w:sz="4" w:space="0"/>
              <w:right w:val="single" w:color="auto" w:sz="4" w:space="0"/>
            </w:tcBorders>
            <w:vAlign w:val="center"/>
          </w:tcPr>
          <w:p w14:paraId="3B8E9B02">
            <w:pPr>
              <w:adjustRightInd w:val="0"/>
              <w:snapToGrid w:val="0"/>
              <w:ind w:right="105" w:rightChars="50"/>
              <w:jc w:val="center"/>
              <w:rPr>
                <w:rFonts w:ascii="仿宋_GB2312" w:hAnsi="仿宋" w:eastAsia="仿宋_GB2312"/>
                <w:color w:val="auto"/>
                <w:sz w:val="24"/>
                <w:highlight w:val="none"/>
              </w:rPr>
            </w:pPr>
          </w:p>
        </w:tc>
        <w:tc>
          <w:tcPr>
            <w:tcW w:w="790" w:type="dxa"/>
            <w:tcBorders>
              <w:top w:val="single" w:color="auto" w:sz="4" w:space="0"/>
              <w:left w:val="single" w:color="auto" w:sz="4" w:space="0"/>
              <w:bottom w:val="single" w:color="auto" w:sz="4" w:space="0"/>
              <w:right w:val="single" w:color="auto" w:sz="4" w:space="0"/>
            </w:tcBorders>
            <w:vAlign w:val="center"/>
          </w:tcPr>
          <w:p w14:paraId="4B8BC480">
            <w:pPr>
              <w:adjustRightInd w:val="0"/>
              <w:snapToGrid w:val="0"/>
              <w:ind w:right="105" w:rightChars="50"/>
              <w:jc w:val="center"/>
              <w:rPr>
                <w:rFonts w:ascii="仿宋_GB2312" w:hAnsi="仿宋" w:eastAsia="仿宋_GB2312"/>
                <w:color w:val="auto"/>
                <w:sz w:val="24"/>
                <w:highlight w:val="none"/>
              </w:rPr>
            </w:pPr>
          </w:p>
        </w:tc>
      </w:tr>
      <w:tr w14:paraId="03108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tcBorders>
              <w:top w:val="single" w:color="auto" w:sz="4" w:space="0"/>
              <w:left w:val="single" w:color="auto" w:sz="4" w:space="0"/>
              <w:bottom w:val="single" w:color="auto" w:sz="4" w:space="0"/>
              <w:right w:val="single" w:color="auto" w:sz="4" w:space="0"/>
            </w:tcBorders>
            <w:vAlign w:val="center"/>
          </w:tcPr>
          <w:p w14:paraId="6FCEB05C">
            <w:pPr>
              <w:adjustRightInd w:val="0"/>
              <w:snapToGrid w:val="0"/>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8</w:t>
            </w:r>
          </w:p>
        </w:tc>
        <w:tc>
          <w:tcPr>
            <w:tcW w:w="4131" w:type="dxa"/>
            <w:tcBorders>
              <w:top w:val="single" w:color="auto" w:sz="4" w:space="0"/>
              <w:left w:val="single" w:color="auto" w:sz="4" w:space="0"/>
              <w:bottom w:val="single" w:color="auto" w:sz="4" w:space="0"/>
              <w:right w:val="single" w:color="auto" w:sz="4" w:space="0"/>
            </w:tcBorders>
            <w:vAlign w:val="center"/>
          </w:tcPr>
          <w:p w14:paraId="00B5072D">
            <w:pPr>
              <w:adjustRightInd w:val="0"/>
              <w:snapToGrid w:val="0"/>
              <w:ind w:left="1" w:hanging="1"/>
              <w:rPr>
                <w:rFonts w:ascii="仿宋_GB2312" w:hAnsi="仿宋" w:eastAsia="仿宋_GB2312"/>
                <w:color w:val="auto"/>
                <w:sz w:val="24"/>
                <w:highlight w:val="none"/>
              </w:rPr>
            </w:pPr>
            <w:r>
              <w:rPr>
                <w:rFonts w:hint="eastAsia" w:ascii="仿宋_GB2312" w:hAnsi="仿宋" w:eastAsia="仿宋_GB2312"/>
                <w:color w:val="auto"/>
                <w:sz w:val="24"/>
                <w:highlight w:val="none"/>
              </w:rPr>
              <w:t>其他</w:t>
            </w:r>
          </w:p>
        </w:tc>
        <w:tc>
          <w:tcPr>
            <w:tcW w:w="2228" w:type="dxa"/>
            <w:tcBorders>
              <w:top w:val="single" w:color="auto" w:sz="4" w:space="0"/>
              <w:left w:val="single" w:color="auto" w:sz="4" w:space="0"/>
              <w:bottom w:val="single" w:color="auto" w:sz="4" w:space="0"/>
              <w:right w:val="single" w:color="auto" w:sz="4" w:space="0"/>
            </w:tcBorders>
            <w:vAlign w:val="center"/>
          </w:tcPr>
          <w:p w14:paraId="3CFD30DA">
            <w:pPr>
              <w:adjustRightInd w:val="0"/>
              <w:snapToGrid w:val="0"/>
              <w:ind w:left="-52" w:leftChars="-25" w:right="-16" w:rightChars="-8"/>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采购单位未提供需求而投标人认为需说明及补充的内容在此填列</w:t>
            </w:r>
          </w:p>
        </w:tc>
        <w:tc>
          <w:tcPr>
            <w:tcW w:w="804" w:type="dxa"/>
            <w:tcBorders>
              <w:top w:val="single" w:color="auto" w:sz="4" w:space="0"/>
              <w:left w:val="single" w:color="auto" w:sz="4" w:space="0"/>
              <w:bottom w:val="single" w:color="auto" w:sz="4" w:space="0"/>
              <w:right w:val="single" w:color="auto" w:sz="4" w:space="0"/>
            </w:tcBorders>
            <w:vAlign w:val="center"/>
          </w:tcPr>
          <w:p w14:paraId="3B528A1A">
            <w:pPr>
              <w:adjustRightInd w:val="0"/>
              <w:snapToGrid w:val="0"/>
              <w:ind w:right="105" w:rightChars="50"/>
              <w:jc w:val="center"/>
              <w:rPr>
                <w:rFonts w:ascii="仿宋_GB2312" w:hAnsi="仿宋" w:eastAsia="仿宋_GB2312"/>
                <w:color w:val="auto"/>
                <w:sz w:val="24"/>
                <w:highlight w:val="none"/>
              </w:rPr>
            </w:pPr>
          </w:p>
        </w:tc>
        <w:tc>
          <w:tcPr>
            <w:tcW w:w="790" w:type="dxa"/>
            <w:tcBorders>
              <w:top w:val="single" w:color="auto" w:sz="4" w:space="0"/>
              <w:left w:val="single" w:color="auto" w:sz="4" w:space="0"/>
              <w:bottom w:val="single" w:color="auto" w:sz="4" w:space="0"/>
              <w:right w:val="single" w:color="auto" w:sz="4" w:space="0"/>
            </w:tcBorders>
            <w:vAlign w:val="center"/>
          </w:tcPr>
          <w:p w14:paraId="71C54999">
            <w:pPr>
              <w:adjustRightInd w:val="0"/>
              <w:snapToGrid w:val="0"/>
              <w:ind w:right="105" w:rightChars="50"/>
              <w:jc w:val="center"/>
              <w:rPr>
                <w:rFonts w:ascii="仿宋_GB2312" w:hAnsi="仿宋" w:eastAsia="仿宋_GB2312"/>
                <w:color w:val="auto"/>
                <w:sz w:val="24"/>
                <w:highlight w:val="none"/>
              </w:rPr>
            </w:pPr>
          </w:p>
        </w:tc>
      </w:tr>
    </w:tbl>
    <w:p w14:paraId="6917091C">
      <w:pPr>
        <w:adjustRightInd w:val="0"/>
        <w:snapToGrid w:val="0"/>
        <w:spacing w:line="360" w:lineRule="auto"/>
        <w:ind w:right="105" w:rightChars="50"/>
        <w:jc w:val="left"/>
        <w:rPr>
          <w:rFonts w:ascii="仿宋_GB2312" w:hAnsi="仿宋" w:eastAsia="仿宋_GB2312" w:cs="仿宋_GB2312"/>
          <w:color w:val="auto"/>
          <w:sz w:val="24"/>
          <w:szCs w:val="21"/>
          <w:highlight w:val="none"/>
        </w:rPr>
      </w:pPr>
      <w:r>
        <w:rPr>
          <w:rFonts w:hint="eastAsia" w:ascii="仿宋_GB2312" w:hAnsi="仿宋" w:eastAsia="仿宋_GB2312" w:cs="仿宋_GB2312"/>
          <w:b/>
          <w:color w:val="auto"/>
          <w:sz w:val="24"/>
          <w:szCs w:val="21"/>
          <w:highlight w:val="none"/>
        </w:rPr>
        <w:t>填表要求：</w:t>
      </w:r>
    </w:p>
    <w:p w14:paraId="289735B1">
      <w:pPr>
        <w:adjustRightInd w:val="0"/>
        <w:snapToGrid w:val="0"/>
        <w:spacing w:line="360" w:lineRule="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1.“投标文件响应内容”一栏由投标人按照招标文件要求填写，进行响应。</w:t>
      </w:r>
    </w:p>
    <w:p w14:paraId="0CB0646E">
      <w:pPr>
        <w:adjustRightInd w:val="0"/>
        <w:snapToGrid w:val="0"/>
        <w:spacing w:line="360" w:lineRule="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2.“偏离程度”一栏根据“投标文件响应内容”与招标文件逐项对照的结果填写。偏离必须用 “正偏离、负偏离或无偏离”三个名称中的一种进行标注。</w:t>
      </w:r>
    </w:p>
    <w:p w14:paraId="14216F60">
      <w:pPr>
        <w:adjustRightInd w:val="0"/>
        <w:snapToGrid w:val="0"/>
        <w:spacing w:line="360" w:lineRule="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3.“偏离说明”一栏由投标人对偏离的情况做详细说明。</w:t>
      </w:r>
    </w:p>
    <w:p w14:paraId="1BBCC936">
      <w:pPr>
        <w:snapToGrid w:val="0"/>
        <w:spacing w:line="480" w:lineRule="auto"/>
        <w:rPr>
          <w:rFonts w:hint="eastAsia" w:ascii="仿宋_GB2312" w:hAnsi="仿宋" w:eastAsia="仿宋_GB2312" w:cs="仿宋_GB2312"/>
          <w:color w:val="auto"/>
          <w:sz w:val="24"/>
          <w:highlight w:val="none"/>
        </w:rPr>
      </w:pPr>
    </w:p>
    <w:p w14:paraId="5253796D">
      <w:pPr>
        <w:snapToGrid w:val="0"/>
        <w:spacing w:line="480" w:lineRule="auto"/>
        <w:rPr>
          <w:rFonts w:hint="eastAsia" w:ascii="仿宋_GB2312" w:hAnsi="仿宋" w:eastAsia="仿宋_GB2312" w:cs="仿宋_GB2312"/>
          <w:color w:val="auto"/>
          <w:sz w:val="24"/>
          <w:highlight w:val="none"/>
        </w:rPr>
      </w:pPr>
    </w:p>
    <w:p w14:paraId="6FD52C6D">
      <w:pPr>
        <w:snapToGrid w:val="0"/>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投标人名称（加盖单位公章）：</w:t>
      </w:r>
      <w:r>
        <w:rPr>
          <w:rFonts w:hint="eastAsia" w:ascii="仿宋_GB2312" w:hAnsi="仿宋" w:eastAsia="仿宋_GB2312" w:cs="仿宋_GB2312"/>
          <w:color w:val="auto"/>
          <w:sz w:val="24"/>
          <w:highlight w:val="none"/>
          <w:u w:val="single"/>
        </w:rPr>
        <w:t xml:space="preserve">           </w:t>
      </w:r>
    </w:p>
    <w:p w14:paraId="24137E11">
      <w:pPr>
        <w:snapToGrid w:val="0"/>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法定代表人（或</w:t>
      </w:r>
      <w:r>
        <w:rPr>
          <w:rFonts w:hint="eastAsia" w:ascii="仿宋_GB2312" w:hAnsi="仿宋" w:eastAsia="仿宋_GB2312" w:cs="仿宋_GB2312"/>
          <w:color w:val="auto"/>
          <w:sz w:val="24"/>
          <w:szCs w:val="21"/>
          <w:highlight w:val="none"/>
        </w:rPr>
        <w:t>非法人组织负责人）或</w:t>
      </w:r>
      <w:r>
        <w:rPr>
          <w:rFonts w:hint="eastAsia" w:ascii="仿宋_GB2312" w:hAnsi="仿宋" w:eastAsia="仿宋_GB2312" w:cs="仿宋_GB2312"/>
          <w:color w:val="auto"/>
          <w:sz w:val="24"/>
          <w:highlight w:val="none"/>
        </w:rPr>
        <w:t>其</w:t>
      </w:r>
      <w:r>
        <w:rPr>
          <w:rFonts w:hint="eastAsia" w:ascii="仿宋_GB2312" w:hAnsi="仿宋" w:eastAsia="仿宋_GB2312" w:cs="仿宋_GB2312"/>
          <w:color w:val="auto"/>
          <w:sz w:val="24"/>
          <w:szCs w:val="21"/>
          <w:highlight w:val="none"/>
        </w:rPr>
        <w:t>授权</w:t>
      </w:r>
      <w:r>
        <w:rPr>
          <w:rFonts w:hint="eastAsia" w:ascii="仿宋_GB2312" w:hAnsi="仿宋" w:eastAsia="仿宋_GB2312" w:cs="仿宋_GB2312"/>
          <w:color w:val="auto"/>
          <w:sz w:val="24"/>
          <w:highlight w:val="none"/>
        </w:rPr>
        <w:t>委托</w:t>
      </w:r>
      <w:r>
        <w:rPr>
          <w:rFonts w:hint="eastAsia" w:ascii="仿宋_GB2312" w:hAnsi="仿宋" w:eastAsia="仿宋_GB2312" w:cs="仿宋_GB2312"/>
          <w:color w:val="auto"/>
          <w:sz w:val="24"/>
          <w:szCs w:val="21"/>
          <w:highlight w:val="none"/>
        </w:rPr>
        <w:t>人</w:t>
      </w:r>
      <w:r>
        <w:rPr>
          <w:rFonts w:hint="eastAsia" w:ascii="仿宋_GB2312" w:hAnsi="仿宋" w:eastAsia="仿宋_GB2312" w:cs="仿宋_GB2312"/>
          <w:color w:val="auto"/>
          <w:sz w:val="24"/>
          <w:highlight w:val="none"/>
        </w:rPr>
        <w:t>(签字或盖章)：</w:t>
      </w:r>
      <w:r>
        <w:rPr>
          <w:rFonts w:hint="eastAsia" w:ascii="仿宋_GB2312" w:hAnsi="仿宋" w:eastAsia="仿宋_GB2312" w:cs="仿宋_GB2312"/>
          <w:color w:val="auto"/>
          <w:sz w:val="24"/>
          <w:highlight w:val="none"/>
          <w:u w:val="single"/>
        </w:rPr>
        <w:t xml:space="preserve">        </w:t>
      </w:r>
    </w:p>
    <w:p w14:paraId="2F60DE11">
      <w:pPr>
        <w:snapToGrid w:val="0"/>
        <w:spacing w:line="480" w:lineRule="auto"/>
        <w:rPr>
          <w:rFonts w:ascii="仿宋_GB2312" w:hAnsi="仿宋" w:eastAsia="仿宋_GB2312" w:cs="仿宋_GB2312"/>
          <w:color w:val="auto"/>
          <w:sz w:val="24"/>
          <w:highlight w:val="none"/>
          <w:u w:val="single"/>
        </w:rPr>
      </w:pPr>
      <w:r>
        <w:rPr>
          <w:rFonts w:hint="eastAsia" w:ascii="仿宋_GB2312" w:hAnsi="仿宋" w:eastAsia="仿宋_GB2312" w:cs="仿宋_GB2312"/>
          <w:color w:val="auto"/>
          <w:sz w:val="24"/>
          <w:highlight w:val="none"/>
        </w:rPr>
        <w:t>日      期：</w:t>
      </w:r>
      <w:r>
        <w:rPr>
          <w:rFonts w:hint="eastAsia" w:ascii="仿宋_GB2312" w:hAnsi="仿宋" w:eastAsia="仿宋_GB2312" w:cs="仿宋_GB2312"/>
          <w:color w:val="auto"/>
          <w:sz w:val="24"/>
          <w:highlight w:val="none"/>
          <w:u w:val="single"/>
        </w:rPr>
        <w:t xml:space="preserve">              </w:t>
      </w:r>
    </w:p>
    <w:p w14:paraId="5145D894">
      <w:pPr>
        <w:pStyle w:val="3"/>
        <w:adjustRightInd w:val="0"/>
        <w:snapToGrid w:val="0"/>
        <w:spacing w:before="0" w:after="0" w:line="240" w:lineRule="auto"/>
        <w:jc w:val="left"/>
        <w:rPr>
          <w:rFonts w:ascii="仿宋_GB2312" w:hAnsi="仿宋" w:eastAsia="仿宋_GB2312" w:cs="仿宋_GB2312"/>
          <w:color w:val="auto"/>
          <w:szCs w:val="28"/>
          <w:highlight w:val="none"/>
        </w:rPr>
        <w:sectPr>
          <w:headerReference r:id="rId8" w:type="default"/>
          <w:pgSz w:w="11906" w:h="16838"/>
          <w:pgMar w:top="1468" w:right="1803" w:bottom="1418" w:left="1803" w:header="851" w:footer="1024" w:gutter="0"/>
          <w:cols w:space="720" w:num="1"/>
          <w:docGrid w:type="linesAndChars" w:linePitch="319" w:charSpace="0"/>
        </w:sectPr>
      </w:pPr>
    </w:p>
    <w:p w14:paraId="2578328D">
      <w:pPr>
        <w:pStyle w:val="3"/>
        <w:adjustRightInd w:val="0"/>
        <w:snapToGrid w:val="0"/>
        <w:spacing w:before="0" w:after="0" w:line="240" w:lineRule="auto"/>
        <w:jc w:val="left"/>
        <w:rPr>
          <w:rFonts w:ascii="仿宋_GB2312" w:hAnsi="仿宋" w:eastAsia="仿宋_GB2312" w:cs="仿宋_GB2312"/>
          <w:color w:val="auto"/>
          <w:szCs w:val="28"/>
          <w:highlight w:val="none"/>
        </w:rPr>
      </w:pPr>
      <w:r>
        <w:rPr>
          <w:rFonts w:hint="eastAsia" w:ascii="仿宋_GB2312" w:hAnsi="仿宋" w:eastAsia="仿宋_GB2312" w:cs="仿宋_GB2312"/>
          <w:color w:val="auto"/>
          <w:szCs w:val="28"/>
          <w:highlight w:val="none"/>
        </w:rPr>
        <w:t>格式15</w:t>
      </w:r>
    </w:p>
    <w:p w14:paraId="41C1C0F7">
      <w:pPr>
        <w:spacing w:before="159" w:beforeLines="50" w:after="159" w:afterLines="50" w:line="360" w:lineRule="auto"/>
        <w:ind w:right="-21" w:rightChars="-10"/>
        <w:jc w:val="center"/>
        <w:rPr>
          <w:rFonts w:ascii="方正小标宋简体" w:hAnsi="仿宋_GB2312" w:eastAsia="方正小标宋简体" w:cs="仿宋_GB2312"/>
          <w:color w:val="auto"/>
          <w:sz w:val="32"/>
          <w:szCs w:val="32"/>
          <w:highlight w:val="none"/>
        </w:rPr>
      </w:pPr>
      <w:bookmarkStart w:id="123" w:name="_Toc9410_WPSOffice_Level2"/>
      <w:bookmarkStart w:id="124" w:name="_Toc20929_WPSOffice_Level2"/>
      <w:r>
        <w:rPr>
          <w:rFonts w:hint="eastAsia" w:ascii="方正小标宋简体" w:hAnsi="仿宋_GB2312" w:eastAsia="方正小标宋简体" w:cs="仿宋_GB2312"/>
          <w:color w:val="auto"/>
          <w:sz w:val="32"/>
          <w:szCs w:val="32"/>
          <w:highlight w:val="none"/>
        </w:rPr>
        <w:t>投标人关联单位的说明</w:t>
      </w:r>
      <w:bookmarkEnd w:id="123"/>
      <w:bookmarkEnd w:id="124"/>
    </w:p>
    <w:p w14:paraId="1389F307">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说明：投标人应当如实披露与本单位存在下列关联关系的单位名称：</w:t>
      </w:r>
    </w:p>
    <w:p w14:paraId="4AC067CB">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highlight w:val="none"/>
        </w:rPr>
      </w:pPr>
      <w:bookmarkStart w:id="125" w:name="_Toc31070_WPSOffice_Level2"/>
      <w:bookmarkStart w:id="126" w:name="_Toc2074_WPSOffice_Level2"/>
      <w:r>
        <w:rPr>
          <w:rFonts w:hint="eastAsia" w:ascii="仿宋_GB2312" w:hAnsi="仿宋" w:eastAsia="仿宋_GB2312" w:cs="仿宋_GB2312"/>
          <w:color w:val="auto"/>
          <w:sz w:val="24"/>
          <w:szCs w:val="21"/>
          <w:highlight w:val="none"/>
        </w:rPr>
        <w:t>（1）与投标人单位法定代表人（或非法人组织负责人）为同一人的其他单位；</w:t>
      </w:r>
      <w:bookmarkEnd w:id="125"/>
      <w:bookmarkEnd w:id="126"/>
    </w:p>
    <w:p w14:paraId="03E1E483">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highlight w:val="none"/>
        </w:rPr>
      </w:pPr>
      <w:bookmarkStart w:id="127" w:name="_Toc27053_WPSOffice_Level2"/>
      <w:bookmarkStart w:id="128" w:name="_Toc889_WPSOffice_Level2"/>
      <w:r>
        <w:rPr>
          <w:rFonts w:hint="eastAsia" w:ascii="仿宋_GB2312" w:hAnsi="仿宋" w:eastAsia="仿宋_GB2312" w:cs="仿宋_GB2312"/>
          <w:color w:val="auto"/>
          <w:sz w:val="24"/>
          <w:szCs w:val="21"/>
          <w:highlight w:val="none"/>
        </w:rPr>
        <w:t>（2）与投标人存在直接控股、管理关系的其他单位。</w:t>
      </w:r>
      <w:bookmarkEnd w:id="127"/>
      <w:bookmarkEnd w:id="128"/>
    </w:p>
    <w:p w14:paraId="63AFE510">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highlight w:val="none"/>
        </w:rPr>
      </w:pPr>
    </w:p>
    <w:p w14:paraId="7C734F53">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注：若无此情形，写“无”即可。</w:t>
      </w:r>
    </w:p>
    <w:p w14:paraId="1C1DD056">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highlight w:val="none"/>
        </w:rPr>
      </w:pPr>
    </w:p>
    <w:p w14:paraId="194B96E5">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highlight w:val="none"/>
        </w:rPr>
      </w:pPr>
    </w:p>
    <w:p w14:paraId="24ABFB03">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highlight w:val="none"/>
        </w:rPr>
      </w:pPr>
    </w:p>
    <w:p w14:paraId="188A6234">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highlight w:val="none"/>
        </w:rPr>
      </w:pPr>
    </w:p>
    <w:p w14:paraId="40193FC3">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highlight w:val="none"/>
        </w:rPr>
      </w:pPr>
    </w:p>
    <w:p w14:paraId="1E391714">
      <w:pPr>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投标人名称（加盖单位公章）：</w:t>
      </w:r>
      <w:r>
        <w:rPr>
          <w:rFonts w:hint="eastAsia" w:ascii="仿宋_GB2312" w:hAnsi="仿宋" w:eastAsia="仿宋_GB2312" w:cs="仿宋_GB2312"/>
          <w:color w:val="auto"/>
          <w:sz w:val="24"/>
          <w:highlight w:val="none"/>
          <w:u w:val="single"/>
        </w:rPr>
        <w:t xml:space="preserve">           </w:t>
      </w:r>
    </w:p>
    <w:p w14:paraId="026542DD">
      <w:pPr>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法定代表人（或</w:t>
      </w:r>
      <w:r>
        <w:rPr>
          <w:rFonts w:hint="eastAsia" w:ascii="仿宋_GB2312" w:hAnsi="仿宋" w:eastAsia="仿宋_GB2312" w:cs="仿宋_GB2312"/>
          <w:color w:val="auto"/>
          <w:sz w:val="24"/>
          <w:szCs w:val="21"/>
          <w:highlight w:val="none"/>
        </w:rPr>
        <w:t>非法人组织负责人）或</w:t>
      </w:r>
      <w:r>
        <w:rPr>
          <w:rFonts w:hint="eastAsia" w:ascii="仿宋_GB2312" w:hAnsi="仿宋" w:eastAsia="仿宋_GB2312" w:cs="仿宋_GB2312"/>
          <w:color w:val="auto"/>
          <w:sz w:val="24"/>
          <w:highlight w:val="none"/>
        </w:rPr>
        <w:t>其</w:t>
      </w:r>
      <w:r>
        <w:rPr>
          <w:rFonts w:hint="eastAsia" w:ascii="仿宋_GB2312" w:hAnsi="仿宋" w:eastAsia="仿宋_GB2312" w:cs="仿宋_GB2312"/>
          <w:color w:val="auto"/>
          <w:sz w:val="24"/>
          <w:szCs w:val="21"/>
          <w:highlight w:val="none"/>
        </w:rPr>
        <w:t>授权</w:t>
      </w:r>
      <w:r>
        <w:rPr>
          <w:rFonts w:hint="eastAsia" w:ascii="仿宋_GB2312" w:hAnsi="仿宋" w:eastAsia="仿宋_GB2312" w:cs="仿宋_GB2312"/>
          <w:color w:val="auto"/>
          <w:sz w:val="24"/>
          <w:highlight w:val="none"/>
        </w:rPr>
        <w:t>委托</w:t>
      </w:r>
      <w:r>
        <w:rPr>
          <w:rFonts w:hint="eastAsia" w:ascii="仿宋_GB2312" w:hAnsi="仿宋" w:eastAsia="仿宋_GB2312" w:cs="仿宋_GB2312"/>
          <w:color w:val="auto"/>
          <w:sz w:val="24"/>
          <w:szCs w:val="21"/>
          <w:highlight w:val="none"/>
        </w:rPr>
        <w:t>人</w:t>
      </w:r>
      <w:r>
        <w:rPr>
          <w:rFonts w:hint="eastAsia" w:ascii="仿宋_GB2312" w:hAnsi="仿宋" w:eastAsia="仿宋_GB2312" w:cs="仿宋_GB2312"/>
          <w:color w:val="auto"/>
          <w:sz w:val="24"/>
          <w:highlight w:val="none"/>
        </w:rPr>
        <w:t>(签字或盖章)：</w:t>
      </w:r>
      <w:r>
        <w:rPr>
          <w:rFonts w:hint="eastAsia" w:ascii="仿宋_GB2312" w:hAnsi="仿宋" w:eastAsia="仿宋_GB2312" w:cs="仿宋_GB2312"/>
          <w:color w:val="auto"/>
          <w:sz w:val="24"/>
          <w:highlight w:val="none"/>
          <w:u w:val="single"/>
        </w:rPr>
        <w:t xml:space="preserve">        </w:t>
      </w:r>
    </w:p>
    <w:p w14:paraId="2DF293C2">
      <w:pPr>
        <w:spacing w:line="480" w:lineRule="auto"/>
        <w:rPr>
          <w:rFonts w:ascii="仿宋_GB2312" w:hAnsi="仿宋" w:eastAsia="仿宋_GB2312" w:cs="仿宋_GB2312"/>
          <w:color w:val="auto"/>
          <w:sz w:val="24"/>
          <w:highlight w:val="none"/>
          <w:u w:val="single"/>
        </w:rPr>
        <w:sectPr>
          <w:pgSz w:w="11906" w:h="16838"/>
          <w:pgMar w:top="1468" w:right="1803" w:bottom="1418" w:left="1803" w:header="851" w:footer="1024" w:gutter="0"/>
          <w:cols w:space="720" w:num="1"/>
          <w:docGrid w:type="linesAndChars" w:linePitch="319" w:charSpace="0"/>
        </w:sectPr>
      </w:pPr>
      <w:r>
        <w:rPr>
          <w:rFonts w:hint="eastAsia" w:ascii="仿宋_GB2312" w:hAnsi="仿宋" w:eastAsia="仿宋_GB2312" w:cs="仿宋_GB2312"/>
          <w:color w:val="auto"/>
          <w:sz w:val="24"/>
          <w:highlight w:val="none"/>
        </w:rPr>
        <w:t>日      期：</w:t>
      </w:r>
      <w:r>
        <w:rPr>
          <w:rFonts w:hint="eastAsia" w:ascii="仿宋_GB2312" w:hAnsi="仿宋" w:eastAsia="仿宋_GB2312" w:cs="仿宋_GB2312"/>
          <w:color w:val="auto"/>
          <w:sz w:val="24"/>
          <w:highlight w:val="none"/>
          <w:u w:val="single"/>
        </w:rPr>
        <w:t xml:space="preserve">              </w:t>
      </w:r>
    </w:p>
    <w:p w14:paraId="76AFB779">
      <w:pPr>
        <w:pStyle w:val="3"/>
        <w:adjustRightInd w:val="0"/>
        <w:snapToGrid w:val="0"/>
        <w:spacing w:before="0" w:after="0" w:line="240" w:lineRule="auto"/>
        <w:jc w:val="left"/>
        <w:rPr>
          <w:rFonts w:ascii="仿宋_GB2312" w:hAnsi="仿宋_GB2312" w:eastAsia="仿宋_GB2312" w:cs="仿宋_GB2312"/>
          <w:color w:val="auto"/>
          <w:szCs w:val="28"/>
          <w:highlight w:val="none"/>
        </w:rPr>
      </w:pPr>
      <w:r>
        <w:rPr>
          <w:rFonts w:hint="eastAsia" w:ascii="仿宋_GB2312" w:hAnsi="仿宋_GB2312" w:eastAsia="仿宋_GB2312" w:cs="仿宋_GB2312"/>
          <w:color w:val="auto"/>
          <w:szCs w:val="28"/>
          <w:highlight w:val="none"/>
        </w:rPr>
        <w:t>格式16</w:t>
      </w:r>
    </w:p>
    <w:p w14:paraId="2C550BF1">
      <w:pPr>
        <w:spacing w:before="319" w:beforeLines="100" w:after="319" w:afterLines="100" w:line="360" w:lineRule="auto"/>
        <w:ind w:right="-21" w:rightChars="-10"/>
        <w:jc w:val="center"/>
        <w:rPr>
          <w:rFonts w:ascii="仿宋_GB2312" w:hAnsi="仿宋_GB2312" w:eastAsia="仿宋_GB2312" w:cs="仿宋_GB2312"/>
          <w:color w:val="auto"/>
          <w:sz w:val="24"/>
          <w:highlight w:val="none"/>
        </w:rPr>
      </w:pPr>
      <w:r>
        <w:rPr>
          <w:rFonts w:hint="eastAsia" w:ascii="方正小标宋简体" w:hAnsi="仿宋" w:eastAsia="方正小标宋简体" w:cs="仿宋_GB2312"/>
          <w:color w:val="auto"/>
          <w:sz w:val="32"/>
          <w:szCs w:val="32"/>
          <w:highlight w:val="none"/>
        </w:rPr>
        <w:t>文件一致性承诺函</w:t>
      </w:r>
    </w:p>
    <w:p w14:paraId="05F505CD">
      <w:pPr>
        <w:spacing w:line="360" w:lineRule="auto"/>
        <w:ind w:firstLine="480" w:firstLineChars="20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我单位承诺：现场递交的加密备份投标文件与电子评审系统中上传的投标文件内容、格式一致，以备系统突发故障使用。</w:t>
      </w:r>
    </w:p>
    <w:p w14:paraId="72883C90">
      <w:pPr>
        <w:spacing w:line="360" w:lineRule="auto"/>
        <w:ind w:firstLine="480" w:firstLineChars="20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如启用备份文件，我公司将配合采购人、采购组织机构共同对使用情况进行签字确认，并同意采购人、采购组织机构将存储的备份文件与采购档案一并存档。</w:t>
      </w:r>
    </w:p>
    <w:p w14:paraId="1AA637C7">
      <w:pPr>
        <w:spacing w:line="360" w:lineRule="auto"/>
        <w:ind w:firstLine="420" w:firstLineChars="200"/>
        <w:rPr>
          <w:rFonts w:ascii="仿宋_GB2312" w:hAnsi="仿宋_GB2312" w:eastAsia="仿宋_GB2312" w:cs="仿宋_GB2312"/>
          <w:color w:val="auto"/>
          <w:szCs w:val="21"/>
          <w:highlight w:val="none"/>
        </w:rPr>
      </w:pPr>
    </w:p>
    <w:p w14:paraId="41D2C8A2">
      <w:pPr>
        <w:pStyle w:val="70"/>
        <w:rPr>
          <w:rFonts w:ascii="仿宋_GB2312" w:hAnsi="仿宋_GB2312" w:eastAsia="仿宋_GB2312" w:cs="仿宋_GB2312"/>
          <w:color w:val="auto"/>
          <w:sz w:val="21"/>
          <w:szCs w:val="21"/>
          <w:highlight w:val="none"/>
        </w:rPr>
      </w:pPr>
    </w:p>
    <w:p w14:paraId="620A411A">
      <w:pPr>
        <w:spacing w:line="360" w:lineRule="auto"/>
        <w:ind w:firstLine="480" w:firstLineChars="20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特此说明。</w:t>
      </w:r>
    </w:p>
    <w:p w14:paraId="3334BDEA">
      <w:pPr>
        <w:tabs>
          <w:tab w:val="right" w:pos="8959"/>
        </w:tabs>
        <w:spacing w:line="288" w:lineRule="auto"/>
        <w:rPr>
          <w:rFonts w:ascii="仿宋_GB2312" w:hAnsi="仿宋_GB2312" w:eastAsia="仿宋_GB2312" w:cs="仿宋_GB2312"/>
          <w:b/>
          <w:color w:val="auto"/>
          <w:szCs w:val="21"/>
          <w:highlight w:val="none"/>
        </w:rPr>
      </w:pPr>
    </w:p>
    <w:p w14:paraId="1DF24E8D">
      <w:pPr>
        <w:spacing w:line="288" w:lineRule="auto"/>
        <w:ind w:firstLine="411" w:firstLineChars="196"/>
        <w:rPr>
          <w:rFonts w:ascii="仿宋_GB2312" w:hAnsi="仿宋_GB2312" w:eastAsia="仿宋_GB2312" w:cs="仿宋_GB2312"/>
          <w:b/>
          <w:color w:val="auto"/>
          <w:szCs w:val="21"/>
          <w:highlight w:val="none"/>
        </w:rPr>
      </w:pPr>
    </w:p>
    <w:p w14:paraId="0E5E03F5">
      <w:pPr>
        <w:tabs>
          <w:tab w:val="right" w:pos="8959"/>
        </w:tabs>
        <w:spacing w:line="288" w:lineRule="auto"/>
        <w:rPr>
          <w:rFonts w:ascii="仿宋_GB2312" w:hAnsi="仿宋_GB2312" w:eastAsia="仿宋_GB2312" w:cs="仿宋_GB2312"/>
          <w:b/>
          <w:color w:val="auto"/>
          <w:sz w:val="24"/>
          <w:highlight w:val="none"/>
        </w:rPr>
      </w:pPr>
    </w:p>
    <w:p w14:paraId="7BC1F1B7">
      <w:pPr>
        <w:spacing w:line="288" w:lineRule="auto"/>
        <w:ind w:firstLine="470" w:firstLineChars="196"/>
        <w:rPr>
          <w:rFonts w:ascii="仿宋_GB2312" w:hAnsi="仿宋_GB2312" w:eastAsia="仿宋_GB2312" w:cs="仿宋_GB2312"/>
          <w:b/>
          <w:color w:val="auto"/>
          <w:sz w:val="24"/>
          <w:highlight w:val="none"/>
        </w:rPr>
      </w:pPr>
    </w:p>
    <w:p w14:paraId="476297CF">
      <w:pPr>
        <w:spacing w:line="360" w:lineRule="auto"/>
        <w:ind w:firstLine="480" w:firstLineChars="200"/>
        <w:rPr>
          <w:rFonts w:ascii="仿宋_GB2312" w:hAnsi="仿宋_GB2312" w:eastAsia="仿宋_GB2312" w:cs="仿宋_GB2312"/>
          <w:color w:val="auto"/>
          <w:sz w:val="24"/>
          <w:highlight w:val="none"/>
        </w:rPr>
      </w:pPr>
    </w:p>
    <w:p w14:paraId="0C975043">
      <w:pPr>
        <w:spacing w:line="360" w:lineRule="auto"/>
        <w:ind w:firstLine="480" w:firstLineChars="200"/>
        <w:rPr>
          <w:rFonts w:ascii="仿宋_GB2312" w:hAnsi="仿宋_GB2312" w:eastAsia="仿宋_GB2312" w:cs="仿宋_GB2312"/>
          <w:color w:val="auto"/>
          <w:sz w:val="24"/>
          <w:highlight w:val="none"/>
        </w:rPr>
      </w:pPr>
    </w:p>
    <w:p w14:paraId="11607700">
      <w:pPr>
        <w:snapToGrid w:val="0"/>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投标人名称（加盖单位公章）：</w:t>
      </w:r>
      <w:r>
        <w:rPr>
          <w:rFonts w:hint="eastAsia" w:ascii="仿宋_GB2312" w:hAnsi="仿宋" w:eastAsia="仿宋_GB2312" w:cs="仿宋_GB2312"/>
          <w:color w:val="auto"/>
          <w:sz w:val="24"/>
          <w:highlight w:val="none"/>
          <w:u w:val="single"/>
        </w:rPr>
        <w:t xml:space="preserve">           </w:t>
      </w:r>
    </w:p>
    <w:p w14:paraId="5E33190A">
      <w:pPr>
        <w:snapToGrid w:val="0"/>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法定代表人（或非法人组织负责人）或其授权委托人(签字或盖章)：</w:t>
      </w:r>
      <w:r>
        <w:rPr>
          <w:rFonts w:hint="eastAsia" w:ascii="仿宋_GB2312" w:hAnsi="仿宋" w:eastAsia="仿宋_GB2312" w:cs="仿宋_GB2312"/>
          <w:color w:val="auto"/>
          <w:sz w:val="24"/>
          <w:highlight w:val="none"/>
          <w:u w:val="single"/>
        </w:rPr>
        <w:t xml:space="preserve">        </w:t>
      </w:r>
    </w:p>
    <w:p w14:paraId="4E5D78FA">
      <w:pPr>
        <w:spacing w:line="480" w:lineRule="auto"/>
        <w:rPr>
          <w:rFonts w:ascii="仿宋_GB2312" w:hAnsi="仿宋" w:eastAsia="仿宋_GB2312" w:cs="仿宋_GB2312"/>
          <w:color w:val="auto"/>
          <w:szCs w:val="28"/>
          <w:highlight w:val="none"/>
        </w:rPr>
        <w:sectPr>
          <w:pgSz w:w="11906" w:h="16838"/>
          <w:pgMar w:top="1468" w:right="1803" w:bottom="1418" w:left="1803" w:header="851" w:footer="1024" w:gutter="0"/>
          <w:cols w:space="720" w:num="1"/>
          <w:docGrid w:type="linesAndChars" w:linePitch="319" w:charSpace="0"/>
        </w:sectPr>
      </w:pPr>
      <w:r>
        <w:rPr>
          <w:rFonts w:hint="eastAsia" w:ascii="仿宋_GB2312" w:hAnsi="仿宋" w:eastAsia="仿宋_GB2312" w:cs="仿宋_GB2312"/>
          <w:color w:val="auto"/>
          <w:sz w:val="24"/>
          <w:highlight w:val="none"/>
        </w:rPr>
        <w:t xml:space="preserve">日 </w:t>
      </w:r>
      <w:r>
        <w:rPr>
          <w:rFonts w:ascii="仿宋_GB2312" w:hAnsi="仿宋" w:eastAsia="仿宋_GB2312" w:cs="仿宋_GB2312"/>
          <w:color w:val="auto"/>
          <w:sz w:val="24"/>
          <w:highlight w:val="none"/>
        </w:rPr>
        <w:t xml:space="preserve">     </w:t>
      </w:r>
      <w:r>
        <w:rPr>
          <w:rFonts w:hint="eastAsia" w:ascii="仿宋_GB2312" w:hAnsi="仿宋" w:eastAsia="仿宋_GB2312" w:cs="仿宋_GB2312"/>
          <w:color w:val="auto"/>
          <w:sz w:val="24"/>
          <w:highlight w:val="none"/>
        </w:rPr>
        <w:t>期：</w:t>
      </w:r>
      <w:r>
        <w:rPr>
          <w:rFonts w:hint="eastAsia" w:ascii="仿宋_GB2312" w:hAnsi="仿宋" w:eastAsia="仿宋_GB2312" w:cs="仿宋_GB2312"/>
          <w:color w:val="auto"/>
          <w:sz w:val="24"/>
          <w:highlight w:val="none"/>
          <w:u w:val="single"/>
        </w:rPr>
        <w:t xml:space="preserve">             </w:t>
      </w:r>
    </w:p>
    <w:p w14:paraId="3511A233">
      <w:pPr>
        <w:pStyle w:val="3"/>
        <w:adjustRightInd w:val="0"/>
        <w:snapToGrid w:val="0"/>
        <w:spacing w:before="0" w:after="0" w:line="240" w:lineRule="auto"/>
        <w:jc w:val="left"/>
        <w:rPr>
          <w:rFonts w:ascii="仿宋_GB2312" w:hAnsi="仿宋" w:eastAsia="仿宋_GB2312" w:cs="仿宋_GB2312"/>
          <w:color w:val="auto"/>
          <w:szCs w:val="28"/>
          <w:highlight w:val="none"/>
        </w:rPr>
      </w:pPr>
      <w:r>
        <w:rPr>
          <w:rFonts w:hint="eastAsia" w:ascii="仿宋_GB2312" w:hAnsi="仿宋" w:eastAsia="仿宋_GB2312" w:cs="仿宋_GB2312"/>
          <w:color w:val="auto"/>
          <w:szCs w:val="28"/>
          <w:highlight w:val="none"/>
        </w:rPr>
        <w:t>格式1</w:t>
      </w:r>
      <w:bookmarkStart w:id="129" w:name="_Hlk73969205"/>
      <w:bookmarkStart w:id="130" w:name="_Hlk73968874"/>
      <w:r>
        <w:rPr>
          <w:rFonts w:hint="eastAsia" w:ascii="仿宋_GB2312" w:hAnsi="仿宋" w:eastAsia="仿宋_GB2312" w:cs="仿宋_GB2312"/>
          <w:color w:val="auto"/>
          <w:szCs w:val="28"/>
          <w:highlight w:val="none"/>
        </w:rPr>
        <w:t>7</w:t>
      </w:r>
    </w:p>
    <w:p w14:paraId="299F708E">
      <w:pPr>
        <w:spacing w:before="159" w:beforeLines="50" w:after="159" w:afterLines="50" w:line="360" w:lineRule="auto"/>
        <w:ind w:right="-21" w:rightChars="-10"/>
        <w:jc w:val="center"/>
        <w:rPr>
          <w:rFonts w:ascii="方正小标宋简体" w:hAnsi="仿宋_GB2312" w:eastAsia="方正小标宋简体" w:cs="仿宋_GB2312"/>
          <w:color w:val="auto"/>
          <w:sz w:val="32"/>
          <w:szCs w:val="32"/>
          <w:highlight w:val="none"/>
        </w:rPr>
      </w:pPr>
      <w:r>
        <w:rPr>
          <w:rFonts w:hint="eastAsia" w:ascii="方正小标宋简体" w:hAnsi="仿宋_GB2312" w:eastAsia="方正小标宋简体" w:cs="仿宋_GB2312"/>
          <w:color w:val="auto"/>
          <w:sz w:val="32"/>
          <w:szCs w:val="32"/>
          <w:highlight w:val="none"/>
        </w:rPr>
        <w:t>进口产品制造厂家的授权书（本项目不适用）</w:t>
      </w:r>
    </w:p>
    <w:p w14:paraId="743235AF">
      <w:pPr>
        <w:spacing w:line="360" w:lineRule="auto"/>
        <w:rPr>
          <w:rFonts w:ascii="仿宋_GB2312" w:hAnsi="仿宋" w:eastAsia="仿宋_GB2312" w:cs="仿宋_GB2312"/>
          <w:color w:val="auto"/>
          <w:sz w:val="24"/>
          <w:szCs w:val="21"/>
          <w:highlight w:val="none"/>
          <w:u w:val="single"/>
        </w:rPr>
      </w:pPr>
      <w:r>
        <w:rPr>
          <w:rFonts w:hint="eastAsia" w:ascii="仿宋_GB2312" w:hAnsi="仿宋" w:eastAsia="仿宋_GB2312" w:cs="仿宋_GB2312"/>
          <w:color w:val="auto"/>
          <w:sz w:val="24"/>
          <w:szCs w:val="21"/>
          <w:highlight w:val="none"/>
          <w:u w:val="single"/>
        </w:rPr>
        <w:t>（采购人或采购组织机构）：</w:t>
      </w:r>
    </w:p>
    <w:p w14:paraId="145718AE">
      <w:pPr>
        <w:spacing w:line="360" w:lineRule="auto"/>
        <w:ind w:firstLine="480" w:firstLineChars="200"/>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我们</w:t>
      </w:r>
      <w:r>
        <w:rPr>
          <w:rFonts w:hint="eastAsia" w:ascii="仿宋_GB2312" w:hAnsi="仿宋" w:eastAsia="仿宋_GB2312" w:cs="仿宋_GB2312"/>
          <w:color w:val="auto"/>
          <w:sz w:val="24"/>
          <w:szCs w:val="21"/>
          <w:highlight w:val="none"/>
          <w:u w:val="single"/>
        </w:rPr>
        <w:t>（制造商名称）</w:t>
      </w:r>
      <w:r>
        <w:rPr>
          <w:rFonts w:hint="eastAsia" w:ascii="仿宋_GB2312" w:hAnsi="仿宋" w:eastAsia="仿宋_GB2312" w:cs="仿宋_GB2312"/>
          <w:color w:val="auto"/>
          <w:sz w:val="24"/>
          <w:szCs w:val="21"/>
          <w:highlight w:val="none"/>
        </w:rPr>
        <w:t>是按</w:t>
      </w:r>
      <w:r>
        <w:rPr>
          <w:rFonts w:hint="eastAsia" w:ascii="仿宋_GB2312" w:hAnsi="仿宋" w:eastAsia="仿宋_GB2312" w:cs="仿宋_GB2312"/>
          <w:color w:val="auto"/>
          <w:sz w:val="24"/>
          <w:szCs w:val="21"/>
          <w:highlight w:val="none"/>
          <w:u w:val="single"/>
        </w:rPr>
        <w:t>（国家名称）</w:t>
      </w:r>
      <w:r>
        <w:rPr>
          <w:rFonts w:hint="eastAsia" w:ascii="仿宋_GB2312" w:hAnsi="仿宋" w:eastAsia="仿宋_GB2312" w:cs="仿宋_GB2312"/>
          <w:color w:val="auto"/>
          <w:sz w:val="24"/>
          <w:szCs w:val="21"/>
          <w:highlight w:val="none"/>
        </w:rPr>
        <w:t>法律成立的一家制造商，主要营业地点设在</w:t>
      </w:r>
      <w:r>
        <w:rPr>
          <w:rFonts w:hint="eastAsia" w:ascii="仿宋_GB2312" w:hAnsi="仿宋" w:eastAsia="仿宋_GB2312" w:cs="仿宋_GB2312"/>
          <w:color w:val="auto"/>
          <w:sz w:val="24"/>
          <w:szCs w:val="21"/>
          <w:highlight w:val="none"/>
          <w:u w:val="single"/>
        </w:rPr>
        <w:t>（制造商地址）</w:t>
      </w:r>
      <w:r>
        <w:rPr>
          <w:rFonts w:hint="eastAsia" w:ascii="仿宋_GB2312" w:hAnsi="仿宋" w:eastAsia="仿宋_GB2312" w:cs="仿宋_GB2312"/>
          <w:color w:val="auto"/>
          <w:sz w:val="24"/>
          <w:szCs w:val="21"/>
          <w:highlight w:val="none"/>
        </w:rPr>
        <w:t>。兹指派按</w:t>
      </w:r>
      <w:r>
        <w:rPr>
          <w:rFonts w:hint="eastAsia" w:ascii="仿宋_GB2312" w:hAnsi="仿宋" w:eastAsia="仿宋_GB2312" w:cs="仿宋_GB2312"/>
          <w:color w:val="auto"/>
          <w:sz w:val="24"/>
          <w:szCs w:val="21"/>
          <w:highlight w:val="none"/>
          <w:u w:val="single"/>
        </w:rPr>
        <w:t>（国家名称）</w:t>
      </w:r>
      <w:r>
        <w:rPr>
          <w:rFonts w:hint="eastAsia" w:ascii="仿宋_GB2312" w:hAnsi="仿宋" w:eastAsia="仿宋_GB2312" w:cs="仿宋_GB2312"/>
          <w:color w:val="auto"/>
          <w:sz w:val="24"/>
          <w:szCs w:val="21"/>
          <w:highlight w:val="none"/>
        </w:rPr>
        <w:t>的法律正式成立的，主要营业地点设在</w:t>
      </w:r>
      <w:r>
        <w:rPr>
          <w:rFonts w:hint="eastAsia" w:ascii="仿宋_GB2312" w:hAnsi="仿宋" w:eastAsia="仿宋_GB2312" w:cs="仿宋_GB2312"/>
          <w:color w:val="auto"/>
          <w:sz w:val="24"/>
          <w:szCs w:val="21"/>
          <w:highlight w:val="none"/>
          <w:u w:val="single"/>
        </w:rPr>
        <w:t>（投标人地址）</w:t>
      </w:r>
      <w:r>
        <w:rPr>
          <w:rFonts w:hint="eastAsia" w:ascii="仿宋_GB2312" w:hAnsi="仿宋" w:eastAsia="仿宋_GB2312" w:cs="仿宋_GB2312"/>
          <w:color w:val="auto"/>
          <w:sz w:val="24"/>
          <w:szCs w:val="21"/>
          <w:highlight w:val="none"/>
        </w:rPr>
        <w:t>的</w:t>
      </w:r>
      <w:r>
        <w:rPr>
          <w:rFonts w:hint="eastAsia" w:ascii="仿宋_GB2312" w:hAnsi="仿宋" w:eastAsia="仿宋_GB2312" w:cs="仿宋_GB2312"/>
          <w:color w:val="auto"/>
          <w:sz w:val="24"/>
          <w:szCs w:val="21"/>
          <w:highlight w:val="none"/>
          <w:u w:val="single"/>
        </w:rPr>
        <w:t>（投标人名称）</w:t>
      </w:r>
      <w:r>
        <w:rPr>
          <w:rFonts w:hint="eastAsia" w:ascii="仿宋_GB2312" w:hAnsi="仿宋" w:eastAsia="仿宋_GB2312" w:cs="仿宋_GB2312"/>
          <w:color w:val="auto"/>
          <w:sz w:val="24"/>
          <w:szCs w:val="21"/>
          <w:highlight w:val="none"/>
        </w:rPr>
        <w:t>作为我方真正的合法的代理人进行下列有效的活动：</w:t>
      </w:r>
    </w:p>
    <w:p w14:paraId="45598849">
      <w:pPr>
        <w:spacing w:line="360" w:lineRule="auto"/>
        <w:ind w:firstLine="480" w:firstLineChars="200"/>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（1）代表我方办理贵方</w:t>
      </w:r>
      <w:r>
        <w:rPr>
          <w:rFonts w:hint="eastAsia" w:ascii="仿宋_GB2312" w:hAnsi="仿宋" w:eastAsia="仿宋_GB2312" w:cs="仿宋_GB2312"/>
          <w:color w:val="auto"/>
          <w:sz w:val="24"/>
          <w:szCs w:val="21"/>
          <w:highlight w:val="none"/>
          <w:u w:val="single"/>
        </w:rPr>
        <w:t>（项目编号、项目名称、包号）</w:t>
      </w:r>
      <w:r>
        <w:rPr>
          <w:rFonts w:hint="eastAsia" w:ascii="仿宋_GB2312" w:hAnsi="仿宋" w:eastAsia="仿宋_GB2312" w:cs="仿宋_GB2312"/>
          <w:color w:val="auto"/>
          <w:sz w:val="24"/>
          <w:szCs w:val="21"/>
          <w:highlight w:val="none"/>
        </w:rPr>
        <w:t>投标邀请要求提供的由我方制造的货物的有关事宜，并对我方具有约束力。</w:t>
      </w:r>
    </w:p>
    <w:p w14:paraId="5AE9B573">
      <w:pPr>
        <w:spacing w:line="360" w:lineRule="auto"/>
        <w:ind w:firstLine="480" w:firstLineChars="200"/>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（2）作为制造商，我方保证以投标合作者来约束自己，并对该投标共同和分别承担招标文件中所规定的义务。</w:t>
      </w:r>
    </w:p>
    <w:p w14:paraId="5CB31870">
      <w:pPr>
        <w:spacing w:line="360" w:lineRule="auto"/>
        <w:ind w:firstLine="480" w:firstLineChars="200"/>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（3）我方兹授予</w:t>
      </w:r>
      <w:r>
        <w:rPr>
          <w:rFonts w:hint="eastAsia" w:ascii="仿宋_GB2312" w:hAnsi="仿宋" w:eastAsia="仿宋_GB2312" w:cs="仿宋_GB2312"/>
          <w:color w:val="auto"/>
          <w:sz w:val="24"/>
          <w:szCs w:val="21"/>
          <w:highlight w:val="none"/>
          <w:u w:val="single"/>
        </w:rPr>
        <w:t xml:space="preserve"> （投标人名称） </w:t>
      </w:r>
      <w:r>
        <w:rPr>
          <w:rFonts w:hint="eastAsia" w:ascii="仿宋_GB2312" w:hAnsi="仿宋" w:eastAsia="仿宋_GB2312" w:cs="仿宋_GB2312"/>
          <w:color w:val="auto"/>
          <w:sz w:val="24"/>
          <w:szCs w:val="21"/>
          <w:highlight w:val="none"/>
        </w:rPr>
        <w:t xml:space="preserve">全权办理和履行上述我方为完成上述各点所必须的事宜，具有替换或撤销的全权。兹确认 </w:t>
      </w:r>
      <w:r>
        <w:rPr>
          <w:rFonts w:hint="eastAsia" w:ascii="仿宋_GB2312" w:hAnsi="仿宋" w:eastAsia="仿宋_GB2312" w:cs="仿宋_GB2312"/>
          <w:color w:val="auto"/>
          <w:sz w:val="24"/>
          <w:szCs w:val="21"/>
          <w:highlight w:val="none"/>
          <w:u w:val="single"/>
        </w:rPr>
        <w:t xml:space="preserve">（投标人名称） </w:t>
      </w:r>
      <w:r>
        <w:rPr>
          <w:rFonts w:hint="eastAsia" w:ascii="仿宋_GB2312" w:hAnsi="仿宋" w:eastAsia="仿宋_GB2312" w:cs="仿宋_GB2312"/>
          <w:color w:val="auto"/>
          <w:sz w:val="24"/>
          <w:szCs w:val="21"/>
          <w:highlight w:val="none"/>
        </w:rPr>
        <w:t>或其正式授权代表依此合法地办理一切事宜。</w:t>
      </w:r>
    </w:p>
    <w:p w14:paraId="1B16C33B">
      <w:pPr>
        <w:spacing w:line="360" w:lineRule="auto"/>
        <w:ind w:firstLine="480" w:firstLineChars="200"/>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（4）我方于</w:t>
      </w:r>
      <w:r>
        <w:rPr>
          <w:rFonts w:hint="eastAsia" w:ascii="仿宋_GB2312" w:hAnsi="仿宋" w:eastAsia="仿宋_GB2312" w:cs="仿宋_GB2312"/>
          <w:color w:val="auto"/>
          <w:sz w:val="24"/>
          <w:szCs w:val="21"/>
          <w:highlight w:val="none"/>
          <w:u w:val="single"/>
        </w:rPr>
        <w:t xml:space="preserve"> 年 月 日</w:t>
      </w:r>
      <w:r>
        <w:rPr>
          <w:rFonts w:hint="eastAsia" w:ascii="仿宋_GB2312" w:hAnsi="仿宋" w:eastAsia="仿宋_GB2312" w:cs="仿宋_GB2312"/>
          <w:color w:val="auto"/>
          <w:sz w:val="24"/>
          <w:szCs w:val="21"/>
          <w:highlight w:val="none"/>
        </w:rPr>
        <w:t>签署本文件，</w:t>
      </w:r>
      <w:r>
        <w:rPr>
          <w:rFonts w:hint="eastAsia" w:ascii="仿宋_GB2312" w:hAnsi="仿宋" w:eastAsia="仿宋_GB2312" w:cs="仿宋_GB2312"/>
          <w:color w:val="auto"/>
          <w:sz w:val="24"/>
          <w:szCs w:val="21"/>
          <w:highlight w:val="none"/>
          <w:u w:val="single"/>
        </w:rPr>
        <w:t xml:space="preserve"> （投标人名称）</w:t>
      </w:r>
      <w:r>
        <w:rPr>
          <w:rFonts w:hint="eastAsia" w:ascii="仿宋_GB2312" w:hAnsi="仿宋" w:eastAsia="仿宋_GB2312" w:cs="仿宋_GB2312"/>
          <w:color w:val="auto"/>
          <w:sz w:val="24"/>
          <w:szCs w:val="21"/>
          <w:highlight w:val="none"/>
        </w:rPr>
        <w:t>于</w:t>
      </w:r>
      <w:r>
        <w:rPr>
          <w:rFonts w:hint="eastAsia"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rPr>
        <w:t>年</w:t>
      </w:r>
      <w:r>
        <w:rPr>
          <w:rFonts w:hint="eastAsia"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rPr>
        <w:t>月</w:t>
      </w:r>
      <w:r>
        <w:rPr>
          <w:rFonts w:hint="eastAsia"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rPr>
        <w:t>日接受此件，以此为证。</w:t>
      </w:r>
    </w:p>
    <w:p w14:paraId="7AF13E41">
      <w:pPr>
        <w:spacing w:line="360" w:lineRule="auto"/>
        <w:ind w:firstLine="480" w:firstLineChars="200"/>
        <w:rPr>
          <w:rFonts w:ascii="仿宋_GB2312" w:hAnsi="仿宋" w:eastAsia="仿宋_GB2312" w:cs="仿宋_GB2312"/>
          <w:color w:val="auto"/>
          <w:sz w:val="24"/>
          <w:szCs w:val="21"/>
          <w:highlight w:val="none"/>
        </w:rPr>
      </w:pPr>
    </w:p>
    <w:p w14:paraId="3DD8092D">
      <w:pPr>
        <w:spacing w:line="360" w:lineRule="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制造商名称（加盖单位公章）：</w:t>
      </w:r>
      <w:r>
        <w:rPr>
          <w:rFonts w:hint="eastAsia" w:ascii="仿宋_GB2312" w:hAnsi="仿宋" w:eastAsia="仿宋_GB2312" w:cs="仿宋_GB2312"/>
          <w:color w:val="auto"/>
          <w:sz w:val="24"/>
          <w:szCs w:val="21"/>
          <w:highlight w:val="none"/>
          <w:u w:val="single"/>
        </w:rPr>
        <w:t xml:space="preserve">               </w:t>
      </w:r>
    </w:p>
    <w:p w14:paraId="157BF804">
      <w:pPr>
        <w:spacing w:line="360" w:lineRule="auto"/>
        <w:rPr>
          <w:rFonts w:ascii="仿宋_GB2312" w:hAnsi="仿宋" w:eastAsia="仿宋_GB2312" w:cs="仿宋_GB2312"/>
          <w:color w:val="auto"/>
          <w:sz w:val="24"/>
          <w:szCs w:val="21"/>
          <w:highlight w:val="none"/>
          <w:u w:val="single"/>
        </w:rPr>
      </w:pPr>
      <w:r>
        <w:rPr>
          <w:rFonts w:hint="eastAsia" w:ascii="仿宋_GB2312" w:hAnsi="仿宋" w:eastAsia="仿宋_GB2312" w:cs="仿宋_GB2312"/>
          <w:color w:val="auto"/>
          <w:sz w:val="24"/>
          <w:szCs w:val="21"/>
          <w:highlight w:val="none"/>
        </w:rPr>
        <w:t>签字人职务和部门：</w:t>
      </w:r>
      <w:r>
        <w:rPr>
          <w:rFonts w:hint="eastAsia" w:ascii="仿宋_GB2312" w:hAnsi="仿宋" w:eastAsia="仿宋_GB2312" w:cs="仿宋_GB2312"/>
          <w:color w:val="auto"/>
          <w:sz w:val="24"/>
          <w:szCs w:val="21"/>
          <w:highlight w:val="none"/>
          <w:u w:val="single"/>
        </w:rPr>
        <w:t xml:space="preserve">                         </w:t>
      </w:r>
    </w:p>
    <w:p w14:paraId="2E5815AB">
      <w:pPr>
        <w:spacing w:line="360" w:lineRule="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签字人姓名：</w:t>
      </w:r>
      <w:r>
        <w:rPr>
          <w:rFonts w:hint="eastAsia" w:ascii="仿宋_GB2312" w:hAnsi="仿宋" w:eastAsia="仿宋_GB2312" w:cs="仿宋_GB2312"/>
          <w:color w:val="auto"/>
          <w:sz w:val="24"/>
          <w:szCs w:val="21"/>
          <w:highlight w:val="none"/>
          <w:u w:val="single"/>
        </w:rPr>
        <w:t xml:space="preserve">                               </w:t>
      </w:r>
    </w:p>
    <w:p w14:paraId="71D6FD95">
      <w:pPr>
        <w:spacing w:line="360" w:lineRule="auto"/>
        <w:rPr>
          <w:rFonts w:ascii="仿宋_GB2312" w:hAnsi="仿宋" w:eastAsia="仿宋_GB2312" w:cs="仿宋_GB2312"/>
          <w:color w:val="auto"/>
          <w:sz w:val="24"/>
          <w:szCs w:val="21"/>
          <w:highlight w:val="none"/>
          <w:u w:val="single"/>
        </w:rPr>
      </w:pPr>
      <w:r>
        <w:rPr>
          <w:rFonts w:hint="eastAsia" w:ascii="仿宋_GB2312" w:hAnsi="仿宋" w:eastAsia="仿宋_GB2312" w:cs="仿宋_GB2312"/>
          <w:color w:val="auto"/>
          <w:sz w:val="24"/>
          <w:szCs w:val="21"/>
          <w:highlight w:val="none"/>
        </w:rPr>
        <w:t>签字人（签字）：</w:t>
      </w:r>
      <w:r>
        <w:rPr>
          <w:rFonts w:hint="eastAsia" w:ascii="仿宋_GB2312" w:hAnsi="仿宋" w:eastAsia="仿宋_GB2312" w:cs="仿宋_GB2312"/>
          <w:color w:val="auto"/>
          <w:sz w:val="24"/>
          <w:szCs w:val="21"/>
          <w:highlight w:val="none"/>
          <w:u w:val="single"/>
        </w:rPr>
        <w:t xml:space="preserve">                           </w:t>
      </w:r>
    </w:p>
    <w:p w14:paraId="63117F3C">
      <w:pPr>
        <w:spacing w:line="360" w:lineRule="auto"/>
        <w:rPr>
          <w:rFonts w:ascii="仿宋_GB2312" w:hAnsi="仿宋" w:eastAsia="仿宋_GB2312" w:cs="仿宋_GB2312"/>
          <w:color w:val="auto"/>
          <w:sz w:val="24"/>
          <w:szCs w:val="21"/>
          <w:highlight w:val="none"/>
          <w:u w:val="single"/>
        </w:rPr>
      </w:pPr>
      <w:r>
        <w:rPr>
          <w:rFonts w:hint="eastAsia" w:ascii="仿宋_GB2312" w:hAnsi="仿宋" w:eastAsia="仿宋_GB2312" w:cs="仿宋_GB2312"/>
          <w:color w:val="auto"/>
          <w:sz w:val="24"/>
          <w:szCs w:val="21"/>
          <w:highlight w:val="none"/>
        </w:rPr>
        <w:t>日  期：</w:t>
      </w:r>
      <w:r>
        <w:rPr>
          <w:rFonts w:hint="eastAsia" w:ascii="仿宋_GB2312" w:hAnsi="仿宋" w:eastAsia="仿宋_GB2312" w:cs="仿宋_GB2312"/>
          <w:color w:val="auto"/>
          <w:sz w:val="24"/>
          <w:szCs w:val="21"/>
          <w:highlight w:val="none"/>
          <w:u w:val="single"/>
        </w:rPr>
        <w:t xml:space="preserve">                         </w:t>
      </w:r>
      <w:r>
        <w:rPr>
          <w:rFonts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u w:val="single"/>
        </w:rPr>
        <w:t xml:space="preserve">         </w:t>
      </w:r>
    </w:p>
    <w:p w14:paraId="7220F434">
      <w:pPr>
        <w:spacing w:line="360" w:lineRule="auto"/>
        <w:ind w:firstLine="480" w:firstLineChars="200"/>
        <w:rPr>
          <w:rFonts w:ascii="仿宋_GB2312" w:hAnsi="仿宋" w:eastAsia="仿宋_GB2312" w:cs="仿宋_GB2312"/>
          <w:color w:val="auto"/>
          <w:sz w:val="24"/>
          <w:szCs w:val="21"/>
          <w:highlight w:val="none"/>
        </w:rPr>
      </w:pPr>
    </w:p>
    <w:p w14:paraId="274F0076">
      <w:pPr>
        <w:spacing w:line="360" w:lineRule="auto"/>
        <w:ind w:firstLine="480" w:firstLineChars="200"/>
        <w:rPr>
          <w:rFonts w:ascii="仿宋_GB2312" w:hAnsi="仿宋" w:eastAsia="仿宋_GB2312" w:cs="仿宋_GB2312"/>
          <w:color w:val="auto"/>
          <w:sz w:val="24"/>
          <w:szCs w:val="21"/>
          <w:highlight w:val="none"/>
        </w:rPr>
      </w:pPr>
      <w:bookmarkStart w:id="131" w:name="_Hlk73968990"/>
      <w:r>
        <w:rPr>
          <w:rFonts w:hint="eastAsia" w:ascii="仿宋_GB2312" w:hAnsi="仿宋" w:eastAsia="仿宋_GB2312" w:cs="仿宋_GB2312"/>
          <w:color w:val="auto"/>
          <w:sz w:val="24"/>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bookmarkEnd w:id="131"/>
    <w:p w14:paraId="716E0E21">
      <w:pPr>
        <w:rPr>
          <w:color w:val="auto"/>
          <w:highlight w:val="none"/>
        </w:rPr>
      </w:pPr>
    </w:p>
    <w:bookmarkEnd w:id="129"/>
    <w:bookmarkEnd w:id="130"/>
    <w:p w14:paraId="3CCA4072">
      <w:pPr>
        <w:spacing w:line="360" w:lineRule="auto"/>
        <w:ind w:firstLine="480" w:firstLineChars="200"/>
        <w:rPr>
          <w:rFonts w:ascii="仿宋_GB2312" w:hAnsi="仿宋" w:eastAsia="仿宋_GB2312"/>
          <w:color w:val="auto"/>
          <w:sz w:val="24"/>
          <w:highlight w:val="none"/>
        </w:rPr>
      </w:pPr>
      <w:bookmarkStart w:id="132" w:name="_Toc6847_WPSOffice_Level2"/>
      <w:bookmarkStart w:id="133" w:name="_Toc13329_WPSOffice_Level2"/>
    </w:p>
    <w:p w14:paraId="39905D13">
      <w:pPr>
        <w:rPr>
          <w:color w:val="auto"/>
          <w:highlight w:val="none"/>
        </w:rPr>
      </w:pPr>
    </w:p>
    <w:bookmarkEnd w:id="132"/>
    <w:bookmarkEnd w:id="133"/>
    <w:p w14:paraId="29E3339D">
      <w:pPr>
        <w:pStyle w:val="3"/>
        <w:adjustRightInd w:val="0"/>
        <w:snapToGrid w:val="0"/>
        <w:spacing w:before="0" w:after="0"/>
        <w:jc w:val="left"/>
        <w:rPr>
          <w:rFonts w:ascii="仿宋_GB2312" w:eastAsia="仿宋_GB2312"/>
          <w:b w:val="0"/>
          <w:bCs/>
          <w:color w:val="auto"/>
          <w:szCs w:val="28"/>
          <w:highlight w:val="none"/>
        </w:rPr>
      </w:pPr>
      <w:r>
        <w:rPr>
          <w:rFonts w:hint="eastAsia" w:ascii="仿宋_GB2312" w:hAnsi="仿宋" w:eastAsia="仿宋_GB2312" w:cs="仿宋_GB2312"/>
          <w:color w:val="auto"/>
          <w:sz w:val="36"/>
          <w:szCs w:val="21"/>
          <w:highlight w:val="none"/>
        </w:rPr>
        <w:br w:type="page"/>
      </w:r>
      <w:r>
        <w:rPr>
          <w:rFonts w:hint="eastAsia" w:ascii="仿宋_GB2312" w:hAnsi="仿宋" w:eastAsia="仿宋_GB2312"/>
          <w:color w:val="auto"/>
          <w:highlight w:val="none"/>
        </w:rPr>
        <w:t>格式18</w:t>
      </w:r>
    </w:p>
    <w:p w14:paraId="6EE71DD4">
      <w:pPr>
        <w:snapToGrid w:val="0"/>
        <w:spacing w:line="360" w:lineRule="auto"/>
        <w:ind w:right="-21" w:rightChars="-10"/>
        <w:jc w:val="center"/>
        <w:rPr>
          <w:rFonts w:ascii="方正小标宋简体" w:hAnsi="仿宋_GB2312" w:eastAsia="方正小标宋简体" w:cs="仿宋_GB2312"/>
          <w:color w:val="auto"/>
          <w:sz w:val="32"/>
          <w:szCs w:val="32"/>
          <w:highlight w:val="none"/>
        </w:rPr>
      </w:pPr>
      <w:r>
        <w:rPr>
          <w:rFonts w:hint="eastAsia" w:ascii="方正小标宋简体" w:hAnsi="仿宋_GB2312" w:eastAsia="方正小标宋简体" w:cs="仿宋_GB2312"/>
          <w:color w:val="auto"/>
          <w:sz w:val="32"/>
          <w:szCs w:val="32"/>
          <w:highlight w:val="none"/>
        </w:rPr>
        <w:t>中小企业声明函（货物）</w:t>
      </w:r>
    </w:p>
    <w:p w14:paraId="70D11DB1">
      <w:pPr>
        <w:snapToGrid w:val="0"/>
        <w:spacing w:line="360"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本公司郑重声明，根据《政府采购促进中小企业发展管理办法》（财库</w:t>
      </w:r>
      <w:r>
        <w:rPr>
          <w:rFonts w:hint="eastAsia" w:ascii="微软雅黑" w:hAnsi="微软雅黑" w:eastAsia="微软雅黑"/>
          <w:color w:val="auto"/>
          <w:sz w:val="24"/>
          <w:highlight w:val="none"/>
        </w:rPr>
        <w:t>﹝</w:t>
      </w:r>
      <w:r>
        <w:rPr>
          <w:rFonts w:hint="eastAsia" w:ascii="仿宋_GB2312" w:hAnsi="仿宋" w:eastAsia="仿宋_GB2312"/>
          <w:color w:val="auto"/>
          <w:sz w:val="24"/>
          <w:highlight w:val="none"/>
        </w:rPr>
        <w:t>2020</w:t>
      </w:r>
      <w:r>
        <w:rPr>
          <w:rFonts w:hint="eastAsia" w:ascii="微软雅黑" w:hAnsi="微软雅黑" w:eastAsia="微软雅黑"/>
          <w:color w:val="auto"/>
          <w:sz w:val="24"/>
          <w:highlight w:val="none"/>
        </w:rPr>
        <w:t>﹞</w:t>
      </w:r>
      <w:r>
        <w:rPr>
          <w:rFonts w:hint="eastAsia" w:ascii="仿宋_GB2312" w:hAnsi="仿宋" w:eastAsia="仿宋_GB2312"/>
          <w:color w:val="auto"/>
          <w:sz w:val="24"/>
          <w:highlight w:val="none"/>
        </w:rPr>
        <w:t>46 号）的规定，本公司参加</w:t>
      </w:r>
      <w:r>
        <w:rPr>
          <w:rFonts w:hint="eastAsia" w:ascii="仿宋_GB2312" w:hAnsi="仿宋" w:eastAsia="仿宋_GB2312"/>
          <w:color w:val="auto"/>
          <w:sz w:val="24"/>
          <w:highlight w:val="none"/>
          <w:u w:val="single"/>
        </w:rPr>
        <w:t xml:space="preserve">    （采购人名称） </w:t>
      </w:r>
      <w:r>
        <w:rPr>
          <w:rFonts w:hint="eastAsia" w:ascii="仿宋_GB2312" w:hAnsi="仿宋" w:eastAsia="仿宋_GB2312"/>
          <w:color w:val="auto"/>
          <w:sz w:val="24"/>
          <w:highlight w:val="none"/>
        </w:rPr>
        <w:t>的</w:t>
      </w:r>
      <w:r>
        <w:rPr>
          <w:rFonts w:hint="eastAsia" w:ascii="仿宋_GB2312" w:hAnsi="仿宋" w:eastAsia="仿宋_GB2312"/>
          <w:color w:val="auto"/>
          <w:sz w:val="24"/>
          <w:highlight w:val="none"/>
          <w:u w:val="single"/>
        </w:rPr>
        <w:t xml:space="preserve">    （项目名称） </w:t>
      </w:r>
      <w:r>
        <w:rPr>
          <w:rFonts w:hint="eastAsia" w:ascii="仿宋_GB2312" w:hAnsi="仿宋" w:eastAsia="仿宋_GB2312"/>
          <w:color w:val="auto"/>
          <w:sz w:val="24"/>
          <w:highlight w:val="none"/>
        </w:rPr>
        <w:t>采购活动，提供的货物全部由符合政策要求的中小企业制造。相关企业（含联合体中的中小企业、签订分包意向协议的中小企业）的具体情况如下：</w:t>
      </w:r>
    </w:p>
    <w:p w14:paraId="4C4CB157">
      <w:pPr>
        <w:snapToGrid w:val="0"/>
        <w:spacing w:line="360"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1.</w:t>
      </w:r>
      <w:r>
        <w:rPr>
          <w:rFonts w:hint="eastAsia" w:ascii="仿宋_GB2312" w:hAnsi="仿宋" w:eastAsia="仿宋_GB2312"/>
          <w:color w:val="auto"/>
          <w:sz w:val="24"/>
          <w:highlight w:val="none"/>
          <w:u w:val="single"/>
        </w:rPr>
        <w:t xml:space="preserve">  （标的名称）</w:t>
      </w:r>
      <w:r>
        <w:rPr>
          <w:rFonts w:hint="eastAsia" w:ascii="仿宋_GB2312" w:hAnsi="仿宋" w:eastAsia="仿宋_GB2312"/>
          <w:color w:val="auto"/>
          <w:sz w:val="24"/>
          <w:highlight w:val="none"/>
        </w:rPr>
        <w:t>，属于</w:t>
      </w:r>
      <w:r>
        <w:rPr>
          <w:rFonts w:hint="eastAsia" w:ascii="仿宋_GB2312" w:hAnsi="仿宋" w:eastAsia="仿宋_GB2312"/>
          <w:color w:val="auto"/>
          <w:sz w:val="24"/>
          <w:highlight w:val="none"/>
          <w:u w:val="single"/>
        </w:rPr>
        <w:t xml:space="preserve">     （采购文件中明确的所属行业）</w:t>
      </w:r>
      <w:r>
        <w:rPr>
          <w:rFonts w:hint="eastAsia" w:ascii="仿宋_GB2312" w:hAnsi="仿宋" w:eastAsia="仿宋_GB2312"/>
          <w:color w:val="auto"/>
          <w:sz w:val="24"/>
          <w:highlight w:val="none"/>
        </w:rPr>
        <w:t>行业；制造商为</w:t>
      </w:r>
      <w:r>
        <w:rPr>
          <w:rFonts w:hint="eastAsia" w:ascii="仿宋_GB2312" w:hAnsi="仿宋" w:eastAsia="仿宋_GB2312"/>
          <w:color w:val="auto"/>
          <w:sz w:val="24"/>
          <w:highlight w:val="none"/>
          <w:u w:val="single"/>
        </w:rPr>
        <w:t xml:space="preserve">    （企业名称）</w:t>
      </w:r>
      <w:r>
        <w:rPr>
          <w:rFonts w:hint="eastAsia" w:ascii="仿宋_GB2312" w:hAnsi="仿宋" w:eastAsia="仿宋_GB2312"/>
          <w:color w:val="auto"/>
          <w:sz w:val="24"/>
          <w:highlight w:val="none"/>
        </w:rPr>
        <w:t>，从业人员</w:t>
      </w:r>
      <w:r>
        <w:rPr>
          <w:rFonts w:hint="eastAsia" w:ascii="仿宋_GB2312" w:hAnsi="仿宋" w:eastAsia="仿宋_GB2312"/>
          <w:color w:val="auto"/>
          <w:sz w:val="24"/>
          <w:highlight w:val="none"/>
          <w:u w:val="single"/>
        </w:rPr>
        <w:t xml:space="preserve">   </w:t>
      </w:r>
      <w:r>
        <w:rPr>
          <w:rFonts w:hint="eastAsia" w:ascii="仿宋_GB2312" w:hAnsi="仿宋" w:eastAsia="仿宋_GB2312"/>
          <w:color w:val="auto"/>
          <w:sz w:val="24"/>
          <w:highlight w:val="none"/>
        </w:rPr>
        <w:t>人，营业收入为</w:t>
      </w:r>
      <w:r>
        <w:rPr>
          <w:rFonts w:hint="eastAsia" w:ascii="仿宋_GB2312" w:hAnsi="仿宋" w:eastAsia="仿宋_GB2312"/>
          <w:color w:val="auto"/>
          <w:sz w:val="24"/>
          <w:highlight w:val="none"/>
          <w:u w:val="single"/>
        </w:rPr>
        <w:t xml:space="preserve">   </w:t>
      </w:r>
      <w:r>
        <w:rPr>
          <w:rFonts w:hint="eastAsia" w:ascii="仿宋_GB2312" w:hAnsi="仿宋" w:eastAsia="仿宋_GB2312"/>
          <w:color w:val="auto"/>
          <w:sz w:val="24"/>
          <w:highlight w:val="none"/>
        </w:rPr>
        <w:t>万元，资产总额为</w:t>
      </w:r>
      <w:r>
        <w:rPr>
          <w:rFonts w:hint="eastAsia" w:ascii="仿宋_GB2312" w:hAnsi="仿宋" w:eastAsia="仿宋_GB2312"/>
          <w:color w:val="auto"/>
          <w:sz w:val="24"/>
          <w:highlight w:val="none"/>
          <w:u w:val="single"/>
        </w:rPr>
        <w:t xml:space="preserve">   </w:t>
      </w:r>
      <w:r>
        <w:rPr>
          <w:rFonts w:hint="eastAsia" w:ascii="仿宋_GB2312" w:hAnsi="仿宋" w:eastAsia="仿宋_GB2312"/>
          <w:color w:val="auto"/>
          <w:sz w:val="24"/>
          <w:highlight w:val="none"/>
        </w:rPr>
        <w:t>万元</w:t>
      </w:r>
      <w:r>
        <w:rPr>
          <w:rFonts w:hint="eastAsia" w:ascii="仿宋_GB2312" w:hAnsi="仿宋" w:eastAsia="仿宋_GB2312"/>
          <w:color w:val="auto"/>
          <w:sz w:val="24"/>
          <w:highlight w:val="none"/>
          <w:vertAlign w:val="superscript"/>
        </w:rPr>
        <w:t>1</w:t>
      </w:r>
      <w:r>
        <w:rPr>
          <w:rFonts w:hint="eastAsia" w:ascii="仿宋_GB2312" w:hAnsi="仿宋" w:eastAsia="仿宋_GB2312"/>
          <w:color w:val="auto"/>
          <w:sz w:val="24"/>
          <w:highlight w:val="none"/>
        </w:rPr>
        <w:t xml:space="preserve"> ，属于</w:t>
      </w:r>
      <w:r>
        <w:rPr>
          <w:rFonts w:hint="eastAsia" w:ascii="仿宋_GB2312" w:hAnsi="仿宋" w:eastAsia="仿宋_GB2312"/>
          <w:color w:val="auto"/>
          <w:sz w:val="24"/>
          <w:highlight w:val="none"/>
          <w:u w:val="single"/>
        </w:rPr>
        <w:t xml:space="preserve"> （中型企业、小型企业、微型企业）</w:t>
      </w:r>
      <w:r>
        <w:rPr>
          <w:rFonts w:hint="eastAsia" w:ascii="仿宋_GB2312" w:hAnsi="仿宋" w:eastAsia="仿宋_GB2312"/>
          <w:color w:val="auto"/>
          <w:sz w:val="24"/>
          <w:highlight w:val="none"/>
        </w:rPr>
        <w:t>；</w:t>
      </w:r>
    </w:p>
    <w:p w14:paraId="17C7BCD2">
      <w:pPr>
        <w:snapToGrid w:val="0"/>
        <w:spacing w:line="360"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2.</w:t>
      </w:r>
      <w:r>
        <w:rPr>
          <w:rFonts w:hint="eastAsia" w:ascii="仿宋_GB2312" w:hAnsi="仿宋" w:eastAsia="仿宋_GB2312"/>
          <w:color w:val="auto"/>
          <w:sz w:val="24"/>
          <w:highlight w:val="none"/>
          <w:u w:val="single"/>
        </w:rPr>
        <w:t xml:space="preserve">  （标的名称）</w:t>
      </w:r>
      <w:r>
        <w:rPr>
          <w:rFonts w:hint="eastAsia" w:ascii="仿宋_GB2312" w:hAnsi="仿宋" w:eastAsia="仿宋_GB2312"/>
          <w:color w:val="auto"/>
          <w:sz w:val="24"/>
          <w:highlight w:val="none"/>
        </w:rPr>
        <w:t>，属于</w:t>
      </w:r>
      <w:r>
        <w:rPr>
          <w:rFonts w:hint="eastAsia" w:ascii="仿宋_GB2312" w:hAnsi="仿宋" w:eastAsia="仿宋_GB2312"/>
          <w:color w:val="auto"/>
          <w:sz w:val="24"/>
          <w:highlight w:val="none"/>
          <w:u w:val="single"/>
        </w:rPr>
        <w:t xml:space="preserve">     （采购文件中明确的所属行业）</w:t>
      </w:r>
      <w:r>
        <w:rPr>
          <w:rFonts w:hint="eastAsia" w:ascii="仿宋_GB2312" w:hAnsi="仿宋" w:eastAsia="仿宋_GB2312"/>
          <w:color w:val="auto"/>
          <w:sz w:val="24"/>
          <w:highlight w:val="none"/>
        </w:rPr>
        <w:t>行业；制造商为</w:t>
      </w:r>
      <w:r>
        <w:rPr>
          <w:rFonts w:hint="eastAsia" w:ascii="仿宋_GB2312" w:hAnsi="仿宋" w:eastAsia="仿宋_GB2312"/>
          <w:color w:val="auto"/>
          <w:sz w:val="24"/>
          <w:highlight w:val="none"/>
          <w:u w:val="single"/>
        </w:rPr>
        <w:t xml:space="preserve">    （企业名称）</w:t>
      </w:r>
      <w:r>
        <w:rPr>
          <w:rFonts w:hint="eastAsia" w:ascii="仿宋_GB2312" w:hAnsi="仿宋" w:eastAsia="仿宋_GB2312"/>
          <w:color w:val="auto"/>
          <w:sz w:val="24"/>
          <w:highlight w:val="none"/>
        </w:rPr>
        <w:t>，从业人员</w:t>
      </w:r>
      <w:r>
        <w:rPr>
          <w:rFonts w:hint="eastAsia" w:ascii="仿宋_GB2312" w:hAnsi="仿宋" w:eastAsia="仿宋_GB2312"/>
          <w:color w:val="auto"/>
          <w:sz w:val="24"/>
          <w:highlight w:val="none"/>
          <w:u w:val="single"/>
        </w:rPr>
        <w:t xml:space="preserve">   </w:t>
      </w:r>
      <w:r>
        <w:rPr>
          <w:rFonts w:hint="eastAsia" w:ascii="仿宋_GB2312" w:hAnsi="仿宋" w:eastAsia="仿宋_GB2312"/>
          <w:color w:val="auto"/>
          <w:sz w:val="24"/>
          <w:highlight w:val="none"/>
        </w:rPr>
        <w:t>人，营业收入为</w:t>
      </w:r>
      <w:r>
        <w:rPr>
          <w:rFonts w:hint="eastAsia" w:ascii="仿宋_GB2312" w:hAnsi="仿宋" w:eastAsia="仿宋_GB2312"/>
          <w:color w:val="auto"/>
          <w:sz w:val="24"/>
          <w:highlight w:val="none"/>
          <w:u w:val="single"/>
        </w:rPr>
        <w:t xml:space="preserve">   </w:t>
      </w:r>
      <w:r>
        <w:rPr>
          <w:rFonts w:hint="eastAsia" w:ascii="仿宋_GB2312" w:hAnsi="仿宋" w:eastAsia="仿宋_GB2312"/>
          <w:color w:val="auto"/>
          <w:sz w:val="24"/>
          <w:highlight w:val="none"/>
        </w:rPr>
        <w:t>万元，资产总额为</w:t>
      </w:r>
      <w:r>
        <w:rPr>
          <w:rFonts w:hint="eastAsia" w:ascii="仿宋_GB2312" w:hAnsi="仿宋" w:eastAsia="仿宋_GB2312"/>
          <w:color w:val="auto"/>
          <w:sz w:val="24"/>
          <w:highlight w:val="none"/>
          <w:u w:val="single"/>
        </w:rPr>
        <w:t xml:space="preserve">   </w:t>
      </w:r>
      <w:r>
        <w:rPr>
          <w:rFonts w:hint="eastAsia" w:ascii="仿宋_GB2312" w:hAnsi="仿宋" w:eastAsia="仿宋_GB2312"/>
          <w:color w:val="auto"/>
          <w:sz w:val="24"/>
          <w:highlight w:val="none"/>
        </w:rPr>
        <w:t>万元 ，属于</w:t>
      </w:r>
      <w:r>
        <w:rPr>
          <w:rFonts w:hint="eastAsia" w:ascii="仿宋_GB2312" w:hAnsi="仿宋" w:eastAsia="仿宋_GB2312"/>
          <w:color w:val="auto"/>
          <w:sz w:val="24"/>
          <w:highlight w:val="none"/>
          <w:u w:val="single"/>
        </w:rPr>
        <w:t xml:space="preserve"> （中型企业、小型企业、微型企业）</w:t>
      </w:r>
      <w:r>
        <w:rPr>
          <w:rFonts w:hint="eastAsia" w:ascii="仿宋_GB2312" w:hAnsi="仿宋" w:eastAsia="仿宋_GB2312"/>
          <w:color w:val="auto"/>
          <w:sz w:val="24"/>
          <w:highlight w:val="none"/>
        </w:rPr>
        <w:t>；</w:t>
      </w:r>
    </w:p>
    <w:p w14:paraId="0708BC29">
      <w:pPr>
        <w:snapToGrid w:val="0"/>
        <w:spacing w:line="360"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w:t>
      </w:r>
    </w:p>
    <w:p w14:paraId="16E39F0F">
      <w:pPr>
        <w:snapToGrid w:val="0"/>
        <w:spacing w:line="360"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以上企业，不属于大企业的分支机构，不存在控股股东为大企业的情形，也不存在与大企业的负责人为同一人的情形。</w:t>
      </w:r>
    </w:p>
    <w:p w14:paraId="4E7B89E5">
      <w:pPr>
        <w:snapToGrid w:val="0"/>
        <w:spacing w:line="360" w:lineRule="auto"/>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本企业对上述声明内容的真实性负责。如有虚假，将依法承担相应责任。</w:t>
      </w:r>
    </w:p>
    <w:p w14:paraId="459DD481">
      <w:pPr>
        <w:pStyle w:val="11"/>
        <w:ind w:firstLine="420"/>
        <w:rPr>
          <w:rFonts w:ascii="仿宋" w:hAnsi="仿宋"/>
          <w:color w:val="auto"/>
          <w:szCs w:val="21"/>
          <w:highlight w:val="none"/>
        </w:rPr>
      </w:pPr>
      <w:r>
        <w:rPr>
          <w:color w:val="auto"/>
          <w:highlight w:val="none"/>
        </w:rPr>
        <w:t xml:space="preserve"> </w:t>
      </w:r>
    </w:p>
    <w:p w14:paraId="3339AF1E">
      <w:pPr>
        <w:pStyle w:val="11"/>
        <w:ind w:firstLine="420"/>
        <w:rPr>
          <w:rFonts w:ascii="仿宋" w:hAnsi="仿宋"/>
          <w:color w:val="auto"/>
          <w:highlight w:val="none"/>
        </w:rPr>
      </w:pPr>
      <w:r>
        <w:rPr>
          <w:rFonts w:hint="eastAsia" w:ascii="仿宋" w:hAnsi="仿宋"/>
          <w:color w:val="auto"/>
          <w:highlight w:val="none"/>
        </w:rPr>
        <w:t xml:space="preserve"> </w:t>
      </w:r>
    </w:p>
    <w:p w14:paraId="39525EC8">
      <w:pPr>
        <w:spacing w:line="360" w:lineRule="auto"/>
        <w:rPr>
          <w:rFonts w:ascii="仿宋_GB2312" w:hAnsi="仿宋" w:eastAsia="仿宋_GB2312"/>
          <w:color w:val="auto"/>
          <w:sz w:val="24"/>
          <w:highlight w:val="none"/>
        </w:rPr>
      </w:pPr>
      <w:r>
        <w:rPr>
          <w:rFonts w:hint="eastAsia" w:ascii="仿宋_GB2312" w:hAnsi="仿宋" w:eastAsia="仿宋_GB2312"/>
          <w:color w:val="auto"/>
          <w:sz w:val="24"/>
          <w:highlight w:val="none"/>
        </w:rPr>
        <w:t xml:space="preserve">                         </w:t>
      </w:r>
    </w:p>
    <w:p w14:paraId="440F514D">
      <w:pPr>
        <w:adjustRightInd w:val="0"/>
        <w:snapToGrid w:val="0"/>
        <w:spacing w:line="480" w:lineRule="auto"/>
        <w:ind w:right="105" w:rightChars="50"/>
        <w:jc w:val="left"/>
        <w:rPr>
          <w:rFonts w:ascii="仿宋_GB2312" w:hAnsi="仿宋" w:eastAsia="仿宋_GB2312"/>
          <w:color w:val="auto"/>
          <w:sz w:val="24"/>
          <w:highlight w:val="none"/>
        </w:rPr>
      </w:pPr>
      <w:r>
        <w:rPr>
          <w:rFonts w:hint="eastAsia" w:ascii="仿宋_GB2312" w:hAnsi="仿宋" w:eastAsia="仿宋_GB2312"/>
          <w:color w:val="auto"/>
          <w:sz w:val="24"/>
          <w:highlight w:val="none"/>
        </w:rPr>
        <w:t>企业名称（加盖单位公章）：</w:t>
      </w:r>
      <w:r>
        <w:rPr>
          <w:rFonts w:hint="eastAsia" w:ascii="仿宋_GB2312" w:hAnsi="仿宋" w:eastAsia="仿宋_GB2312"/>
          <w:color w:val="auto"/>
          <w:sz w:val="24"/>
          <w:highlight w:val="none"/>
          <w:u w:val="single"/>
        </w:rPr>
        <w:t xml:space="preserve">              </w:t>
      </w:r>
    </w:p>
    <w:p w14:paraId="07792A3F">
      <w:pPr>
        <w:adjustRightInd w:val="0"/>
        <w:snapToGrid w:val="0"/>
        <w:spacing w:line="480" w:lineRule="auto"/>
        <w:ind w:right="105" w:rightChars="50"/>
        <w:jc w:val="left"/>
        <w:rPr>
          <w:rFonts w:ascii="仿宋_GB2312" w:hAnsi="仿宋" w:eastAsia="仿宋_GB2312"/>
          <w:color w:val="auto"/>
          <w:sz w:val="24"/>
          <w:highlight w:val="none"/>
          <w:u w:val="single"/>
        </w:rPr>
      </w:pPr>
      <w:r>
        <w:rPr>
          <w:rFonts w:hint="eastAsia" w:ascii="仿宋_GB2312" w:hAnsi="仿宋" w:eastAsia="仿宋_GB2312"/>
          <w:color w:val="auto"/>
          <w:sz w:val="24"/>
          <w:highlight w:val="none"/>
        </w:rPr>
        <w:t>日      期：</w:t>
      </w:r>
      <w:r>
        <w:rPr>
          <w:rFonts w:hint="eastAsia" w:ascii="仿宋_GB2312" w:hAnsi="仿宋" w:eastAsia="仿宋_GB2312"/>
          <w:color w:val="auto"/>
          <w:sz w:val="24"/>
          <w:highlight w:val="none"/>
          <w:u w:val="single"/>
        </w:rPr>
        <w:t xml:space="preserve">             </w:t>
      </w:r>
    </w:p>
    <w:p w14:paraId="54114439">
      <w:pPr>
        <w:adjustRightInd w:val="0"/>
        <w:snapToGrid w:val="0"/>
        <w:spacing w:line="480" w:lineRule="auto"/>
        <w:ind w:right="105" w:rightChars="50" w:firstLine="440" w:firstLineChars="200"/>
        <w:jc w:val="left"/>
        <w:rPr>
          <w:rFonts w:ascii="仿宋_GB2312" w:hAnsi="仿宋" w:eastAsia="仿宋_GB2312"/>
          <w:b/>
          <w:color w:val="auto"/>
          <w:sz w:val="22"/>
          <w:szCs w:val="22"/>
          <w:highlight w:val="none"/>
        </w:rPr>
      </w:pPr>
    </w:p>
    <w:p w14:paraId="028CD723">
      <w:pPr>
        <w:adjustRightInd w:val="0"/>
        <w:snapToGrid w:val="0"/>
        <w:spacing w:line="480" w:lineRule="auto"/>
        <w:ind w:right="105" w:rightChars="50" w:firstLine="440" w:firstLineChars="200"/>
        <w:jc w:val="left"/>
        <w:rPr>
          <w:rFonts w:ascii="仿宋_GB2312" w:hAnsi="仿宋" w:eastAsia="仿宋_GB2312"/>
          <w:b/>
          <w:color w:val="auto"/>
          <w:sz w:val="22"/>
          <w:szCs w:val="22"/>
          <w:highlight w:val="none"/>
        </w:rPr>
      </w:pPr>
      <w:r>
        <w:rPr>
          <w:rFonts w:hint="eastAsia" w:ascii="仿宋_GB2312" w:hAnsi="仿宋" w:eastAsia="仿宋_GB2312"/>
          <w:b/>
          <w:color w:val="auto"/>
          <w:sz w:val="22"/>
          <w:szCs w:val="22"/>
          <w:highlight w:val="none"/>
        </w:rPr>
        <w:t>1从业人员、营业收入、资产总额填报上一年度数据，无上一年度数据的新成立企业可不填报。</w:t>
      </w:r>
    </w:p>
    <w:p w14:paraId="76B99D78">
      <w:pPr>
        <w:pStyle w:val="3"/>
        <w:adjustRightInd w:val="0"/>
        <w:snapToGrid w:val="0"/>
        <w:spacing w:before="0" w:after="0" w:line="240" w:lineRule="auto"/>
        <w:jc w:val="left"/>
        <w:rPr>
          <w:rFonts w:ascii="仿宋_GB2312" w:hAnsi="仿宋" w:eastAsia="仿宋_GB2312" w:cs="仿宋_GB2312"/>
          <w:color w:val="auto"/>
          <w:szCs w:val="28"/>
          <w:highlight w:val="none"/>
        </w:rPr>
        <w:sectPr>
          <w:pgSz w:w="11906" w:h="16838"/>
          <w:pgMar w:top="1468" w:right="1803" w:bottom="1418" w:left="1803" w:header="851" w:footer="899" w:gutter="0"/>
          <w:cols w:space="720" w:num="1"/>
          <w:docGrid w:type="linesAndChars" w:linePitch="319" w:charSpace="0"/>
        </w:sectPr>
      </w:pPr>
    </w:p>
    <w:p w14:paraId="084AE93E">
      <w:pPr>
        <w:pStyle w:val="3"/>
        <w:adjustRightInd w:val="0"/>
        <w:snapToGrid w:val="0"/>
        <w:spacing w:before="0" w:after="0"/>
        <w:jc w:val="left"/>
        <w:rPr>
          <w:rFonts w:ascii="仿宋_GB2312" w:hAnsi="仿宋" w:eastAsia="仿宋_GB2312" w:cs="Arial"/>
          <w:color w:val="auto"/>
          <w:szCs w:val="28"/>
          <w:highlight w:val="none"/>
        </w:rPr>
      </w:pPr>
      <w:r>
        <w:rPr>
          <w:rFonts w:hint="eastAsia" w:ascii="仿宋_GB2312" w:hAnsi="仿宋" w:eastAsia="仿宋_GB2312"/>
          <w:color w:val="auto"/>
          <w:highlight w:val="none"/>
        </w:rPr>
        <w:t>格式19</w:t>
      </w:r>
    </w:p>
    <w:p w14:paraId="05929223">
      <w:pPr>
        <w:snapToGrid w:val="0"/>
        <w:spacing w:line="360" w:lineRule="auto"/>
        <w:ind w:right="-21" w:rightChars="-10"/>
        <w:jc w:val="center"/>
        <w:rPr>
          <w:rFonts w:ascii="方正小标宋简体" w:hAnsi="仿宋_GB2312" w:eastAsia="方正小标宋简体" w:cs="仿宋_GB2312"/>
          <w:color w:val="auto"/>
          <w:sz w:val="32"/>
          <w:szCs w:val="32"/>
          <w:highlight w:val="none"/>
        </w:rPr>
      </w:pPr>
      <w:r>
        <w:rPr>
          <w:rFonts w:hint="eastAsia" w:ascii="方正小标宋简体" w:hAnsi="仿宋_GB2312" w:eastAsia="方正小标宋简体" w:cs="仿宋_GB2312"/>
          <w:color w:val="auto"/>
          <w:sz w:val="32"/>
          <w:szCs w:val="32"/>
          <w:highlight w:val="none"/>
        </w:rPr>
        <w:t>残疾人福利性单位声明函</w:t>
      </w:r>
    </w:p>
    <w:p w14:paraId="413EA9B4">
      <w:pPr>
        <w:adjustRightInd w:val="0"/>
        <w:snapToGrid w:val="0"/>
        <w:spacing w:line="360" w:lineRule="auto"/>
        <w:ind w:right="105" w:rightChars="50" w:firstLine="544" w:firstLineChars="227"/>
        <w:jc w:val="left"/>
        <w:rPr>
          <w:rFonts w:ascii="仿宋_GB2312" w:hAnsi="仿宋" w:eastAsia="仿宋_GB2312"/>
          <w:color w:val="auto"/>
          <w:sz w:val="24"/>
          <w:highlight w:val="none"/>
        </w:rPr>
      </w:pPr>
      <w:r>
        <w:rPr>
          <w:rFonts w:hint="eastAsia" w:ascii="仿宋_GB2312" w:hAnsi="仿宋" w:eastAsia="仿宋_GB2312"/>
          <w:color w:val="auto"/>
          <w:sz w:val="24"/>
          <w:highlight w:val="none"/>
        </w:rPr>
        <w:t>本单位郑重声明，根据《财政部 民政部 中国残疾人联合会关于促进残疾人就业政府采购政策的通知》（财库〔2017〕141 号）的规定，本单位为符合条件的残疾人福利性单位，且本单位参加</w:t>
      </w:r>
      <w:r>
        <w:rPr>
          <w:rFonts w:hint="eastAsia" w:ascii="仿宋_GB2312" w:hAnsi="仿宋" w:eastAsia="仿宋_GB2312"/>
          <w:color w:val="auto"/>
          <w:sz w:val="24"/>
          <w:highlight w:val="none"/>
          <w:u w:val="single"/>
        </w:rPr>
        <w:t xml:space="preserve">       </w:t>
      </w:r>
      <w:r>
        <w:rPr>
          <w:rFonts w:hint="eastAsia" w:ascii="仿宋_GB2312" w:hAnsi="仿宋" w:eastAsia="仿宋_GB2312"/>
          <w:color w:val="auto"/>
          <w:sz w:val="24"/>
          <w:highlight w:val="none"/>
        </w:rPr>
        <w:t>单位的</w:t>
      </w:r>
      <w:r>
        <w:rPr>
          <w:rFonts w:hint="eastAsia" w:ascii="仿宋_GB2312" w:hAnsi="仿宋" w:eastAsia="仿宋_GB2312"/>
          <w:color w:val="auto"/>
          <w:sz w:val="24"/>
          <w:highlight w:val="none"/>
          <w:u w:val="single"/>
        </w:rPr>
        <w:t xml:space="preserve">     </w:t>
      </w:r>
      <w:r>
        <w:rPr>
          <w:rFonts w:hint="eastAsia" w:ascii="仿宋_GB2312" w:hAnsi="仿宋" w:eastAsia="仿宋_GB2312"/>
          <w:color w:val="auto"/>
          <w:sz w:val="24"/>
          <w:highlight w:val="none"/>
        </w:rPr>
        <w:t>项目采购活动，提供本单位制造的货物（由本单位承担工程/提供服务），或者提供其他残疾人福利性单位制造的货物（不包括使用非残疾人福利性单位注册商标的货物）</w:t>
      </w:r>
    </w:p>
    <w:p w14:paraId="6FB69D1D">
      <w:pPr>
        <w:adjustRightInd w:val="0"/>
        <w:snapToGrid w:val="0"/>
        <w:spacing w:line="360" w:lineRule="auto"/>
        <w:ind w:right="105" w:rightChars="50" w:firstLine="544" w:firstLineChars="227"/>
        <w:jc w:val="left"/>
        <w:rPr>
          <w:rFonts w:ascii="仿宋_GB2312" w:hAnsi="仿宋" w:eastAsia="仿宋_GB2312"/>
          <w:color w:val="auto"/>
          <w:sz w:val="24"/>
          <w:highlight w:val="none"/>
        </w:rPr>
      </w:pPr>
      <w:r>
        <w:rPr>
          <w:rFonts w:hint="eastAsia" w:ascii="仿宋_GB2312" w:hAnsi="仿宋" w:eastAsia="仿宋_GB2312"/>
          <w:color w:val="auto"/>
          <w:sz w:val="24"/>
          <w:highlight w:val="none"/>
        </w:rPr>
        <w:t>本单位对上述声明的真实性负责。如有虚假，将依法承担相应责任。</w:t>
      </w:r>
    </w:p>
    <w:tbl>
      <w:tblPr>
        <w:tblStyle w:val="24"/>
        <w:tblW w:w="83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
        <w:gridCol w:w="1582"/>
        <w:gridCol w:w="1587"/>
        <w:gridCol w:w="1427"/>
        <w:gridCol w:w="1427"/>
        <w:gridCol w:w="1344"/>
      </w:tblGrid>
      <w:tr w14:paraId="3BD2F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953" w:type="dxa"/>
            <w:tcBorders>
              <w:top w:val="single" w:color="auto" w:sz="4" w:space="0"/>
              <w:left w:val="single" w:color="auto" w:sz="4" w:space="0"/>
              <w:bottom w:val="single" w:color="auto" w:sz="4" w:space="0"/>
              <w:right w:val="single" w:color="auto" w:sz="4" w:space="0"/>
            </w:tcBorders>
            <w:vAlign w:val="center"/>
          </w:tcPr>
          <w:p w14:paraId="5666B16E">
            <w:pPr>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序号</w:t>
            </w:r>
          </w:p>
        </w:tc>
        <w:tc>
          <w:tcPr>
            <w:tcW w:w="1582" w:type="dxa"/>
            <w:tcBorders>
              <w:top w:val="single" w:color="auto" w:sz="4" w:space="0"/>
              <w:left w:val="nil"/>
              <w:bottom w:val="single" w:color="auto" w:sz="4" w:space="0"/>
              <w:right w:val="single" w:color="auto" w:sz="4" w:space="0"/>
            </w:tcBorders>
            <w:vAlign w:val="center"/>
          </w:tcPr>
          <w:p w14:paraId="45900013">
            <w:pPr>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品  名</w:t>
            </w:r>
          </w:p>
        </w:tc>
        <w:tc>
          <w:tcPr>
            <w:tcW w:w="1587" w:type="dxa"/>
            <w:tcBorders>
              <w:top w:val="single" w:color="auto" w:sz="4" w:space="0"/>
              <w:left w:val="nil"/>
              <w:bottom w:val="single" w:color="auto" w:sz="4" w:space="0"/>
              <w:right w:val="single" w:color="auto" w:sz="4" w:space="0"/>
            </w:tcBorders>
            <w:vAlign w:val="center"/>
          </w:tcPr>
          <w:p w14:paraId="4649A9DC">
            <w:pPr>
              <w:widowControl/>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数量</w:t>
            </w:r>
          </w:p>
        </w:tc>
        <w:tc>
          <w:tcPr>
            <w:tcW w:w="1427" w:type="dxa"/>
            <w:tcBorders>
              <w:top w:val="single" w:color="auto" w:sz="4" w:space="0"/>
              <w:left w:val="nil"/>
              <w:bottom w:val="single" w:color="auto" w:sz="4" w:space="0"/>
              <w:right w:val="single" w:color="auto" w:sz="4" w:space="0"/>
            </w:tcBorders>
            <w:vAlign w:val="center"/>
          </w:tcPr>
          <w:p w14:paraId="0A0EAA23">
            <w:pPr>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规格</w:t>
            </w:r>
          </w:p>
          <w:p w14:paraId="7FF8871A">
            <w:pPr>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型号</w:t>
            </w:r>
          </w:p>
        </w:tc>
        <w:tc>
          <w:tcPr>
            <w:tcW w:w="1427" w:type="dxa"/>
            <w:tcBorders>
              <w:top w:val="single" w:color="auto" w:sz="4" w:space="0"/>
              <w:left w:val="nil"/>
              <w:bottom w:val="single" w:color="auto" w:sz="4" w:space="0"/>
              <w:right w:val="single" w:color="auto" w:sz="4" w:space="0"/>
            </w:tcBorders>
            <w:vAlign w:val="center"/>
          </w:tcPr>
          <w:p w14:paraId="1D425F63">
            <w:pPr>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生产</w:t>
            </w:r>
          </w:p>
          <w:p w14:paraId="3204908D">
            <w:pPr>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厂家</w:t>
            </w:r>
          </w:p>
        </w:tc>
        <w:tc>
          <w:tcPr>
            <w:tcW w:w="1344" w:type="dxa"/>
            <w:tcBorders>
              <w:top w:val="single" w:color="auto" w:sz="4" w:space="0"/>
              <w:left w:val="nil"/>
              <w:bottom w:val="single" w:color="auto" w:sz="4" w:space="0"/>
              <w:right w:val="single" w:color="auto" w:sz="4" w:space="0"/>
            </w:tcBorders>
            <w:vAlign w:val="center"/>
          </w:tcPr>
          <w:p w14:paraId="320E498C">
            <w:pPr>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备注</w:t>
            </w:r>
          </w:p>
        </w:tc>
      </w:tr>
      <w:tr w14:paraId="210EE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tcBorders>
              <w:top w:val="single" w:color="auto" w:sz="4" w:space="0"/>
              <w:left w:val="single" w:color="auto" w:sz="4" w:space="0"/>
              <w:bottom w:val="single" w:color="auto" w:sz="4" w:space="0"/>
              <w:right w:val="single" w:color="auto" w:sz="4" w:space="0"/>
            </w:tcBorders>
            <w:vAlign w:val="center"/>
          </w:tcPr>
          <w:p w14:paraId="3702E3C2">
            <w:pPr>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1</w:t>
            </w:r>
          </w:p>
        </w:tc>
        <w:tc>
          <w:tcPr>
            <w:tcW w:w="1582" w:type="dxa"/>
            <w:tcBorders>
              <w:top w:val="single" w:color="auto" w:sz="4" w:space="0"/>
              <w:left w:val="nil"/>
              <w:bottom w:val="single" w:color="auto" w:sz="4" w:space="0"/>
              <w:right w:val="single" w:color="auto" w:sz="4" w:space="0"/>
            </w:tcBorders>
            <w:vAlign w:val="center"/>
          </w:tcPr>
          <w:p w14:paraId="1857C6D7">
            <w:pPr>
              <w:jc w:val="center"/>
              <w:rPr>
                <w:rFonts w:ascii="仿宋_GB2312" w:hAnsi="仿宋" w:eastAsia="仿宋_GB2312"/>
                <w:color w:val="auto"/>
                <w:sz w:val="24"/>
                <w:highlight w:val="none"/>
              </w:rPr>
            </w:pPr>
          </w:p>
        </w:tc>
        <w:tc>
          <w:tcPr>
            <w:tcW w:w="1587" w:type="dxa"/>
            <w:tcBorders>
              <w:top w:val="single" w:color="auto" w:sz="4" w:space="0"/>
              <w:left w:val="nil"/>
              <w:bottom w:val="single" w:color="auto" w:sz="4" w:space="0"/>
              <w:right w:val="single" w:color="auto" w:sz="4" w:space="0"/>
            </w:tcBorders>
            <w:vAlign w:val="center"/>
          </w:tcPr>
          <w:p w14:paraId="3ADF9FF5">
            <w:pPr>
              <w:jc w:val="center"/>
              <w:rPr>
                <w:rFonts w:ascii="仿宋_GB2312" w:hAnsi="仿宋" w:eastAsia="仿宋_GB2312"/>
                <w:color w:val="auto"/>
                <w:sz w:val="24"/>
                <w:highlight w:val="none"/>
              </w:rPr>
            </w:pPr>
          </w:p>
        </w:tc>
        <w:tc>
          <w:tcPr>
            <w:tcW w:w="1427" w:type="dxa"/>
            <w:tcBorders>
              <w:top w:val="single" w:color="auto" w:sz="4" w:space="0"/>
              <w:left w:val="nil"/>
              <w:bottom w:val="single" w:color="auto" w:sz="4" w:space="0"/>
              <w:right w:val="single" w:color="auto" w:sz="4" w:space="0"/>
            </w:tcBorders>
            <w:vAlign w:val="center"/>
          </w:tcPr>
          <w:p w14:paraId="0448825E">
            <w:pPr>
              <w:jc w:val="center"/>
              <w:rPr>
                <w:rFonts w:ascii="仿宋_GB2312" w:hAnsi="仿宋" w:eastAsia="仿宋_GB2312"/>
                <w:color w:val="auto"/>
                <w:sz w:val="24"/>
                <w:highlight w:val="none"/>
              </w:rPr>
            </w:pPr>
          </w:p>
        </w:tc>
        <w:tc>
          <w:tcPr>
            <w:tcW w:w="1427" w:type="dxa"/>
            <w:tcBorders>
              <w:top w:val="single" w:color="auto" w:sz="4" w:space="0"/>
              <w:left w:val="nil"/>
              <w:bottom w:val="single" w:color="auto" w:sz="4" w:space="0"/>
              <w:right w:val="single" w:color="auto" w:sz="4" w:space="0"/>
            </w:tcBorders>
            <w:vAlign w:val="center"/>
          </w:tcPr>
          <w:p w14:paraId="60CCEED8">
            <w:pPr>
              <w:jc w:val="center"/>
              <w:rPr>
                <w:rFonts w:ascii="仿宋_GB2312" w:hAnsi="仿宋" w:eastAsia="仿宋_GB2312"/>
                <w:color w:val="auto"/>
                <w:sz w:val="24"/>
                <w:highlight w:val="none"/>
              </w:rPr>
            </w:pPr>
          </w:p>
        </w:tc>
        <w:tc>
          <w:tcPr>
            <w:tcW w:w="1344" w:type="dxa"/>
            <w:tcBorders>
              <w:top w:val="single" w:color="auto" w:sz="4" w:space="0"/>
              <w:left w:val="nil"/>
              <w:bottom w:val="single" w:color="auto" w:sz="4" w:space="0"/>
              <w:right w:val="single" w:color="auto" w:sz="4" w:space="0"/>
            </w:tcBorders>
            <w:vAlign w:val="center"/>
          </w:tcPr>
          <w:p w14:paraId="1DF1FB35">
            <w:pPr>
              <w:spacing w:line="360" w:lineRule="auto"/>
              <w:rPr>
                <w:rFonts w:ascii="仿宋_GB2312" w:hAnsi="仿宋" w:eastAsia="仿宋_GB2312"/>
                <w:color w:val="auto"/>
                <w:sz w:val="24"/>
                <w:highlight w:val="none"/>
              </w:rPr>
            </w:pPr>
          </w:p>
        </w:tc>
      </w:tr>
      <w:tr w14:paraId="3F763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tcBorders>
              <w:top w:val="single" w:color="auto" w:sz="4" w:space="0"/>
              <w:left w:val="single" w:color="auto" w:sz="4" w:space="0"/>
              <w:bottom w:val="single" w:color="auto" w:sz="4" w:space="0"/>
              <w:right w:val="single" w:color="auto" w:sz="4" w:space="0"/>
            </w:tcBorders>
            <w:vAlign w:val="center"/>
          </w:tcPr>
          <w:p w14:paraId="102228FE">
            <w:pPr>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2</w:t>
            </w:r>
          </w:p>
        </w:tc>
        <w:tc>
          <w:tcPr>
            <w:tcW w:w="1582" w:type="dxa"/>
            <w:tcBorders>
              <w:top w:val="single" w:color="auto" w:sz="4" w:space="0"/>
              <w:left w:val="nil"/>
              <w:bottom w:val="single" w:color="auto" w:sz="4" w:space="0"/>
              <w:right w:val="single" w:color="auto" w:sz="4" w:space="0"/>
            </w:tcBorders>
            <w:vAlign w:val="center"/>
          </w:tcPr>
          <w:p w14:paraId="561D41B0">
            <w:pPr>
              <w:jc w:val="center"/>
              <w:rPr>
                <w:rFonts w:ascii="仿宋_GB2312" w:hAnsi="仿宋" w:eastAsia="仿宋_GB2312"/>
                <w:color w:val="auto"/>
                <w:sz w:val="24"/>
                <w:highlight w:val="none"/>
              </w:rPr>
            </w:pPr>
          </w:p>
        </w:tc>
        <w:tc>
          <w:tcPr>
            <w:tcW w:w="1587" w:type="dxa"/>
            <w:tcBorders>
              <w:top w:val="single" w:color="auto" w:sz="4" w:space="0"/>
              <w:left w:val="nil"/>
              <w:bottom w:val="single" w:color="auto" w:sz="4" w:space="0"/>
              <w:right w:val="single" w:color="auto" w:sz="4" w:space="0"/>
            </w:tcBorders>
            <w:vAlign w:val="center"/>
          </w:tcPr>
          <w:p w14:paraId="081A0165">
            <w:pPr>
              <w:jc w:val="center"/>
              <w:rPr>
                <w:rFonts w:ascii="仿宋_GB2312" w:hAnsi="仿宋" w:eastAsia="仿宋_GB2312"/>
                <w:color w:val="auto"/>
                <w:sz w:val="24"/>
                <w:highlight w:val="none"/>
              </w:rPr>
            </w:pPr>
          </w:p>
        </w:tc>
        <w:tc>
          <w:tcPr>
            <w:tcW w:w="1427" w:type="dxa"/>
            <w:tcBorders>
              <w:top w:val="single" w:color="auto" w:sz="4" w:space="0"/>
              <w:left w:val="nil"/>
              <w:bottom w:val="single" w:color="auto" w:sz="4" w:space="0"/>
              <w:right w:val="single" w:color="auto" w:sz="4" w:space="0"/>
            </w:tcBorders>
            <w:vAlign w:val="center"/>
          </w:tcPr>
          <w:p w14:paraId="62D128AE">
            <w:pPr>
              <w:jc w:val="center"/>
              <w:rPr>
                <w:rFonts w:ascii="仿宋_GB2312" w:hAnsi="仿宋" w:eastAsia="仿宋_GB2312"/>
                <w:color w:val="auto"/>
                <w:sz w:val="24"/>
                <w:highlight w:val="none"/>
              </w:rPr>
            </w:pPr>
          </w:p>
        </w:tc>
        <w:tc>
          <w:tcPr>
            <w:tcW w:w="1427" w:type="dxa"/>
            <w:tcBorders>
              <w:top w:val="single" w:color="auto" w:sz="4" w:space="0"/>
              <w:left w:val="nil"/>
              <w:bottom w:val="single" w:color="auto" w:sz="4" w:space="0"/>
              <w:right w:val="single" w:color="auto" w:sz="4" w:space="0"/>
            </w:tcBorders>
            <w:vAlign w:val="center"/>
          </w:tcPr>
          <w:p w14:paraId="45A966CF">
            <w:pPr>
              <w:jc w:val="center"/>
              <w:rPr>
                <w:rFonts w:ascii="仿宋_GB2312" w:hAnsi="仿宋" w:eastAsia="仿宋_GB2312"/>
                <w:color w:val="auto"/>
                <w:sz w:val="24"/>
                <w:highlight w:val="none"/>
              </w:rPr>
            </w:pPr>
          </w:p>
        </w:tc>
        <w:tc>
          <w:tcPr>
            <w:tcW w:w="1344" w:type="dxa"/>
            <w:tcBorders>
              <w:top w:val="single" w:color="auto" w:sz="4" w:space="0"/>
              <w:left w:val="nil"/>
              <w:bottom w:val="single" w:color="auto" w:sz="4" w:space="0"/>
              <w:right w:val="single" w:color="auto" w:sz="4" w:space="0"/>
            </w:tcBorders>
            <w:vAlign w:val="center"/>
          </w:tcPr>
          <w:p w14:paraId="2FEBF62B">
            <w:pPr>
              <w:spacing w:line="360" w:lineRule="auto"/>
              <w:rPr>
                <w:rFonts w:ascii="仿宋_GB2312" w:hAnsi="仿宋" w:eastAsia="仿宋_GB2312"/>
                <w:color w:val="auto"/>
                <w:sz w:val="24"/>
                <w:highlight w:val="none"/>
              </w:rPr>
            </w:pPr>
          </w:p>
        </w:tc>
      </w:tr>
      <w:tr w14:paraId="3BA96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tcBorders>
              <w:top w:val="single" w:color="auto" w:sz="4" w:space="0"/>
              <w:left w:val="single" w:color="auto" w:sz="4" w:space="0"/>
              <w:bottom w:val="single" w:color="auto" w:sz="4" w:space="0"/>
              <w:right w:val="single" w:color="auto" w:sz="4" w:space="0"/>
            </w:tcBorders>
            <w:vAlign w:val="center"/>
          </w:tcPr>
          <w:p w14:paraId="45FF5D3B">
            <w:pPr>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3</w:t>
            </w:r>
          </w:p>
        </w:tc>
        <w:tc>
          <w:tcPr>
            <w:tcW w:w="1582" w:type="dxa"/>
            <w:tcBorders>
              <w:top w:val="single" w:color="auto" w:sz="4" w:space="0"/>
              <w:left w:val="nil"/>
              <w:bottom w:val="single" w:color="auto" w:sz="4" w:space="0"/>
              <w:right w:val="single" w:color="auto" w:sz="4" w:space="0"/>
            </w:tcBorders>
            <w:vAlign w:val="center"/>
          </w:tcPr>
          <w:p w14:paraId="172ADFA6">
            <w:pPr>
              <w:jc w:val="center"/>
              <w:rPr>
                <w:rFonts w:ascii="仿宋_GB2312" w:hAnsi="仿宋" w:eastAsia="仿宋_GB2312"/>
                <w:color w:val="auto"/>
                <w:sz w:val="24"/>
                <w:highlight w:val="none"/>
              </w:rPr>
            </w:pPr>
          </w:p>
        </w:tc>
        <w:tc>
          <w:tcPr>
            <w:tcW w:w="1587" w:type="dxa"/>
            <w:tcBorders>
              <w:top w:val="single" w:color="auto" w:sz="4" w:space="0"/>
              <w:left w:val="nil"/>
              <w:bottom w:val="single" w:color="auto" w:sz="4" w:space="0"/>
              <w:right w:val="single" w:color="auto" w:sz="4" w:space="0"/>
            </w:tcBorders>
            <w:vAlign w:val="center"/>
          </w:tcPr>
          <w:p w14:paraId="1BCFF286">
            <w:pPr>
              <w:jc w:val="center"/>
              <w:rPr>
                <w:rFonts w:ascii="仿宋_GB2312" w:hAnsi="仿宋" w:eastAsia="仿宋_GB2312"/>
                <w:color w:val="auto"/>
                <w:sz w:val="24"/>
                <w:highlight w:val="none"/>
              </w:rPr>
            </w:pPr>
          </w:p>
        </w:tc>
        <w:tc>
          <w:tcPr>
            <w:tcW w:w="1427" w:type="dxa"/>
            <w:tcBorders>
              <w:top w:val="single" w:color="auto" w:sz="4" w:space="0"/>
              <w:left w:val="nil"/>
              <w:bottom w:val="single" w:color="auto" w:sz="4" w:space="0"/>
              <w:right w:val="single" w:color="auto" w:sz="4" w:space="0"/>
            </w:tcBorders>
            <w:vAlign w:val="center"/>
          </w:tcPr>
          <w:p w14:paraId="43B1B9A1">
            <w:pPr>
              <w:jc w:val="center"/>
              <w:rPr>
                <w:rFonts w:ascii="仿宋_GB2312" w:hAnsi="仿宋" w:eastAsia="仿宋_GB2312"/>
                <w:color w:val="auto"/>
                <w:sz w:val="24"/>
                <w:highlight w:val="none"/>
              </w:rPr>
            </w:pPr>
          </w:p>
        </w:tc>
        <w:tc>
          <w:tcPr>
            <w:tcW w:w="1427" w:type="dxa"/>
            <w:tcBorders>
              <w:top w:val="single" w:color="auto" w:sz="4" w:space="0"/>
              <w:left w:val="nil"/>
              <w:bottom w:val="single" w:color="auto" w:sz="4" w:space="0"/>
              <w:right w:val="single" w:color="auto" w:sz="4" w:space="0"/>
            </w:tcBorders>
            <w:vAlign w:val="center"/>
          </w:tcPr>
          <w:p w14:paraId="1AD9E10B">
            <w:pPr>
              <w:jc w:val="center"/>
              <w:rPr>
                <w:rFonts w:ascii="仿宋_GB2312" w:hAnsi="仿宋" w:eastAsia="仿宋_GB2312"/>
                <w:color w:val="auto"/>
                <w:sz w:val="24"/>
                <w:highlight w:val="none"/>
              </w:rPr>
            </w:pPr>
          </w:p>
        </w:tc>
        <w:tc>
          <w:tcPr>
            <w:tcW w:w="1344" w:type="dxa"/>
            <w:tcBorders>
              <w:top w:val="single" w:color="auto" w:sz="4" w:space="0"/>
              <w:left w:val="nil"/>
              <w:bottom w:val="single" w:color="auto" w:sz="4" w:space="0"/>
              <w:right w:val="single" w:color="auto" w:sz="4" w:space="0"/>
            </w:tcBorders>
            <w:vAlign w:val="center"/>
          </w:tcPr>
          <w:p w14:paraId="24C46960">
            <w:pPr>
              <w:spacing w:line="360" w:lineRule="auto"/>
              <w:rPr>
                <w:rFonts w:ascii="仿宋_GB2312" w:hAnsi="仿宋" w:eastAsia="仿宋_GB2312"/>
                <w:color w:val="auto"/>
                <w:sz w:val="24"/>
                <w:highlight w:val="none"/>
              </w:rPr>
            </w:pPr>
          </w:p>
        </w:tc>
      </w:tr>
      <w:tr w14:paraId="664FE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tcBorders>
              <w:top w:val="single" w:color="auto" w:sz="4" w:space="0"/>
              <w:left w:val="single" w:color="auto" w:sz="4" w:space="0"/>
              <w:bottom w:val="single" w:color="auto" w:sz="4" w:space="0"/>
              <w:right w:val="single" w:color="auto" w:sz="4" w:space="0"/>
            </w:tcBorders>
            <w:vAlign w:val="center"/>
          </w:tcPr>
          <w:p w14:paraId="3E29F9F7">
            <w:pPr>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w:t>
            </w:r>
          </w:p>
        </w:tc>
        <w:tc>
          <w:tcPr>
            <w:tcW w:w="1582" w:type="dxa"/>
            <w:tcBorders>
              <w:top w:val="single" w:color="auto" w:sz="4" w:space="0"/>
              <w:left w:val="nil"/>
              <w:bottom w:val="single" w:color="auto" w:sz="4" w:space="0"/>
              <w:right w:val="single" w:color="auto" w:sz="4" w:space="0"/>
            </w:tcBorders>
            <w:vAlign w:val="center"/>
          </w:tcPr>
          <w:p w14:paraId="54345A96">
            <w:pPr>
              <w:jc w:val="center"/>
              <w:rPr>
                <w:rFonts w:ascii="仿宋_GB2312" w:hAnsi="仿宋" w:eastAsia="仿宋_GB2312"/>
                <w:color w:val="auto"/>
                <w:sz w:val="24"/>
                <w:highlight w:val="none"/>
              </w:rPr>
            </w:pPr>
          </w:p>
        </w:tc>
        <w:tc>
          <w:tcPr>
            <w:tcW w:w="1587" w:type="dxa"/>
            <w:tcBorders>
              <w:top w:val="single" w:color="auto" w:sz="4" w:space="0"/>
              <w:left w:val="nil"/>
              <w:bottom w:val="single" w:color="auto" w:sz="4" w:space="0"/>
              <w:right w:val="single" w:color="auto" w:sz="4" w:space="0"/>
            </w:tcBorders>
            <w:vAlign w:val="center"/>
          </w:tcPr>
          <w:p w14:paraId="036ED1B3">
            <w:pPr>
              <w:jc w:val="center"/>
              <w:rPr>
                <w:rFonts w:ascii="仿宋_GB2312" w:hAnsi="仿宋" w:eastAsia="仿宋_GB2312"/>
                <w:color w:val="auto"/>
                <w:sz w:val="24"/>
                <w:highlight w:val="none"/>
              </w:rPr>
            </w:pPr>
          </w:p>
        </w:tc>
        <w:tc>
          <w:tcPr>
            <w:tcW w:w="1427" w:type="dxa"/>
            <w:tcBorders>
              <w:top w:val="single" w:color="auto" w:sz="4" w:space="0"/>
              <w:left w:val="nil"/>
              <w:bottom w:val="single" w:color="auto" w:sz="4" w:space="0"/>
              <w:right w:val="single" w:color="auto" w:sz="4" w:space="0"/>
            </w:tcBorders>
            <w:vAlign w:val="center"/>
          </w:tcPr>
          <w:p w14:paraId="1B93E797">
            <w:pPr>
              <w:jc w:val="center"/>
              <w:rPr>
                <w:rFonts w:ascii="仿宋_GB2312" w:hAnsi="仿宋" w:eastAsia="仿宋_GB2312"/>
                <w:color w:val="auto"/>
                <w:sz w:val="24"/>
                <w:highlight w:val="none"/>
              </w:rPr>
            </w:pPr>
          </w:p>
        </w:tc>
        <w:tc>
          <w:tcPr>
            <w:tcW w:w="1427" w:type="dxa"/>
            <w:tcBorders>
              <w:top w:val="single" w:color="auto" w:sz="4" w:space="0"/>
              <w:left w:val="nil"/>
              <w:bottom w:val="single" w:color="auto" w:sz="4" w:space="0"/>
              <w:right w:val="single" w:color="auto" w:sz="4" w:space="0"/>
            </w:tcBorders>
            <w:vAlign w:val="center"/>
          </w:tcPr>
          <w:p w14:paraId="16A5F096">
            <w:pPr>
              <w:jc w:val="center"/>
              <w:rPr>
                <w:rFonts w:ascii="仿宋_GB2312" w:hAnsi="仿宋" w:eastAsia="仿宋_GB2312"/>
                <w:color w:val="auto"/>
                <w:sz w:val="24"/>
                <w:highlight w:val="none"/>
              </w:rPr>
            </w:pPr>
          </w:p>
        </w:tc>
        <w:tc>
          <w:tcPr>
            <w:tcW w:w="1344" w:type="dxa"/>
            <w:tcBorders>
              <w:top w:val="single" w:color="auto" w:sz="4" w:space="0"/>
              <w:left w:val="nil"/>
              <w:bottom w:val="single" w:color="auto" w:sz="4" w:space="0"/>
              <w:right w:val="single" w:color="auto" w:sz="4" w:space="0"/>
            </w:tcBorders>
            <w:vAlign w:val="center"/>
          </w:tcPr>
          <w:p w14:paraId="10F71FED">
            <w:pPr>
              <w:spacing w:line="360" w:lineRule="auto"/>
              <w:rPr>
                <w:rFonts w:ascii="仿宋_GB2312" w:hAnsi="仿宋" w:eastAsia="仿宋_GB2312"/>
                <w:color w:val="auto"/>
                <w:sz w:val="24"/>
                <w:highlight w:val="none"/>
              </w:rPr>
            </w:pPr>
          </w:p>
        </w:tc>
      </w:tr>
      <w:tr w14:paraId="27574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8320" w:type="dxa"/>
            <w:gridSpan w:val="6"/>
            <w:tcBorders>
              <w:top w:val="single" w:color="auto" w:sz="4" w:space="0"/>
              <w:left w:val="single" w:color="auto" w:sz="4" w:space="0"/>
              <w:bottom w:val="single" w:color="auto" w:sz="4" w:space="0"/>
              <w:right w:val="single" w:color="auto" w:sz="4" w:space="0"/>
            </w:tcBorders>
            <w:vAlign w:val="center"/>
          </w:tcPr>
          <w:p w14:paraId="66F78588">
            <w:pPr>
              <w:ind w:firstLine="480" w:firstLineChars="200"/>
              <w:jc w:val="left"/>
              <w:rPr>
                <w:rFonts w:ascii="仿宋_GB2312" w:hAnsi="仿宋" w:eastAsia="仿宋_GB2312"/>
                <w:color w:val="auto"/>
                <w:sz w:val="24"/>
                <w:highlight w:val="none"/>
              </w:rPr>
            </w:pPr>
            <w:r>
              <w:rPr>
                <w:rFonts w:hint="eastAsia" w:ascii="仿宋_GB2312" w:hAnsi="仿宋" w:eastAsia="仿宋_GB2312"/>
                <w:b/>
                <w:color w:val="auto"/>
                <w:sz w:val="24"/>
                <w:highlight w:val="none"/>
              </w:rPr>
              <w:t>响应文件中所提供的以上产品为我公司生产的产品，如有虚假，我公司承担由此产生的一切后果。</w:t>
            </w:r>
          </w:p>
        </w:tc>
      </w:tr>
    </w:tbl>
    <w:p w14:paraId="23B8259A">
      <w:pPr>
        <w:adjustRightInd w:val="0"/>
        <w:snapToGrid w:val="0"/>
        <w:spacing w:before="159" w:beforeLines="50" w:line="360" w:lineRule="auto"/>
        <w:ind w:right="105" w:rightChars="50"/>
        <w:jc w:val="left"/>
        <w:rPr>
          <w:rFonts w:ascii="仿宋_GB2312" w:hAnsi="仿宋" w:eastAsia="仿宋_GB2312"/>
          <w:color w:val="auto"/>
          <w:sz w:val="24"/>
          <w:highlight w:val="none"/>
        </w:rPr>
      </w:pPr>
      <w:r>
        <w:rPr>
          <w:rFonts w:hint="eastAsia" w:ascii="仿宋_GB2312" w:hAnsi="仿宋" w:eastAsia="仿宋_GB2312"/>
          <w:color w:val="auto"/>
          <w:sz w:val="24"/>
          <w:highlight w:val="none"/>
        </w:rPr>
        <w:t>注：1.供应商为非残疾人福利性单位的，无需填写此声明函。</w:t>
      </w:r>
    </w:p>
    <w:p w14:paraId="42BB0A03">
      <w:pPr>
        <w:adjustRightInd w:val="0"/>
        <w:snapToGrid w:val="0"/>
        <w:spacing w:line="360" w:lineRule="auto"/>
        <w:ind w:right="105" w:rightChars="50" w:firstLine="480" w:firstLineChars="200"/>
        <w:jc w:val="left"/>
        <w:rPr>
          <w:rFonts w:ascii="仿宋_GB2312" w:hAnsi="仿宋" w:eastAsia="仿宋_GB2312"/>
          <w:color w:val="auto"/>
          <w:sz w:val="24"/>
          <w:highlight w:val="none"/>
        </w:rPr>
      </w:pPr>
      <w:r>
        <w:rPr>
          <w:rFonts w:hint="eastAsia" w:ascii="仿宋_GB2312" w:hAnsi="仿宋" w:eastAsia="仿宋_GB2312"/>
          <w:color w:val="auto"/>
          <w:sz w:val="24"/>
          <w:highlight w:val="none"/>
        </w:rPr>
        <w:t>2.仅为本项目提供服务，未提供服务所伴随产品的，此表格可不填写。</w:t>
      </w:r>
    </w:p>
    <w:p w14:paraId="1D6093E5">
      <w:pPr>
        <w:adjustRightInd w:val="0"/>
        <w:snapToGrid w:val="0"/>
        <w:spacing w:line="360" w:lineRule="auto"/>
        <w:ind w:right="105" w:rightChars="50" w:firstLine="480" w:firstLineChars="200"/>
        <w:jc w:val="left"/>
        <w:rPr>
          <w:rFonts w:ascii="仿宋_GB2312" w:hAnsi="仿宋" w:eastAsia="仿宋_GB2312"/>
          <w:color w:val="auto"/>
          <w:sz w:val="24"/>
          <w:highlight w:val="none"/>
        </w:rPr>
      </w:pPr>
      <w:r>
        <w:rPr>
          <w:rFonts w:hint="eastAsia" w:ascii="仿宋_GB2312" w:hAnsi="仿宋" w:eastAsia="仿宋_GB2312"/>
          <w:color w:val="auto"/>
          <w:sz w:val="24"/>
          <w:highlight w:val="none"/>
        </w:rPr>
        <w:t>3.如为本项目提供本单位伴随产品的，请填写此表格。</w:t>
      </w:r>
    </w:p>
    <w:p w14:paraId="7D81AFCD">
      <w:pPr>
        <w:adjustRightInd w:val="0"/>
        <w:snapToGrid w:val="0"/>
        <w:spacing w:line="360" w:lineRule="auto"/>
        <w:ind w:right="105" w:rightChars="50" w:firstLine="480" w:firstLineChars="200"/>
        <w:jc w:val="left"/>
        <w:rPr>
          <w:rFonts w:ascii="仿宋_GB2312" w:hAnsi="仿宋" w:eastAsia="仿宋_GB2312"/>
          <w:color w:val="auto"/>
          <w:sz w:val="24"/>
          <w:highlight w:val="none"/>
        </w:rPr>
      </w:pPr>
      <w:r>
        <w:rPr>
          <w:rFonts w:hint="eastAsia" w:ascii="仿宋_GB2312" w:hAnsi="仿宋" w:eastAsia="仿宋_GB2312"/>
          <w:color w:val="auto"/>
          <w:sz w:val="24"/>
          <w:highlight w:val="none"/>
        </w:rPr>
        <w:t>4.如为本项目提供的伴随产品是其他单位生产的，无需填写此表格，但需生产单位按此格式出具此声明。</w:t>
      </w:r>
    </w:p>
    <w:p w14:paraId="59496AC3">
      <w:pPr>
        <w:adjustRightInd w:val="0"/>
        <w:snapToGrid w:val="0"/>
        <w:spacing w:line="360" w:lineRule="auto"/>
        <w:ind w:right="105" w:rightChars="50"/>
        <w:jc w:val="left"/>
        <w:rPr>
          <w:rFonts w:ascii="仿宋_GB2312" w:hAnsi="仿宋" w:eastAsia="仿宋_GB2312"/>
          <w:color w:val="auto"/>
          <w:sz w:val="24"/>
          <w:highlight w:val="none"/>
        </w:rPr>
      </w:pPr>
      <w:r>
        <w:rPr>
          <w:rFonts w:hint="eastAsia" w:ascii="仿宋_GB2312" w:hAnsi="仿宋" w:eastAsia="仿宋_GB2312"/>
          <w:color w:val="auto"/>
          <w:sz w:val="24"/>
          <w:highlight w:val="none"/>
        </w:rPr>
        <w:t xml:space="preserve"> </w:t>
      </w:r>
    </w:p>
    <w:p w14:paraId="1F1FCB6C">
      <w:pPr>
        <w:pStyle w:val="7"/>
        <w:rPr>
          <w:color w:val="auto"/>
          <w:highlight w:val="none"/>
        </w:rPr>
      </w:pPr>
      <w:r>
        <w:rPr>
          <w:color w:val="auto"/>
          <w:highlight w:val="none"/>
        </w:rPr>
        <w:t xml:space="preserve"> </w:t>
      </w:r>
    </w:p>
    <w:p w14:paraId="57D5A09E">
      <w:pPr>
        <w:pStyle w:val="7"/>
        <w:rPr>
          <w:color w:val="auto"/>
          <w:highlight w:val="none"/>
        </w:rPr>
      </w:pPr>
      <w:r>
        <w:rPr>
          <w:rFonts w:hint="eastAsia"/>
          <w:color w:val="auto"/>
          <w:highlight w:val="none"/>
        </w:rPr>
        <w:t xml:space="preserve"> </w:t>
      </w:r>
    </w:p>
    <w:p w14:paraId="121D5FA3">
      <w:pPr>
        <w:adjustRightInd w:val="0"/>
        <w:snapToGrid w:val="0"/>
        <w:spacing w:line="480" w:lineRule="auto"/>
        <w:ind w:right="105" w:rightChars="50"/>
        <w:jc w:val="left"/>
        <w:rPr>
          <w:rFonts w:ascii="仿宋_GB2312" w:hAnsi="仿宋" w:eastAsia="仿宋_GB2312"/>
          <w:color w:val="auto"/>
          <w:sz w:val="24"/>
          <w:highlight w:val="none"/>
        </w:rPr>
      </w:pPr>
      <w:r>
        <w:rPr>
          <w:rFonts w:hint="eastAsia" w:ascii="仿宋_GB2312" w:hAnsi="仿宋" w:eastAsia="仿宋_GB2312"/>
          <w:color w:val="auto"/>
          <w:sz w:val="24"/>
          <w:highlight w:val="none"/>
        </w:rPr>
        <w:t>供应商名称（加盖单位公章）：</w:t>
      </w:r>
      <w:r>
        <w:rPr>
          <w:rFonts w:hint="eastAsia" w:ascii="仿宋_GB2312" w:hAnsi="仿宋" w:eastAsia="仿宋_GB2312"/>
          <w:color w:val="auto"/>
          <w:sz w:val="24"/>
          <w:highlight w:val="none"/>
          <w:u w:val="single"/>
        </w:rPr>
        <w:t xml:space="preserve">               </w:t>
      </w:r>
    </w:p>
    <w:p w14:paraId="282F18E3">
      <w:pPr>
        <w:rPr>
          <w:rFonts w:ascii="宋体" w:hAnsi="宋体" w:eastAsia="宋体"/>
          <w:color w:val="auto"/>
          <w:szCs w:val="21"/>
          <w:highlight w:val="none"/>
        </w:rPr>
      </w:pPr>
      <w:r>
        <w:rPr>
          <w:rFonts w:hint="eastAsia" w:ascii="仿宋_GB2312" w:hAnsi="仿宋" w:eastAsia="仿宋_GB2312"/>
          <w:color w:val="auto"/>
          <w:sz w:val="24"/>
          <w:highlight w:val="none"/>
        </w:rPr>
        <w:t>日     期：</w:t>
      </w:r>
      <w:r>
        <w:rPr>
          <w:rFonts w:hint="eastAsia" w:ascii="仿宋_GB2312" w:hAnsi="仿宋" w:eastAsia="仿宋_GB2312"/>
          <w:color w:val="auto"/>
          <w:sz w:val="24"/>
          <w:highlight w:val="none"/>
          <w:u w:val="single"/>
        </w:rPr>
        <w:t xml:space="preserve">               </w:t>
      </w:r>
      <w:r>
        <w:rPr>
          <w:rFonts w:hint="eastAsia"/>
          <w:color w:val="auto"/>
          <w:highlight w:val="none"/>
        </w:rPr>
        <w:t xml:space="preserve"> </w:t>
      </w:r>
    </w:p>
    <w:p w14:paraId="601E93B7">
      <w:pPr>
        <w:pStyle w:val="3"/>
        <w:adjustRightInd w:val="0"/>
        <w:snapToGrid w:val="0"/>
        <w:spacing w:before="0" w:after="0" w:line="240" w:lineRule="auto"/>
        <w:jc w:val="left"/>
        <w:rPr>
          <w:rFonts w:ascii="仿宋_GB2312" w:hAnsi="仿宋" w:eastAsia="仿宋_GB2312" w:cs="仿宋_GB2312"/>
          <w:color w:val="auto"/>
          <w:szCs w:val="28"/>
          <w:highlight w:val="none"/>
        </w:rPr>
        <w:sectPr>
          <w:pgSz w:w="11906" w:h="16838"/>
          <w:pgMar w:top="1468" w:right="1803" w:bottom="1418" w:left="1803" w:header="851" w:footer="1024" w:gutter="0"/>
          <w:cols w:space="720" w:num="1"/>
          <w:docGrid w:type="linesAndChars" w:linePitch="319" w:charSpace="0"/>
        </w:sectPr>
      </w:pPr>
    </w:p>
    <w:p w14:paraId="6F2C9235">
      <w:pPr>
        <w:pStyle w:val="3"/>
        <w:adjustRightInd w:val="0"/>
        <w:snapToGrid w:val="0"/>
        <w:spacing w:before="0" w:after="0" w:line="240" w:lineRule="auto"/>
        <w:jc w:val="left"/>
        <w:rPr>
          <w:rFonts w:ascii="仿宋_GB2312" w:hAnsi="仿宋" w:eastAsia="仿宋_GB2312" w:cs="仿宋_GB2312"/>
          <w:color w:val="auto"/>
          <w:szCs w:val="28"/>
          <w:highlight w:val="none"/>
        </w:rPr>
      </w:pPr>
      <w:r>
        <w:rPr>
          <w:rFonts w:hint="eastAsia" w:ascii="仿宋_GB2312" w:hAnsi="仿宋" w:eastAsia="仿宋_GB2312" w:cs="仿宋_GB2312"/>
          <w:color w:val="auto"/>
          <w:szCs w:val="28"/>
          <w:highlight w:val="none"/>
        </w:rPr>
        <w:t>格式20</w:t>
      </w:r>
    </w:p>
    <w:p w14:paraId="08C598F0">
      <w:pPr>
        <w:snapToGrid w:val="0"/>
        <w:spacing w:line="360" w:lineRule="auto"/>
        <w:ind w:right="-21" w:rightChars="-10"/>
        <w:jc w:val="center"/>
        <w:rPr>
          <w:rFonts w:ascii="方正小标宋简体" w:hAnsi="仿宋_GB2312" w:eastAsia="方正小标宋简体" w:cs="仿宋_GB2312"/>
          <w:color w:val="auto"/>
          <w:sz w:val="32"/>
          <w:szCs w:val="32"/>
          <w:highlight w:val="none"/>
        </w:rPr>
      </w:pPr>
      <w:r>
        <w:rPr>
          <w:rFonts w:hint="eastAsia" w:ascii="方正小标宋简体" w:hAnsi="仿宋_GB2312" w:eastAsia="方正小标宋简体" w:cs="仿宋_GB2312"/>
          <w:color w:val="auto"/>
          <w:sz w:val="32"/>
          <w:szCs w:val="32"/>
          <w:highlight w:val="none"/>
        </w:rPr>
        <w:t>承 诺 书（如有）</w:t>
      </w:r>
    </w:p>
    <w:p w14:paraId="7D6477B1">
      <w:pPr>
        <w:snapToGrid w:val="0"/>
        <w:spacing w:line="540" w:lineRule="exact"/>
        <w:ind w:firstLine="480" w:firstLineChars="200"/>
        <w:rPr>
          <w:rFonts w:ascii="仿宋_GB2312" w:hAnsi="仿宋" w:eastAsia="仿宋_GB2312" w:cs="仿宋"/>
          <w:bCs/>
          <w:color w:val="auto"/>
          <w:sz w:val="24"/>
          <w:highlight w:val="none"/>
        </w:rPr>
      </w:pPr>
      <w:r>
        <w:rPr>
          <w:rFonts w:hint="eastAsia" w:ascii="仿宋_GB2312" w:hAnsi="仿宋" w:eastAsia="仿宋_GB2312" w:cs="仿宋"/>
          <w:bCs/>
          <w:color w:val="auto"/>
          <w:sz w:val="24"/>
          <w:highlight w:val="none"/>
          <w:u w:val="single"/>
        </w:rPr>
        <w:t xml:space="preserve">    </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u w:val="single"/>
        </w:rPr>
        <w:t xml:space="preserve">    公司名称</w:t>
      </w:r>
      <w:r>
        <w:rPr>
          <w:rFonts w:hint="eastAsia" w:ascii="仿宋_GB2312" w:hAnsi="仿宋" w:eastAsia="仿宋_GB2312" w:cs="仿宋"/>
          <w:bCs/>
          <w:color w:val="auto"/>
          <w:sz w:val="24"/>
          <w:highlight w:val="none"/>
        </w:rPr>
        <w:t>（以下简称“我公司”），就在(项目编号：</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rPr>
        <w:t>）中提供的投标保证保险凭证/保函(编号:</w:t>
      </w:r>
      <w:r>
        <w:rPr>
          <w:rFonts w:hint="eastAsia" w:ascii="仿宋_GB2312" w:hAnsi="仿宋" w:eastAsia="仿宋_GB2312" w:cs="仿宋"/>
          <w:bCs/>
          <w:color w:val="auto"/>
          <w:sz w:val="24"/>
          <w:highlight w:val="none"/>
          <w:u w:val="single"/>
        </w:rPr>
        <w:t xml:space="preserve"> </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rPr>
        <w:t>)有效性作出如下承诺：</w:t>
      </w:r>
    </w:p>
    <w:p w14:paraId="2C429FDA">
      <w:pPr>
        <w:snapToGrid w:val="0"/>
        <w:spacing w:line="540" w:lineRule="exact"/>
        <w:ind w:firstLine="480" w:firstLineChars="200"/>
        <w:rPr>
          <w:rFonts w:ascii="仿宋_GB2312" w:hAnsi="仿宋" w:eastAsia="仿宋_GB2312" w:cs="仿宋"/>
          <w:bCs/>
          <w:color w:val="auto"/>
          <w:sz w:val="24"/>
          <w:highlight w:val="none"/>
        </w:rPr>
      </w:pPr>
      <w:r>
        <w:rPr>
          <w:rFonts w:hint="eastAsia" w:ascii="仿宋_GB2312" w:hAnsi="仿宋" w:eastAsia="仿宋_GB2312" w:cs="仿宋"/>
          <w:bCs/>
          <w:color w:val="auto"/>
          <w:sz w:val="24"/>
          <w:highlight w:val="none"/>
        </w:rPr>
        <w:t>一、鉴于我公司于</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u w:val="single"/>
        </w:rPr>
        <w:t>年</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u w:val="single"/>
        </w:rPr>
        <w:t>月</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u w:val="single"/>
        </w:rPr>
        <w:t>日</w:t>
      </w:r>
      <w:r>
        <w:rPr>
          <w:rFonts w:hint="eastAsia" w:ascii="仿宋_GB2312" w:hAnsi="仿宋" w:eastAsia="仿宋_GB2312" w:cs="仿宋"/>
          <w:bCs/>
          <w:color w:val="auto"/>
          <w:sz w:val="24"/>
          <w:highlight w:val="none"/>
        </w:rPr>
        <w:t>参加</w:t>
      </w:r>
      <w:r>
        <w:rPr>
          <w:rFonts w:hint="eastAsia" w:ascii="仿宋_GB2312" w:hAnsi="仿宋" w:eastAsia="仿宋_GB2312" w:cs="仿宋"/>
          <w:bCs/>
          <w:color w:val="auto"/>
          <w:sz w:val="24"/>
          <w:highlight w:val="none"/>
          <w:u w:val="single"/>
        </w:rPr>
        <w:t xml:space="preserve"> </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u w:val="single"/>
        </w:rPr>
        <w:t>(项目编号：</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rPr>
        <w:t>）项目的投标，</w:t>
      </w:r>
      <w:r>
        <w:rPr>
          <w:rFonts w:hint="eastAsia"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rPr>
        <w:t>(金融机构)根据采购文件的要求已经为我公司出具该项目投标保证保险凭证/保函 。</w:t>
      </w:r>
    </w:p>
    <w:p w14:paraId="67A30EA3">
      <w:pPr>
        <w:snapToGrid w:val="0"/>
        <w:spacing w:line="540" w:lineRule="exact"/>
        <w:ind w:firstLine="480" w:firstLineChars="200"/>
        <w:rPr>
          <w:rFonts w:ascii="仿宋_GB2312" w:hAnsi="仿宋" w:eastAsia="仿宋_GB2312" w:cs="仿宋"/>
          <w:bCs/>
          <w:color w:val="auto"/>
          <w:sz w:val="24"/>
          <w:highlight w:val="none"/>
        </w:rPr>
      </w:pPr>
      <w:r>
        <w:rPr>
          <w:rFonts w:hint="eastAsia" w:ascii="仿宋_GB2312" w:hAnsi="仿宋" w:eastAsia="仿宋_GB2312" w:cs="仿宋"/>
          <w:bCs/>
          <w:color w:val="auto"/>
          <w:sz w:val="24"/>
          <w:highlight w:val="none"/>
        </w:rPr>
        <w:t>二、</w:t>
      </w:r>
      <w:bookmarkStart w:id="134" w:name="_Hlk83746627"/>
      <w:r>
        <w:rPr>
          <w:rFonts w:hint="eastAsia" w:ascii="仿宋_GB2312" w:hAnsi="仿宋" w:eastAsia="仿宋_GB2312" w:cs="仿宋"/>
          <w:bCs/>
          <w:color w:val="auto"/>
          <w:sz w:val="24"/>
          <w:highlight w:val="none"/>
          <w:u w:val="single"/>
        </w:rPr>
        <w:t xml:space="preserve"> </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u w:val="single"/>
        </w:rPr>
        <w:t>(项目编号：</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u w:val="single"/>
        </w:rPr>
        <w:t>）</w:t>
      </w:r>
      <w:bookmarkEnd w:id="134"/>
      <w:r>
        <w:rPr>
          <w:rFonts w:hint="eastAsia" w:ascii="仿宋_GB2312" w:hAnsi="仿宋" w:eastAsia="仿宋_GB2312" w:cs="仿宋"/>
          <w:bCs/>
          <w:color w:val="auto"/>
          <w:sz w:val="24"/>
          <w:highlight w:val="none"/>
        </w:rPr>
        <w:t>项目投标保证保险凭证/保函，保险有效期为</w:t>
      </w:r>
      <w:r>
        <w:rPr>
          <w:rFonts w:hint="eastAsia" w:ascii="仿宋_GB2312" w:hAnsi="仿宋" w:eastAsia="仿宋_GB2312" w:cs="仿宋"/>
          <w:bCs/>
          <w:color w:val="auto"/>
          <w:sz w:val="24"/>
          <w:highlight w:val="none"/>
          <w:u w:val="single"/>
        </w:rPr>
        <w:t xml:space="preserve">  </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rPr>
        <w:t>年</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rPr>
        <w:t>月</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rPr>
        <w:t>日起至</w:t>
      </w:r>
      <w:r>
        <w:rPr>
          <w:rFonts w:hint="eastAsia" w:ascii="仿宋_GB2312" w:hAnsi="仿宋" w:eastAsia="仿宋_GB2312" w:cs="仿宋"/>
          <w:bCs/>
          <w:color w:val="auto"/>
          <w:sz w:val="24"/>
          <w:highlight w:val="none"/>
          <w:u w:val="single"/>
        </w:rPr>
        <w:t xml:space="preserve">  </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rPr>
        <w:t>年</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rPr>
        <w:t>月</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rPr>
        <w:t>日止。</w:t>
      </w:r>
    </w:p>
    <w:p w14:paraId="5FC5ED25">
      <w:pPr>
        <w:snapToGrid w:val="0"/>
        <w:spacing w:line="540" w:lineRule="exact"/>
        <w:ind w:firstLine="480" w:firstLineChars="200"/>
        <w:rPr>
          <w:rFonts w:ascii="仿宋_GB2312" w:hAnsi="仿宋" w:eastAsia="仿宋_GB2312" w:cs="仿宋"/>
          <w:bCs/>
          <w:color w:val="auto"/>
          <w:sz w:val="24"/>
          <w:highlight w:val="none"/>
        </w:rPr>
      </w:pPr>
      <w:r>
        <w:rPr>
          <w:rFonts w:hint="eastAsia" w:ascii="仿宋_GB2312" w:hAnsi="仿宋" w:eastAsia="仿宋_GB2312" w:cs="仿宋"/>
          <w:bCs/>
          <w:color w:val="auto"/>
          <w:sz w:val="24"/>
          <w:highlight w:val="none"/>
        </w:rPr>
        <w:t>三、</w:t>
      </w:r>
      <w:r>
        <w:rPr>
          <w:rFonts w:hint="eastAsia" w:ascii="仿宋_GB2312" w:hAnsi="仿宋" w:eastAsia="仿宋_GB2312" w:cs="仿宋"/>
          <w:bCs/>
          <w:color w:val="auto"/>
          <w:sz w:val="24"/>
          <w:highlight w:val="none"/>
          <w:u w:val="single"/>
        </w:rPr>
        <w:t xml:space="preserve"> </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u w:val="single"/>
        </w:rPr>
        <w:t>(项目编号：</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u w:val="single"/>
        </w:rPr>
        <w:t>）</w:t>
      </w:r>
      <w:r>
        <w:rPr>
          <w:rFonts w:hint="eastAsia" w:ascii="仿宋_GB2312" w:hAnsi="仿宋" w:eastAsia="仿宋_GB2312" w:cs="仿宋"/>
          <w:bCs/>
          <w:color w:val="auto"/>
          <w:sz w:val="24"/>
          <w:highlight w:val="none"/>
        </w:rPr>
        <w:t>项目投标保证保险凭证/保函</w:t>
      </w:r>
      <w:r>
        <w:rPr>
          <w:rFonts w:hint="eastAsia" w:ascii="仿宋_GB2312" w:hAnsi="仿宋" w:eastAsia="仿宋_GB2312" w:cs="仿宋"/>
          <w:bCs/>
          <w:color w:val="auto"/>
          <w:sz w:val="24"/>
          <w:highlight w:val="none"/>
          <w:u w:val="single"/>
        </w:rPr>
        <w:t xml:space="preserve">  </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rPr>
        <w:t>机构承担的保险金额（最高限额）：人民币</w:t>
      </w:r>
      <w:r>
        <w:rPr>
          <w:rFonts w:hint="eastAsia" w:ascii="仿宋_GB2312" w:hAnsi="仿宋" w:eastAsia="仿宋_GB2312" w:cs="仿宋"/>
          <w:bCs/>
          <w:color w:val="auto"/>
          <w:sz w:val="24"/>
          <w:highlight w:val="none"/>
          <w:u w:val="single"/>
        </w:rPr>
        <w:t xml:space="preserve">  </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rPr>
        <w:t>元整 （￥</w:t>
      </w:r>
      <w:r>
        <w:rPr>
          <w:rFonts w:hint="eastAsia" w:ascii="仿宋_GB2312" w:hAnsi="仿宋" w:eastAsia="仿宋_GB2312" w:cs="仿宋"/>
          <w:bCs/>
          <w:color w:val="auto"/>
          <w:sz w:val="24"/>
          <w:highlight w:val="none"/>
          <w:u w:val="single"/>
        </w:rPr>
        <w:t xml:space="preserve">   </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rPr>
        <w:t>）。</w:t>
      </w:r>
    </w:p>
    <w:p w14:paraId="551BB138">
      <w:pPr>
        <w:snapToGrid w:val="0"/>
        <w:spacing w:line="540" w:lineRule="exact"/>
        <w:ind w:firstLine="480" w:firstLineChars="200"/>
        <w:rPr>
          <w:rFonts w:ascii="仿宋_GB2312" w:hAnsi="仿宋" w:eastAsia="仿宋_GB2312" w:cs="仿宋"/>
          <w:bCs/>
          <w:color w:val="auto"/>
          <w:sz w:val="24"/>
          <w:highlight w:val="none"/>
        </w:rPr>
      </w:pPr>
      <w:r>
        <w:rPr>
          <w:rFonts w:hint="eastAsia" w:ascii="仿宋_GB2312" w:hAnsi="仿宋" w:eastAsia="仿宋_GB2312" w:cs="仿宋"/>
          <w:bCs/>
          <w:color w:val="auto"/>
          <w:sz w:val="24"/>
          <w:highlight w:val="none"/>
        </w:rPr>
        <w:t>四、我公司郑重承诺，此保函为我公司委托</w:t>
      </w:r>
      <w:r>
        <w:rPr>
          <w:rFonts w:hint="eastAsia" w:ascii="仿宋_GB2312" w:hAnsi="仿宋" w:eastAsia="仿宋_GB2312" w:cs="仿宋"/>
          <w:bCs/>
          <w:color w:val="auto"/>
          <w:sz w:val="24"/>
          <w:highlight w:val="none"/>
          <w:u w:val="single"/>
        </w:rPr>
        <w:t xml:space="preserve">    </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rPr>
        <w:t>（金融机构）开具，具有与投标保证金同等的法律效力，为我公司真实意思表示，此保函真实有效。若有弄虚作假等违法违规行为，我公司自愿负担由此产生的所有法律责任、承担一切法律后果。</w:t>
      </w:r>
    </w:p>
    <w:p w14:paraId="55A5B7F5">
      <w:pPr>
        <w:snapToGrid w:val="0"/>
        <w:spacing w:line="540" w:lineRule="exact"/>
        <w:ind w:firstLine="480" w:firstLineChars="200"/>
        <w:rPr>
          <w:rFonts w:ascii="仿宋_GB2312" w:hAnsi="仿宋" w:eastAsia="仿宋_GB2312" w:cs="仿宋"/>
          <w:bCs/>
          <w:color w:val="auto"/>
          <w:sz w:val="24"/>
          <w:highlight w:val="none"/>
        </w:rPr>
      </w:pPr>
    </w:p>
    <w:p w14:paraId="4F801B54">
      <w:pPr>
        <w:snapToGrid w:val="0"/>
        <w:spacing w:line="540" w:lineRule="exact"/>
        <w:ind w:firstLine="480" w:firstLineChars="200"/>
        <w:rPr>
          <w:rFonts w:ascii="仿宋_GB2312" w:hAnsi="仿宋" w:eastAsia="仿宋_GB2312" w:cs="仿宋"/>
          <w:bCs/>
          <w:color w:val="auto"/>
          <w:sz w:val="24"/>
          <w:highlight w:val="none"/>
        </w:rPr>
      </w:pPr>
      <w:r>
        <w:rPr>
          <w:rFonts w:hint="eastAsia" w:ascii="仿宋_GB2312" w:hAnsi="仿宋" w:eastAsia="仿宋_GB2312" w:cs="仿宋"/>
          <w:bCs/>
          <w:color w:val="auto"/>
          <w:sz w:val="24"/>
          <w:highlight w:val="none"/>
        </w:rPr>
        <w:t>承  诺  人（签字、公章）：</w:t>
      </w:r>
      <w:r>
        <w:rPr>
          <w:rFonts w:hint="eastAsia" w:ascii="仿宋_GB2312" w:hAnsi="仿宋" w:eastAsia="仿宋_GB2312" w:cs="仿宋_GB2312"/>
          <w:color w:val="auto"/>
          <w:sz w:val="24"/>
          <w:szCs w:val="21"/>
          <w:highlight w:val="none"/>
          <w:u w:val="single"/>
        </w:rPr>
        <w:t xml:space="preserve">             </w:t>
      </w:r>
    </w:p>
    <w:p w14:paraId="2A5AC60E">
      <w:pPr>
        <w:snapToGrid w:val="0"/>
        <w:spacing w:line="540" w:lineRule="exact"/>
        <w:ind w:firstLine="480" w:firstLineChars="200"/>
        <w:rPr>
          <w:rFonts w:ascii="仿宋_GB2312" w:hAnsi="仿宋" w:eastAsia="仿宋_GB2312" w:cs="仿宋"/>
          <w:bCs/>
          <w:color w:val="auto"/>
          <w:sz w:val="24"/>
          <w:highlight w:val="none"/>
        </w:rPr>
      </w:pPr>
      <w:r>
        <w:rPr>
          <w:rFonts w:hint="eastAsia" w:ascii="仿宋_GB2312" w:hAnsi="仿宋" w:eastAsia="仿宋_GB2312" w:cs="仿宋"/>
          <w:bCs/>
          <w:color w:val="auto"/>
          <w:sz w:val="24"/>
          <w:highlight w:val="none"/>
        </w:rPr>
        <w:t>法定代表人（签字、法人章）：</w:t>
      </w:r>
      <w:r>
        <w:rPr>
          <w:rFonts w:hint="eastAsia" w:ascii="仿宋_GB2312" w:hAnsi="仿宋" w:eastAsia="仿宋_GB2312" w:cs="仿宋_GB2312"/>
          <w:color w:val="auto"/>
          <w:sz w:val="24"/>
          <w:szCs w:val="21"/>
          <w:highlight w:val="none"/>
          <w:u w:val="single"/>
        </w:rPr>
        <w:t xml:space="preserve">           </w:t>
      </w:r>
    </w:p>
    <w:p w14:paraId="53457EAC">
      <w:pPr>
        <w:snapToGrid w:val="0"/>
        <w:spacing w:line="540" w:lineRule="exact"/>
        <w:ind w:firstLine="480" w:firstLineChars="200"/>
        <w:rPr>
          <w:rFonts w:ascii="仿宋_GB2312" w:hAnsi="仿宋" w:eastAsia="仿宋_GB2312" w:cs="仿宋"/>
          <w:bCs/>
          <w:color w:val="auto"/>
          <w:sz w:val="24"/>
          <w:highlight w:val="none"/>
        </w:rPr>
      </w:pPr>
      <w:r>
        <w:rPr>
          <w:rFonts w:hint="eastAsia" w:ascii="仿宋_GB2312" w:hAnsi="仿宋" w:eastAsia="仿宋_GB2312" w:cs="仿宋"/>
          <w:bCs/>
          <w:color w:val="auto"/>
          <w:sz w:val="24"/>
          <w:highlight w:val="none"/>
        </w:rPr>
        <w:t xml:space="preserve">财     </w:t>
      </w:r>
      <w:r>
        <w:rPr>
          <w:rFonts w:ascii="仿宋_GB2312" w:hAnsi="仿宋" w:eastAsia="仿宋_GB2312" w:cs="仿宋"/>
          <w:bCs/>
          <w:color w:val="auto"/>
          <w:sz w:val="24"/>
          <w:highlight w:val="none"/>
        </w:rPr>
        <w:t xml:space="preserve"> </w:t>
      </w:r>
      <w:r>
        <w:rPr>
          <w:rFonts w:hint="eastAsia" w:ascii="仿宋_GB2312" w:hAnsi="仿宋" w:eastAsia="仿宋_GB2312" w:cs="仿宋"/>
          <w:bCs/>
          <w:color w:val="auto"/>
          <w:sz w:val="24"/>
          <w:highlight w:val="none"/>
        </w:rPr>
        <w:t>务（签字、财务专用章）：</w:t>
      </w:r>
      <w:r>
        <w:rPr>
          <w:rFonts w:hint="eastAsia" w:ascii="仿宋_GB2312" w:hAnsi="仿宋" w:eastAsia="仿宋_GB2312" w:cs="仿宋_GB2312"/>
          <w:color w:val="auto"/>
          <w:sz w:val="24"/>
          <w:szCs w:val="21"/>
          <w:highlight w:val="none"/>
          <w:u w:val="single"/>
        </w:rPr>
        <w:t xml:space="preserve">       </w:t>
      </w:r>
    </w:p>
    <w:p w14:paraId="7981DC50">
      <w:pPr>
        <w:snapToGrid w:val="0"/>
        <w:spacing w:line="540" w:lineRule="exact"/>
        <w:jc w:val="right"/>
        <w:rPr>
          <w:rFonts w:ascii="仿宋_GB2312" w:hAnsi="仿宋" w:eastAsia="仿宋_GB2312" w:cs="仿宋"/>
          <w:bCs/>
          <w:color w:val="auto"/>
          <w:sz w:val="24"/>
          <w:highlight w:val="none"/>
        </w:rPr>
      </w:pPr>
    </w:p>
    <w:p w14:paraId="27F21403">
      <w:pPr>
        <w:widowControl/>
        <w:ind w:firstLine="480" w:firstLineChars="200"/>
        <w:jc w:val="right"/>
        <w:rPr>
          <w:rFonts w:ascii="仿宋_GB2312" w:hAnsi="仿宋" w:eastAsia="仿宋_GB2312" w:cs="仿宋"/>
          <w:bCs/>
          <w:color w:val="auto"/>
          <w:sz w:val="24"/>
          <w:highlight w:val="none"/>
        </w:rPr>
      </w:pPr>
    </w:p>
    <w:p w14:paraId="7B500694">
      <w:pPr>
        <w:widowControl/>
        <w:ind w:firstLine="480" w:firstLineChars="200"/>
        <w:jc w:val="right"/>
        <w:rPr>
          <w:rFonts w:ascii="仿宋_GB2312" w:hAnsi="仿宋" w:eastAsia="仿宋_GB2312" w:cs="仿宋"/>
          <w:bCs/>
          <w:color w:val="auto"/>
          <w:sz w:val="24"/>
          <w:highlight w:val="none"/>
        </w:rPr>
      </w:pPr>
    </w:p>
    <w:p w14:paraId="16EAFA38">
      <w:pPr>
        <w:widowControl/>
        <w:ind w:firstLine="480" w:firstLineChars="200"/>
        <w:jc w:val="right"/>
        <w:rPr>
          <w:rFonts w:ascii="仿宋_GB2312" w:hAnsi="仿宋" w:eastAsia="仿宋_GB2312" w:cs="仿宋"/>
          <w:bCs/>
          <w:color w:val="auto"/>
          <w:sz w:val="24"/>
          <w:highlight w:val="none"/>
        </w:rPr>
        <w:sectPr>
          <w:pgSz w:w="11906" w:h="16838"/>
          <w:pgMar w:top="1468" w:right="1803" w:bottom="1418" w:left="1803" w:header="851" w:footer="899" w:gutter="0"/>
          <w:cols w:space="720" w:num="1"/>
          <w:docGrid w:type="linesAndChars" w:linePitch="319" w:charSpace="0"/>
        </w:sectPr>
      </w:pPr>
      <w:r>
        <w:rPr>
          <w:rFonts w:hint="eastAsia" w:ascii="仿宋_GB2312" w:hAnsi="仿宋" w:eastAsia="仿宋_GB2312" w:cs="仿宋"/>
          <w:bCs/>
          <w:color w:val="auto"/>
          <w:sz w:val="24"/>
          <w:highlight w:val="none"/>
        </w:rPr>
        <w:t>日期：    年   月   日</w:t>
      </w:r>
    </w:p>
    <w:p w14:paraId="572AA851">
      <w:pPr>
        <w:pStyle w:val="3"/>
        <w:adjustRightInd w:val="0"/>
        <w:snapToGrid w:val="0"/>
        <w:spacing w:before="0" w:after="0" w:line="360" w:lineRule="auto"/>
        <w:jc w:val="left"/>
        <w:rPr>
          <w:rFonts w:ascii="仿宋_GB2312" w:hAnsi="仿宋" w:eastAsia="仿宋_GB2312" w:cs="仿宋_GB2312"/>
          <w:color w:val="auto"/>
          <w:szCs w:val="28"/>
          <w:highlight w:val="none"/>
        </w:rPr>
      </w:pPr>
      <w:r>
        <w:rPr>
          <w:rFonts w:hint="eastAsia" w:ascii="仿宋_GB2312" w:hAnsi="仿宋" w:eastAsia="仿宋_GB2312" w:cs="仿宋_GB2312"/>
          <w:color w:val="auto"/>
          <w:szCs w:val="28"/>
          <w:highlight w:val="none"/>
        </w:rPr>
        <w:t>格式21</w:t>
      </w:r>
    </w:p>
    <w:p w14:paraId="3832906C">
      <w:pPr>
        <w:spacing w:before="159" w:beforeLines="50" w:after="159" w:afterLines="50" w:line="360" w:lineRule="auto"/>
        <w:ind w:right="-21" w:rightChars="-10"/>
        <w:jc w:val="center"/>
        <w:rPr>
          <w:rFonts w:ascii="方正小标宋简体" w:hAnsi="仿宋_GB2312" w:eastAsia="方正小标宋简体" w:cs="仿宋_GB2312"/>
          <w:color w:val="auto"/>
          <w:sz w:val="32"/>
          <w:szCs w:val="32"/>
          <w:highlight w:val="none"/>
        </w:rPr>
      </w:pPr>
      <w:r>
        <w:rPr>
          <w:rFonts w:hint="eastAsia" w:ascii="方正小标宋简体" w:hAnsi="仿宋_GB2312" w:eastAsia="方正小标宋简体" w:cs="仿宋_GB2312"/>
          <w:color w:val="auto"/>
          <w:sz w:val="32"/>
          <w:szCs w:val="32"/>
          <w:highlight w:val="none"/>
        </w:rPr>
        <w:t>保证金退还明细表（电汇）</w:t>
      </w:r>
    </w:p>
    <w:tbl>
      <w:tblPr>
        <w:tblStyle w:val="24"/>
        <w:tblW w:w="8341"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0"/>
        <w:gridCol w:w="6181"/>
      </w:tblGrid>
      <w:tr w14:paraId="62038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2160" w:type="dxa"/>
            <w:tcBorders>
              <w:top w:val="single" w:color="auto" w:sz="4" w:space="0"/>
              <w:left w:val="single" w:color="auto" w:sz="4" w:space="0"/>
              <w:bottom w:val="single" w:color="auto" w:sz="4" w:space="0"/>
              <w:right w:val="single" w:color="auto" w:sz="4" w:space="0"/>
            </w:tcBorders>
            <w:vAlign w:val="center"/>
          </w:tcPr>
          <w:p w14:paraId="6E842437">
            <w:pPr>
              <w:jc w:val="center"/>
              <w:rPr>
                <w:rFonts w:ascii="仿宋_GB2312" w:eastAsia="仿宋_GB2312"/>
                <w:bCs/>
                <w:color w:val="auto"/>
                <w:sz w:val="24"/>
                <w:highlight w:val="none"/>
              </w:rPr>
            </w:pPr>
            <w:r>
              <w:rPr>
                <w:rFonts w:hint="eastAsia" w:ascii="仿宋_GB2312" w:eastAsia="仿宋_GB2312"/>
                <w:bCs/>
                <w:color w:val="auto"/>
                <w:sz w:val="24"/>
                <w:highlight w:val="none"/>
              </w:rPr>
              <w:t>项目名称</w:t>
            </w:r>
          </w:p>
        </w:tc>
        <w:tc>
          <w:tcPr>
            <w:tcW w:w="6181" w:type="dxa"/>
            <w:tcBorders>
              <w:top w:val="single" w:color="auto" w:sz="4" w:space="0"/>
              <w:left w:val="single" w:color="auto" w:sz="4" w:space="0"/>
              <w:bottom w:val="single" w:color="auto" w:sz="4" w:space="0"/>
              <w:right w:val="single" w:color="auto" w:sz="4" w:space="0"/>
            </w:tcBorders>
            <w:vAlign w:val="center"/>
          </w:tcPr>
          <w:p w14:paraId="5F2A83A9">
            <w:pPr>
              <w:rPr>
                <w:rFonts w:ascii="仿宋_GB2312" w:eastAsia="仿宋_GB2312"/>
                <w:bCs/>
                <w:color w:val="auto"/>
                <w:sz w:val="24"/>
                <w:highlight w:val="none"/>
              </w:rPr>
            </w:pPr>
          </w:p>
        </w:tc>
      </w:tr>
      <w:tr w14:paraId="2FC4E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2160" w:type="dxa"/>
            <w:tcBorders>
              <w:top w:val="single" w:color="auto" w:sz="4" w:space="0"/>
              <w:left w:val="single" w:color="auto" w:sz="4" w:space="0"/>
              <w:bottom w:val="single" w:color="auto" w:sz="4" w:space="0"/>
              <w:right w:val="single" w:color="auto" w:sz="4" w:space="0"/>
            </w:tcBorders>
            <w:vAlign w:val="center"/>
          </w:tcPr>
          <w:p w14:paraId="5F4F452C">
            <w:pPr>
              <w:jc w:val="center"/>
              <w:rPr>
                <w:rFonts w:ascii="仿宋_GB2312" w:eastAsia="仿宋_GB2312"/>
                <w:bCs/>
                <w:color w:val="auto"/>
                <w:sz w:val="24"/>
                <w:highlight w:val="none"/>
              </w:rPr>
            </w:pPr>
            <w:r>
              <w:rPr>
                <w:rFonts w:hint="eastAsia" w:ascii="仿宋_GB2312" w:eastAsia="仿宋_GB2312"/>
                <w:bCs/>
                <w:color w:val="auto"/>
                <w:sz w:val="24"/>
                <w:highlight w:val="none"/>
              </w:rPr>
              <w:t>项目编号</w:t>
            </w:r>
          </w:p>
        </w:tc>
        <w:tc>
          <w:tcPr>
            <w:tcW w:w="6181" w:type="dxa"/>
            <w:tcBorders>
              <w:top w:val="single" w:color="auto" w:sz="4" w:space="0"/>
              <w:left w:val="single" w:color="auto" w:sz="4" w:space="0"/>
              <w:bottom w:val="single" w:color="auto" w:sz="4" w:space="0"/>
              <w:right w:val="single" w:color="auto" w:sz="4" w:space="0"/>
            </w:tcBorders>
            <w:vAlign w:val="center"/>
          </w:tcPr>
          <w:p w14:paraId="0577925A">
            <w:pPr>
              <w:rPr>
                <w:rFonts w:ascii="仿宋_GB2312" w:eastAsia="仿宋_GB2312"/>
                <w:bCs/>
                <w:color w:val="auto"/>
                <w:sz w:val="24"/>
                <w:highlight w:val="none"/>
              </w:rPr>
            </w:pPr>
          </w:p>
        </w:tc>
      </w:tr>
      <w:tr w14:paraId="7B2EC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2160" w:type="dxa"/>
            <w:tcBorders>
              <w:top w:val="single" w:color="auto" w:sz="4" w:space="0"/>
              <w:left w:val="single" w:color="auto" w:sz="4" w:space="0"/>
              <w:bottom w:val="single" w:color="auto" w:sz="4" w:space="0"/>
              <w:right w:val="single" w:color="auto" w:sz="4" w:space="0"/>
            </w:tcBorders>
            <w:vAlign w:val="center"/>
          </w:tcPr>
          <w:p w14:paraId="79A0E07C">
            <w:pPr>
              <w:jc w:val="center"/>
              <w:rPr>
                <w:rFonts w:ascii="仿宋_GB2312" w:eastAsia="仿宋_GB2312"/>
                <w:bCs/>
                <w:color w:val="auto"/>
                <w:sz w:val="24"/>
                <w:highlight w:val="none"/>
              </w:rPr>
            </w:pPr>
            <w:r>
              <w:rPr>
                <w:rFonts w:hint="eastAsia" w:ascii="仿宋_GB2312" w:eastAsia="仿宋_GB2312"/>
                <w:bCs/>
                <w:color w:val="auto"/>
                <w:sz w:val="24"/>
                <w:highlight w:val="none"/>
              </w:rPr>
              <w:t>投标人名称</w:t>
            </w:r>
          </w:p>
        </w:tc>
        <w:tc>
          <w:tcPr>
            <w:tcW w:w="6181" w:type="dxa"/>
            <w:tcBorders>
              <w:top w:val="single" w:color="auto" w:sz="4" w:space="0"/>
              <w:left w:val="single" w:color="auto" w:sz="4" w:space="0"/>
              <w:bottom w:val="single" w:color="auto" w:sz="4" w:space="0"/>
              <w:right w:val="single" w:color="auto" w:sz="4" w:space="0"/>
            </w:tcBorders>
            <w:vAlign w:val="center"/>
          </w:tcPr>
          <w:p w14:paraId="349F965A">
            <w:pPr>
              <w:rPr>
                <w:rFonts w:ascii="仿宋_GB2312" w:eastAsia="仿宋_GB2312"/>
                <w:bCs/>
                <w:color w:val="auto"/>
                <w:sz w:val="24"/>
                <w:highlight w:val="none"/>
              </w:rPr>
            </w:pPr>
          </w:p>
        </w:tc>
      </w:tr>
      <w:tr w14:paraId="3E158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2160" w:type="dxa"/>
            <w:tcBorders>
              <w:top w:val="single" w:color="auto" w:sz="4" w:space="0"/>
              <w:left w:val="single" w:color="auto" w:sz="4" w:space="0"/>
              <w:bottom w:val="single" w:color="auto" w:sz="4" w:space="0"/>
              <w:right w:val="single" w:color="auto" w:sz="4" w:space="0"/>
            </w:tcBorders>
            <w:vAlign w:val="center"/>
          </w:tcPr>
          <w:p w14:paraId="3329B4B1">
            <w:pPr>
              <w:jc w:val="center"/>
              <w:rPr>
                <w:rFonts w:ascii="仿宋_GB2312" w:eastAsia="仿宋_GB2312"/>
                <w:bCs/>
                <w:color w:val="auto"/>
                <w:sz w:val="24"/>
                <w:highlight w:val="none"/>
              </w:rPr>
            </w:pPr>
            <w:r>
              <w:rPr>
                <w:rFonts w:hint="eastAsia" w:ascii="仿宋_GB2312" w:eastAsia="仿宋_GB2312"/>
                <w:bCs/>
                <w:color w:val="auto"/>
                <w:sz w:val="24"/>
                <w:highlight w:val="none"/>
              </w:rPr>
              <w:t>开户名称</w:t>
            </w:r>
          </w:p>
        </w:tc>
        <w:tc>
          <w:tcPr>
            <w:tcW w:w="6181" w:type="dxa"/>
            <w:tcBorders>
              <w:top w:val="single" w:color="auto" w:sz="4" w:space="0"/>
              <w:left w:val="single" w:color="auto" w:sz="4" w:space="0"/>
              <w:bottom w:val="single" w:color="auto" w:sz="4" w:space="0"/>
              <w:right w:val="single" w:color="auto" w:sz="4" w:space="0"/>
            </w:tcBorders>
            <w:vAlign w:val="bottom"/>
          </w:tcPr>
          <w:p w14:paraId="5670E446">
            <w:pPr>
              <w:jc w:val="right"/>
              <w:rPr>
                <w:rFonts w:ascii="仿宋_GB2312" w:eastAsia="仿宋_GB2312"/>
                <w:bCs/>
                <w:color w:val="auto"/>
                <w:sz w:val="24"/>
                <w:highlight w:val="none"/>
              </w:rPr>
            </w:pPr>
            <w:r>
              <w:rPr>
                <w:rFonts w:hint="eastAsia" w:ascii="仿宋_GB2312" w:eastAsia="仿宋_GB2312"/>
                <w:bCs/>
                <w:color w:val="auto"/>
                <w:sz w:val="24"/>
                <w:highlight w:val="none"/>
              </w:rPr>
              <w:t>（银行开户的单位名称）</w:t>
            </w:r>
          </w:p>
        </w:tc>
      </w:tr>
      <w:tr w14:paraId="3E3CF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2160" w:type="dxa"/>
            <w:tcBorders>
              <w:top w:val="single" w:color="auto" w:sz="4" w:space="0"/>
              <w:left w:val="single" w:color="auto" w:sz="4" w:space="0"/>
              <w:bottom w:val="single" w:color="auto" w:sz="4" w:space="0"/>
              <w:right w:val="single" w:color="auto" w:sz="4" w:space="0"/>
            </w:tcBorders>
            <w:vAlign w:val="center"/>
          </w:tcPr>
          <w:p w14:paraId="41745A2F">
            <w:pPr>
              <w:jc w:val="center"/>
              <w:rPr>
                <w:rFonts w:ascii="仿宋_GB2312" w:eastAsia="仿宋_GB2312"/>
                <w:bCs/>
                <w:color w:val="auto"/>
                <w:sz w:val="24"/>
                <w:highlight w:val="none"/>
              </w:rPr>
            </w:pPr>
            <w:r>
              <w:rPr>
                <w:rFonts w:hint="eastAsia" w:ascii="仿宋_GB2312" w:eastAsia="仿宋_GB2312"/>
                <w:bCs/>
                <w:color w:val="auto"/>
                <w:sz w:val="24"/>
                <w:highlight w:val="none"/>
              </w:rPr>
              <w:t>开户银行</w:t>
            </w:r>
          </w:p>
        </w:tc>
        <w:tc>
          <w:tcPr>
            <w:tcW w:w="6181" w:type="dxa"/>
            <w:tcBorders>
              <w:top w:val="single" w:color="auto" w:sz="4" w:space="0"/>
              <w:left w:val="single" w:color="auto" w:sz="4" w:space="0"/>
              <w:bottom w:val="single" w:color="auto" w:sz="4" w:space="0"/>
              <w:right w:val="single" w:color="auto" w:sz="4" w:space="0"/>
            </w:tcBorders>
            <w:vAlign w:val="center"/>
          </w:tcPr>
          <w:p w14:paraId="57372E97">
            <w:pPr>
              <w:jc w:val="left"/>
              <w:rPr>
                <w:rFonts w:ascii="仿宋_GB2312" w:eastAsia="仿宋_GB2312"/>
                <w:bCs/>
                <w:color w:val="auto"/>
                <w:sz w:val="24"/>
                <w:highlight w:val="none"/>
              </w:rPr>
            </w:pPr>
          </w:p>
        </w:tc>
      </w:tr>
      <w:tr w14:paraId="496BF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2160" w:type="dxa"/>
            <w:tcBorders>
              <w:top w:val="single" w:color="auto" w:sz="4" w:space="0"/>
              <w:left w:val="single" w:color="auto" w:sz="4" w:space="0"/>
              <w:bottom w:val="single" w:color="auto" w:sz="4" w:space="0"/>
              <w:right w:val="single" w:color="auto" w:sz="4" w:space="0"/>
            </w:tcBorders>
            <w:vAlign w:val="center"/>
          </w:tcPr>
          <w:p w14:paraId="3E90132E">
            <w:pPr>
              <w:jc w:val="center"/>
              <w:rPr>
                <w:rFonts w:ascii="仿宋_GB2312" w:eastAsia="仿宋_GB2312"/>
                <w:bCs/>
                <w:color w:val="auto"/>
                <w:sz w:val="24"/>
                <w:highlight w:val="none"/>
              </w:rPr>
            </w:pPr>
            <w:r>
              <w:rPr>
                <w:rFonts w:hint="eastAsia" w:ascii="仿宋_GB2312" w:eastAsia="仿宋_GB2312"/>
                <w:bCs/>
                <w:color w:val="auto"/>
                <w:sz w:val="24"/>
                <w:highlight w:val="none"/>
              </w:rPr>
              <w:t>汇款账号</w:t>
            </w:r>
          </w:p>
        </w:tc>
        <w:tc>
          <w:tcPr>
            <w:tcW w:w="6181" w:type="dxa"/>
            <w:tcBorders>
              <w:top w:val="single" w:color="auto" w:sz="4" w:space="0"/>
              <w:left w:val="single" w:color="auto" w:sz="4" w:space="0"/>
              <w:bottom w:val="single" w:color="auto" w:sz="4" w:space="0"/>
              <w:right w:val="single" w:color="auto" w:sz="4" w:space="0"/>
            </w:tcBorders>
            <w:vAlign w:val="center"/>
          </w:tcPr>
          <w:p w14:paraId="2AA8B682">
            <w:pPr>
              <w:jc w:val="left"/>
              <w:rPr>
                <w:rFonts w:ascii="仿宋_GB2312" w:eastAsia="仿宋_GB2312"/>
                <w:bCs/>
                <w:color w:val="auto"/>
                <w:sz w:val="24"/>
                <w:highlight w:val="none"/>
              </w:rPr>
            </w:pPr>
          </w:p>
        </w:tc>
      </w:tr>
      <w:tr w14:paraId="28E6A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2160" w:type="dxa"/>
            <w:tcBorders>
              <w:top w:val="single" w:color="auto" w:sz="4" w:space="0"/>
              <w:left w:val="single" w:color="auto" w:sz="4" w:space="0"/>
              <w:bottom w:val="single" w:color="auto" w:sz="4" w:space="0"/>
              <w:right w:val="single" w:color="auto" w:sz="4" w:space="0"/>
            </w:tcBorders>
            <w:vAlign w:val="center"/>
          </w:tcPr>
          <w:p w14:paraId="53BBFF97">
            <w:pPr>
              <w:jc w:val="center"/>
              <w:rPr>
                <w:rFonts w:ascii="仿宋_GB2312" w:eastAsia="仿宋_GB2312"/>
                <w:bCs/>
                <w:color w:val="auto"/>
                <w:sz w:val="24"/>
                <w:highlight w:val="none"/>
              </w:rPr>
            </w:pPr>
            <w:r>
              <w:rPr>
                <w:rFonts w:hint="eastAsia" w:ascii="仿宋_GB2312" w:eastAsia="仿宋_GB2312"/>
                <w:bCs/>
                <w:color w:val="auto"/>
                <w:sz w:val="24"/>
                <w:highlight w:val="none"/>
              </w:rPr>
              <w:t>备注</w:t>
            </w:r>
          </w:p>
        </w:tc>
        <w:tc>
          <w:tcPr>
            <w:tcW w:w="6181" w:type="dxa"/>
            <w:tcBorders>
              <w:top w:val="single" w:color="auto" w:sz="4" w:space="0"/>
              <w:left w:val="single" w:color="auto" w:sz="4" w:space="0"/>
              <w:bottom w:val="single" w:color="auto" w:sz="4" w:space="0"/>
              <w:right w:val="single" w:color="auto" w:sz="4" w:space="0"/>
            </w:tcBorders>
            <w:vAlign w:val="center"/>
          </w:tcPr>
          <w:p w14:paraId="1FEEBB9D">
            <w:pPr>
              <w:jc w:val="center"/>
              <w:rPr>
                <w:rFonts w:ascii="仿宋_GB2312" w:eastAsia="仿宋_GB2312"/>
                <w:bCs/>
                <w:color w:val="auto"/>
                <w:sz w:val="24"/>
                <w:highlight w:val="none"/>
              </w:rPr>
            </w:pPr>
          </w:p>
        </w:tc>
      </w:tr>
    </w:tbl>
    <w:p w14:paraId="0C7315F9">
      <w:pPr>
        <w:spacing w:line="400" w:lineRule="exact"/>
        <w:jc w:val="left"/>
        <w:rPr>
          <w:rFonts w:ascii="仿宋" w:hAnsi="仿宋"/>
          <w:bCs/>
          <w:color w:val="auto"/>
          <w:sz w:val="24"/>
          <w:highlight w:val="none"/>
        </w:rPr>
      </w:pPr>
      <w:r>
        <w:rPr>
          <w:rFonts w:hint="eastAsia" w:ascii="仿宋" w:hAnsi="仿宋"/>
          <w:bCs/>
          <w:color w:val="auto"/>
          <w:sz w:val="24"/>
          <w:highlight w:val="none"/>
        </w:rPr>
        <w:t xml:space="preserve"> </w:t>
      </w:r>
    </w:p>
    <w:p w14:paraId="61796924">
      <w:pPr>
        <w:spacing w:line="400" w:lineRule="exact"/>
        <w:jc w:val="left"/>
        <w:rPr>
          <w:rFonts w:ascii="仿宋_GB2312" w:eastAsia="仿宋_GB2312"/>
          <w:bCs/>
          <w:color w:val="auto"/>
          <w:sz w:val="24"/>
          <w:highlight w:val="none"/>
        </w:rPr>
      </w:pPr>
      <w:r>
        <w:rPr>
          <w:rFonts w:hint="eastAsia" w:ascii="仿宋_GB2312" w:eastAsia="仿宋_GB2312"/>
          <w:bCs/>
          <w:color w:val="auto"/>
          <w:sz w:val="24"/>
          <w:highlight w:val="none"/>
        </w:rPr>
        <w:t>注：1.此表所填退还保证金开户行、账号等信息应与递交保证金开户行、账号等信息相一致，否则影响保证金退还；</w:t>
      </w:r>
    </w:p>
    <w:p w14:paraId="5EDBB14C">
      <w:pPr>
        <w:spacing w:line="400" w:lineRule="exact"/>
        <w:jc w:val="left"/>
        <w:rPr>
          <w:rFonts w:ascii="仿宋_GB2312" w:eastAsia="仿宋_GB2312"/>
          <w:bCs/>
          <w:color w:val="auto"/>
          <w:sz w:val="24"/>
          <w:highlight w:val="none"/>
        </w:rPr>
      </w:pPr>
      <w:r>
        <w:rPr>
          <w:rFonts w:hint="eastAsia" w:ascii="仿宋_GB2312" w:eastAsia="仿宋_GB2312"/>
          <w:bCs/>
          <w:color w:val="auto"/>
          <w:sz w:val="24"/>
          <w:highlight w:val="none"/>
        </w:rPr>
        <w:t>2.开户银行应写全，例如XX银行XX支行或XX分行。</w:t>
      </w:r>
    </w:p>
    <w:p w14:paraId="525A45EC">
      <w:pPr>
        <w:pStyle w:val="14"/>
        <w:rPr>
          <w:color w:val="auto"/>
          <w:highlight w:val="none"/>
        </w:rPr>
      </w:pPr>
    </w:p>
    <w:p w14:paraId="32FB3752">
      <w:pPr>
        <w:adjustRightInd w:val="0"/>
        <w:snapToGrid w:val="0"/>
        <w:spacing w:line="480" w:lineRule="auto"/>
        <w:ind w:right="105" w:rightChars="50"/>
        <w:jc w:val="left"/>
        <w:rPr>
          <w:b/>
          <w:color w:val="auto"/>
          <w:kern w:val="44"/>
          <w:sz w:val="44"/>
          <w:szCs w:val="44"/>
          <w:highlight w:val="none"/>
        </w:rPr>
      </w:pPr>
      <w:r>
        <w:rPr>
          <w:b/>
          <w:color w:val="auto"/>
          <w:kern w:val="44"/>
          <w:sz w:val="44"/>
          <w:szCs w:val="44"/>
          <w:highlight w:val="none"/>
        </w:rPr>
        <w:t xml:space="preserve"> </w:t>
      </w:r>
    </w:p>
    <w:p w14:paraId="658B4154">
      <w:pPr>
        <w:adjustRightInd w:val="0"/>
        <w:snapToGrid w:val="0"/>
        <w:spacing w:line="480" w:lineRule="auto"/>
        <w:ind w:right="105" w:rightChars="50"/>
        <w:jc w:val="left"/>
        <w:rPr>
          <w:rFonts w:ascii="仿宋_GB2312" w:hAnsi="仿宋" w:eastAsia="仿宋_GB2312"/>
          <w:color w:val="auto"/>
          <w:sz w:val="24"/>
          <w:highlight w:val="none"/>
        </w:rPr>
      </w:pPr>
      <w:r>
        <w:rPr>
          <w:rFonts w:hint="eastAsia" w:ascii="仿宋_GB2312" w:hAnsi="仿宋" w:eastAsia="仿宋_GB2312"/>
          <w:color w:val="auto"/>
          <w:sz w:val="24"/>
          <w:highlight w:val="none"/>
        </w:rPr>
        <w:t>投标人名称（加盖单位公章）：</w:t>
      </w:r>
      <w:r>
        <w:rPr>
          <w:rFonts w:hint="eastAsia" w:ascii="仿宋_GB2312" w:hAnsi="仿宋" w:eastAsia="仿宋_GB2312"/>
          <w:color w:val="auto"/>
          <w:sz w:val="24"/>
          <w:highlight w:val="none"/>
          <w:u w:val="single"/>
        </w:rPr>
        <w:t xml:space="preserve">               </w:t>
      </w:r>
      <w:r>
        <w:rPr>
          <w:rFonts w:hint="eastAsia" w:ascii="仿宋_GB2312" w:hAnsi="仿宋" w:eastAsia="仿宋_GB2312"/>
          <w:color w:val="auto"/>
          <w:sz w:val="24"/>
          <w:highlight w:val="none"/>
        </w:rPr>
        <w:t xml:space="preserve"> </w:t>
      </w:r>
    </w:p>
    <w:p w14:paraId="4B6DA97E">
      <w:pPr>
        <w:widowControl/>
        <w:jc w:val="left"/>
        <w:rPr>
          <w:rFonts w:ascii="仿宋_GB2312" w:hAnsi="仿宋" w:eastAsia="仿宋_GB2312"/>
          <w:color w:val="auto"/>
          <w:sz w:val="24"/>
          <w:highlight w:val="none"/>
          <w:u w:val="single"/>
        </w:rPr>
        <w:sectPr>
          <w:pgSz w:w="11906" w:h="16838"/>
          <w:pgMar w:top="1468" w:right="1803" w:bottom="1418" w:left="1803" w:header="851" w:footer="899" w:gutter="0"/>
          <w:cols w:space="720" w:num="1"/>
          <w:docGrid w:type="linesAndChars" w:linePitch="319" w:charSpace="0"/>
        </w:sectPr>
      </w:pPr>
      <w:r>
        <w:rPr>
          <w:rFonts w:hint="eastAsia" w:ascii="仿宋_GB2312" w:hAnsi="仿宋" w:eastAsia="仿宋_GB2312"/>
          <w:color w:val="auto"/>
          <w:sz w:val="24"/>
          <w:highlight w:val="none"/>
        </w:rPr>
        <w:t xml:space="preserve">日 </w:t>
      </w:r>
      <w:r>
        <w:rPr>
          <w:rFonts w:ascii="仿宋_GB2312" w:hAnsi="仿宋" w:eastAsia="仿宋_GB2312"/>
          <w:color w:val="auto"/>
          <w:sz w:val="24"/>
          <w:highlight w:val="none"/>
        </w:rPr>
        <w:t xml:space="preserve">   </w:t>
      </w:r>
      <w:r>
        <w:rPr>
          <w:rFonts w:hint="eastAsia" w:ascii="仿宋_GB2312" w:hAnsi="仿宋" w:eastAsia="仿宋_GB2312"/>
          <w:color w:val="auto"/>
          <w:sz w:val="24"/>
          <w:highlight w:val="none"/>
        </w:rPr>
        <w:t xml:space="preserve"> 期：</w:t>
      </w:r>
      <w:r>
        <w:rPr>
          <w:rFonts w:hint="eastAsia" w:ascii="仿宋_GB2312" w:hAnsi="仿宋" w:eastAsia="仿宋_GB2312"/>
          <w:color w:val="auto"/>
          <w:sz w:val="24"/>
          <w:highlight w:val="none"/>
          <w:u w:val="single"/>
        </w:rPr>
        <w:t xml:space="preserve">               </w:t>
      </w:r>
    </w:p>
    <w:p w14:paraId="0B9CC1A3">
      <w:pPr>
        <w:pStyle w:val="3"/>
        <w:adjustRightInd w:val="0"/>
        <w:snapToGrid w:val="0"/>
        <w:spacing w:before="0" w:after="0" w:line="360" w:lineRule="auto"/>
        <w:jc w:val="left"/>
        <w:rPr>
          <w:rFonts w:ascii="仿宋_GB2312" w:hAnsi="仿宋" w:eastAsia="仿宋_GB2312" w:cs="仿宋_GB2312"/>
          <w:color w:val="auto"/>
          <w:szCs w:val="28"/>
          <w:highlight w:val="none"/>
        </w:rPr>
      </w:pPr>
      <w:r>
        <w:rPr>
          <w:rFonts w:hint="eastAsia" w:ascii="仿宋_GB2312" w:hAnsi="仿宋" w:eastAsia="仿宋_GB2312" w:cs="仿宋_GB2312"/>
          <w:color w:val="auto"/>
          <w:szCs w:val="28"/>
          <w:highlight w:val="none"/>
        </w:rPr>
        <w:t>格式</w:t>
      </w:r>
      <w:r>
        <w:rPr>
          <w:rFonts w:ascii="仿宋_GB2312" w:hAnsi="仿宋" w:eastAsia="仿宋_GB2312" w:cs="仿宋_GB2312"/>
          <w:color w:val="auto"/>
          <w:szCs w:val="28"/>
          <w:highlight w:val="none"/>
        </w:rPr>
        <w:t>2</w:t>
      </w:r>
      <w:r>
        <w:rPr>
          <w:rFonts w:hint="eastAsia" w:ascii="仿宋_GB2312" w:hAnsi="仿宋" w:eastAsia="仿宋_GB2312" w:cs="仿宋_GB2312"/>
          <w:color w:val="auto"/>
          <w:szCs w:val="28"/>
          <w:highlight w:val="none"/>
        </w:rPr>
        <w:t>2</w:t>
      </w:r>
    </w:p>
    <w:p w14:paraId="36F4D5E6">
      <w:pPr>
        <w:spacing w:before="159" w:beforeLines="50" w:after="159" w:afterLines="50" w:line="360" w:lineRule="auto"/>
        <w:ind w:right="-21" w:rightChars="-10"/>
        <w:jc w:val="center"/>
        <w:rPr>
          <w:rFonts w:ascii="方正小标宋简体" w:hAnsi="仿宋_GB2312" w:eastAsia="方正小标宋简体" w:cs="仿宋_GB2312"/>
          <w:color w:val="auto"/>
          <w:sz w:val="32"/>
          <w:szCs w:val="32"/>
          <w:highlight w:val="none"/>
        </w:rPr>
      </w:pPr>
      <w:r>
        <w:rPr>
          <w:rFonts w:hint="eastAsia" w:ascii="方正小标宋简体" w:hAnsi="仿宋_GB2312" w:eastAsia="方正小标宋简体" w:cs="仿宋_GB2312"/>
          <w:color w:val="auto"/>
          <w:sz w:val="32"/>
          <w:szCs w:val="32"/>
          <w:highlight w:val="none"/>
        </w:rPr>
        <w:t>投标人基本情况</w:t>
      </w:r>
    </w:p>
    <w:p w14:paraId="05F25B48">
      <w:pPr>
        <w:adjustRightInd w:val="0"/>
        <w:snapToGrid w:val="0"/>
        <w:spacing w:line="360" w:lineRule="auto"/>
        <w:ind w:right="105" w:rightChars="5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附表1 投标人基本信息表</w:t>
      </w:r>
    </w:p>
    <w:p w14:paraId="66BF41A8">
      <w:pPr>
        <w:adjustRightInd w:val="0"/>
        <w:snapToGrid w:val="0"/>
        <w:spacing w:line="360" w:lineRule="auto"/>
        <w:ind w:right="105" w:rightChars="50"/>
        <w:jc w:val="left"/>
        <w:rPr>
          <w:rFonts w:ascii="仿宋_GB2312" w:hAnsi="仿宋" w:eastAsia="仿宋_GB2312"/>
          <w:color w:val="auto"/>
          <w:sz w:val="24"/>
          <w:highlight w:val="none"/>
        </w:rPr>
      </w:pPr>
      <w:r>
        <w:rPr>
          <w:rFonts w:hint="eastAsia" w:ascii="仿宋_GB2312" w:hAnsi="仿宋" w:eastAsia="仿宋_GB2312"/>
          <w:color w:val="auto"/>
          <w:sz w:val="24"/>
          <w:highlight w:val="none"/>
        </w:rPr>
        <w:t>附表2 2022年1月1日至今类似项目业绩汇总表</w:t>
      </w:r>
    </w:p>
    <w:p w14:paraId="35D14939">
      <w:pPr>
        <w:adjustRightInd w:val="0"/>
        <w:snapToGrid w:val="0"/>
        <w:spacing w:line="360" w:lineRule="auto"/>
        <w:ind w:right="105" w:rightChars="50"/>
        <w:jc w:val="left"/>
        <w:rPr>
          <w:rFonts w:ascii="仿宋_GB2312" w:hAnsi="仿宋" w:eastAsia="仿宋_GB2312"/>
          <w:color w:val="auto"/>
          <w:sz w:val="24"/>
          <w:highlight w:val="none"/>
        </w:rPr>
      </w:pPr>
      <w:r>
        <w:rPr>
          <w:rFonts w:hint="eastAsia" w:ascii="仿宋_GB2312" w:hAnsi="仿宋" w:eastAsia="仿宋_GB2312"/>
          <w:color w:val="auto"/>
          <w:sz w:val="24"/>
          <w:highlight w:val="none"/>
        </w:rPr>
        <w:t>附表3 单个项目情况表</w:t>
      </w:r>
    </w:p>
    <w:p w14:paraId="17901835">
      <w:pPr>
        <w:rPr>
          <w:color w:val="auto"/>
          <w:highlight w:val="none"/>
        </w:rPr>
        <w:sectPr>
          <w:pgSz w:w="11906" w:h="16838"/>
          <w:pgMar w:top="1468" w:right="1803" w:bottom="1113" w:left="1803" w:header="851" w:footer="899" w:gutter="0"/>
          <w:cols w:space="720" w:num="1"/>
          <w:docGrid w:type="linesAndChars" w:linePitch="319" w:charSpace="0"/>
        </w:sectPr>
      </w:pPr>
    </w:p>
    <w:p w14:paraId="56425856">
      <w:pPr>
        <w:spacing w:before="159" w:beforeLines="50" w:after="159" w:afterLines="50" w:line="360" w:lineRule="auto"/>
        <w:ind w:right="-21" w:rightChars="-10"/>
        <w:jc w:val="left"/>
        <w:rPr>
          <w:rFonts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t>附表1</w:t>
      </w:r>
    </w:p>
    <w:p w14:paraId="0B761393">
      <w:pPr>
        <w:spacing w:before="159" w:beforeLines="50" w:after="159" w:afterLines="50" w:line="360" w:lineRule="auto"/>
        <w:ind w:right="-21" w:rightChars="-10"/>
        <w:jc w:val="center"/>
        <w:rPr>
          <w:rFonts w:ascii="方正小标宋简体" w:hAnsi="仿宋_GB2312" w:eastAsia="方正小标宋简体" w:cs="仿宋_GB2312"/>
          <w:color w:val="auto"/>
          <w:sz w:val="32"/>
          <w:szCs w:val="32"/>
          <w:highlight w:val="none"/>
        </w:rPr>
      </w:pPr>
      <w:r>
        <w:rPr>
          <w:rFonts w:hint="eastAsia" w:ascii="方正小标宋简体" w:hAnsi="仿宋_GB2312" w:eastAsia="方正小标宋简体" w:cs="仿宋_GB2312"/>
          <w:color w:val="auto"/>
          <w:sz w:val="32"/>
          <w:szCs w:val="32"/>
          <w:highlight w:val="none"/>
        </w:rPr>
        <w:t>投标人基本信息表</w:t>
      </w:r>
    </w:p>
    <w:tbl>
      <w:tblPr>
        <w:tblStyle w:val="24"/>
        <w:tblW w:w="89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8"/>
        <w:gridCol w:w="1068"/>
        <w:gridCol w:w="1110"/>
        <w:gridCol w:w="1228"/>
        <w:gridCol w:w="1203"/>
        <w:gridCol w:w="995"/>
        <w:gridCol w:w="1517"/>
      </w:tblGrid>
      <w:tr w14:paraId="42462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8" w:type="dxa"/>
            <w:tcBorders>
              <w:top w:val="single" w:color="auto" w:sz="4" w:space="0"/>
              <w:left w:val="single" w:color="auto" w:sz="4" w:space="0"/>
              <w:bottom w:val="single" w:color="auto" w:sz="4" w:space="0"/>
              <w:right w:val="single" w:color="auto" w:sz="4" w:space="0"/>
            </w:tcBorders>
            <w:vAlign w:val="center"/>
          </w:tcPr>
          <w:p w14:paraId="2367773E">
            <w:pPr>
              <w:jc w:val="center"/>
              <w:rPr>
                <w:rFonts w:ascii="仿宋_GB2312" w:eastAsia="仿宋_GB2312"/>
                <w:color w:val="auto"/>
                <w:sz w:val="24"/>
                <w:highlight w:val="none"/>
              </w:rPr>
            </w:pPr>
            <w:r>
              <w:rPr>
                <w:rFonts w:hint="eastAsia" w:ascii="仿宋_GB2312" w:eastAsia="仿宋_GB2312"/>
                <w:color w:val="auto"/>
                <w:sz w:val="24"/>
                <w:highlight w:val="none"/>
              </w:rPr>
              <w:t>投标人名称</w:t>
            </w:r>
          </w:p>
        </w:tc>
        <w:tc>
          <w:tcPr>
            <w:tcW w:w="7121" w:type="dxa"/>
            <w:gridSpan w:val="6"/>
            <w:tcBorders>
              <w:top w:val="single" w:color="auto" w:sz="4" w:space="0"/>
              <w:left w:val="single" w:color="auto" w:sz="4" w:space="0"/>
              <w:bottom w:val="single" w:color="auto" w:sz="4" w:space="0"/>
              <w:right w:val="single" w:color="auto" w:sz="4" w:space="0"/>
            </w:tcBorders>
            <w:vAlign w:val="center"/>
          </w:tcPr>
          <w:p w14:paraId="68AC8983">
            <w:pPr>
              <w:jc w:val="center"/>
              <w:rPr>
                <w:rFonts w:ascii="仿宋_GB2312" w:eastAsia="仿宋_GB2312"/>
                <w:color w:val="auto"/>
                <w:sz w:val="24"/>
                <w:highlight w:val="none"/>
              </w:rPr>
            </w:pPr>
          </w:p>
        </w:tc>
      </w:tr>
      <w:tr w14:paraId="67F27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8" w:type="dxa"/>
            <w:tcBorders>
              <w:top w:val="single" w:color="auto" w:sz="4" w:space="0"/>
              <w:left w:val="single" w:color="auto" w:sz="4" w:space="0"/>
              <w:bottom w:val="single" w:color="auto" w:sz="4" w:space="0"/>
              <w:right w:val="single" w:color="auto" w:sz="4" w:space="0"/>
            </w:tcBorders>
            <w:vAlign w:val="center"/>
          </w:tcPr>
          <w:p w14:paraId="0154157D">
            <w:pPr>
              <w:jc w:val="center"/>
              <w:rPr>
                <w:rFonts w:ascii="仿宋_GB2312" w:eastAsia="仿宋_GB2312"/>
                <w:color w:val="auto"/>
                <w:sz w:val="24"/>
                <w:highlight w:val="none"/>
              </w:rPr>
            </w:pPr>
            <w:r>
              <w:rPr>
                <w:rFonts w:hint="eastAsia" w:ascii="仿宋_GB2312" w:eastAsia="仿宋_GB2312"/>
                <w:color w:val="auto"/>
                <w:sz w:val="24"/>
                <w:highlight w:val="none"/>
              </w:rPr>
              <w:t>注册地址</w:t>
            </w:r>
          </w:p>
        </w:tc>
        <w:tc>
          <w:tcPr>
            <w:tcW w:w="3406" w:type="dxa"/>
            <w:gridSpan w:val="3"/>
            <w:tcBorders>
              <w:top w:val="single" w:color="auto" w:sz="4" w:space="0"/>
              <w:left w:val="single" w:color="auto" w:sz="4" w:space="0"/>
              <w:bottom w:val="single" w:color="auto" w:sz="4" w:space="0"/>
              <w:right w:val="single" w:color="auto" w:sz="4" w:space="0"/>
            </w:tcBorders>
            <w:vAlign w:val="center"/>
          </w:tcPr>
          <w:p w14:paraId="2855EEA0">
            <w:pPr>
              <w:jc w:val="center"/>
              <w:rPr>
                <w:rFonts w:ascii="仿宋_GB2312" w:eastAsia="仿宋_GB2312"/>
                <w:color w:val="auto"/>
                <w:sz w:val="24"/>
                <w:highlight w:val="none"/>
              </w:rPr>
            </w:pPr>
          </w:p>
        </w:tc>
        <w:tc>
          <w:tcPr>
            <w:tcW w:w="1203" w:type="dxa"/>
            <w:tcBorders>
              <w:top w:val="single" w:color="auto" w:sz="4" w:space="0"/>
              <w:left w:val="single" w:color="auto" w:sz="4" w:space="0"/>
              <w:bottom w:val="single" w:color="auto" w:sz="4" w:space="0"/>
              <w:right w:val="single" w:color="auto" w:sz="4" w:space="0"/>
            </w:tcBorders>
            <w:vAlign w:val="center"/>
          </w:tcPr>
          <w:p w14:paraId="5A6CDBD1">
            <w:pPr>
              <w:jc w:val="center"/>
              <w:rPr>
                <w:rFonts w:ascii="仿宋_GB2312" w:eastAsia="仿宋_GB2312"/>
                <w:color w:val="auto"/>
                <w:sz w:val="24"/>
                <w:highlight w:val="none"/>
              </w:rPr>
            </w:pPr>
            <w:r>
              <w:rPr>
                <w:rFonts w:hint="eastAsia" w:ascii="仿宋_GB2312" w:eastAsia="仿宋_GB2312"/>
                <w:color w:val="auto"/>
                <w:sz w:val="24"/>
                <w:highlight w:val="none"/>
              </w:rPr>
              <w:t>邮政编码</w:t>
            </w:r>
          </w:p>
        </w:tc>
        <w:tc>
          <w:tcPr>
            <w:tcW w:w="2512" w:type="dxa"/>
            <w:gridSpan w:val="2"/>
            <w:tcBorders>
              <w:top w:val="single" w:color="auto" w:sz="4" w:space="0"/>
              <w:left w:val="single" w:color="auto" w:sz="4" w:space="0"/>
              <w:bottom w:val="single" w:color="auto" w:sz="4" w:space="0"/>
              <w:right w:val="single" w:color="auto" w:sz="4" w:space="0"/>
            </w:tcBorders>
            <w:vAlign w:val="center"/>
          </w:tcPr>
          <w:p w14:paraId="4A43C460">
            <w:pPr>
              <w:jc w:val="center"/>
              <w:rPr>
                <w:rFonts w:ascii="仿宋_GB2312" w:eastAsia="仿宋_GB2312"/>
                <w:color w:val="auto"/>
                <w:sz w:val="24"/>
                <w:highlight w:val="none"/>
              </w:rPr>
            </w:pPr>
          </w:p>
        </w:tc>
      </w:tr>
      <w:tr w14:paraId="5570D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8" w:type="dxa"/>
            <w:vMerge w:val="restart"/>
            <w:tcBorders>
              <w:top w:val="nil"/>
              <w:left w:val="single" w:color="auto" w:sz="4" w:space="0"/>
              <w:bottom w:val="single" w:color="auto" w:sz="4" w:space="0"/>
              <w:right w:val="single" w:color="auto" w:sz="4" w:space="0"/>
            </w:tcBorders>
            <w:vAlign w:val="center"/>
          </w:tcPr>
          <w:p w14:paraId="2EA8AA6F">
            <w:pPr>
              <w:jc w:val="center"/>
              <w:rPr>
                <w:rFonts w:ascii="仿宋_GB2312" w:eastAsia="仿宋_GB2312"/>
                <w:color w:val="auto"/>
                <w:sz w:val="24"/>
                <w:highlight w:val="none"/>
              </w:rPr>
            </w:pPr>
            <w:r>
              <w:rPr>
                <w:rFonts w:hint="eastAsia" w:ascii="仿宋_GB2312" w:eastAsia="仿宋_GB2312"/>
                <w:color w:val="auto"/>
                <w:sz w:val="24"/>
                <w:highlight w:val="none"/>
              </w:rPr>
              <w:t>联系方式</w:t>
            </w:r>
          </w:p>
        </w:tc>
        <w:tc>
          <w:tcPr>
            <w:tcW w:w="1068" w:type="dxa"/>
            <w:tcBorders>
              <w:top w:val="single" w:color="auto" w:sz="4" w:space="0"/>
              <w:left w:val="single" w:color="auto" w:sz="4" w:space="0"/>
              <w:bottom w:val="single" w:color="auto" w:sz="4" w:space="0"/>
              <w:right w:val="single" w:color="auto" w:sz="4" w:space="0"/>
            </w:tcBorders>
            <w:vAlign w:val="center"/>
          </w:tcPr>
          <w:p w14:paraId="5DC50F9D">
            <w:pPr>
              <w:jc w:val="center"/>
              <w:rPr>
                <w:rFonts w:ascii="仿宋_GB2312" w:eastAsia="仿宋_GB2312"/>
                <w:color w:val="auto"/>
                <w:sz w:val="24"/>
                <w:highlight w:val="none"/>
              </w:rPr>
            </w:pPr>
            <w:r>
              <w:rPr>
                <w:rFonts w:hint="eastAsia" w:ascii="仿宋_GB2312" w:eastAsia="仿宋_GB2312"/>
                <w:color w:val="auto"/>
                <w:sz w:val="24"/>
                <w:highlight w:val="none"/>
              </w:rPr>
              <w:t>联系人</w:t>
            </w:r>
          </w:p>
        </w:tc>
        <w:tc>
          <w:tcPr>
            <w:tcW w:w="2338" w:type="dxa"/>
            <w:gridSpan w:val="2"/>
            <w:tcBorders>
              <w:top w:val="single" w:color="auto" w:sz="4" w:space="0"/>
              <w:left w:val="single" w:color="auto" w:sz="4" w:space="0"/>
              <w:bottom w:val="single" w:color="auto" w:sz="4" w:space="0"/>
              <w:right w:val="single" w:color="auto" w:sz="4" w:space="0"/>
            </w:tcBorders>
            <w:vAlign w:val="center"/>
          </w:tcPr>
          <w:p w14:paraId="089DF1E0">
            <w:pPr>
              <w:jc w:val="center"/>
              <w:rPr>
                <w:rFonts w:ascii="仿宋_GB2312" w:eastAsia="仿宋_GB2312"/>
                <w:color w:val="auto"/>
                <w:sz w:val="24"/>
                <w:highlight w:val="none"/>
              </w:rPr>
            </w:pPr>
          </w:p>
        </w:tc>
        <w:tc>
          <w:tcPr>
            <w:tcW w:w="1203" w:type="dxa"/>
            <w:tcBorders>
              <w:top w:val="single" w:color="auto" w:sz="4" w:space="0"/>
              <w:left w:val="single" w:color="auto" w:sz="4" w:space="0"/>
              <w:bottom w:val="single" w:color="auto" w:sz="4" w:space="0"/>
              <w:right w:val="single" w:color="auto" w:sz="4" w:space="0"/>
            </w:tcBorders>
            <w:vAlign w:val="center"/>
          </w:tcPr>
          <w:p w14:paraId="34FB8FAC">
            <w:pPr>
              <w:jc w:val="center"/>
              <w:rPr>
                <w:rFonts w:ascii="仿宋_GB2312" w:eastAsia="仿宋_GB2312"/>
                <w:color w:val="auto"/>
                <w:sz w:val="24"/>
                <w:highlight w:val="none"/>
              </w:rPr>
            </w:pPr>
            <w:r>
              <w:rPr>
                <w:rFonts w:hint="eastAsia" w:ascii="仿宋_GB2312" w:eastAsia="仿宋_GB2312"/>
                <w:color w:val="auto"/>
                <w:sz w:val="24"/>
                <w:highlight w:val="none"/>
              </w:rPr>
              <w:t>电    话</w:t>
            </w:r>
          </w:p>
        </w:tc>
        <w:tc>
          <w:tcPr>
            <w:tcW w:w="2512" w:type="dxa"/>
            <w:gridSpan w:val="2"/>
            <w:tcBorders>
              <w:top w:val="single" w:color="auto" w:sz="4" w:space="0"/>
              <w:left w:val="single" w:color="auto" w:sz="4" w:space="0"/>
              <w:bottom w:val="single" w:color="auto" w:sz="4" w:space="0"/>
              <w:right w:val="single" w:color="auto" w:sz="4" w:space="0"/>
            </w:tcBorders>
            <w:vAlign w:val="center"/>
          </w:tcPr>
          <w:p w14:paraId="19E97637">
            <w:pPr>
              <w:jc w:val="center"/>
              <w:rPr>
                <w:rFonts w:ascii="仿宋_GB2312" w:eastAsia="仿宋_GB2312"/>
                <w:color w:val="auto"/>
                <w:sz w:val="24"/>
                <w:highlight w:val="none"/>
              </w:rPr>
            </w:pPr>
          </w:p>
        </w:tc>
      </w:tr>
      <w:tr w14:paraId="35162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8" w:type="dxa"/>
            <w:vMerge w:val="continue"/>
            <w:tcBorders>
              <w:top w:val="nil"/>
              <w:left w:val="single" w:color="auto" w:sz="4" w:space="0"/>
              <w:bottom w:val="single" w:color="auto" w:sz="4" w:space="0"/>
              <w:right w:val="single" w:color="auto" w:sz="4" w:space="0"/>
            </w:tcBorders>
            <w:vAlign w:val="center"/>
          </w:tcPr>
          <w:p w14:paraId="417BA39E">
            <w:pPr>
              <w:widowControl/>
              <w:jc w:val="left"/>
              <w:rPr>
                <w:rFonts w:ascii="仿宋_GB2312" w:eastAsia="仿宋_GB2312"/>
                <w:color w:val="auto"/>
                <w:sz w:val="24"/>
                <w:highlight w:val="none"/>
              </w:rPr>
            </w:pPr>
          </w:p>
        </w:tc>
        <w:tc>
          <w:tcPr>
            <w:tcW w:w="1068" w:type="dxa"/>
            <w:tcBorders>
              <w:top w:val="single" w:color="auto" w:sz="4" w:space="0"/>
              <w:left w:val="single" w:color="auto" w:sz="4" w:space="0"/>
              <w:bottom w:val="single" w:color="auto" w:sz="4" w:space="0"/>
              <w:right w:val="single" w:color="auto" w:sz="4" w:space="0"/>
            </w:tcBorders>
            <w:vAlign w:val="center"/>
          </w:tcPr>
          <w:p w14:paraId="0313BEF7">
            <w:pPr>
              <w:jc w:val="center"/>
              <w:rPr>
                <w:rFonts w:ascii="仿宋_GB2312" w:eastAsia="仿宋_GB2312"/>
                <w:color w:val="auto"/>
                <w:sz w:val="24"/>
                <w:highlight w:val="none"/>
              </w:rPr>
            </w:pPr>
            <w:r>
              <w:rPr>
                <w:rFonts w:hint="eastAsia" w:ascii="仿宋_GB2312" w:eastAsia="仿宋_GB2312"/>
                <w:color w:val="auto"/>
                <w:sz w:val="24"/>
                <w:highlight w:val="none"/>
              </w:rPr>
              <w:t>传  真</w:t>
            </w:r>
          </w:p>
        </w:tc>
        <w:tc>
          <w:tcPr>
            <w:tcW w:w="2338" w:type="dxa"/>
            <w:gridSpan w:val="2"/>
            <w:tcBorders>
              <w:top w:val="single" w:color="auto" w:sz="4" w:space="0"/>
              <w:left w:val="single" w:color="auto" w:sz="4" w:space="0"/>
              <w:bottom w:val="single" w:color="auto" w:sz="4" w:space="0"/>
              <w:right w:val="single" w:color="auto" w:sz="4" w:space="0"/>
            </w:tcBorders>
            <w:vAlign w:val="center"/>
          </w:tcPr>
          <w:p w14:paraId="6D8E7117">
            <w:pPr>
              <w:jc w:val="center"/>
              <w:rPr>
                <w:rFonts w:ascii="仿宋_GB2312" w:eastAsia="仿宋_GB2312"/>
                <w:color w:val="auto"/>
                <w:sz w:val="24"/>
                <w:highlight w:val="none"/>
              </w:rPr>
            </w:pPr>
          </w:p>
        </w:tc>
        <w:tc>
          <w:tcPr>
            <w:tcW w:w="1203" w:type="dxa"/>
            <w:tcBorders>
              <w:top w:val="single" w:color="auto" w:sz="4" w:space="0"/>
              <w:left w:val="single" w:color="auto" w:sz="4" w:space="0"/>
              <w:bottom w:val="single" w:color="auto" w:sz="4" w:space="0"/>
              <w:right w:val="single" w:color="auto" w:sz="4" w:space="0"/>
            </w:tcBorders>
            <w:vAlign w:val="center"/>
          </w:tcPr>
          <w:p w14:paraId="403A347C">
            <w:pPr>
              <w:jc w:val="center"/>
              <w:rPr>
                <w:rFonts w:ascii="仿宋_GB2312" w:eastAsia="仿宋_GB2312"/>
                <w:color w:val="auto"/>
                <w:sz w:val="24"/>
                <w:highlight w:val="none"/>
              </w:rPr>
            </w:pPr>
            <w:r>
              <w:rPr>
                <w:rFonts w:hint="eastAsia" w:ascii="仿宋_GB2312" w:eastAsia="仿宋_GB2312"/>
                <w:color w:val="auto"/>
                <w:sz w:val="24"/>
                <w:highlight w:val="none"/>
              </w:rPr>
              <w:t>网    址</w:t>
            </w:r>
          </w:p>
        </w:tc>
        <w:tc>
          <w:tcPr>
            <w:tcW w:w="2512" w:type="dxa"/>
            <w:gridSpan w:val="2"/>
            <w:tcBorders>
              <w:top w:val="single" w:color="auto" w:sz="4" w:space="0"/>
              <w:left w:val="single" w:color="auto" w:sz="4" w:space="0"/>
              <w:bottom w:val="single" w:color="auto" w:sz="4" w:space="0"/>
              <w:right w:val="single" w:color="auto" w:sz="4" w:space="0"/>
            </w:tcBorders>
            <w:vAlign w:val="center"/>
          </w:tcPr>
          <w:p w14:paraId="4B9AA837">
            <w:pPr>
              <w:jc w:val="center"/>
              <w:rPr>
                <w:rFonts w:ascii="仿宋_GB2312" w:eastAsia="仿宋_GB2312"/>
                <w:color w:val="auto"/>
                <w:sz w:val="24"/>
                <w:highlight w:val="none"/>
              </w:rPr>
            </w:pPr>
          </w:p>
        </w:tc>
      </w:tr>
      <w:tr w14:paraId="358B1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8" w:type="dxa"/>
            <w:tcBorders>
              <w:top w:val="single" w:color="auto" w:sz="4" w:space="0"/>
              <w:left w:val="single" w:color="auto" w:sz="4" w:space="0"/>
              <w:bottom w:val="single" w:color="auto" w:sz="4" w:space="0"/>
              <w:right w:val="single" w:color="auto" w:sz="4" w:space="0"/>
            </w:tcBorders>
            <w:vAlign w:val="center"/>
          </w:tcPr>
          <w:p w14:paraId="4DB1DB59">
            <w:pPr>
              <w:jc w:val="center"/>
              <w:rPr>
                <w:rFonts w:ascii="仿宋_GB2312" w:eastAsia="仿宋_GB2312"/>
                <w:color w:val="auto"/>
                <w:sz w:val="24"/>
                <w:highlight w:val="none"/>
              </w:rPr>
            </w:pPr>
            <w:r>
              <w:rPr>
                <w:rFonts w:hint="eastAsia" w:ascii="仿宋_GB2312" w:eastAsia="仿宋_GB2312"/>
                <w:color w:val="auto"/>
                <w:sz w:val="24"/>
                <w:highlight w:val="none"/>
              </w:rPr>
              <w:t>法定代表人</w:t>
            </w:r>
          </w:p>
        </w:tc>
        <w:tc>
          <w:tcPr>
            <w:tcW w:w="1068" w:type="dxa"/>
            <w:tcBorders>
              <w:top w:val="single" w:color="auto" w:sz="4" w:space="0"/>
              <w:left w:val="single" w:color="auto" w:sz="4" w:space="0"/>
              <w:bottom w:val="single" w:color="auto" w:sz="4" w:space="0"/>
              <w:right w:val="single" w:color="auto" w:sz="4" w:space="0"/>
            </w:tcBorders>
            <w:vAlign w:val="center"/>
          </w:tcPr>
          <w:p w14:paraId="37CC3A66">
            <w:pPr>
              <w:jc w:val="center"/>
              <w:rPr>
                <w:rFonts w:ascii="仿宋_GB2312" w:eastAsia="仿宋_GB2312"/>
                <w:color w:val="auto"/>
                <w:sz w:val="24"/>
                <w:highlight w:val="none"/>
              </w:rPr>
            </w:pPr>
            <w:r>
              <w:rPr>
                <w:rFonts w:hint="eastAsia" w:ascii="仿宋_GB2312" w:eastAsia="仿宋_GB2312"/>
                <w:color w:val="auto"/>
                <w:sz w:val="24"/>
                <w:highlight w:val="none"/>
              </w:rPr>
              <w:t>姓名</w:t>
            </w:r>
          </w:p>
        </w:tc>
        <w:tc>
          <w:tcPr>
            <w:tcW w:w="1110" w:type="dxa"/>
            <w:tcBorders>
              <w:top w:val="single" w:color="auto" w:sz="4" w:space="0"/>
              <w:left w:val="single" w:color="auto" w:sz="4" w:space="0"/>
              <w:bottom w:val="single" w:color="auto" w:sz="4" w:space="0"/>
              <w:right w:val="single" w:color="auto" w:sz="4" w:space="0"/>
            </w:tcBorders>
            <w:vAlign w:val="center"/>
          </w:tcPr>
          <w:p w14:paraId="26093B39">
            <w:pPr>
              <w:jc w:val="center"/>
              <w:rPr>
                <w:rFonts w:ascii="仿宋_GB2312" w:eastAsia="仿宋_GB2312"/>
                <w:color w:val="auto"/>
                <w:sz w:val="24"/>
                <w:highlight w:val="none"/>
              </w:rPr>
            </w:pPr>
          </w:p>
        </w:tc>
        <w:tc>
          <w:tcPr>
            <w:tcW w:w="1228" w:type="dxa"/>
            <w:tcBorders>
              <w:top w:val="single" w:color="auto" w:sz="4" w:space="0"/>
              <w:left w:val="single" w:color="auto" w:sz="4" w:space="0"/>
              <w:bottom w:val="single" w:color="auto" w:sz="4" w:space="0"/>
              <w:right w:val="single" w:color="auto" w:sz="4" w:space="0"/>
            </w:tcBorders>
            <w:vAlign w:val="center"/>
          </w:tcPr>
          <w:p w14:paraId="5F959668">
            <w:pPr>
              <w:jc w:val="center"/>
              <w:rPr>
                <w:rFonts w:ascii="仿宋_GB2312" w:eastAsia="仿宋_GB2312"/>
                <w:color w:val="auto"/>
                <w:sz w:val="24"/>
                <w:highlight w:val="none"/>
              </w:rPr>
            </w:pPr>
            <w:r>
              <w:rPr>
                <w:rFonts w:hint="eastAsia" w:ascii="仿宋_GB2312" w:eastAsia="仿宋_GB2312"/>
                <w:color w:val="auto"/>
                <w:sz w:val="24"/>
                <w:highlight w:val="none"/>
              </w:rPr>
              <w:t>技术职称</w:t>
            </w:r>
          </w:p>
        </w:tc>
        <w:tc>
          <w:tcPr>
            <w:tcW w:w="1203" w:type="dxa"/>
            <w:tcBorders>
              <w:top w:val="single" w:color="auto" w:sz="4" w:space="0"/>
              <w:left w:val="single" w:color="auto" w:sz="4" w:space="0"/>
              <w:bottom w:val="single" w:color="auto" w:sz="4" w:space="0"/>
              <w:right w:val="single" w:color="auto" w:sz="4" w:space="0"/>
            </w:tcBorders>
            <w:vAlign w:val="center"/>
          </w:tcPr>
          <w:p w14:paraId="6F44FF42">
            <w:pPr>
              <w:jc w:val="center"/>
              <w:rPr>
                <w:rFonts w:ascii="仿宋_GB2312" w:eastAsia="仿宋_GB2312"/>
                <w:color w:val="auto"/>
                <w:sz w:val="24"/>
                <w:highlight w:val="none"/>
              </w:rPr>
            </w:pPr>
          </w:p>
        </w:tc>
        <w:tc>
          <w:tcPr>
            <w:tcW w:w="995" w:type="dxa"/>
            <w:tcBorders>
              <w:top w:val="single" w:color="auto" w:sz="4" w:space="0"/>
              <w:left w:val="single" w:color="auto" w:sz="4" w:space="0"/>
              <w:bottom w:val="single" w:color="auto" w:sz="4" w:space="0"/>
              <w:right w:val="single" w:color="auto" w:sz="4" w:space="0"/>
            </w:tcBorders>
            <w:vAlign w:val="center"/>
          </w:tcPr>
          <w:p w14:paraId="010BB621">
            <w:pPr>
              <w:jc w:val="center"/>
              <w:rPr>
                <w:rFonts w:ascii="仿宋_GB2312" w:eastAsia="仿宋_GB2312"/>
                <w:color w:val="auto"/>
                <w:sz w:val="24"/>
                <w:highlight w:val="none"/>
              </w:rPr>
            </w:pPr>
            <w:r>
              <w:rPr>
                <w:rFonts w:hint="eastAsia" w:ascii="仿宋_GB2312" w:eastAsia="仿宋_GB2312"/>
                <w:color w:val="auto"/>
                <w:sz w:val="24"/>
                <w:highlight w:val="none"/>
              </w:rPr>
              <w:t>电话</w:t>
            </w:r>
          </w:p>
        </w:tc>
        <w:tc>
          <w:tcPr>
            <w:tcW w:w="1517" w:type="dxa"/>
            <w:tcBorders>
              <w:top w:val="single" w:color="auto" w:sz="4" w:space="0"/>
              <w:left w:val="single" w:color="auto" w:sz="4" w:space="0"/>
              <w:bottom w:val="single" w:color="auto" w:sz="4" w:space="0"/>
              <w:right w:val="single" w:color="auto" w:sz="4" w:space="0"/>
            </w:tcBorders>
            <w:vAlign w:val="center"/>
          </w:tcPr>
          <w:p w14:paraId="5BFE8F11">
            <w:pPr>
              <w:jc w:val="center"/>
              <w:rPr>
                <w:rFonts w:ascii="仿宋_GB2312" w:eastAsia="仿宋_GB2312"/>
                <w:color w:val="auto"/>
                <w:sz w:val="24"/>
                <w:highlight w:val="none"/>
              </w:rPr>
            </w:pPr>
          </w:p>
        </w:tc>
      </w:tr>
      <w:tr w14:paraId="39366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8" w:type="dxa"/>
            <w:tcBorders>
              <w:top w:val="single" w:color="auto" w:sz="4" w:space="0"/>
              <w:left w:val="single" w:color="auto" w:sz="4" w:space="0"/>
              <w:bottom w:val="single" w:color="auto" w:sz="4" w:space="0"/>
              <w:right w:val="single" w:color="auto" w:sz="4" w:space="0"/>
            </w:tcBorders>
            <w:vAlign w:val="center"/>
          </w:tcPr>
          <w:p w14:paraId="542D6C2A">
            <w:pPr>
              <w:jc w:val="center"/>
              <w:rPr>
                <w:rFonts w:ascii="仿宋_GB2312" w:eastAsia="仿宋_GB2312"/>
                <w:color w:val="auto"/>
                <w:sz w:val="24"/>
                <w:highlight w:val="none"/>
              </w:rPr>
            </w:pPr>
            <w:r>
              <w:rPr>
                <w:rFonts w:hint="eastAsia" w:ascii="仿宋_GB2312" w:eastAsia="仿宋_GB2312"/>
                <w:color w:val="auto"/>
                <w:sz w:val="24"/>
                <w:highlight w:val="none"/>
              </w:rPr>
              <w:t>技术负责人</w:t>
            </w:r>
          </w:p>
        </w:tc>
        <w:tc>
          <w:tcPr>
            <w:tcW w:w="1068" w:type="dxa"/>
            <w:tcBorders>
              <w:top w:val="single" w:color="auto" w:sz="4" w:space="0"/>
              <w:left w:val="single" w:color="auto" w:sz="4" w:space="0"/>
              <w:bottom w:val="single" w:color="auto" w:sz="4" w:space="0"/>
              <w:right w:val="single" w:color="auto" w:sz="4" w:space="0"/>
            </w:tcBorders>
            <w:vAlign w:val="center"/>
          </w:tcPr>
          <w:p w14:paraId="73D3144E">
            <w:pPr>
              <w:jc w:val="center"/>
              <w:rPr>
                <w:rFonts w:ascii="仿宋_GB2312" w:eastAsia="仿宋_GB2312"/>
                <w:color w:val="auto"/>
                <w:sz w:val="24"/>
                <w:highlight w:val="none"/>
              </w:rPr>
            </w:pPr>
            <w:r>
              <w:rPr>
                <w:rFonts w:hint="eastAsia" w:ascii="仿宋_GB2312" w:eastAsia="仿宋_GB2312"/>
                <w:color w:val="auto"/>
                <w:sz w:val="24"/>
                <w:highlight w:val="none"/>
              </w:rPr>
              <w:t>姓名</w:t>
            </w:r>
          </w:p>
        </w:tc>
        <w:tc>
          <w:tcPr>
            <w:tcW w:w="1110" w:type="dxa"/>
            <w:tcBorders>
              <w:top w:val="single" w:color="auto" w:sz="4" w:space="0"/>
              <w:left w:val="single" w:color="auto" w:sz="4" w:space="0"/>
              <w:bottom w:val="single" w:color="auto" w:sz="4" w:space="0"/>
              <w:right w:val="single" w:color="auto" w:sz="4" w:space="0"/>
            </w:tcBorders>
            <w:vAlign w:val="center"/>
          </w:tcPr>
          <w:p w14:paraId="7A86524F">
            <w:pPr>
              <w:jc w:val="center"/>
              <w:rPr>
                <w:rFonts w:ascii="仿宋_GB2312" w:eastAsia="仿宋_GB2312"/>
                <w:color w:val="auto"/>
                <w:sz w:val="24"/>
                <w:highlight w:val="none"/>
              </w:rPr>
            </w:pPr>
          </w:p>
        </w:tc>
        <w:tc>
          <w:tcPr>
            <w:tcW w:w="1228" w:type="dxa"/>
            <w:tcBorders>
              <w:top w:val="single" w:color="auto" w:sz="4" w:space="0"/>
              <w:left w:val="single" w:color="auto" w:sz="4" w:space="0"/>
              <w:bottom w:val="single" w:color="auto" w:sz="4" w:space="0"/>
              <w:right w:val="single" w:color="auto" w:sz="4" w:space="0"/>
            </w:tcBorders>
            <w:vAlign w:val="center"/>
          </w:tcPr>
          <w:p w14:paraId="1494D411">
            <w:pPr>
              <w:jc w:val="center"/>
              <w:rPr>
                <w:rFonts w:ascii="仿宋_GB2312" w:eastAsia="仿宋_GB2312"/>
                <w:color w:val="auto"/>
                <w:sz w:val="24"/>
                <w:highlight w:val="none"/>
              </w:rPr>
            </w:pPr>
            <w:r>
              <w:rPr>
                <w:rFonts w:hint="eastAsia" w:ascii="仿宋_GB2312" w:eastAsia="仿宋_GB2312"/>
                <w:color w:val="auto"/>
                <w:sz w:val="24"/>
                <w:highlight w:val="none"/>
              </w:rPr>
              <w:t>技术职称</w:t>
            </w:r>
          </w:p>
        </w:tc>
        <w:tc>
          <w:tcPr>
            <w:tcW w:w="1203" w:type="dxa"/>
            <w:tcBorders>
              <w:top w:val="single" w:color="auto" w:sz="4" w:space="0"/>
              <w:left w:val="single" w:color="auto" w:sz="4" w:space="0"/>
              <w:bottom w:val="single" w:color="auto" w:sz="4" w:space="0"/>
              <w:right w:val="single" w:color="auto" w:sz="4" w:space="0"/>
            </w:tcBorders>
            <w:vAlign w:val="center"/>
          </w:tcPr>
          <w:p w14:paraId="56640AC9">
            <w:pPr>
              <w:jc w:val="center"/>
              <w:rPr>
                <w:rFonts w:ascii="仿宋_GB2312" w:eastAsia="仿宋_GB2312"/>
                <w:color w:val="auto"/>
                <w:sz w:val="24"/>
                <w:highlight w:val="none"/>
              </w:rPr>
            </w:pPr>
          </w:p>
        </w:tc>
        <w:tc>
          <w:tcPr>
            <w:tcW w:w="995" w:type="dxa"/>
            <w:tcBorders>
              <w:top w:val="single" w:color="auto" w:sz="4" w:space="0"/>
              <w:left w:val="single" w:color="auto" w:sz="4" w:space="0"/>
              <w:bottom w:val="single" w:color="auto" w:sz="4" w:space="0"/>
              <w:right w:val="single" w:color="auto" w:sz="4" w:space="0"/>
            </w:tcBorders>
            <w:vAlign w:val="center"/>
          </w:tcPr>
          <w:p w14:paraId="4506967F">
            <w:pPr>
              <w:jc w:val="center"/>
              <w:rPr>
                <w:rFonts w:ascii="仿宋_GB2312" w:eastAsia="仿宋_GB2312"/>
                <w:color w:val="auto"/>
                <w:sz w:val="24"/>
                <w:highlight w:val="none"/>
              </w:rPr>
            </w:pPr>
            <w:r>
              <w:rPr>
                <w:rFonts w:hint="eastAsia" w:ascii="仿宋_GB2312" w:eastAsia="仿宋_GB2312"/>
                <w:color w:val="auto"/>
                <w:sz w:val="24"/>
                <w:highlight w:val="none"/>
              </w:rPr>
              <w:t>电话</w:t>
            </w:r>
          </w:p>
        </w:tc>
        <w:tc>
          <w:tcPr>
            <w:tcW w:w="1517" w:type="dxa"/>
            <w:tcBorders>
              <w:top w:val="single" w:color="auto" w:sz="4" w:space="0"/>
              <w:left w:val="single" w:color="auto" w:sz="4" w:space="0"/>
              <w:bottom w:val="single" w:color="auto" w:sz="4" w:space="0"/>
              <w:right w:val="single" w:color="auto" w:sz="4" w:space="0"/>
            </w:tcBorders>
            <w:vAlign w:val="center"/>
          </w:tcPr>
          <w:p w14:paraId="660D1DCA">
            <w:pPr>
              <w:jc w:val="center"/>
              <w:rPr>
                <w:rFonts w:ascii="仿宋_GB2312" w:eastAsia="仿宋_GB2312"/>
                <w:color w:val="auto"/>
                <w:sz w:val="24"/>
                <w:highlight w:val="none"/>
              </w:rPr>
            </w:pPr>
          </w:p>
        </w:tc>
      </w:tr>
      <w:tr w14:paraId="28AC4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8" w:type="dxa"/>
            <w:tcBorders>
              <w:top w:val="single" w:color="auto" w:sz="4" w:space="0"/>
              <w:left w:val="single" w:color="auto" w:sz="4" w:space="0"/>
              <w:bottom w:val="single" w:color="auto" w:sz="4" w:space="0"/>
              <w:right w:val="single" w:color="auto" w:sz="4" w:space="0"/>
            </w:tcBorders>
            <w:vAlign w:val="center"/>
          </w:tcPr>
          <w:p w14:paraId="7087AFF8">
            <w:pPr>
              <w:jc w:val="center"/>
              <w:rPr>
                <w:rFonts w:ascii="仿宋_GB2312" w:eastAsia="仿宋_GB2312"/>
                <w:color w:val="auto"/>
                <w:sz w:val="24"/>
                <w:highlight w:val="none"/>
              </w:rPr>
            </w:pPr>
            <w:r>
              <w:rPr>
                <w:rFonts w:hint="eastAsia" w:ascii="仿宋_GB2312" w:eastAsia="仿宋_GB2312"/>
                <w:color w:val="auto"/>
                <w:sz w:val="24"/>
                <w:highlight w:val="none"/>
              </w:rPr>
              <w:t>成立时间</w:t>
            </w:r>
          </w:p>
        </w:tc>
        <w:tc>
          <w:tcPr>
            <w:tcW w:w="2178" w:type="dxa"/>
            <w:gridSpan w:val="2"/>
            <w:tcBorders>
              <w:top w:val="single" w:color="auto" w:sz="4" w:space="0"/>
              <w:left w:val="single" w:color="auto" w:sz="4" w:space="0"/>
              <w:bottom w:val="single" w:color="auto" w:sz="4" w:space="0"/>
              <w:right w:val="single" w:color="auto" w:sz="4" w:space="0"/>
            </w:tcBorders>
            <w:vAlign w:val="center"/>
          </w:tcPr>
          <w:p w14:paraId="6FACDD3A">
            <w:pPr>
              <w:jc w:val="center"/>
              <w:rPr>
                <w:rFonts w:ascii="仿宋_GB2312" w:eastAsia="仿宋_GB2312"/>
                <w:color w:val="auto"/>
                <w:sz w:val="24"/>
                <w:highlight w:val="none"/>
              </w:rPr>
            </w:pPr>
          </w:p>
        </w:tc>
        <w:tc>
          <w:tcPr>
            <w:tcW w:w="4943" w:type="dxa"/>
            <w:gridSpan w:val="4"/>
            <w:tcBorders>
              <w:top w:val="single" w:color="auto" w:sz="4" w:space="0"/>
              <w:left w:val="single" w:color="auto" w:sz="4" w:space="0"/>
              <w:bottom w:val="single" w:color="auto" w:sz="4" w:space="0"/>
              <w:right w:val="single" w:color="auto" w:sz="4" w:space="0"/>
            </w:tcBorders>
            <w:vAlign w:val="center"/>
          </w:tcPr>
          <w:p w14:paraId="13445B18">
            <w:pPr>
              <w:jc w:val="left"/>
              <w:rPr>
                <w:rFonts w:ascii="仿宋_GB2312" w:eastAsia="仿宋_GB2312"/>
                <w:color w:val="auto"/>
                <w:sz w:val="24"/>
                <w:highlight w:val="none"/>
              </w:rPr>
            </w:pPr>
            <w:r>
              <w:rPr>
                <w:rFonts w:hint="eastAsia" w:ascii="仿宋_GB2312" w:eastAsia="仿宋_GB2312"/>
                <w:color w:val="auto"/>
                <w:sz w:val="24"/>
                <w:highlight w:val="none"/>
              </w:rPr>
              <w:t>员工总人数：</w:t>
            </w:r>
          </w:p>
        </w:tc>
      </w:tr>
      <w:tr w14:paraId="4187A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8" w:type="dxa"/>
            <w:tcBorders>
              <w:top w:val="single" w:color="auto" w:sz="4" w:space="0"/>
              <w:left w:val="single" w:color="auto" w:sz="4" w:space="0"/>
              <w:bottom w:val="single" w:color="auto" w:sz="4" w:space="0"/>
              <w:right w:val="single" w:color="auto" w:sz="4" w:space="0"/>
            </w:tcBorders>
            <w:vAlign w:val="center"/>
          </w:tcPr>
          <w:p w14:paraId="35FC9CA0">
            <w:pPr>
              <w:jc w:val="center"/>
              <w:rPr>
                <w:rFonts w:ascii="仿宋_GB2312" w:eastAsia="仿宋_GB2312"/>
                <w:color w:val="auto"/>
                <w:sz w:val="24"/>
                <w:highlight w:val="none"/>
              </w:rPr>
            </w:pPr>
            <w:r>
              <w:rPr>
                <w:rFonts w:hint="eastAsia" w:ascii="仿宋_GB2312" w:eastAsia="仿宋_GB2312"/>
                <w:color w:val="auto"/>
                <w:sz w:val="24"/>
                <w:highlight w:val="none"/>
              </w:rPr>
              <w:t>统一社会信用代码</w:t>
            </w:r>
          </w:p>
        </w:tc>
        <w:tc>
          <w:tcPr>
            <w:tcW w:w="2178" w:type="dxa"/>
            <w:gridSpan w:val="2"/>
            <w:tcBorders>
              <w:top w:val="single" w:color="auto" w:sz="4" w:space="0"/>
              <w:left w:val="single" w:color="auto" w:sz="4" w:space="0"/>
              <w:bottom w:val="single" w:color="auto" w:sz="4" w:space="0"/>
              <w:right w:val="single" w:color="auto" w:sz="4" w:space="0"/>
            </w:tcBorders>
            <w:vAlign w:val="center"/>
          </w:tcPr>
          <w:p w14:paraId="7E06371F">
            <w:pPr>
              <w:jc w:val="center"/>
              <w:rPr>
                <w:rFonts w:ascii="仿宋_GB2312" w:eastAsia="仿宋_GB2312"/>
                <w:color w:val="auto"/>
                <w:sz w:val="24"/>
                <w:highlight w:val="none"/>
              </w:rPr>
            </w:pPr>
          </w:p>
        </w:tc>
        <w:tc>
          <w:tcPr>
            <w:tcW w:w="1228" w:type="dxa"/>
            <w:vMerge w:val="restart"/>
            <w:tcBorders>
              <w:top w:val="nil"/>
              <w:left w:val="single" w:color="auto" w:sz="4" w:space="0"/>
              <w:bottom w:val="single" w:color="auto" w:sz="4" w:space="0"/>
              <w:right w:val="single" w:color="auto" w:sz="4" w:space="0"/>
            </w:tcBorders>
            <w:vAlign w:val="center"/>
          </w:tcPr>
          <w:p w14:paraId="054ADC72">
            <w:pPr>
              <w:jc w:val="center"/>
              <w:rPr>
                <w:rFonts w:ascii="仿宋_GB2312" w:eastAsia="仿宋_GB2312"/>
                <w:color w:val="auto"/>
                <w:sz w:val="24"/>
                <w:highlight w:val="none"/>
              </w:rPr>
            </w:pPr>
            <w:r>
              <w:rPr>
                <w:rFonts w:hint="eastAsia" w:ascii="仿宋_GB2312" w:eastAsia="仿宋_GB2312"/>
                <w:color w:val="auto"/>
                <w:sz w:val="24"/>
                <w:highlight w:val="none"/>
              </w:rPr>
              <w:t>其中</w:t>
            </w:r>
          </w:p>
        </w:tc>
        <w:tc>
          <w:tcPr>
            <w:tcW w:w="1203" w:type="dxa"/>
            <w:tcBorders>
              <w:top w:val="single" w:color="auto" w:sz="4" w:space="0"/>
              <w:left w:val="single" w:color="auto" w:sz="4" w:space="0"/>
              <w:bottom w:val="single" w:color="auto" w:sz="4" w:space="0"/>
              <w:right w:val="single" w:color="auto" w:sz="4" w:space="0"/>
            </w:tcBorders>
            <w:vAlign w:val="center"/>
          </w:tcPr>
          <w:p w14:paraId="051D6E62">
            <w:pPr>
              <w:jc w:val="center"/>
              <w:rPr>
                <w:rFonts w:ascii="仿宋_GB2312" w:eastAsia="仿宋_GB2312"/>
                <w:color w:val="auto"/>
                <w:sz w:val="24"/>
                <w:highlight w:val="none"/>
              </w:rPr>
            </w:pPr>
            <w:r>
              <w:rPr>
                <w:rFonts w:hint="eastAsia" w:ascii="仿宋_GB2312" w:eastAsia="仿宋_GB2312"/>
                <w:color w:val="auto"/>
                <w:sz w:val="24"/>
                <w:highlight w:val="none"/>
              </w:rPr>
              <w:t>总经理</w:t>
            </w:r>
          </w:p>
        </w:tc>
        <w:tc>
          <w:tcPr>
            <w:tcW w:w="2512" w:type="dxa"/>
            <w:gridSpan w:val="2"/>
            <w:tcBorders>
              <w:top w:val="single" w:color="auto" w:sz="4" w:space="0"/>
              <w:left w:val="single" w:color="auto" w:sz="4" w:space="0"/>
              <w:bottom w:val="single" w:color="auto" w:sz="4" w:space="0"/>
              <w:right w:val="single" w:color="auto" w:sz="4" w:space="0"/>
            </w:tcBorders>
            <w:vAlign w:val="center"/>
          </w:tcPr>
          <w:p w14:paraId="48CEB9FF">
            <w:pPr>
              <w:jc w:val="center"/>
              <w:rPr>
                <w:rFonts w:ascii="仿宋_GB2312" w:eastAsia="仿宋_GB2312"/>
                <w:color w:val="auto"/>
                <w:sz w:val="24"/>
                <w:highlight w:val="none"/>
              </w:rPr>
            </w:pPr>
          </w:p>
        </w:tc>
      </w:tr>
      <w:tr w14:paraId="0CED3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8" w:type="dxa"/>
            <w:tcBorders>
              <w:top w:val="single" w:color="auto" w:sz="4" w:space="0"/>
              <w:left w:val="single" w:color="auto" w:sz="4" w:space="0"/>
              <w:bottom w:val="single" w:color="auto" w:sz="4" w:space="0"/>
              <w:right w:val="single" w:color="auto" w:sz="4" w:space="0"/>
            </w:tcBorders>
            <w:vAlign w:val="center"/>
          </w:tcPr>
          <w:p w14:paraId="4B2A0177">
            <w:pPr>
              <w:jc w:val="center"/>
              <w:rPr>
                <w:rFonts w:ascii="仿宋_GB2312" w:eastAsia="仿宋_GB2312"/>
                <w:color w:val="auto"/>
                <w:sz w:val="24"/>
                <w:highlight w:val="none"/>
              </w:rPr>
            </w:pPr>
            <w:r>
              <w:rPr>
                <w:rFonts w:hint="eastAsia" w:ascii="仿宋_GB2312" w:eastAsia="仿宋_GB2312"/>
                <w:color w:val="auto"/>
                <w:sz w:val="24"/>
                <w:highlight w:val="none"/>
              </w:rPr>
              <w:t>注册资本</w:t>
            </w:r>
          </w:p>
        </w:tc>
        <w:tc>
          <w:tcPr>
            <w:tcW w:w="2178" w:type="dxa"/>
            <w:gridSpan w:val="2"/>
            <w:tcBorders>
              <w:top w:val="single" w:color="auto" w:sz="4" w:space="0"/>
              <w:left w:val="single" w:color="auto" w:sz="4" w:space="0"/>
              <w:bottom w:val="single" w:color="auto" w:sz="4" w:space="0"/>
              <w:right w:val="single" w:color="auto" w:sz="4" w:space="0"/>
            </w:tcBorders>
            <w:vAlign w:val="center"/>
          </w:tcPr>
          <w:p w14:paraId="02AD4788">
            <w:pPr>
              <w:jc w:val="center"/>
              <w:rPr>
                <w:rFonts w:ascii="仿宋_GB2312" w:eastAsia="仿宋_GB2312"/>
                <w:color w:val="auto"/>
                <w:sz w:val="24"/>
                <w:highlight w:val="none"/>
              </w:rPr>
            </w:pPr>
          </w:p>
        </w:tc>
        <w:tc>
          <w:tcPr>
            <w:tcW w:w="1228" w:type="dxa"/>
            <w:vMerge w:val="continue"/>
            <w:tcBorders>
              <w:top w:val="nil"/>
              <w:left w:val="single" w:color="auto" w:sz="4" w:space="0"/>
              <w:bottom w:val="single" w:color="auto" w:sz="4" w:space="0"/>
              <w:right w:val="single" w:color="auto" w:sz="4" w:space="0"/>
            </w:tcBorders>
            <w:vAlign w:val="center"/>
          </w:tcPr>
          <w:p w14:paraId="3DC57009">
            <w:pPr>
              <w:widowControl/>
              <w:jc w:val="left"/>
              <w:rPr>
                <w:rFonts w:ascii="仿宋_GB2312" w:eastAsia="仿宋_GB2312"/>
                <w:color w:val="auto"/>
                <w:sz w:val="24"/>
                <w:highlight w:val="none"/>
              </w:rPr>
            </w:pPr>
          </w:p>
        </w:tc>
        <w:tc>
          <w:tcPr>
            <w:tcW w:w="1203" w:type="dxa"/>
            <w:tcBorders>
              <w:top w:val="single" w:color="auto" w:sz="4" w:space="0"/>
              <w:left w:val="single" w:color="auto" w:sz="4" w:space="0"/>
              <w:bottom w:val="single" w:color="auto" w:sz="4" w:space="0"/>
              <w:right w:val="single" w:color="auto" w:sz="4" w:space="0"/>
            </w:tcBorders>
            <w:vAlign w:val="center"/>
          </w:tcPr>
          <w:p w14:paraId="779AF7D8">
            <w:pPr>
              <w:jc w:val="center"/>
              <w:rPr>
                <w:rFonts w:ascii="仿宋_GB2312" w:eastAsia="仿宋_GB2312"/>
                <w:color w:val="auto"/>
                <w:sz w:val="24"/>
                <w:highlight w:val="none"/>
              </w:rPr>
            </w:pPr>
            <w:r>
              <w:rPr>
                <w:rFonts w:hint="eastAsia" w:ascii="仿宋_GB2312" w:eastAsia="仿宋_GB2312"/>
                <w:color w:val="auto"/>
                <w:sz w:val="24"/>
                <w:highlight w:val="none"/>
              </w:rPr>
              <w:t>项目经理</w:t>
            </w:r>
          </w:p>
        </w:tc>
        <w:tc>
          <w:tcPr>
            <w:tcW w:w="2512" w:type="dxa"/>
            <w:gridSpan w:val="2"/>
            <w:tcBorders>
              <w:top w:val="single" w:color="auto" w:sz="4" w:space="0"/>
              <w:left w:val="single" w:color="auto" w:sz="4" w:space="0"/>
              <w:bottom w:val="single" w:color="auto" w:sz="4" w:space="0"/>
              <w:right w:val="single" w:color="auto" w:sz="4" w:space="0"/>
            </w:tcBorders>
            <w:vAlign w:val="center"/>
          </w:tcPr>
          <w:p w14:paraId="702E0571">
            <w:pPr>
              <w:jc w:val="center"/>
              <w:rPr>
                <w:rFonts w:ascii="仿宋_GB2312" w:eastAsia="仿宋_GB2312"/>
                <w:color w:val="auto"/>
                <w:sz w:val="24"/>
                <w:highlight w:val="none"/>
              </w:rPr>
            </w:pPr>
          </w:p>
        </w:tc>
      </w:tr>
      <w:tr w14:paraId="1CB86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8" w:type="dxa"/>
            <w:tcBorders>
              <w:top w:val="single" w:color="auto" w:sz="4" w:space="0"/>
              <w:left w:val="single" w:color="auto" w:sz="4" w:space="0"/>
              <w:bottom w:val="single" w:color="auto" w:sz="4" w:space="0"/>
              <w:right w:val="single" w:color="auto" w:sz="4" w:space="0"/>
            </w:tcBorders>
            <w:vAlign w:val="center"/>
          </w:tcPr>
          <w:p w14:paraId="1C7055E1">
            <w:pPr>
              <w:jc w:val="center"/>
              <w:rPr>
                <w:rFonts w:ascii="仿宋_GB2312" w:eastAsia="仿宋_GB2312"/>
                <w:color w:val="auto"/>
                <w:sz w:val="24"/>
                <w:highlight w:val="none"/>
              </w:rPr>
            </w:pPr>
            <w:r>
              <w:rPr>
                <w:rFonts w:hint="eastAsia" w:ascii="仿宋_GB2312" w:eastAsia="仿宋_GB2312"/>
                <w:color w:val="auto"/>
                <w:sz w:val="24"/>
                <w:highlight w:val="none"/>
              </w:rPr>
              <w:t>开户银行</w:t>
            </w:r>
          </w:p>
        </w:tc>
        <w:tc>
          <w:tcPr>
            <w:tcW w:w="2178" w:type="dxa"/>
            <w:gridSpan w:val="2"/>
            <w:tcBorders>
              <w:top w:val="single" w:color="auto" w:sz="4" w:space="0"/>
              <w:left w:val="single" w:color="auto" w:sz="4" w:space="0"/>
              <w:bottom w:val="single" w:color="auto" w:sz="4" w:space="0"/>
              <w:right w:val="single" w:color="auto" w:sz="4" w:space="0"/>
            </w:tcBorders>
            <w:vAlign w:val="center"/>
          </w:tcPr>
          <w:p w14:paraId="4E1E752A">
            <w:pPr>
              <w:jc w:val="center"/>
              <w:rPr>
                <w:rFonts w:ascii="仿宋_GB2312" w:eastAsia="仿宋_GB2312"/>
                <w:color w:val="auto"/>
                <w:sz w:val="24"/>
                <w:highlight w:val="none"/>
              </w:rPr>
            </w:pPr>
          </w:p>
        </w:tc>
        <w:tc>
          <w:tcPr>
            <w:tcW w:w="1228" w:type="dxa"/>
            <w:vMerge w:val="continue"/>
            <w:tcBorders>
              <w:top w:val="nil"/>
              <w:left w:val="single" w:color="auto" w:sz="4" w:space="0"/>
              <w:bottom w:val="single" w:color="auto" w:sz="4" w:space="0"/>
              <w:right w:val="single" w:color="auto" w:sz="4" w:space="0"/>
            </w:tcBorders>
            <w:vAlign w:val="center"/>
          </w:tcPr>
          <w:p w14:paraId="1FB47BDE">
            <w:pPr>
              <w:widowControl/>
              <w:jc w:val="left"/>
              <w:rPr>
                <w:rFonts w:ascii="仿宋_GB2312" w:eastAsia="仿宋_GB2312"/>
                <w:color w:val="auto"/>
                <w:sz w:val="24"/>
                <w:highlight w:val="none"/>
              </w:rPr>
            </w:pPr>
          </w:p>
        </w:tc>
        <w:tc>
          <w:tcPr>
            <w:tcW w:w="1203" w:type="dxa"/>
            <w:tcBorders>
              <w:top w:val="single" w:color="auto" w:sz="4" w:space="0"/>
              <w:left w:val="single" w:color="auto" w:sz="4" w:space="0"/>
              <w:bottom w:val="single" w:color="auto" w:sz="4" w:space="0"/>
              <w:right w:val="single" w:color="auto" w:sz="4" w:space="0"/>
            </w:tcBorders>
            <w:vAlign w:val="center"/>
          </w:tcPr>
          <w:p w14:paraId="6F0569C1">
            <w:pPr>
              <w:jc w:val="center"/>
              <w:rPr>
                <w:rFonts w:ascii="仿宋_GB2312" w:eastAsia="仿宋_GB2312"/>
                <w:color w:val="auto"/>
                <w:sz w:val="24"/>
                <w:highlight w:val="none"/>
              </w:rPr>
            </w:pPr>
            <w:r>
              <w:rPr>
                <w:rFonts w:hint="eastAsia" w:ascii="仿宋_GB2312" w:eastAsia="仿宋_GB2312"/>
                <w:color w:val="auto"/>
                <w:sz w:val="24"/>
                <w:highlight w:val="none"/>
              </w:rPr>
              <w:t>项目人员</w:t>
            </w:r>
          </w:p>
        </w:tc>
        <w:tc>
          <w:tcPr>
            <w:tcW w:w="2512" w:type="dxa"/>
            <w:gridSpan w:val="2"/>
            <w:tcBorders>
              <w:top w:val="single" w:color="auto" w:sz="4" w:space="0"/>
              <w:left w:val="single" w:color="auto" w:sz="4" w:space="0"/>
              <w:bottom w:val="single" w:color="auto" w:sz="4" w:space="0"/>
              <w:right w:val="single" w:color="auto" w:sz="4" w:space="0"/>
            </w:tcBorders>
            <w:vAlign w:val="center"/>
          </w:tcPr>
          <w:p w14:paraId="132DAA1D">
            <w:pPr>
              <w:jc w:val="center"/>
              <w:rPr>
                <w:rFonts w:ascii="仿宋_GB2312" w:eastAsia="仿宋_GB2312"/>
                <w:color w:val="auto"/>
                <w:sz w:val="24"/>
                <w:highlight w:val="none"/>
              </w:rPr>
            </w:pPr>
          </w:p>
        </w:tc>
      </w:tr>
      <w:tr w14:paraId="27EFD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8" w:type="dxa"/>
            <w:tcBorders>
              <w:top w:val="single" w:color="auto" w:sz="4" w:space="0"/>
              <w:left w:val="single" w:color="auto" w:sz="4" w:space="0"/>
              <w:bottom w:val="single" w:color="auto" w:sz="4" w:space="0"/>
              <w:right w:val="single" w:color="auto" w:sz="4" w:space="0"/>
            </w:tcBorders>
            <w:vAlign w:val="center"/>
          </w:tcPr>
          <w:p w14:paraId="606EC97A">
            <w:pPr>
              <w:jc w:val="center"/>
              <w:rPr>
                <w:rFonts w:ascii="仿宋_GB2312" w:eastAsia="仿宋_GB2312"/>
                <w:color w:val="auto"/>
                <w:sz w:val="24"/>
                <w:highlight w:val="none"/>
              </w:rPr>
            </w:pPr>
            <w:r>
              <w:rPr>
                <w:rFonts w:hint="eastAsia" w:ascii="仿宋_GB2312" w:eastAsia="仿宋_GB2312"/>
                <w:color w:val="auto"/>
                <w:sz w:val="24"/>
                <w:highlight w:val="none"/>
              </w:rPr>
              <w:t>账    号</w:t>
            </w:r>
          </w:p>
        </w:tc>
        <w:tc>
          <w:tcPr>
            <w:tcW w:w="2178" w:type="dxa"/>
            <w:gridSpan w:val="2"/>
            <w:tcBorders>
              <w:top w:val="single" w:color="auto" w:sz="4" w:space="0"/>
              <w:left w:val="single" w:color="auto" w:sz="4" w:space="0"/>
              <w:bottom w:val="single" w:color="auto" w:sz="4" w:space="0"/>
              <w:right w:val="single" w:color="auto" w:sz="4" w:space="0"/>
            </w:tcBorders>
            <w:vAlign w:val="center"/>
          </w:tcPr>
          <w:p w14:paraId="33BD6556">
            <w:pPr>
              <w:jc w:val="center"/>
              <w:rPr>
                <w:rFonts w:ascii="仿宋_GB2312" w:eastAsia="仿宋_GB2312"/>
                <w:color w:val="auto"/>
                <w:sz w:val="24"/>
                <w:highlight w:val="none"/>
              </w:rPr>
            </w:pPr>
          </w:p>
        </w:tc>
        <w:tc>
          <w:tcPr>
            <w:tcW w:w="1228" w:type="dxa"/>
            <w:vMerge w:val="continue"/>
            <w:tcBorders>
              <w:top w:val="nil"/>
              <w:left w:val="single" w:color="auto" w:sz="4" w:space="0"/>
              <w:bottom w:val="single" w:color="auto" w:sz="4" w:space="0"/>
              <w:right w:val="single" w:color="auto" w:sz="4" w:space="0"/>
            </w:tcBorders>
            <w:vAlign w:val="center"/>
          </w:tcPr>
          <w:p w14:paraId="4C4A186B">
            <w:pPr>
              <w:widowControl/>
              <w:jc w:val="left"/>
              <w:rPr>
                <w:rFonts w:ascii="仿宋_GB2312" w:eastAsia="仿宋_GB2312"/>
                <w:color w:val="auto"/>
                <w:sz w:val="24"/>
                <w:highlight w:val="none"/>
              </w:rPr>
            </w:pPr>
          </w:p>
        </w:tc>
        <w:tc>
          <w:tcPr>
            <w:tcW w:w="1203" w:type="dxa"/>
            <w:tcBorders>
              <w:top w:val="single" w:color="auto" w:sz="4" w:space="0"/>
              <w:left w:val="single" w:color="auto" w:sz="4" w:space="0"/>
              <w:bottom w:val="single" w:color="auto" w:sz="4" w:space="0"/>
              <w:right w:val="single" w:color="auto" w:sz="4" w:space="0"/>
            </w:tcBorders>
            <w:vAlign w:val="center"/>
          </w:tcPr>
          <w:p w14:paraId="2A1EF3B6">
            <w:pPr>
              <w:jc w:val="center"/>
              <w:rPr>
                <w:rFonts w:ascii="仿宋_GB2312" w:eastAsia="仿宋_GB2312"/>
                <w:color w:val="auto"/>
                <w:sz w:val="24"/>
                <w:highlight w:val="none"/>
              </w:rPr>
            </w:pPr>
            <w:r>
              <w:rPr>
                <w:rFonts w:hint="eastAsia" w:ascii="仿宋_GB2312" w:eastAsia="仿宋_GB2312"/>
                <w:color w:val="auto"/>
                <w:sz w:val="24"/>
                <w:highlight w:val="none"/>
              </w:rPr>
              <w:t>其他人员</w:t>
            </w:r>
          </w:p>
        </w:tc>
        <w:tc>
          <w:tcPr>
            <w:tcW w:w="2512" w:type="dxa"/>
            <w:gridSpan w:val="2"/>
            <w:tcBorders>
              <w:top w:val="single" w:color="auto" w:sz="4" w:space="0"/>
              <w:left w:val="single" w:color="auto" w:sz="4" w:space="0"/>
              <w:bottom w:val="single" w:color="auto" w:sz="4" w:space="0"/>
              <w:right w:val="single" w:color="auto" w:sz="4" w:space="0"/>
            </w:tcBorders>
            <w:vAlign w:val="center"/>
          </w:tcPr>
          <w:p w14:paraId="2B877B34">
            <w:pPr>
              <w:jc w:val="center"/>
              <w:rPr>
                <w:rFonts w:ascii="仿宋_GB2312" w:eastAsia="仿宋_GB2312"/>
                <w:color w:val="auto"/>
                <w:sz w:val="24"/>
                <w:highlight w:val="none"/>
              </w:rPr>
            </w:pPr>
          </w:p>
        </w:tc>
      </w:tr>
      <w:tr w14:paraId="69CC4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2" w:hRule="atLeast"/>
          <w:jc w:val="center"/>
        </w:trPr>
        <w:tc>
          <w:tcPr>
            <w:tcW w:w="1838" w:type="dxa"/>
            <w:tcBorders>
              <w:top w:val="single" w:color="auto" w:sz="4" w:space="0"/>
              <w:left w:val="single" w:color="auto" w:sz="4" w:space="0"/>
              <w:bottom w:val="single" w:color="auto" w:sz="4" w:space="0"/>
              <w:right w:val="single" w:color="auto" w:sz="4" w:space="0"/>
            </w:tcBorders>
            <w:vAlign w:val="center"/>
          </w:tcPr>
          <w:p w14:paraId="0B49F7DB">
            <w:pPr>
              <w:jc w:val="center"/>
              <w:rPr>
                <w:rFonts w:ascii="仿宋_GB2312" w:eastAsia="仿宋_GB2312"/>
                <w:color w:val="auto"/>
                <w:sz w:val="24"/>
                <w:highlight w:val="none"/>
              </w:rPr>
            </w:pPr>
            <w:r>
              <w:rPr>
                <w:rFonts w:hint="eastAsia" w:ascii="仿宋_GB2312" w:eastAsia="仿宋_GB2312"/>
                <w:color w:val="auto"/>
                <w:sz w:val="24"/>
                <w:highlight w:val="none"/>
              </w:rPr>
              <w:t>经营范围</w:t>
            </w:r>
          </w:p>
        </w:tc>
        <w:tc>
          <w:tcPr>
            <w:tcW w:w="7121" w:type="dxa"/>
            <w:gridSpan w:val="6"/>
            <w:tcBorders>
              <w:top w:val="single" w:color="auto" w:sz="4" w:space="0"/>
              <w:left w:val="single" w:color="auto" w:sz="4" w:space="0"/>
              <w:bottom w:val="single" w:color="auto" w:sz="4" w:space="0"/>
              <w:right w:val="single" w:color="auto" w:sz="4" w:space="0"/>
            </w:tcBorders>
            <w:vAlign w:val="center"/>
          </w:tcPr>
          <w:p w14:paraId="57F00E2C">
            <w:pPr>
              <w:jc w:val="center"/>
              <w:rPr>
                <w:rFonts w:ascii="仿宋_GB2312" w:eastAsia="仿宋_GB2312"/>
                <w:color w:val="auto"/>
                <w:sz w:val="24"/>
                <w:highlight w:val="none"/>
              </w:rPr>
            </w:pPr>
          </w:p>
        </w:tc>
      </w:tr>
      <w:tr w14:paraId="68A07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838" w:type="dxa"/>
            <w:tcBorders>
              <w:top w:val="single" w:color="auto" w:sz="4" w:space="0"/>
              <w:left w:val="single" w:color="auto" w:sz="4" w:space="0"/>
              <w:bottom w:val="single" w:color="auto" w:sz="4" w:space="0"/>
              <w:right w:val="single" w:color="auto" w:sz="4" w:space="0"/>
            </w:tcBorders>
            <w:vAlign w:val="center"/>
          </w:tcPr>
          <w:p w14:paraId="793852B0">
            <w:pPr>
              <w:jc w:val="center"/>
              <w:rPr>
                <w:rFonts w:ascii="仿宋_GB2312" w:eastAsia="仿宋_GB2312"/>
                <w:color w:val="auto"/>
                <w:sz w:val="24"/>
                <w:highlight w:val="none"/>
              </w:rPr>
            </w:pPr>
            <w:r>
              <w:rPr>
                <w:rFonts w:hint="eastAsia" w:ascii="仿宋_GB2312" w:eastAsia="仿宋_GB2312"/>
                <w:color w:val="auto"/>
                <w:sz w:val="24"/>
                <w:highlight w:val="none"/>
              </w:rPr>
              <w:t>备注</w:t>
            </w:r>
          </w:p>
        </w:tc>
        <w:tc>
          <w:tcPr>
            <w:tcW w:w="7121" w:type="dxa"/>
            <w:gridSpan w:val="6"/>
            <w:tcBorders>
              <w:top w:val="single" w:color="auto" w:sz="4" w:space="0"/>
              <w:left w:val="single" w:color="auto" w:sz="4" w:space="0"/>
              <w:bottom w:val="single" w:color="auto" w:sz="4" w:space="0"/>
              <w:right w:val="single" w:color="auto" w:sz="4" w:space="0"/>
            </w:tcBorders>
            <w:vAlign w:val="center"/>
          </w:tcPr>
          <w:p w14:paraId="6A6CE003">
            <w:pPr>
              <w:jc w:val="center"/>
              <w:rPr>
                <w:rFonts w:ascii="仿宋_GB2312" w:eastAsia="仿宋_GB2312"/>
                <w:color w:val="auto"/>
                <w:sz w:val="24"/>
                <w:highlight w:val="none"/>
              </w:rPr>
            </w:pPr>
          </w:p>
        </w:tc>
      </w:tr>
    </w:tbl>
    <w:p w14:paraId="0537BCC8">
      <w:pPr>
        <w:adjustRightInd w:val="0"/>
        <w:snapToGrid w:val="0"/>
        <w:jc w:val="left"/>
        <w:outlineLvl w:val="1"/>
        <w:rPr>
          <w:rFonts w:ascii="仿宋_GB2312" w:eastAsia="仿宋_GB2312"/>
          <w:b/>
          <w:bCs/>
          <w:color w:val="auto"/>
          <w:sz w:val="28"/>
          <w:szCs w:val="28"/>
          <w:highlight w:val="none"/>
        </w:rPr>
        <w:sectPr>
          <w:pgSz w:w="11906" w:h="16838"/>
          <w:pgMar w:top="1468" w:right="1803" w:bottom="1113" w:left="1803" w:header="851" w:footer="899" w:gutter="0"/>
          <w:cols w:space="720" w:num="1"/>
          <w:docGrid w:type="linesAndChars" w:linePitch="319" w:charSpace="0"/>
        </w:sectPr>
      </w:pPr>
    </w:p>
    <w:p w14:paraId="7D1F2FE5">
      <w:pPr>
        <w:spacing w:before="159" w:beforeLines="50" w:after="159" w:afterLines="50" w:line="360" w:lineRule="auto"/>
        <w:ind w:right="-21" w:rightChars="-10"/>
        <w:jc w:val="left"/>
        <w:rPr>
          <w:rFonts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t>附表2</w:t>
      </w:r>
    </w:p>
    <w:p w14:paraId="4B7675C4">
      <w:pPr>
        <w:spacing w:before="159" w:beforeLines="50" w:after="159" w:afterLines="50" w:line="360" w:lineRule="auto"/>
        <w:ind w:right="-21" w:rightChars="-10"/>
        <w:jc w:val="center"/>
        <w:rPr>
          <w:rFonts w:ascii="方正小标宋简体" w:hAnsi="仿宋_GB2312" w:eastAsia="方正小标宋简体" w:cs="仿宋_GB2312"/>
          <w:color w:val="auto"/>
          <w:sz w:val="32"/>
          <w:szCs w:val="32"/>
          <w:highlight w:val="none"/>
        </w:rPr>
      </w:pPr>
      <w:r>
        <w:rPr>
          <w:rFonts w:hint="eastAsia" w:ascii="方正小标宋简体" w:hAnsi="仿宋_GB2312" w:eastAsia="方正小标宋简体" w:cs="仿宋_GB2312"/>
          <w:color w:val="auto"/>
          <w:sz w:val="32"/>
          <w:szCs w:val="32"/>
          <w:highlight w:val="none"/>
        </w:rPr>
        <w:t>2022年1月1日至今类似项目业绩汇总表</w:t>
      </w:r>
    </w:p>
    <w:tbl>
      <w:tblPr>
        <w:tblStyle w:val="24"/>
        <w:tblW w:w="823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0" w:type="dxa"/>
          <w:bottom w:w="0" w:type="dxa"/>
          <w:right w:w="0" w:type="dxa"/>
        </w:tblCellMar>
      </w:tblPr>
      <w:tblGrid>
        <w:gridCol w:w="1146"/>
        <w:gridCol w:w="4015"/>
        <w:gridCol w:w="2004"/>
        <w:gridCol w:w="1068"/>
      </w:tblGrid>
      <w:tr w14:paraId="7622D9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68" w:hRule="atLeast"/>
          <w:jc w:val="center"/>
        </w:trPr>
        <w:tc>
          <w:tcPr>
            <w:tcW w:w="1146" w:type="dxa"/>
            <w:tcBorders>
              <w:top w:val="single" w:color="000000" w:sz="6" w:space="0"/>
              <w:left w:val="single" w:color="000000" w:sz="6" w:space="0"/>
              <w:bottom w:val="single" w:color="000000" w:sz="6" w:space="0"/>
              <w:right w:val="single" w:color="000000" w:sz="6" w:space="0"/>
            </w:tcBorders>
            <w:vAlign w:val="center"/>
          </w:tcPr>
          <w:p w14:paraId="1869E85F">
            <w:pPr>
              <w:jc w:val="center"/>
              <w:rPr>
                <w:rFonts w:ascii="仿宋_GB2312" w:eastAsia="仿宋_GB2312"/>
                <w:color w:val="auto"/>
                <w:sz w:val="24"/>
                <w:highlight w:val="none"/>
              </w:rPr>
            </w:pPr>
            <w:r>
              <w:rPr>
                <w:rFonts w:hint="eastAsia" w:ascii="仿宋_GB2312" w:eastAsia="仿宋_GB2312"/>
                <w:color w:val="auto"/>
                <w:sz w:val="24"/>
                <w:highlight w:val="none"/>
              </w:rPr>
              <w:t>序号</w:t>
            </w:r>
          </w:p>
        </w:tc>
        <w:tc>
          <w:tcPr>
            <w:tcW w:w="4015" w:type="dxa"/>
            <w:tcBorders>
              <w:top w:val="single" w:color="000000" w:sz="6" w:space="0"/>
              <w:left w:val="nil"/>
              <w:bottom w:val="single" w:color="000000" w:sz="6" w:space="0"/>
              <w:right w:val="single" w:color="000000" w:sz="6" w:space="0"/>
            </w:tcBorders>
            <w:vAlign w:val="center"/>
          </w:tcPr>
          <w:p w14:paraId="653B39C9">
            <w:pPr>
              <w:jc w:val="center"/>
              <w:rPr>
                <w:rFonts w:ascii="仿宋_GB2312" w:eastAsia="仿宋_GB2312"/>
                <w:color w:val="auto"/>
                <w:sz w:val="24"/>
                <w:highlight w:val="none"/>
              </w:rPr>
            </w:pPr>
            <w:r>
              <w:rPr>
                <w:rFonts w:hint="eastAsia" w:ascii="仿宋_GB2312" w:hAnsi="宋体" w:eastAsia="仿宋_GB2312"/>
                <w:color w:val="auto"/>
                <w:sz w:val="24"/>
                <w:highlight w:val="none"/>
              </w:rPr>
              <w:t>合同名称</w:t>
            </w:r>
          </w:p>
        </w:tc>
        <w:tc>
          <w:tcPr>
            <w:tcW w:w="2004" w:type="dxa"/>
            <w:tcBorders>
              <w:top w:val="single" w:color="000000" w:sz="6" w:space="0"/>
              <w:left w:val="nil"/>
              <w:bottom w:val="single" w:color="000000" w:sz="6" w:space="0"/>
              <w:right w:val="single" w:color="000000" w:sz="6" w:space="0"/>
            </w:tcBorders>
            <w:vAlign w:val="center"/>
          </w:tcPr>
          <w:p w14:paraId="3075DB7C">
            <w:pPr>
              <w:jc w:val="center"/>
              <w:rPr>
                <w:rFonts w:ascii="仿宋_GB2312" w:eastAsia="仿宋_GB2312"/>
                <w:color w:val="auto"/>
                <w:sz w:val="24"/>
                <w:highlight w:val="none"/>
              </w:rPr>
            </w:pPr>
            <w:r>
              <w:rPr>
                <w:rFonts w:hint="eastAsia" w:ascii="仿宋_GB2312" w:eastAsia="仿宋_GB2312"/>
                <w:color w:val="auto"/>
                <w:sz w:val="24"/>
                <w:highlight w:val="none"/>
              </w:rPr>
              <w:t>合同签订日期</w:t>
            </w:r>
          </w:p>
        </w:tc>
        <w:tc>
          <w:tcPr>
            <w:tcW w:w="1068" w:type="dxa"/>
            <w:tcBorders>
              <w:top w:val="single" w:color="000000" w:sz="6" w:space="0"/>
              <w:left w:val="nil"/>
              <w:bottom w:val="single" w:color="000000" w:sz="6" w:space="0"/>
              <w:right w:val="single" w:color="auto" w:sz="4" w:space="0"/>
            </w:tcBorders>
            <w:vAlign w:val="center"/>
          </w:tcPr>
          <w:p w14:paraId="0B29EB88">
            <w:pPr>
              <w:jc w:val="center"/>
              <w:rPr>
                <w:rFonts w:ascii="仿宋_GB2312" w:eastAsia="仿宋_GB2312"/>
                <w:color w:val="auto"/>
                <w:sz w:val="24"/>
                <w:highlight w:val="none"/>
              </w:rPr>
            </w:pPr>
            <w:r>
              <w:rPr>
                <w:rFonts w:hint="eastAsia" w:ascii="仿宋_GB2312" w:eastAsia="仿宋_GB2312"/>
                <w:color w:val="auto"/>
                <w:sz w:val="24"/>
                <w:highlight w:val="none"/>
              </w:rPr>
              <w:t>备注</w:t>
            </w:r>
          </w:p>
        </w:tc>
      </w:tr>
      <w:tr w14:paraId="437D88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31" w:hRule="atLeast"/>
          <w:jc w:val="center"/>
        </w:trPr>
        <w:tc>
          <w:tcPr>
            <w:tcW w:w="1146" w:type="dxa"/>
            <w:tcBorders>
              <w:top w:val="single" w:color="auto" w:sz="6" w:space="0"/>
              <w:left w:val="single" w:color="000000" w:sz="6" w:space="0"/>
              <w:bottom w:val="single" w:color="000000" w:sz="6" w:space="0"/>
              <w:right w:val="single" w:color="000000" w:sz="6" w:space="0"/>
            </w:tcBorders>
            <w:vAlign w:val="center"/>
          </w:tcPr>
          <w:p w14:paraId="7E200D28">
            <w:pPr>
              <w:jc w:val="center"/>
              <w:rPr>
                <w:rFonts w:ascii="仿宋_GB2312" w:eastAsia="仿宋_GB2312"/>
                <w:color w:val="auto"/>
                <w:sz w:val="24"/>
                <w:highlight w:val="none"/>
              </w:rPr>
            </w:pPr>
          </w:p>
        </w:tc>
        <w:tc>
          <w:tcPr>
            <w:tcW w:w="4015" w:type="dxa"/>
            <w:tcBorders>
              <w:top w:val="single" w:color="auto" w:sz="6" w:space="0"/>
              <w:left w:val="nil"/>
              <w:bottom w:val="single" w:color="000000" w:sz="6" w:space="0"/>
              <w:right w:val="single" w:color="000000" w:sz="6" w:space="0"/>
            </w:tcBorders>
            <w:vAlign w:val="center"/>
          </w:tcPr>
          <w:p w14:paraId="5A2DCA75">
            <w:pPr>
              <w:jc w:val="center"/>
              <w:rPr>
                <w:rFonts w:ascii="仿宋_GB2312" w:eastAsia="仿宋_GB2312"/>
                <w:color w:val="auto"/>
                <w:sz w:val="24"/>
                <w:highlight w:val="none"/>
              </w:rPr>
            </w:pPr>
          </w:p>
        </w:tc>
        <w:tc>
          <w:tcPr>
            <w:tcW w:w="2004" w:type="dxa"/>
            <w:tcBorders>
              <w:top w:val="single" w:color="auto" w:sz="6" w:space="0"/>
              <w:left w:val="nil"/>
              <w:bottom w:val="single" w:color="000000" w:sz="6" w:space="0"/>
              <w:right w:val="single" w:color="000000" w:sz="6" w:space="0"/>
            </w:tcBorders>
            <w:vAlign w:val="center"/>
          </w:tcPr>
          <w:p w14:paraId="7274478C">
            <w:pPr>
              <w:jc w:val="center"/>
              <w:rPr>
                <w:rFonts w:ascii="仿宋_GB2312" w:eastAsia="仿宋_GB2312"/>
                <w:color w:val="auto"/>
                <w:sz w:val="24"/>
                <w:highlight w:val="none"/>
              </w:rPr>
            </w:pPr>
          </w:p>
        </w:tc>
        <w:tc>
          <w:tcPr>
            <w:tcW w:w="1068" w:type="dxa"/>
            <w:tcBorders>
              <w:top w:val="single" w:color="auto" w:sz="6" w:space="0"/>
              <w:left w:val="nil"/>
              <w:bottom w:val="single" w:color="000000" w:sz="6" w:space="0"/>
              <w:right w:val="single" w:color="auto" w:sz="4" w:space="0"/>
            </w:tcBorders>
            <w:vAlign w:val="center"/>
          </w:tcPr>
          <w:p w14:paraId="3CCF3354">
            <w:pPr>
              <w:jc w:val="center"/>
              <w:rPr>
                <w:rFonts w:ascii="仿宋_GB2312" w:eastAsia="仿宋_GB2312"/>
                <w:color w:val="auto"/>
                <w:sz w:val="24"/>
                <w:highlight w:val="none"/>
              </w:rPr>
            </w:pPr>
          </w:p>
        </w:tc>
      </w:tr>
      <w:tr w14:paraId="4DA7FB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42" w:hRule="atLeast"/>
          <w:jc w:val="center"/>
        </w:trPr>
        <w:tc>
          <w:tcPr>
            <w:tcW w:w="1146" w:type="dxa"/>
            <w:tcBorders>
              <w:top w:val="single" w:color="auto" w:sz="6" w:space="0"/>
              <w:left w:val="single" w:color="000000" w:sz="6" w:space="0"/>
              <w:bottom w:val="single" w:color="000000" w:sz="6" w:space="0"/>
              <w:right w:val="single" w:color="000000" w:sz="6" w:space="0"/>
            </w:tcBorders>
            <w:vAlign w:val="center"/>
          </w:tcPr>
          <w:p w14:paraId="36EA7828">
            <w:pPr>
              <w:jc w:val="center"/>
              <w:rPr>
                <w:rFonts w:ascii="仿宋_GB2312" w:eastAsia="仿宋_GB2312"/>
                <w:color w:val="auto"/>
                <w:sz w:val="24"/>
                <w:highlight w:val="none"/>
              </w:rPr>
            </w:pPr>
          </w:p>
        </w:tc>
        <w:tc>
          <w:tcPr>
            <w:tcW w:w="4015" w:type="dxa"/>
            <w:tcBorders>
              <w:top w:val="single" w:color="auto" w:sz="6" w:space="0"/>
              <w:left w:val="nil"/>
              <w:bottom w:val="single" w:color="000000" w:sz="6" w:space="0"/>
              <w:right w:val="single" w:color="000000" w:sz="6" w:space="0"/>
            </w:tcBorders>
            <w:vAlign w:val="center"/>
          </w:tcPr>
          <w:p w14:paraId="647366FB">
            <w:pPr>
              <w:jc w:val="center"/>
              <w:rPr>
                <w:rFonts w:ascii="仿宋_GB2312" w:eastAsia="仿宋_GB2312"/>
                <w:color w:val="auto"/>
                <w:sz w:val="24"/>
                <w:highlight w:val="none"/>
              </w:rPr>
            </w:pPr>
          </w:p>
        </w:tc>
        <w:tc>
          <w:tcPr>
            <w:tcW w:w="2004" w:type="dxa"/>
            <w:tcBorders>
              <w:top w:val="single" w:color="auto" w:sz="6" w:space="0"/>
              <w:left w:val="nil"/>
              <w:bottom w:val="single" w:color="000000" w:sz="6" w:space="0"/>
              <w:right w:val="single" w:color="000000" w:sz="6" w:space="0"/>
            </w:tcBorders>
            <w:vAlign w:val="center"/>
          </w:tcPr>
          <w:p w14:paraId="15CEAF55">
            <w:pPr>
              <w:jc w:val="center"/>
              <w:rPr>
                <w:rFonts w:ascii="仿宋_GB2312" w:eastAsia="仿宋_GB2312"/>
                <w:color w:val="auto"/>
                <w:sz w:val="24"/>
                <w:highlight w:val="none"/>
              </w:rPr>
            </w:pPr>
          </w:p>
        </w:tc>
        <w:tc>
          <w:tcPr>
            <w:tcW w:w="1068" w:type="dxa"/>
            <w:tcBorders>
              <w:top w:val="single" w:color="auto" w:sz="6" w:space="0"/>
              <w:left w:val="nil"/>
              <w:bottom w:val="single" w:color="000000" w:sz="6" w:space="0"/>
              <w:right w:val="single" w:color="auto" w:sz="4" w:space="0"/>
            </w:tcBorders>
            <w:vAlign w:val="center"/>
          </w:tcPr>
          <w:p w14:paraId="172E4EA7">
            <w:pPr>
              <w:jc w:val="center"/>
              <w:rPr>
                <w:rFonts w:ascii="仿宋_GB2312" w:eastAsia="仿宋_GB2312"/>
                <w:color w:val="auto"/>
                <w:sz w:val="24"/>
                <w:highlight w:val="none"/>
              </w:rPr>
            </w:pPr>
          </w:p>
        </w:tc>
      </w:tr>
      <w:tr w14:paraId="7CA2F3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33" w:hRule="atLeast"/>
          <w:jc w:val="center"/>
        </w:trPr>
        <w:tc>
          <w:tcPr>
            <w:tcW w:w="1146" w:type="dxa"/>
            <w:tcBorders>
              <w:top w:val="single" w:color="auto" w:sz="6" w:space="0"/>
              <w:left w:val="single" w:color="000000" w:sz="6" w:space="0"/>
              <w:bottom w:val="single" w:color="000000" w:sz="6" w:space="0"/>
              <w:right w:val="single" w:color="000000" w:sz="6" w:space="0"/>
            </w:tcBorders>
            <w:vAlign w:val="center"/>
          </w:tcPr>
          <w:p w14:paraId="7CD700E1">
            <w:pPr>
              <w:jc w:val="center"/>
              <w:rPr>
                <w:rFonts w:ascii="仿宋_GB2312" w:eastAsia="仿宋_GB2312"/>
                <w:color w:val="auto"/>
                <w:sz w:val="24"/>
                <w:highlight w:val="none"/>
              </w:rPr>
            </w:pPr>
          </w:p>
        </w:tc>
        <w:tc>
          <w:tcPr>
            <w:tcW w:w="4015" w:type="dxa"/>
            <w:tcBorders>
              <w:top w:val="single" w:color="auto" w:sz="6" w:space="0"/>
              <w:left w:val="nil"/>
              <w:bottom w:val="single" w:color="000000" w:sz="6" w:space="0"/>
              <w:right w:val="single" w:color="000000" w:sz="6" w:space="0"/>
            </w:tcBorders>
            <w:vAlign w:val="center"/>
          </w:tcPr>
          <w:p w14:paraId="31CF6E51">
            <w:pPr>
              <w:jc w:val="center"/>
              <w:rPr>
                <w:rFonts w:ascii="仿宋_GB2312" w:eastAsia="仿宋_GB2312"/>
                <w:color w:val="auto"/>
                <w:sz w:val="24"/>
                <w:highlight w:val="none"/>
              </w:rPr>
            </w:pPr>
          </w:p>
        </w:tc>
        <w:tc>
          <w:tcPr>
            <w:tcW w:w="2004" w:type="dxa"/>
            <w:tcBorders>
              <w:top w:val="single" w:color="auto" w:sz="6" w:space="0"/>
              <w:left w:val="nil"/>
              <w:bottom w:val="single" w:color="000000" w:sz="6" w:space="0"/>
              <w:right w:val="single" w:color="000000" w:sz="6" w:space="0"/>
            </w:tcBorders>
            <w:vAlign w:val="center"/>
          </w:tcPr>
          <w:p w14:paraId="60D1243E">
            <w:pPr>
              <w:jc w:val="center"/>
              <w:rPr>
                <w:rFonts w:ascii="仿宋_GB2312" w:eastAsia="仿宋_GB2312"/>
                <w:color w:val="auto"/>
                <w:sz w:val="24"/>
                <w:highlight w:val="none"/>
              </w:rPr>
            </w:pPr>
          </w:p>
        </w:tc>
        <w:tc>
          <w:tcPr>
            <w:tcW w:w="1068" w:type="dxa"/>
            <w:tcBorders>
              <w:top w:val="single" w:color="auto" w:sz="6" w:space="0"/>
              <w:left w:val="nil"/>
              <w:bottom w:val="single" w:color="000000" w:sz="6" w:space="0"/>
              <w:right w:val="single" w:color="auto" w:sz="4" w:space="0"/>
            </w:tcBorders>
            <w:vAlign w:val="center"/>
          </w:tcPr>
          <w:p w14:paraId="51930138">
            <w:pPr>
              <w:jc w:val="center"/>
              <w:rPr>
                <w:rFonts w:ascii="仿宋_GB2312" w:eastAsia="仿宋_GB2312"/>
                <w:color w:val="auto"/>
                <w:sz w:val="24"/>
                <w:highlight w:val="none"/>
              </w:rPr>
            </w:pPr>
          </w:p>
        </w:tc>
      </w:tr>
      <w:tr w14:paraId="2CDC00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23" w:hRule="atLeast"/>
          <w:jc w:val="center"/>
        </w:trPr>
        <w:tc>
          <w:tcPr>
            <w:tcW w:w="1146" w:type="dxa"/>
            <w:tcBorders>
              <w:top w:val="single" w:color="auto" w:sz="6" w:space="0"/>
              <w:left w:val="single" w:color="000000" w:sz="6" w:space="0"/>
              <w:bottom w:val="single" w:color="000000" w:sz="6" w:space="0"/>
              <w:right w:val="single" w:color="000000" w:sz="6" w:space="0"/>
            </w:tcBorders>
            <w:vAlign w:val="center"/>
          </w:tcPr>
          <w:p w14:paraId="17D9E2DF">
            <w:pPr>
              <w:jc w:val="center"/>
              <w:rPr>
                <w:rFonts w:ascii="仿宋_GB2312" w:eastAsia="仿宋_GB2312"/>
                <w:color w:val="auto"/>
                <w:sz w:val="24"/>
                <w:highlight w:val="none"/>
              </w:rPr>
            </w:pPr>
          </w:p>
        </w:tc>
        <w:tc>
          <w:tcPr>
            <w:tcW w:w="4015" w:type="dxa"/>
            <w:tcBorders>
              <w:top w:val="single" w:color="auto" w:sz="6" w:space="0"/>
              <w:left w:val="nil"/>
              <w:bottom w:val="single" w:color="000000" w:sz="6" w:space="0"/>
              <w:right w:val="single" w:color="000000" w:sz="6" w:space="0"/>
            </w:tcBorders>
            <w:vAlign w:val="center"/>
          </w:tcPr>
          <w:p w14:paraId="42712E4D">
            <w:pPr>
              <w:jc w:val="center"/>
              <w:rPr>
                <w:rFonts w:ascii="仿宋_GB2312" w:eastAsia="仿宋_GB2312"/>
                <w:color w:val="auto"/>
                <w:sz w:val="24"/>
                <w:highlight w:val="none"/>
              </w:rPr>
            </w:pPr>
          </w:p>
        </w:tc>
        <w:tc>
          <w:tcPr>
            <w:tcW w:w="2004" w:type="dxa"/>
            <w:tcBorders>
              <w:top w:val="single" w:color="auto" w:sz="6" w:space="0"/>
              <w:left w:val="nil"/>
              <w:bottom w:val="single" w:color="000000" w:sz="6" w:space="0"/>
              <w:right w:val="single" w:color="000000" w:sz="6" w:space="0"/>
            </w:tcBorders>
            <w:vAlign w:val="center"/>
          </w:tcPr>
          <w:p w14:paraId="0FE6441E">
            <w:pPr>
              <w:jc w:val="center"/>
              <w:rPr>
                <w:rFonts w:ascii="仿宋_GB2312" w:eastAsia="仿宋_GB2312"/>
                <w:color w:val="auto"/>
                <w:sz w:val="24"/>
                <w:highlight w:val="none"/>
              </w:rPr>
            </w:pPr>
          </w:p>
        </w:tc>
        <w:tc>
          <w:tcPr>
            <w:tcW w:w="1068" w:type="dxa"/>
            <w:tcBorders>
              <w:top w:val="single" w:color="auto" w:sz="6" w:space="0"/>
              <w:left w:val="nil"/>
              <w:bottom w:val="single" w:color="000000" w:sz="6" w:space="0"/>
              <w:right w:val="single" w:color="auto" w:sz="4" w:space="0"/>
            </w:tcBorders>
            <w:vAlign w:val="center"/>
          </w:tcPr>
          <w:p w14:paraId="6038D1D0">
            <w:pPr>
              <w:jc w:val="center"/>
              <w:rPr>
                <w:rFonts w:ascii="仿宋_GB2312" w:eastAsia="仿宋_GB2312"/>
                <w:color w:val="auto"/>
                <w:sz w:val="24"/>
                <w:highlight w:val="none"/>
              </w:rPr>
            </w:pPr>
          </w:p>
        </w:tc>
      </w:tr>
      <w:tr w14:paraId="7B5F47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36" w:hRule="atLeast"/>
          <w:jc w:val="center"/>
        </w:trPr>
        <w:tc>
          <w:tcPr>
            <w:tcW w:w="1146" w:type="dxa"/>
            <w:tcBorders>
              <w:top w:val="single" w:color="auto" w:sz="6" w:space="0"/>
              <w:left w:val="single" w:color="000000" w:sz="6" w:space="0"/>
              <w:bottom w:val="single" w:color="000000" w:sz="6" w:space="0"/>
              <w:right w:val="single" w:color="000000" w:sz="6" w:space="0"/>
            </w:tcBorders>
            <w:vAlign w:val="center"/>
          </w:tcPr>
          <w:p w14:paraId="08F54FCE">
            <w:pPr>
              <w:jc w:val="center"/>
              <w:rPr>
                <w:rFonts w:ascii="仿宋_GB2312" w:eastAsia="仿宋_GB2312"/>
                <w:color w:val="auto"/>
                <w:sz w:val="24"/>
                <w:highlight w:val="none"/>
              </w:rPr>
            </w:pPr>
          </w:p>
        </w:tc>
        <w:tc>
          <w:tcPr>
            <w:tcW w:w="4015" w:type="dxa"/>
            <w:tcBorders>
              <w:top w:val="single" w:color="auto" w:sz="6" w:space="0"/>
              <w:left w:val="nil"/>
              <w:bottom w:val="single" w:color="000000" w:sz="6" w:space="0"/>
              <w:right w:val="single" w:color="000000" w:sz="6" w:space="0"/>
            </w:tcBorders>
            <w:vAlign w:val="center"/>
          </w:tcPr>
          <w:p w14:paraId="264C3B92">
            <w:pPr>
              <w:jc w:val="center"/>
              <w:rPr>
                <w:rFonts w:ascii="仿宋_GB2312" w:eastAsia="仿宋_GB2312"/>
                <w:color w:val="auto"/>
                <w:sz w:val="24"/>
                <w:highlight w:val="none"/>
              </w:rPr>
            </w:pPr>
          </w:p>
        </w:tc>
        <w:tc>
          <w:tcPr>
            <w:tcW w:w="2004" w:type="dxa"/>
            <w:tcBorders>
              <w:top w:val="single" w:color="auto" w:sz="6" w:space="0"/>
              <w:left w:val="nil"/>
              <w:bottom w:val="single" w:color="000000" w:sz="6" w:space="0"/>
              <w:right w:val="single" w:color="000000" w:sz="6" w:space="0"/>
            </w:tcBorders>
            <w:vAlign w:val="center"/>
          </w:tcPr>
          <w:p w14:paraId="63E431A1">
            <w:pPr>
              <w:jc w:val="center"/>
              <w:rPr>
                <w:rFonts w:ascii="仿宋_GB2312" w:eastAsia="仿宋_GB2312"/>
                <w:color w:val="auto"/>
                <w:sz w:val="24"/>
                <w:highlight w:val="none"/>
              </w:rPr>
            </w:pPr>
          </w:p>
        </w:tc>
        <w:tc>
          <w:tcPr>
            <w:tcW w:w="1068" w:type="dxa"/>
            <w:tcBorders>
              <w:top w:val="single" w:color="auto" w:sz="6" w:space="0"/>
              <w:left w:val="nil"/>
              <w:bottom w:val="single" w:color="000000" w:sz="6" w:space="0"/>
              <w:right w:val="single" w:color="auto" w:sz="4" w:space="0"/>
            </w:tcBorders>
            <w:vAlign w:val="center"/>
          </w:tcPr>
          <w:p w14:paraId="5B5067BB">
            <w:pPr>
              <w:jc w:val="center"/>
              <w:rPr>
                <w:rFonts w:ascii="仿宋_GB2312" w:eastAsia="仿宋_GB2312"/>
                <w:color w:val="auto"/>
                <w:sz w:val="24"/>
                <w:highlight w:val="none"/>
              </w:rPr>
            </w:pPr>
          </w:p>
        </w:tc>
      </w:tr>
      <w:tr w14:paraId="5B48E0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48" w:hRule="atLeast"/>
          <w:jc w:val="center"/>
        </w:trPr>
        <w:tc>
          <w:tcPr>
            <w:tcW w:w="1146" w:type="dxa"/>
            <w:tcBorders>
              <w:top w:val="single" w:color="auto" w:sz="6" w:space="0"/>
              <w:left w:val="single" w:color="000000" w:sz="6" w:space="0"/>
              <w:bottom w:val="single" w:color="000000" w:sz="6" w:space="0"/>
              <w:right w:val="single" w:color="000000" w:sz="6" w:space="0"/>
            </w:tcBorders>
            <w:vAlign w:val="center"/>
          </w:tcPr>
          <w:p w14:paraId="61D9892A">
            <w:pPr>
              <w:jc w:val="center"/>
              <w:rPr>
                <w:rFonts w:ascii="仿宋_GB2312" w:eastAsia="仿宋_GB2312"/>
                <w:color w:val="auto"/>
                <w:sz w:val="24"/>
                <w:highlight w:val="none"/>
              </w:rPr>
            </w:pPr>
          </w:p>
        </w:tc>
        <w:tc>
          <w:tcPr>
            <w:tcW w:w="4015" w:type="dxa"/>
            <w:tcBorders>
              <w:top w:val="single" w:color="auto" w:sz="6" w:space="0"/>
              <w:left w:val="nil"/>
              <w:bottom w:val="single" w:color="000000" w:sz="6" w:space="0"/>
              <w:right w:val="single" w:color="000000" w:sz="6" w:space="0"/>
            </w:tcBorders>
            <w:vAlign w:val="center"/>
          </w:tcPr>
          <w:p w14:paraId="1C00AB5E">
            <w:pPr>
              <w:jc w:val="center"/>
              <w:rPr>
                <w:rFonts w:ascii="仿宋_GB2312" w:eastAsia="仿宋_GB2312"/>
                <w:color w:val="auto"/>
                <w:sz w:val="24"/>
                <w:highlight w:val="none"/>
              </w:rPr>
            </w:pPr>
          </w:p>
        </w:tc>
        <w:tc>
          <w:tcPr>
            <w:tcW w:w="2004" w:type="dxa"/>
            <w:tcBorders>
              <w:top w:val="single" w:color="auto" w:sz="6" w:space="0"/>
              <w:left w:val="nil"/>
              <w:bottom w:val="single" w:color="000000" w:sz="6" w:space="0"/>
              <w:right w:val="single" w:color="000000" w:sz="6" w:space="0"/>
            </w:tcBorders>
            <w:vAlign w:val="center"/>
          </w:tcPr>
          <w:p w14:paraId="19635D78">
            <w:pPr>
              <w:jc w:val="center"/>
              <w:rPr>
                <w:rFonts w:ascii="仿宋_GB2312" w:eastAsia="仿宋_GB2312"/>
                <w:color w:val="auto"/>
                <w:sz w:val="24"/>
                <w:highlight w:val="none"/>
              </w:rPr>
            </w:pPr>
          </w:p>
        </w:tc>
        <w:tc>
          <w:tcPr>
            <w:tcW w:w="1068" w:type="dxa"/>
            <w:tcBorders>
              <w:top w:val="single" w:color="auto" w:sz="6" w:space="0"/>
              <w:left w:val="nil"/>
              <w:bottom w:val="single" w:color="000000" w:sz="6" w:space="0"/>
              <w:right w:val="single" w:color="auto" w:sz="4" w:space="0"/>
            </w:tcBorders>
            <w:vAlign w:val="center"/>
          </w:tcPr>
          <w:p w14:paraId="460256F0">
            <w:pPr>
              <w:jc w:val="center"/>
              <w:rPr>
                <w:rFonts w:ascii="仿宋_GB2312" w:eastAsia="仿宋_GB2312"/>
                <w:color w:val="auto"/>
                <w:sz w:val="24"/>
                <w:highlight w:val="none"/>
              </w:rPr>
            </w:pPr>
          </w:p>
        </w:tc>
      </w:tr>
      <w:tr w14:paraId="5924B0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40" w:hRule="atLeast"/>
          <w:jc w:val="center"/>
        </w:trPr>
        <w:tc>
          <w:tcPr>
            <w:tcW w:w="1146" w:type="dxa"/>
            <w:tcBorders>
              <w:top w:val="single" w:color="auto" w:sz="6" w:space="0"/>
              <w:left w:val="single" w:color="000000" w:sz="6" w:space="0"/>
              <w:bottom w:val="single" w:color="auto" w:sz="6" w:space="0"/>
              <w:right w:val="single" w:color="000000" w:sz="6" w:space="0"/>
            </w:tcBorders>
            <w:vAlign w:val="center"/>
          </w:tcPr>
          <w:p w14:paraId="6F37AA3F">
            <w:pPr>
              <w:jc w:val="center"/>
              <w:rPr>
                <w:rFonts w:ascii="仿宋_GB2312" w:eastAsia="仿宋_GB2312"/>
                <w:color w:val="auto"/>
                <w:sz w:val="24"/>
                <w:highlight w:val="none"/>
              </w:rPr>
            </w:pPr>
          </w:p>
        </w:tc>
        <w:tc>
          <w:tcPr>
            <w:tcW w:w="4015" w:type="dxa"/>
            <w:tcBorders>
              <w:top w:val="single" w:color="auto" w:sz="6" w:space="0"/>
              <w:left w:val="nil"/>
              <w:bottom w:val="single" w:color="auto" w:sz="6" w:space="0"/>
              <w:right w:val="single" w:color="000000" w:sz="6" w:space="0"/>
            </w:tcBorders>
            <w:vAlign w:val="center"/>
          </w:tcPr>
          <w:p w14:paraId="76A07518">
            <w:pPr>
              <w:jc w:val="center"/>
              <w:rPr>
                <w:rFonts w:ascii="仿宋_GB2312" w:eastAsia="仿宋_GB2312"/>
                <w:color w:val="auto"/>
                <w:sz w:val="24"/>
                <w:highlight w:val="none"/>
              </w:rPr>
            </w:pPr>
          </w:p>
        </w:tc>
        <w:tc>
          <w:tcPr>
            <w:tcW w:w="2004" w:type="dxa"/>
            <w:tcBorders>
              <w:top w:val="single" w:color="auto" w:sz="6" w:space="0"/>
              <w:left w:val="nil"/>
              <w:bottom w:val="single" w:color="auto" w:sz="6" w:space="0"/>
              <w:right w:val="single" w:color="000000" w:sz="6" w:space="0"/>
            </w:tcBorders>
            <w:vAlign w:val="center"/>
          </w:tcPr>
          <w:p w14:paraId="59EA24E8">
            <w:pPr>
              <w:jc w:val="center"/>
              <w:rPr>
                <w:rFonts w:ascii="仿宋_GB2312" w:eastAsia="仿宋_GB2312"/>
                <w:color w:val="auto"/>
                <w:sz w:val="24"/>
                <w:highlight w:val="none"/>
              </w:rPr>
            </w:pPr>
          </w:p>
        </w:tc>
        <w:tc>
          <w:tcPr>
            <w:tcW w:w="1068" w:type="dxa"/>
            <w:tcBorders>
              <w:top w:val="single" w:color="auto" w:sz="6" w:space="0"/>
              <w:left w:val="nil"/>
              <w:bottom w:val="single" w:color="auto" w:sz="6" w:space="0"/>
              <w:right w:val="single" w:color="auto" w:sz="4" w:space="0"/>
            </w:tcBorders>
            <w:vAlign w:val="center"/>
          </w:tcPr>
          <w:p w14:paraId="5DB8C695">
            <w:pPr>
              <w:jc w:val="center"/>
              <w:rPr>
                <w:rFonts w:ascii="仿宋_GB2312" w:eastAsia="仿宋_GB2312"/>
                <w:color w:val="auto"/>
                <w:sz w:val="24"/>
                <w:highlight w:val="none"/>
              </w:rPr>
            </w:pPr>
          </w:p>
        </w:tc>
      </w:tr>
      <w:tr w14:paraId="5ADDDD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40" w:hRule="atLeast"/>
          <w:jc w:val="center"/>
        </w:trPr>
        <w:tc>
          <w:tcPr>
            <w:tcW w:w="1146" w:type="dxa"/>
            <w:tcBorders>
              <w:top w:val="single" w:color="auto" w:sz="6" w:space="0"/>
              <w:left w:val="single" w:color="000000" w:sz="6" w:space="0"/>
              <w:bottom w:val="single" w:color="auto" w:sz="6" w:space="0"/>
              <w:right w:val="single" w:color="000000" w:sz="6" w:space="0"/>
            </w:tcBorders>
            <w:vAlign w:val="center"/>
          </w:tcPr>
          <w:p w14:paraId="49FEAF24">
            <w:pPr>
              <w:jc w:val="center"/>
              <w:rPr>
                <w:rFonts w:ascii="仿宋_GB2312" w:eastAsia="仿宋_GB2312"/>
                <w:color w:val="auto"/>
                <w:sz w:val="24"/>
                <w:highlight w:val="none"/>
              </w:rPr>
            </w:pPr>
          </w:p>
        </w:tc>
        <w:tc>
          <w:tcPr>
            <w:tcW w:w="4015" w:type="dxa"/>
            <w:tcBorders>
              <w:top w:val="single" w:color="auto" w:sz="6" w:space="0"/>
              <w:left w:val="nil"/>
              <w:bottom w:val="single" w:color="auto" w:sz="6" w:space="0"/>
              <w:right w:val="single" w:color="000000" w:sz="6" w:space="0"/>
            </w:tcBorders>
            <w:vAlign w:val="center"/>
          </w:tcPr>
          <w:p w14:paraId="32F88127">
            <w:pPr>
              <w:jc w:val="center"/>
              <w:rPr>
                <w:rFonts w:ascii="仿宋_GB2312" w:eastAsia="仿宋_GB2312"/>
                <w:color w:val="auto"/>
                <w:sz w:val="24"/>
                <w:highlight w:val="none"/>
              </w:rPr>
            </w:pPr>
          </w:p>
        </w:tc>
        <w:tc>
          <w:tcPr>
            <w:tcW w:w="2004" w:type="dxa"/>
            <w:tcBorders>
              <w:top w:val="single" w:color="auto" w:sz="6" w:space="0"/>
              <w:left w:val="nil"/>
              <w:bottom w:val="single" w:color="auto" w:sz="6" w:space="0"/>
              <w:right w:val="single" w:color="000000" w:sz="6" w:space="0"/>
            </w:tcBorders>
            <w:vAlign w:val="center"/>
          </w:tcPr>
          <w:p w14:paraId="3D5CDD6B">
            <w:pPr>
              <w:jc w:val="center"/>
              <w:rPr>
                <w:rFonts w:ascii="仿宋_GB2312" w:eastAsia="仿宋_GB2312"/>
                <w:color w:val="auto"/>
                <w:sz w:val="24"/>
                <w:highlight w:val="none"/>
              </w:rPr>
            </w:pPr>
          </w:p>
        </w:tc>
        <w:tc>
          <w:tcPr>
            <w:tcW w:w="1068" w:type="dxa"/>
            <w:tcBorders>
              <w:top w:val="single" w:color="auto" w:sz="6" w:space="0"/>
              <w:left w:val="nil"/>
              <w:bottom w:val="single" w:color="auto" w:sz="6" w:space="0"/>
              <w:right w:val="single" w:color="auto" w:sz="4" w:space="0"/>
            </w:tcBorders>
            <w:vAlign w:val="center"/>
          </w:tcPr>
          <w:p w14:paraId="18F310B7">
            <w:pPr>
              <w:jc w:val="center"/>
              <w:rPr>
                <w:rFonts w:ascii="仿宋_GB2312" w:eastAsia="仿宋_GB2312"/>
                <w:color w:val="auto"/>
                <w:sz w:val="24"/>
                <w:highlight w:val="none"/>
              </w:rPr>
            </w:pPr>
          </w:p>
        </w:tc>
      </w:tr>
      <w:tr w14:paraId="6FB5BF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77" w:hRule="atLeast"/>
          <w:jc w:val="center"/>
        </w:trPr>
        <w:tc>
          <w:tcPr>
            <w:tcW w:w="1146" w:type="dxa"/>
            <w:tcBorders>
              <w:top w:val="single" w:color="auto" w:sz="6" w:space="0"/>
              <w:left w:val="single" w:color="000000" w:sz="6" w:space="0"/>
              <w:bottom w:val="single" w:color="auto" w:sz="6" w:space="0"/>
              <w:right w:val="single" w:color="000000" w:sz="6" w:space="0"/>
            </w:tcBorders>
            <w:vAlign w:val="center"/>
          </w:tcPr>
          <w:p w14:paraId="0938918E">
            <w:pPr>
              <w:jc w:val="center"/>
              <w:rPr>
                <w:rFonts w:ascii="仿宋_GB2312" w:eastAsia="仿宋_GB2312"/>
                <w:color w:val="auto"/>
                <w:sz w:val="24"/>
                <w:highlight w:val="none"/>
              </w:rPr>
            </w:pPr>
          </w:p>
        </w:tc>
        <w:tc>
          <w:tcPr>
            <w:tcW w:w="4015" w:type="dxa"/>
            <w:tcBorders>
              <w:top w:val="single" w:color="auto" w:sz="6" w:space="0"/>
              <w:left w:val="nil"/>
              <w:bottom w:val="single" w:color="auto" w:sz="6" w:space="0"/>
              <w:right w:val="single" w:color="000000" w:sz="6" w:space="0"/>
            </w:tcBorders>
            <w:vAlign w:val="center"/>
          </w:tcPr>
          <w:p w14:paraId="7650FF64">
            <w:pPr>
              <w:jc w:val="center"/>
              <w:rPr>
                <w:rFonts w:ascii="仿宋_GB2312" w:eastAsia="仿宋_GB2312"/>
                <w:color w:val="auto"/>
                <w:sz w:val="24"/>
                <w:highlight w:val="none"/>
              </w:rPr>
            </w:pPr>
          </w:p>
        </w:tc>
        <w:tc>
          <w:tcPr>
            <w:tcW w:w="2004" w:type="dxa"/>
            <w:tcBorders>
              <w:top w:val="single" w:color="auto" w:sz="6" w:space="0"/>
              <w:left w:val="nil"/>
              <w:bottom w:val="single" w:color="auto" w:sz="6" w:space="0"/>
              <w:right w:val="single" w:color="000000" w:sz="6" w:space="0"/>
            </w:tcBorders>
            <w:vAlign w:val="center"/>
          </w:tcPr>
          <w:p w14:paraId="6966E7AC">
            <w:pPr>
              <w:jc w:val="center"/>
              <w:rPr>
                <w:rFonts w:ascii="仿宋_GB2312" w:eastAsia="仿宋_GB2312"/>
                <w:color w:val="auto"/>
                <w:sz w:val="24"/>
                <w:highlight w:val="none"/>
              </w:rPr>
            </w:pPr>
          </w:p>
        </w:tc>
        <w:tc>
          <w:tcPr>
            <w:tcW w:w="1068" w:type="dxa"/>
            <w:tcBorders>
              <w:top w:val="single" w:color="auto" w:sz="6" w:space="0"/>
              <w:left w:val="nil"/>
              <w:bottom w:val="single" w:color="auto" w:sz="6" w:space="0"/>
              <w:right w:val="single" w:color="auto" w:sz="4" w:space="0"/>
            </w:tcBorders>
            <w:vAlign w:val="center"/>
          </w:tcPr>
          <w:p w14:paraId="1F5E3EC9">
            <w:pPr>
              <w:jc w:val="center"/>
              <w:rPr>
                <w:rFonts w:ascii="仿宋_GB2312" w:eastAsia="仿宋_GB2312"/>
                <w:color w:val="auto"/>
                <w:sz w:val="24"/>
                <w:highlight w:val="none"/>
              </w:rPr>
            </w:pPr>
          </w:p>
        </w:tc>
      </w:tr>
    </w:tbl>
    <w:p w14:paraId="28313DB4">
      <w:pPr>
        <w:adjustRightInd w:val="0"/>
        <w:snapToGrid w:val="0"/>
        <w:jc w:val="left"/>
        <w:outlineLvl w:val="1"/>
        <w:rPr>
          <w:rFonts w:ascii="仿宋_GB2312" w:eastAsia="仿宋_GB2312"/>
          <w:b/>
          <w:bCs/>
          <w:color w:val="auto"/>
          <w:sz w:val="28"/>
          <w:szCs w:val="28"/>
          <w:highlight w:val="none"/>
        </w:rPr>
        <w:sectPr>
          <w:pgSz w:w="11906" w:h="16838"/>
          <w:pgMar w:top="1468" w:right="1803" w:bottom="1113" w:left="1803" w:header="851" w:footer="899" w:gutter="0"/>
          <w:cols w:space="720" w:num="1"/>
          <w:docGrid w:type="linesAndChars" w:linePitch="319" w:charSpace="0"/>
        </w:sectPr>
      </w:pPr>
      <w:bookmarkStart w:id="135" w:name="_Toc4498_WPSOffice_Level1"/>
    </w:p>
    <w:p w14:paraId="36E715BF">
      <w:pPr>
        <w:spacing w:before="159" w:beforeLines="50" w:after="159" w:afterLines="50" w:line="360" w:lineRule="auto"/>
        <w:ind w:right="-21" w:rightChars="-10"/>
        <w:jc w:val="left"/>
        <w:rPr>
          <w:rFonts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t>附表3</w:t>
      </w:r>
    </w:p>
    <w:p w14:paraId="3D6096B5">
      <w:pPr>
        <w:spacing w:before="159" w:beforeLines="50" w:after="159" w:afterLines="50" w:line="360" w:lineRule="auto"/>
        <w:ind w:right="-21" w:rightChars="-10"/>
        <w:jc w:val="center"/>
        <w:rPr>
          <w:rFonts w:ascii="方正小标宋简体" w:hAnsi="仿宋_GB2312" w:eastAsia="方正小标宋简体" w:cs="仿宋_GB2312"/>
          <w:color w:val="auto"/>
          <w:sz w:val="32"/>
          <w:szCs w:val="32"/>
          <w:highlight w:val="none"/>
        </w:rPr>
      </w:pPr>
      <w:r>
        <w:rPr>
          <w:rFonts w:hint="eastAsia" w:ascii="方正小标宋简体" w:hAnsi="仿宋_GB2312" w:eastAsia="方正小标宋简体" w:cs="仿宋_GB2312"/>
          <w:color w:val="auto"/>
          <w:sz w:val="32"/>
          <w:szCs w:val="32"/>
          <w:highlight w:val="none"/>
        </w:rPr>
        <w:t>单个项目情况表</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95"/>
        <w:gridCol w:w="5644"/>
      </w:tblGrid>
      <w:tr w14:paraId="68242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2695" w:type="dxa"/>
            <w:tcBorders>
              <w:top w:val="single" w:color="auto" w:sz="4" w:space="0"/>
              <w:left w:val="single" w:color="auto" w:sz="4" w:space="0"/>
              <w:bottom w:val="single" w:color="auto" w:sz="4" w:space="0"/>
              <w:right w:val="single" w:color="auto" w:sz="4" w:space="0"/>
            </w:tcBorders>
            <w:vAlign w:val="center"/>
          </w:tcPr>
          <w:p w14:paraId="3D120F56">
            <w:pPr>
              <w:jc w:val="center"/>
              <w:rPr>
                <w:rFonts w:ascii="仿宋_GB2312" w:eastAsia="仿宋_GB2312"/>
                <w:color w:val="auto"/>
                <w:sz w:val="24"/>
                <w:highlight w:val="none"/>
              </w:rPr>
            </w:pPr>
            <w:r>
              <w:rPr>
                <w:rFonts w:hint="eastAsia" w:ascii="仿宋_GB2312" w:eastAsia="仿宋_GB2312"/>
                <w:color w:val="auto"/>
                <w:sz w:val="24"/>
                <w:highlight w:val="none"/>
              </w:rPr>
              <w:t>项目名称</w:t>
            </w:r>
          </w:p>
        </w:tc>
        <w:tc>
          <w:tcPr>
            <w:tcW w:w="5644" w:type="dxa"/>
            <w:tcBorders>
              <w:top w:val="single" w:color="auto" w:sz="4" w:space="0"/>
              <w:left w:val="single" w:color="auto" w:sz="4" w:space="0"/>
              <w:bottom w:val="single" w:color="auto" w:sz="4" w:space="0"/>
              <w:right w:val="single" w:color="auto" w:sz="4" w:space="0"/>
            </w:tcBorders>
            <w:vAlign w:val="center"/>
          </w:tcPr>
          <w:p w14:paraId="29FFC597">
            <w:pPr>
              <w:jc w:val="center"/>
              <w:rPr>
                <w:rFonts w:ascii="仿宋_GB2312" w:eastAsia="仿宋_GB2312"/>
                <w:color w:val="auto"/>
                <w:sz w:val="24"/>
                <w:highlight w:val="none"/>
              </w:rPr>
            </w:pPr>
          </w:p>
        </w:tc>
      </w:tr>
      <w:tr w14:paraId="3C4FA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2695" w:type="dxa"/>
            <w:tcBorders>
              <w:top w:val="single" w:color="auto" w:sz="4" w:space="0"/>
              <w:left w:val="single" w:color="auto" w:sz="4" w:space="0"/>
              <w:bottom w:val="single" w:color="auto" w:sz="4" w:space="0"/>
              <w:right w:val="single" w:color="auto" w:sz="4" w:space="0"/>
            </w:tcBorders>
            <w:vAlign w:val="center"/>
          </w:tcPr>
          <w:p w14:paraId="0A616C10">
            <w:pPr>
              <w:jc w:val="center"/>
              <w:rPr>
                <w:rFonts w:ascii="仿宋_GB2312" w:eastAsia="仿宋_GB2312"/>
                <w:color w:val="auto"/>
                <w:sz w:val="24"/>
                <w:highlight w:val="none"/>
              </w:rPr>
            </w:pPr>
            <w:r>
              <w:rPr>
                <w:rFonts w:hint="eastAsia" w:ascii="仿宋_GB2312" w:eastAsia="仿宋_GB2312"/>
                <w:color w:val="auto"/>
                <w:sz w:val="24"/>
                <w:highlight w:val="none"/>
              </w:rPr>
              <w:t>项目所在地</w:t>
            </w:r>
          </w:p>
        </w:tc>
        <w:tc>
          <w:tcPr>
            <w:tcW w:w="5644" w:type="dxa"/>
            <w:tcBorders>
              <w:top w:val="single" w:color="auto" w:sz="4" w:space="0"/>
              <w:left w:val="single" w:color="auto" w:sz="4" w:space="0"/>
              <w:bottom w:val="single" w:color="auto" w:sz="4" w:space="0"/>
              <w:right w:val="single" w:color="auto" w:sz="4" w:space="0"/>
            </w:tcBorders>
            <w:vAlign w:val="center"/>
          </w:tcPr>
          <w:p w14:paraId="3FEA2B03">
            <w:pPr>
              <w:jc w:val="center"/>
              <w:rPr>
                <w:rFonts w:ascii="仿宋_GB2312" w:eastAsia="仿宋_GB2312"/>
                <w:color w:val="auto"/>
                <w:sz w:val="24"/>
                <w:highlight w:val="none"/>
              </w:rPr>
            </w:pPr>
          </w:p>
        </w:tc>
      </w:tr>
      <w:tr w14:paraId="56B16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2695" w:type="dxa"/>
            <w:tcBorders>
              <w:top w:val="single" w:color="auto" w:sz="4" w:space="0"/>
              <w:left w:val="single" w:color="auto" w:sz="4" w:space="0"/>
              <w:bottom w:val="single" w:color="auto" w:sz="4" w:space="0"/>
              <w:right w:val="single" w:color="auto" w:sz="4" w:space="0"/>
            </w:tcBorders>
            <w:vAlign w:val="center"/>
          </w:tcPr>
          <w:p w14:paraId="7E193249">
            <w:pPr>
              <w:jc w:val="center"/>
              <w:rPr>
                <w:rFonts w:ascii="仿宋_GB2312" w:eastAsia="仿宋_GB2312"/>
                <w:color w:val="auto"/>
                <w:sz w:val="24"/>
                <w:highlight w:val="none"/>
              </w:rPr>
            </w:pPr>
            <w:r>
              <w:rPr>
                <w:rFonts w:hint="eastAsia" w:ascii="仿宋_GB2312" w:eastAsia="仿宋_GB2312"/>
                <w:color w:val="auto"/>
                <w:sz w:val="24"/>
                <w:highlight w:val="none"/>
              </w:rPr>
              <w:t>采购人名称</w:t>
            </w:r>
          </w:p>
        </w:tc>
        <w:tc>
          <w:tcPr>
            <w:tcW w:w="5644" w:type="dxa"/>
            <w:tcBorders>
              <w:top w:val="single" w:color="auto" w:sz="4" w:space="0"/>
              <w:left w:val="single" w:color="auto" w:sz="4" w:space="0"/>
              <w:bottom w:val="single" w:color="auto" w:sz="4" w:space="0"/>
              <w:right w:val="single" w:color="auto" w:sz="4" w:space="0"/>
            </w:tcBorders>
            <w:vAlign w:val="center"/>
          </w:tcPr>
          <w:p w14:paraId="14369F16">
            <w:pPr>
              <w:jc w:val="center"/>
              <w:rPr>
                <w:rFonts w:ascii="仿宋_GB2312" w:eastAsia="仿宋_GB2312"/>
                <w:color w:val="auto"/>
                <w:sz w:val="24"/>
                <w:highlight w:val="none"/>
              </w:rPr>
            </w:pPr>
          </w:p>
        </w:tc>
      </w:tr>
      <w:tr w14:paraId="2DD7E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2695" w:type="dxa"/>
            <w:tcBorders>
              <w:top w:val="single" w:color="auto" w:sz="4" w:space="0"/>
              <w:left w:val="single" w:color="auto" w:sz="4" w:space="0"/>
              <w:bottom w:val="single" w:color="auto" w:sz="4" w:space="0"/>
              <w:right w:val="single" w:color="auto" w:sz="4" w:space="0"/>
            </w:tcBorders>
            <w:vAlign w:val="center"/>
          </w:tcPr>
          <w:p w14:paraId="58A3ADD8">
            <w:pPr>
              <w:jc w:val="center"/>
              <w:rPr>
                <w:rFonts w:ascii="仿宋_GB2312" w:eastAsia="仿宋_GB2312"/>
                <w:color w:val="auto"/>
                <w:sz w:val="24"/>
                <w:highlight w:val="none"/>
              </w:rPr>
            </w:pPr>
            <w:r>
              <w:rPr>
                <w:rFonts w:hint="eastAsia" w:ascii="仿宋_GB2312" w:eastAsia="仿宋_GB2312"/>
                <w:color w:val="auto"/>
                <w:sz w:val="24"/>
                <w:highlight w:val="none"/>
              </w:rPr>
              <w:t>采购人地址</w:t>
            </w:r>
          </w:p>
        </w:tc>
        <w:tc>
          <w:tcPr>
            <w:tcW w:w="5644" w:type="dxa"/>
            <w:tcBorders>
              <w:top w:val="single" w:color="auto" w:sz="4" w:space="0"/>
              <w:left w:val="single" w:color="auto" w:sz="4" w:space="0"/>
              <w:bottom w:val="single" w:color="auto" w:sz="4" w:space="0"/>
              <w:right w:val="single" w:color="auto" w:sz="4" w:space="0"/>
            </w:tcBorders>
            <w:vAlign w:val="center"/>
          </w:tcPr>
          <w:p w14:paraId="056F9336">
            <w:pPr>
              <w:jc w:val="center"/>
              <w:rPr>
                <w:rFonts w:ascii="仿宋_GB2312" w:eastAsia="仿宋_GB2312"/>
                <w:color w:val="auto"/>
                <w:sz w:val="24"/>
                <w:highlight w:val="none"/>
              </w:rPr>
            </w:pPr>
          </w:p>
        </w:tc>
      </w:tr>
      <w:tr w14:paraId="12262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2695" w:type="dxa"/>
            <w:tcBorders>
              <w:top w:val="single" w:color="auto" w:sz="4" w:space="0"/>
              <w:left w:val="single" w:color="auto" w:sz="4" w:space="0"/>
              <w:bottom w:val="single" w:color="auto" w:sz="4" w:space="0"/>
              <w:right w:val="single" w:color="auto" w:sz="4" w:space="0"/>
            </w:tcBorders>
            <w:vAlign w:val="center"/>
          </w:tcPr>
          <w:p w14:paraId="232B9686">
            <w:pPr>
              <w:jc w:val="center"/>
              <w:rPr>
                <w:rFonts w:ascii="仿宋_GB2312" w:eastAsia="仿宋_GB2312"/>
                <w:color w:val="auto"/>
                <w:sz w:val="24"/>
                <w:highlight w:val="none"/>
              </w:rPr>
            </w:pPr>
            <w:r>
              <w:rPr>
                <w:rFonts w:hint="eastAsia" w:ascii="仿宋_GB2312" w:eastAsia="仿宋_GB2312"/>
                <w:color w:val="auto"/>
                <w:sz w:val="24"/>
                <w:highlight w:val="none"/>
              </w:rPr>
              <w:t>采购人联系人及电话</w:t>
            </w:r>
          </w:p>
        </w:tc>
        <w:tc>
          <w:tcPr>
            <w:tcW w:w="5644" w:type="dxa"/>
            <w:tcBorders>
              <w:top w:val="single" w:color="auto" w:sz="4" w:space="0"/>
              <w:left w:val="single" w:color="auto" w:sz="4" w:space="0"/>
              <w:bottom w:val="single" w:color="auto" w:sz="4" w:space="0"/>
              <w:right w:val="single" w:color="auto" w:sz="4" w:space="0"/>
            </w:tcBorders>
            <w:vAlign w:val="center"/>
          </w:tcPr>
          <w:p w14:paraId="01467DCB">
            <w:pPr>
              <w:jc w:val="center"/>
              <w:rPr>
                <w:rFonts w:ascii="仿宋_GB2312" w:eastAsia="仿宋_GB2312"/>
                <w:color w:val="auto"/>
                <w:sz w:val="24"/>
                <w:highlight w:val="none"/>
              </w:rPr>
            </w:pPr>
          </w:p>
        </w:tc>
      </w:tr>
      <w:tr w14:paraId="29355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2695" w:type="dxa"/>
            <w:tcBorders>
              <w:top w:val="single" w:color="auto" w:sz="4" w:space="0"/>
              <w:left w:val="single" w:color="auto" w:sz="4" w:space="0"/>
              <w:bottom w:val="single" w:color="auto" w:sz="4" w:space="0"/>
              <w:right w:val="single" w:color="auto" w:sz="4" w:space="0"/>
            </w:tcBorders>
            <w:vAlign w:val="center"/>
          </w:tcPr>
          <w:p w14:paraId="20093FFB">
            <w:pPr>
              <w:jc w:val="center"/>
              <w:rPr>
                <w:rFonts w:ascii="仿宋_GB2312" w:eastAsia="仿宋_GB2312"/>
                <w:color w:val="auto"/>
                <w:sz w:val="24"/>
                <w:highlight w:val="none"/>
              </w:rPr>
            </w:pPr>
            <w:r>
              <w:rPr>
                <w:rFonts w:hint="eastAsia" w:ascii="仿宋_GB2312" w:eastAsia="仿宋_GB2312"/>
                <w:color w:val="auto"/>
                <w:sz w:val="24"/>
                <w:highlight w:val="none"/>
              </w:rPr>
              <w:t>合同签订日期</w:t>
            </w:r>
          </w:p>
        </w:tc>
        <w:tc>
          <w:tcPr>
            <w:tcW w:w="5644" w:type="dxa"/>
            <w:tcBorders>
              <w:top w:val="single" w:color="auto" w:sz="4" w:space="0"/>
              <w:left w:val="single" w:color="auto" w:sz="4" w:space="0"/>
              <w:bottom w:val="single" w:color="auto" w:sz="4" w:space="0"/>
              <w:right w:val="single" w:color="auto" w:sz="4" w:space="0"/>
            </w:tcBorders>
            <w:vAlign w:val="center"/>
          </w:tcPr>
          <w:p w14:paraId="1239D5A1">
            <w:pPr>
              <w:jc w:val="center"/>
              <w:rPr>
                <w:rFonts w:ascii="仿宋_GB2312" w:eastAsia="仿宋_GB2312"/>
                <w:color w:val="auto"/>
                <w:sz w:val="24"/>
                <w:highlight w:val="none"/>
              </w:rPr>
            </w:pPr>
          </w:p>
        </w:tc>
      </w:tr>
      <w:tr w14:paraId="5C91E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3" w:hRule="atLeast"/>
          <w:jc w:val="center"/>
        </w:trPr>
        <w:tc>
          <w:tcPr>
            <w:tcW w:w="2695" w:type="dxa"/>
            <w:tcBorders>
              <w:top w:val="single" w:color="auto" w:sz="4" w:space="0"/>
              <w:left w:val="single" w:color="auto" w:sz="4" w:space="0"/>
              <w:bottom w:val="single" w:color="auto" w:sz="4" w:space="0"/>
              <w:right w:val="single" w:color="auto" w:sz="4" w:space="0"/>
            </w:tcBorders>
            <w:vAlign w:val="center"/>
          </w:tcPr>
          <w:p w14:paraId="6BBDC005">
            <w:pPr>
              <w:jc w:val="center"/>
              <w:rPr>
                <w:rFonts w:ascii="仿宋_GB2312" w:eastAsia="仿宋_GB2312"/>
                <w:color w:val="auto"/>
                <w:sz w:val="24"/>
                <w:highlight w:val="none"/>
              </w:rPr>
            </w:pPr>
            <w:r>
              <w:rPr>
                <w:rFonts w:hint="eastAsia" w:ascii="仿宋_GB2312" w:eastAsia="仿宋_GB2312"/>
                <w:color w:val="auto"/>
                <w:sz w:val="24"/>
                <w:highlight w:val="none"/>
              </w:rPr>
              <w:t>项目描述</w:t>
            </w:r>
          </w:p>
        </w:tc>
        <w:tc>
          <w:tcPr>
            <w:tcW w:w="5644" w:type="dxa"/>
            <w:tcBorders>
              <w:top w:val="single" w:color="auto" w:sz="4" w:space="0"/>
              <w:left w:val="single" w:color="auto" w:sz="4" w:space="0"/>
              <w:bottom w:val="single" w:color="auto" w:sz="4" w:space="0"/>
              <w:right w:val="single" w:color="auto" w:sz="4" w:space="0"/>
            </w:tcBorders>
            <w:vAlign w:val="center"/>
          </w:tcPr>
          <w:p w14:paraId="7F753055">
            <w:pPr>
              <w:jc w:val="center"/>
              <w:rPr>
                <w:rFonts w:ascii="仿宋_GB2312" w:eastAsia="仿宋_GB2312"/>
                <w:color w:val="auto"/>
                <w:sz w:val="24"/>
                <w:highlight w:val="none"/>
              </w:rPr>
            </w:pPr>
          </w:p>
        </w:tc>
      </w:tr>
      <w:tr w14:paraId="2025B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2695" w:type="dxa"/>
            <w:tcBorders>
              <w:top w:val="single" w:color="auto" w:sz="4" w:space="0"/>
              <w:left w:val="single" w:color="auto" w:sz="4" w:space="0"/>
              <w:bottom w:val="single" w:color="auto" w:sz="4" w:space="0"/>
              <w:right w:val="single" w:color="auto" w:sz="4" w:space="0"/>
            </w:tcBorders>
            <w:vAlign w:val="center"/>
          </w:tcPr>
          <w:p w14:paraId="47A01337">
            <w:pPr>
              <w:jc w:val="center"/>
              <w:rPr>
                <w:rFonts w:ascii="仿宋_GB2312" w:eastAsia="仿宋_GB2312"/>
                <w:color w:val="auto"/>
                <w:sz w:val="24"/>
                <w:highlight w:val="none"/>
              </w:rPr>
            </w:pPr>
            <w:r>
              <w:rPr>
                <w:rFonts w:hint="eastAsia" w:ascii="仿宋_GB2312" w:eastAsia="仿宋_GB2312"/>
                <w:color w:val="auto"/>
                <w:sz w:val="24"/>
                <w:highlight w:val="none"/>
              </w:rPr>
              <w:t>备注</w:t>
            </w:r>
          </w:p>
        </w:tc>
        <w:tc>
          <w:tcPr>
            <w:tcW w:w="5644" w:type="dxa"/>
            <w:tcBorders>
              <w:top w:val="single" w:color="auto" w:sz="4" w:space="0"/>
              <w:left w:val="single" w:color="auto" w:sz="4" w:space="0"/>
              <w:bottom w:val="single" w:color="auto" w:sz="4" w:space="0"/>
              <w:right w:val="single" w:color="auto" w:sz="4" w:space="0"/>
            </w:tcBorders>
            <w:vAlign w:val="center"/>
          </w:tcPr>
          <w:p w14:paraId="107A2F57">
            <w:pPr>
              <w:jc w:val="center"/>
              <w:rPr>
                <w:rFonts w:ascii="仿宋_GB2312" w:eastAsia="仿宋_GB2312"/>
                <w:color w:val="auto"/>
                <w:sz w:val="24"/>
                <w:highlight w:val="none"/>
              </w:rPr>
            </w:pPr>
          </w:p>
        </w:tc>
      </w:tr>
    </w:tbl>
    <w:p w14:paraId="060F1165">
      <w:pPr>
        <w:spacing w:line="360" w:lineRule="auto"/>
        <w:ind w:firstLine="480" w:firstLineChars="200"/>
        <w:rPr>
          <w:rFonts w:ascii="仿宋_GB2312" w:eastAsia="仿宋_GB2312"/>
          <w:b/>
          <w:bCs/>
          <w:color w:val="auto"/>
          <w:sz w:val="24"/>
          <w:highlight w:val="none"/>
        </w:rPr>
      </w:pPr>
      <w:r>
        <w:rPr>
          <w:rFonts w:hint="eastAsia" w:ascii="仿宋_GB2312" w:eastAsia="仿宋_GB2312"/>
          <w:b/>
          <w:bCs/>
          <w:color w:val="auto"/>
          <w:sz w:val="24"/>
          <w:highlight w:val="none"/>
        </w:rPr>
        <w:t>注:1.参照本项目《评标方法》对类似业绩的相关要求提供相应证明材料加盖投标人公章；</w:t>
      </w:r>
    </w:p>
    <w:p w14:paraId="6E3125BA">
      <w:pPr>
        <w:widowControl/>
        <w:spacing w:before="159" w:beforeLines="50"/>
        <w:ind w:firstLine="480" w:firstLineChars="200"/>
        <w:jc w:val="left"/>
        <w:rPr>
          <w:color w:val="auto"/>
          <w:highlight w:val="none"/>
        </w:rPr>
      </w:pPr>
      <w:r>
        <w:rPr>
          <w:rFonts w:hint="eastAsia" w:ascii="仿宋_GB2312" w:eastAsia="仿宋_GB2312"/>
          <w:b/>
          <w:bCs/>
          <w:color w:val="auto"/>
          <w:sz w:val="24"/>
          <w:highlight w:val="none"/>
        </w:rPr>
        <w:t>2.每张表格只填写一个项目，并标明序号。</w:t>
      </w:r>
    </w:p>
    <w:p w14:paraId="193C305B">
      <w:pPr>
        <w:rPr>
          <w:color w:val="auto"/>
          <w:highlight w:val="none"/>
        </w:rPr>
      </w:pPr>
      <w:r>
        <w:rPr>
          <w:color w:val="auto"/>
          <w:highlight w:val="none"/>
        </w:rPr>
        <w:br w:type="page"/>
      </w:r>
    </w:p>
    <w:bookmarkEnd w:id="135"/>
    <w:p w14:paraId="08F8553C">
      <w:pPr>
        <w:rPr>
          <w:rFonts w:ascii="仿宋_GB2312" w:eastAsia="仿宋_GB2312"/>
          <w:b/>
          <w:bCs/>
          <w:color w:val="auto"/>
          <w:sz w:val="28"/>
          <w:szCs w:val="28"/>
          <w:highlight w:val="none"/>
        </w:rPr>
        <w:sectPr>
          <w:pgSz w:w="11906" w:h="16838"/>
          <w:pgMar w:top="1468" w:right="1803" w:bottom="1113" w:left="1803" w:header="851" w:footer="899" w:gutter="0"/>
          <w:cols w:space="720" w:num="1"/>
          <w:docGrid w:type="linesAndChars" w:linePitch="319" w:charSpace="0"/>
        </w:sectPr>
      </w:pPr>
    </w:p>
    <w:p w14:paraId="512267E7">
      <w:pPr>
        <w:pStyle w:val="7"/>
        <w:rPr>
          <w:color w:val="auto"/>
          <w:highlight w:val="none"/>
        </w:rPr>
      </w:pPr>
      <w:bookmarkStart w:id="136" w:name="_Toc111013453"/>
      <w:bookmarkStart w:id="137" w:name="_Toc2821_WPSOffice_Level1"/>
    </w:p>
    <w:bookmarkEnd w:id="136"/>
    <w:p w14:paraId="2C12A8DD">
      <w:pPr>
        <w:spacing w:before="319" w:beforeLines="100" w:after="319" w:afterLines="100" w:line="360" w:lineRule="auto"/>
        <w:ind w:right="-21" w:rightChars="-10"/>
        <w:jc w:val="center"/>
        <w:outlineLvl w:val="0"/>
        <w:rPr>
          <w:rFonts w:ascii="方正小标宋简体" w:hAnsi="仿宋" w:eastAsia="方正小标宋简体" w:cs="仿宋_GB2312"/>
          <w:bCs/>
          <w:color w:val="auto"/>
          <w:kern w:val="44"/>
          <w:sz w:val="44"/>
          <w:highlight w:val="none"/>
        </w:rPr>
      </w:pPr>
      <w:bookmarkStart w:id="138" w:name="_Toc32093"/>
      <w:bookmarkStart w:id="139" w:name="_Toc111013454"/>
      <w:r>
        <w:rPr>
          <w:rFonts w:hint="eastAsia" w:ascii="方正小标宋简体" w:hAnsi="仿宋" w:eastAsia="方正小标宋简体" w:cs="仿宋_GB2312"/>
          <w:bCs/>
          <w:color w:val="auto"/>
          <w:kern w:val="44"/>
          <w:sz w:val="44"/>
          <w:highlight w:val="none"/>
        </w:rPr>
        <w:t>第三章 货物需求</w:t>
      </w:r>
      <w:bookmarkEnd w:id="138"/>
    </w:p>
    <w:p w14:paraId="04637CAF">
      <w:pPr>
        <w:snapToGrid w:val="0"/>
        <w:spacing w:before="319" w:beforeLines="100" w:after="319" w:afterLines="100"/>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详见本项目招标文件第二章 格式13技术规格偏离表、格式14商务条款偏离表。</w:t>
      </w:r>
    </w:p>
    <w:p w14:paraId="243C6515">
      <w:pPr>
        <w:rPr>
          <w:rFonts w:ascii="仿宋_GB2312" w:hAnsi="仿宋" w:eastAsia="仿宋_GB2312" w:cs="仿宋_GB2312"/>
          <w:color w:val="auto"/>
          <w:szCs w:val="21"/>
          <w:highlight w:val="none"/>
        </w:rPr>
      </w:pPr>
      <w:r>
        <w:rPr>
          <w:rFonts w:hint="eastAsia" w:ascii="仿宋_GB2312" w:hAnsi="仿宋" w:eastAsia="仿宋_GB2312" w:cs="仿宋_GB2312"/>
          <w:color w:val="auto"/>
          <w:szCs w:val="21"/>
          <w:highlight w:val="none"/>
        </w:rPr>
        <w:br w:type="page"/>
      </w:r>
    </w:p>
    <w:p w14:paraId="65685C22">
      <w:pPr>
        <w:jc w:val="center"/>
        <w:outlineLvl w:val="0"/>
        <w:rPr>
          <w:color w:val="auto"/>
          <w:highlight w:val="none"/>
        </w:rPr>
      </w:pPr>
      <w:bookmarkStart w:id="140" w:name="_Toc18523"/>
      <w:r>
        <w:rPr>
          <w:rFonts w:hint="eastAsia" w:ascii="方正小标宋简体" w:hAnsi="仿宋" w:eastAsia="方正小标宋简体" w:cs="仿宋_GB2312"/>
          <w:color w:val="auto"/>
          <w:sz w:val="44"/>
          <w:szCs w:val="44"/>
          <w:highlight w:val="none"/>
        </w:rPr>
        <w:t>第四章 评标方法</w:t>
      </w:r>
      <w:bookmarkEnd w:id="137"/>
      <w:bookmarkEnd w:id="139"/>
      <w:bookmarkEnd w:id="140"/>
    </w:p>
    <w:p w14:paraId="7939310E">
      <w:pPr>
        <w:adjustRightInd w:val="0"/>
        <w:snapToGrid w:val="0"/>
        <w:spacing w:line="360" w:lineRule="auto"/>
        <w:ind w:firstLine="480" w:firstLineChars="200"/>
        <w:rPr>
          <w:rFonts w:ascii="仿宋_GB2312" w:hAnsi="仿宋" w:eastAsia="仿宋_GB2312" w:cs="仿宋_GB2312"/>
          <w:b/>
          <w:color w:val="auto"/>
          <w:kern w:val="0"/>
          <w:sz w:val="24"/>
          <w:highlight w:val="none"/>
        </w:rPr>
      </w:pPr>
      <w:r>
        <w:rPr>
          <w:rFonts w:hint="eastAsia" w:ascii="仿宋_GB2312" w:hAnsi="仿宋" w:eastAsia="仿宋_GB2312" w:cs="仿宋_GB2312"/>
          <w:bCs/>
          <w:color w:val="auto"/>
          <w:kern w:val="0"/>
          <w:sz w:val="24"/>
          <w:highlight w:val="none"/>
        </w:rPr>
        <w:t>本项目将按照招标文件第一章投标人须知中“六 开标及评标”、“七 确定中标”及本章的规定评标。</w:t>
      </w:r>
    </w:p>
    <w:p w14:paraId="6B00AC30">
      <w:pPr>
        <w:adjustRightInd w:val="0"/>
        <w:snapToGrid w:val="0"/>
        <w:spacing w:line="360" w:lineRule="auto"/>
        <w:ind w:firstLine="480" w:firstLineChars="200"/>
        <w:rPr>
          <w:rFonts w:ascii="仿宋_GB2312" w:hAnsi="仿宋" w:eastAsia="仿宋_GB2312" w:cs="仿宋_GB2312"/>
          <w:b/>
          <w:color w:val="auto"/>
          <w:kern w:val="0"/>
          <w:sz w:val="24"/>
          <w:highlight w:val="none"/>
        </w:rPr>
      </w:pPr>
      <w:bookmarkStart w:id="141" w:name="_Toc22313_WPSOffice_Level2"/>
      <w:r>
        <w:rPr>
          <w:rFonts w:hint="eastAsia" w:ascii="仿宋_GB2312" w:hAnsi="仿宋" w:eastAsia="仿宋_GB2312" w:cs="仿宋_GB2312"/>
          <w:b/>
          <w:color w:val="auto"/>
          <w:kern w:val="0"/>
          <w:sz w:val="24"/>
          <w:highlight w:val="none"/>
        </w:rPr>
        <w:t>一、评标方法</w:t>
      </w:r>
      <w:bookmarkEnd w:id="141"/>
    </w:p>
    <w:p w14:paraId="2C5FF61B">
      <w:pPr>
        <w:adjustRightInd w:val="0"/>
        <w:snapToGrid w:val="0"/>
        <w:spacing w:line="360" w:lineRule="auto"/>
        <w:ind w:firstLine="480" w:firstLineChars="200"/>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本项目采用</w:t>
      </w:r>
      <w:r>
        <w:rPr>
          <w:rFonts w:hint="eastAsia" w:ascii="仿宋_GB2312" w:hAnsi="仿宋" w:eastAsia="仿宋_GB2312" w:cs="仿宋_GB2312"/>
          <w:color w:val="auto"/>
          <w:kern w:val="0"/>
          <w:sz w:val="24"/>
          <w:highlight w:val="none"/>
          <w:u w:val="single"/>
        </w:rPr>
        <w:t>综合评分法</w:t>
      </w:r>
      <w:r>
        <w:rPr>
          <w:rFonts w:hint="eastAsia" w:ascii="仿宋_GB2312" w:hAnsi="仿宋" w:eastAsia="仿宋_GB2312" w:cs="仿宋_GB2312"/>
          <w:color w:val="auto"/>
          <w:kern w:val="0"/>
          <w:sz w:val="24"/>
          <w:highlight w:val="none"/>
        </w:rPr>
        <w:t>进行评标。</w:t>
      </w:r>
    </w:p>
    <w:p w14:paraId="3B90DF05">
      <w:pPr>
        <w:adjustRightInd w:val="0"/>
        <w:snapToGrid w:val="0"/>
        <w:spacing w:line="360" w:lineRule="auto"/>
        <w:ind w:firstLine="480" w:firstLineChars="200"/>
        <w:textAlignment w:val="baseline"/>
        <w:rPr>
          <w:rFonts w:ascii="仿宋_GB2312" w:hAnsi="仿宋" w:eastAsia="仿宋_GB2312" w:cs="仿宋_GB2312"/>
          <w:b/>
          <w:color w:val="auto"/>
          <w:kern w:val="0"/>
          <w:sz w:val="24"/>
          <w:highlight w:val="none"/>
        </w:rPr>
      </w:pPr>
      <w:bookmarkStart w:id="142" w:name="_Toc21368_WPSOffice_Level2"/>
      <w:r>
        <w:rPr>
          <w:rFonts w:hint="eastAsia" w:ascii="仿宋_GB2312" w:hAnsi="仿宋" w:eastAsia="仿宋_GB2312" w:cs="仿宋_GB2312"/>
          <w:b/>
          <w:color w:val="auto"/>
          <w:kern w:val="0"/>
          <w:sz w:val="24"/>
          <w:highlight w:val="none"/>
        </w:rPr>
        <w:t>二、评标原则及程序</w:t>
      </w:r>
      <w:bookmarkEnd w:id="142"/>
    </w:p>
    <w:p w14:paraId="7AA0D0BD">
      <w:pPr>
        <w:adjustRightInd w:val="0"/>
        <w:snapToGrid w:val="0"/>
        <w:spacing w:line="360" w:lineRule="auto"/>
        <w:ind w:firstLine="480" w:firstLineChars="200"/>
        <w:textAlignment w:val="baseline"/>
        <w:rPr>
          <w:rFonts w:ascii="仿宋_GB2312" w:hAnsi="仿宋" w:eastAsia="仿宋_GB2312" w:cs="仿宋_GB2312"/>
          <w:b/>
          <w:color w:val="auto"/>
          <w:kern w:val="0"/>
          <w:sz w:val="24"/>
          <w:highlight w:val="none"/>
        </w:rPr>
      </w:pPr>
      <w:r>
        <w:rPr>
          <w:rFonts w:hint="eastAsia" w:ascii="仿宋_GB2312" w:hAnsi="仿宋" w:eastAsia="仿宋_GB2312" w:cs="仿宋_GB2312"/>
          <w:b/>
          <w:color w:val="auto"/>
          <w:kern w:val="0"/>
          <w:sz w:val="24"/>
          <w:highlight w:val="none"/>
        </w:rPr>
        <w:t>（一）评标原则</w:t>
      </w:r>
    </w:p>
    <w:p w14:paraId="4AFB4831">
      <w:pPr>
        <w:adjustRightInd w:val="0"/>
        <w:snapToGrid w:val="0"/>
        <w:spacing w:line="360" w:lineRule="auto"/>
        <w:ind w:firstLine="480" w:firstLineChars="200"/>
        <w:textAlignment w:val="baseline"/>
        <w:rPr>
          <w:rFonts w:ascii="仿宋_GB2312" w:hAnsi="仿宋" w:eastAsia="仿宋_GB2312" w:cs="仿宋_GB2312"/>
          <w:b/>
          <w:color w:val="auto"/>
          <w:kern w:val="0"/>
          <w:sz w:val="24"/>
          <w:highlight w:val="none"/>
        </w:rPr>
      </w:pPr>
      <w:r>
        <w:rPr>
          <w:rFonts w:hint="eastAsia" w:ascii="仿宋_GB2312" w:hAnsi="仿宋" w:eastAsia="仿宋_GB2312" w:cs="仿宋_GB2312"/>
          <w:color w:val="auto"/>
          <w:kern w:val="0"/>
          <w:sz w:val="24"/>
          <w:highlight w:val="none"/>
        </w:rPr>
        <w:t>评标委员会应当按照客观、公正、审慎的原则，根据采购文件规定的评审程序、评审方法和评审标准进行独立评审。采购文件内容违反国家有关强制性规定的，评标委员会应当停止评审并向采购人或者采购组织机构说明情况。</w:t>
      </w:r>
    </w:p>
    <w:p w14:paraId="7E9802A0">
      <w:pPr>
        <w:adjustRightInd w:val="0"/>
        <w:snapToGrid w:val="0"/>
        <w:spacing w:line="360" w:lineRule="auto"/>
        <w:ind w:firstLine="480" w:firstLineChars="200"/>
        <w:textAlignment w:val="baseline"/>
        <w:rPr>
          <w:rFonts w:ascii="仿宋_GB2312" w:hAnsi="仿宋" w:eastAsia="仿宋_GB2312" w:cs="仿宋_GB2312"/>
          <w:b/>
          <w:color w:val="auto"/>
          <w:kern w:val="0"/>
          <w:sz w:val="24"/>
          <w:highlight w:val="none"/>
        </w:rPr>
      </w:pPr>
      <w:r>
        <w:rPr>
          <w:rFonts w:hint="eastAsia" w:ascii="仿宋_GB2312" w:hAnsi="仿宋" w:eastAsia="仿宋_GB2312" w:cs="仿宋_GB2312"/>
          <w:b/>
          <w:color w:val="auto"/>
          <w:kern w:val="0"/>
          <w:sz w:val="24"/>
          <w:highlight w:val="none"/>
        </w:rPr>
        <w:t>（二）评标程序</w:t>
      </w:r>
    </w:p>
    <w:p w14:paraId="249254A5">
      <w:pPr>
        <w:adjustRightInd w:val="0"/>
        <w:snapToGrid w:val="0"/>
        <w:spacing w:line="360" w:lineRule="auto"/>
        <w:ind w:firstLine="240" w:firstLineChars="100"/>
        <w:textAlignment w:val="baseline"/>
        <w:rPr>
          <w:rFonts w:ascii="仿宋_GB2312" w:hAnsi="仿宋" w:eastAsia="仿宋_GB2312" w:cs="仿宋_GB2312"/>
          <w:b/>
          <w:color w:val="auto"/>
          <w:kern w:val="0"/>
          <w:sz w:val="24"/>
          <w:highlight w:val="none"/>
        </w:rPr>
      </w:pPr>
      <w:r>
        <w:rPr>
          <w:rFonts w:hint="eastAsia" w:ascii="仿宋_GB2312" w:hAnsi="仿宋" w:eastAsia="仿宋_GB2312" w:cs="仿宋_GB2312"/>
          <w:b/>
          <w:color w:val="auto"/>
          <w:kern w:val="0"/>
          <w:sz w:val="24"/>
          <w:highlight w:val="none"/>
        </w:rPr>
        <w:t>★1.资格审查</w:t>
      </w:r>
    </w:p>
    <w:p w14:paraId="29C76BC9">
      <w:pPr>
        <w:adjustRightInd w:val="0"/>
        <w:snapToGrid w:val="0"/>
        <w:spacing w:line="360" w:lineRule="auto"/>
        <w:ind w:firstLine="480" w:firstLineChars="200"/>
        <w:textAlignment w:val="baseline"/>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1.1详见投标人须知22条。资格审查表详见本章附件1。</w:t>
      </w:r>
    </w:p>
    <w:p w14:paraId="7AEA5435">
      <w:pPr>
        <w:adjustRightInd w:val="0"/>
        <w:snapToGrid w:val="0"/>
        <w:spacing w:line="360" w:lineRule="auto"/>
        <w:ind w:firstLine="240" w:firstLineChars="100"/>
        <w:rPr>
          <w:rFonts w:ascii="仿宋_GB2312" w:hAnsi="仿宋" w:eastAsia="仿宋_GB2312" w:cs="仿宋_GB2312"/>
          <w:b/>
          <w:bCs/>
          <w:color w:val="auto"/>
          <w:kern w:val="0"/>
          <w:sz w:val="24"/>
          <w:highlight w:val="none"/>
        </w:rPr>
      </w:pPr>
      <w:r>
        <w:rPr>
          <w:rFonts w:hint="eastAsia" w:ascii="仿宋_GB2312" w:hAnsi="仿宋" w:eastAsia="仿宋_GB2312" w:cs="仿宋_GB2312"/>
          <w:b/>
          <w:color w:val="auto"/>
          <w:kern w:val="0"/>
          <w:sz w:val="24"/>
          <w:highlight w:val="none"/>
        </w:rPr>
        <w:t>★</w:t>
      </w:r>
      <w:r>
        <w:rPr>
          <w:rFonts w:hint="eastAsia" w:ascii="仿宋_GB2312" w:hAnsi="仿宋" w:eastAsia="仿宋_GB2312" w:cs="仿宋_GB2312"/>
          <w:b/>
          <w:bCs/>
          <w:color w:val="auto"/>
          <w:kern w:val="0"/>
          <w:sz w:val="24"/>
          <w:highlight w:val="none"/>
        </w:rPr>
        <w:t>2.符合性审查</w:t>
      </w:r>
    </w:p>
    <w:p w14:paraId="3BA9691C">
      <w:pPr>
        <w:adjustRightInd w:val="0"/>
        <w:snapToGrid w:val="0"/>
        <w:spacing w:line="360" w:lineRule="auto"/>
        <w:ind w:firstLine="480" w:firstLineChars="200"/>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2.1详见投标人须知23条。符合性审查表详见本章附件2。</w:t>
      </w:r>
    </w:p>
    <w:p w14:paraId="0CAC20A0">
      <w:pPr>
        <w:adjustRightInd w:val="0"/>
        <w:snapToGrid w:val="0"/>
        <w:spacing w:line="360" w:lineRule="auto"/>
        <w:ind w:firstLine="480" w:firstLineChars="200"/>
        <w:rPr>
          <w:rFonts w:ascii="仿宋_GB2312" w:hAnsi="仿宋" w:eastAsia="仿宋_GB2312" w:cs="仿宋_GB2312"/>
          <w:b/>
          <w:color w:val="auto"/>
          <w:kern w:val="0"/>
          <w:sz w:val="24"/>
          <w:highlight w:val="none"/>
        </w:rPr>
      </w:pPr>
      <w:r>
        <w:rPr>
          <w:rFonts w:hint="eastAsia" w:ascii="仿宋_GB2312" w:hAnsi="仿宋" w:eastAsia="仿宋_GB2312" w:cs="仿宋_GB2312"/>
          <w:b/>
          <w:color w:val="auto"/>
          <w:kern w:val="0"/>
          <w:sz w:val="24"/>
          <w:highlight w:val="none"/>
        </w:rPr>
        <w:t>3.样品及演示</w:t>
      </w:r>
      <w:r>
        <w:rPr>
          <w:rFonts w:hint="eastAsia" w:ascii="仿宋_GB2312" w:hAnsi="仿宋" w:eastAsia="仿宋_GB2312" w:cs="仿宋_GB2312"/>
          <w:b/>
          <w:bCs/>
          <w:color w:val="auto"/>
          <w:sz w:val="24"/>
          <w:highlight w:val="none"/>
        </w:rPr>
        <w:t>（本项目不适用）</w:t>
      </w:r>
    </w:p>
    <w:p w14:paraId="54071175">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3.1</w:t>
      </w:r>
      <w:r>
        <w:rPr>
          <w:rFonts w:hint="eastAsia" w:ascii="仿宋_GB2312" w:hAnsi="仿宋" w:eastAsia="仿宋_GB2312" w:cs="仿宋_GB2312"/>
          <w:color w:val="auto"/>
          <w:kern w:val="0"/>
          <w:sz w:val="24"/>
          <w:highlight w:val="none"/>
        </w:rPr>
        <w:t>投标人须知表11.3条</w:t>
      </w:r>
      <w:r>
        <w:rPr>
          <w:rFonts w:hint="eastAsia" w:ascii="仿宋_GB2312" w:hAnsi="仿宋" w:eastAsia="仿宋_GB2312" w:cs="仿宋_GB2312"/>
          <w:color w:val="auto"/>
          <w:sz w:val="24"/>
          <w:highlight w:val="none"/>
        </w:rPr>
        <w:t>中要求投标人提供样品或演示的，按照</w:t>
      </w:r>
      <w:r>
        <w:rPr>
          <w:rFonts w:hint="eastAsia" w:ascii="仿宋_GB2312" w:hAnsi="仿宋" w:eastAsia="仿宋_GB2312" w:cs="仿宋_GB2312"/>
          <w:color w:val="auto"/>
          <w:kern w:val="0"/>
          <w:sz w:val="24"/>
          <w:highlight w:val="none"/>
        </w:rPr>
        <w:t>投标人须知表25.1条</w:t>
      </w:r>
      <w:r>
        <w:rPr>
          <w:rFonts w:hint="eastAsia" w:ascii="仿宋_GB2312" w:hAnsi="仿宋" w:eastAsia="仿宋_GB2312" w:cs="仿宋_GB2312"/>
          <w:color w:val="auto"/>
          <w:sz w:val="24"/>
          <w:highlight w:val="none"/>
        </w:rPr>
        <w:t>中确定的评审方法以及评审标准进行评审。(样品或演示属于符合性审查的，按照</w:t>
      </w:r>
      <w:r>
        <w:rPr>
          <w:rFonts w:hint="eastAsia" w:ascii="仿宋_GB2312" w:hAnsi="仿宋" w:eastAsia="仿宋_GB2312" w:cs="仿宋_GB2312"/>
          <w:color w:val="auto"/>
          <w:kern w:val="0"/>
          <w:sz w:val="24"/>
          <w:highlight w:val="none"/>
        </w:rPr>
        <w:t>投标人须知23条</w:t>
      </w:r>
      <w:r>
        <w:rPr>
          <w:rFonts w:hint="eastAsia" w:ascii="仿宋_GB2312" w:hAnsi="仿宋" w:eastAsia="仿宋_GB2312" w:cs="仿宋_GB2312"/>
          <w:color w:val="auto"/>
          <w:sz w:val="24"/>
          <w:highlight w:val="none"/>
        </w:rPr>
        <w:t>规定执行）</w:t>
      </w:r>
    </w:p>
    <w:p w14:paraId="6D2DD8F6">
      <w:pPr>
        <w:adjustRightInd w:val="0"/>
        <w:snapToGrid w:val="0"/>
        <w:spacing w:line="360" w:lineRule="auto"/>
        <w:ind w:firstLine="240" w:firstLineChars="100"/>
        <w:rPr>
          <w:rFonts w:ascii="仿宋_GB2312" w:hAnsi="仿宋" w:eastAsia="仿宋_GB2312" w:cs="仿宋_GB2312"/>
          <w:b/>
          <w:bCs/>
          <w:color w:val="auto"/>
          <w:kern w:val="0"/>
          <w:sz w:val="24"/>
          <w:highlight w:val="none"/>
        </w:rPr>
      </w:pPr>
      <w:r>
        <w:rPr>
          <w:rFonts w:hint="eastAsia" w:ascii="仿宋_GB2312" w:hAnsi="仿宋" w:eastAsia="仿宋_GB2312" w:cs="仿宋_GB2312"/>
          <w:b/>
          <w:color w:val="auto"/>
          <w:kern w:val="0"/>
          <w:sz w:val="24"/>
          <w:highlight w:val="none"/>
        </w:rPr>
        <w:t>★4</w:t>
      </w:r>
      <w:r>
        <w:rPr>
          <w:rFonts w:hint="eastAsia" w:ascii="仿宋_GB2312" w:hAnsi="仿宋" w:eastAsia="仿宋_GB2312" w:cs="仿宋_GB2312"/>
          <w:b/>
          <w:bCs/>
          <w:color w:val="auto"/>
          <w:kern w:val="0"/>
          <w:sz w:val="24"/>
          <w:highlight w:val="none"/>
        </w:rPr>
        <w:t>.同一品牌产品</w:t>
      </w:r>
    </w:p>
    <w:p w14:paraId="56A6667E">
      <w:pPr>
        <w:adjustRightInd w:val="0"/>
        <w:snapToGrid w:val="0"/>
        <w:spacing w:line="360" w:lineRule="auto"/>
        <w:ind w:firstLine="480" w:firstLineChars="200"/>
        <w:rPr>
          <w:rFonts w:ascii="仿宋_GB2312" w:hAnsi="仿宋" w:eastAsia="仿宋_GB2312" w:cs="仿宋_GB2312"/>
          <w:b/>
          <w:bCs/>
          <w:color w:val="auto"/>
          <w:sz w:val="24"/>
          <w:highlight w:val="none"/>
        </w:rPr>
      </w:pPr>
      <w:r>
        <w:rPr>
          <w:rFonts w:hint="eastAsia" w:ascii="仿宋_GB2312" w:hAnsi="仿宋" w:eastAsia="仿宋_GB2312" w:cs="仿宋_GB2312"/>
          <w:color w:val="auto"/>
          <w:sz w:val="24"/>
          <w:highlight w:val="none"/>
        </w:rPr>
        <w:t>4.1通过资格审查、符合性审查的不同品牌投标人不足3家的，按照</w:t>
      </w:r>
      <w:r>
        <w:rPr>
          <w:rFonts w:hint="eastAsia" w:ascii="仿宋_GB2312" w:hAnsi="仿宋" w:eastAsia="仿宋_GB2312" w:cs="仿宋_GB2312"/>
          <w:color w:val="auto"/>
          <w:kern w:val="0"/>
          <w:sz w:val="24"/>
          <w:highlight w:val="none"/>
        </w:rPr>
        <w:t>投标人须知28条第（1）款</w:t>
      </w:r>
      <w:r>
        <w:rPr>
          <w:rFonts w:hint="eastAsia" w:ascii="仿宋_GB2312" w:hAnsi="仿宋" w:eastAsia="仿宋_GB2312" w:cs="仿宋_GB2312"/>
          <w:color w:val="auto"/>
          <w:sz w:val="24"/>
          <w:highlight w:val="none"/>
        </w:rPr>
        <w:t>执行</w:t>
      </w:r>
      <w:r>
        <w:rPr>
          <w:rFonts w:hint="eastAsia" w:ascii="仿宋_GB2312" w:hAnsi="仿宋" w:eastAsia="仿宋_GB2312" w:cs="仿宋_GB2312"/>
          <w:color w:val="auto"/>
          <w:kern w:val="0"/>
          <w:sz w:val="24"/>
          <w:highlight w:val="none"/>
        </w:rPr>
        <w:t>。</w:t>
      </w:r>
    </w:p>
    <w:p w14:paraId="6211981D">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4.2提供相同品牌产品且通过资格审查、符合性审查的不同投标人，按一家投标人计算。</w:t>
      </w:r>
    </w:p>
    <w:p w14:paraId="09239C2D">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4.3如一个分包内只有一种产品，不同投标人所投产品为同一品牌的，按如下方式处理：</w:t>
      </w:r>
    </w:p>
    <w:p w14:paraId="2FC002D0">
      <w:pPr>
        <w:numPr>
          <w:ilvl w:val="0"/>
          <w:numId w:val="3"/>
        </w:num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如本项目使用最低评标价法，提供相同品牌产品的不同投标人以其中通过资格审查、符合性审查且报价最低的参加比较及评价；报价相同的，按</w:t>
      </w:r>
      <w:r>
        <w:rPr>
          <w:rFonts w:hint="eastAsia" w:ascii="仿宋_GB2312" w:hAnsi="仿宋" w:eastAsia="仿宋_GB2312" w:cs="仿宋_GB2312"/>
          <w:color w:val="auto"/>
          <w:kern w:val="0"/>
          <w:sz w:val="24"/>
          <w:highlight w:val="none"/>
        </w:rPr>
        <w:t>本章第8条</w:t>
      </w:r>
      <w:r>
        <w:rPr>
          <w:rFonts w:hint="eastAsia" w:ascii="仿宋_GB2312" w:hAnsi="仿宋" w:eastAsia="仿宋_GB2312" w:cs="仿宋_GB2312"/>
          <w:color w:val="auto"/>
          <w:sz w:val="24"/>
          <w:highlight w:val="none"/>
        </w:rPr>
        <w:t>“推荐中标候选人的原则”规定执行；未规定的采取随机抽取方式确定，其他</w:t>
      </w:r>
      <w:r>
        <w:rPr>
          <w:rFonts w:hint="eastAsia" w:ascii="仿宋_GB2312" w:hAnsi="仿宋" w:eastAsia="仿宋_GB2312" w:cs="仿宋_GB2312"/>
          <w:b/>
          <w:bCs/>
          <w:color w:val="auto"/>
          <w:sz w:val="24"/>
          <w:highlight w:val="none"/>
        </w:rPr>
        <w:t>投标无效</w:t>
      </w:r>
      <w:r>
        <w:rPr>
          <w:rFonts w:hint="eastAsia" w:ascii="仿宋_GB2312" w:hAnsi="仿宋" w:eastAsia="仿宋_GB2312" w:cs="仿宋_GB2312"/>
          <w:color w:val="auto"/>
          <w:sz w:val="24"/>
          <w:highlight w:val="none"/>
        </w:rPr>
        <w:t>。</w:t>
      </w:r>
    </w:p>
    <w:p w14:paraId="58C472E8">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如本项目使用综合评分法，评审后得分最高的同品牌投标人获得中标人推荐资格；评审得分相同的，按本章第8条“推荐中标候选人的原则”规定执行；未规定的采取随机抽取方式确定，其他同品牌投标人不作为中标候选人。</w:t>
      </w:r>
    </w:p>
    <w:p w14:paraId="483F9477">
      <w:pPr>
        <w:adjustRightInd w:val="0"/>
        <w:snapToGrid w:val="0"/>
        <w:spacing w:line="360" w:lineRule="auto"/>
        <w:ind w:firstLine="480" w:firstLineChars="200"/>
        <w:rPr>
          <w:rFonts w:ascii="仿宋_GB2312" w:hAnsi="仿宋" w:eastAsia="仿宋_GB2312" w:cs="仿宋_GB2312"/>
          <w:color w:val="auto"/>
          <w:kern w:val="0"/>
          <w:sz w:val="24"/>
          <w:highlight w:val="none"/>
        </w:rPr>
      </w:pPr>
      <w:r>
        <w:rPr>
          <w:rFonts w:hint="eastAsia" w:ascii="仿宋_GB2312" w:hAnsi="仿宋" w:eastAsia="仿宋_GB2312" w:cs="仿宋_GB2312"/>
          <w:color w:val="auto"/>
          <w:sz w:val="24"/>
          <w:highlight w:val="none"/>
        </w:rPr>
        <w:t>4.4如一个分包内包含多种产品的，采购人或采购组织机构将在招标文件中载明核心产品，多家投标人提供的核心产品品牌相同的，</w:t>
      </w:r>
      <w:r>
        <w:rPr>
          <w:rFonts w:hint="eastAsia" w:ascii="仿宋_GB2312" w:hAnsi="仿宋" w:eastAsia="仿宋_GB2312" w:cs="仿宋_GB2312"/>
          <w:color w:val="auto"/>
          <w:kern w:val="0"/>
          <w:sz w:val="24"/>
          <w:highlight w:val="none"/>
        </w:rPr>
        <w:t>按本章第4.3条规定处理。</w:t>
      </w:r>
    </w:p>
    <w:p w14:paraId="7E01D948">
      <w:pPr>
        <w:adjustRightInd w:val="0"/>
        <w:snapToGrid w:val="0"/>
        <w:spacing w:line="360" w:lineRule="auto"/>
        <w:ind w:firstLine="240" w:firstLineChars="100"/>
        <w:rPr>
          <w:rFonts w:ascii="仿宋_GB2312" w:hAnsi="仿宋" w:eastAsia="仿宋_GB2312" w:cs="仿宋_GB2312"/>
          <w:b/>
          <w:bCs/>
          <w:color w:val="auto"/>
          <w:kern w:val="0"/>
          <w:sz w:val="24"/>
          <w:highlight w:val="none"/>
        </w:rPr>
      </w:pPr>
      <w:r>
        <w:rPr>
          <w:rFonts w:hint="eastAsia" w:ascii="仿宋_GB2312" w:hAnsi="仿宋" w:eastAsia="仿宋_GB2312" w:cs="仿宋_GB2312"/>
          <w:b/>
          <w:color w:val="auto"/>
          <w:kern w:val="0"/>
          <w:sz w:val="24"/>
          <w:highlight w:val="none"/>
        </w:rPr>
        <w:t>★5</w:t>
      </w:r>
      <w:r>
        <w:rPr>
          <w:rFonts w:hint="eastAsia" w:ascii="仿宋_GB2312" w:hAnsi="仿宋" w:eastAsia="仿宋_GB2312" w:cs="仿宋_GB2312"/>
          <w:b/>
          <w:bCs/>
          <w:color w:val="auto"/>
          <w:kern w:val="0"/>
          <w:sz w:val="24"/>
          <w:highlight w:val="none"/>
        </w:rPr>
        <w:t>.比较及评价</w:t>
      </w:r>
    </w:p>
    <w:p w14:paraId="47AA5CFB">
      <w:pPr>
        <w:adjustRightInd w:val="0"/>
        <w:snapToGrid w:val="0"/>
        <w:spacing w:line="360" w:lineRule="auto"/>
        <w:ind w:firstLine="480" w:firstLineChars="200"/>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5.1评标委员会对通过符合性审查的投标文件进行比较和评价。</w:t>
      </w:r>
    </w:p>
    <w:p w14:paraId="372D6DAD">
      <w:pPr>
        <w:adjustRightInd w:val="0"/>
        <w:snapToGrid w:val="0"/>
        <w:spacing w:line="360" w:lineRule="auto"/>
        <w:ind w:firstLine="480" w:firstLineChars="200"/>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5.2在评标期间，对投标文件的澄清按投标人须知24条内容执行。</w:t>
      </w:r>
    </w:p>
    <w:p w14:paraId="76E1EE35">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5.3评标委员会认为投标人的报价明显低于其他通过符合性审查的投标人报价，有可能影响产品质量或者不能诚信履约的，评标委员会应当要求其在评标现场合理的时间（</w:t>
      </w:r>
      <w:r>
        <w:rPr>
          <w:rFonts w:hint="eastAsia" w:ascii="仿宋_GB2312" w:hAnsi="仿宋" w:eastAsia="仿宋_GB2312" w:cs="仿宋_GB2312"/>
          <w:color w:val="auto"/>
          <w:kern w:val="0"/>
          <w:sz w:val="24"/>
          <w:highlight w:val="none"/>
        </w:rPr>
        <w:t>接到通知后</w:t>
      </w:r>
      <w:r>
        <w:rPr>
          <w:rFonts w:hint="eastAsia" w:ascii="仿宋_GB2312" w:hAnsi="仿宋" w:eastAsia="仿宋_GB2312" w:cs="仿宋_GB2312"/>
          <w:color w:val="auto"/>
          <w:kern w:val="0"/>
          <w:sz w:val="24"/>
          <w:highlight w:val="none"/>
          <w:u w:val="single"/>
        </w:rPr>
        <w:t xml:space="preserve"> 0.5 </w:t>
      </w:r>
      <w:r>
        <w:rPr>
          <w:rFonts w:hint="eastAsia" w:ascii="仿宋_GB2312" w:hAnsi="仿宋" w:eastAsia="仿宋_GB2312" w:cs="仿宋_GB2312"/>
          <w:color w:val="auto"/>
          <w:kern w:val="0"/>
          <w:sz w:val="24"/>
          <w:highlight w:val="none"/>
        </w:rPr>
        <w:t>小时</w:t>
      </w:r>
      <w:r>
        <w:rPr>
          <w:rFonts w:hint="eastAsia" w:ascii="仿宋_GB2312" w:hAnsi="仿宋" w:eastAsia="仿宋_GB2312" w:cs="仿宋_GB2312"/>
          <w:color w:val="auto"/>
          <w:sz w:val="24"/>
          <w:highlight w:val="none"/>
        </w:rPr>
        <w:t>）内提供书面说明，并提交相关证明材料，</w:t>
      </w:r>
      <w:r>
        <w:rPr>
          <w:rFonts w:hint="eastAsia" w:ascii="仿宋_GB2312" w:hAnsi="仿宋" w:eastAsia="仿宋_GB2312" w:cs="仿宋_GB2312"/>
          <w:color w:val="auto"/>
          <w:kern w:val="0"/>
          <w:sz w:val="24"/>
          <w:highlight w:val="none"/>
        </w:rPr>
        <w:t>投标人不能证明其报价合理性的，评标委员会应当将</w:t>
      </w:r>
      <w:r>
        <w:rPr>
          <w:rFonts w:hint="eastAsia" w:ascii="仿宋_GB2312" w:hAnsi="仿宋" w:eastAsia="仿宋_GB2312" w:cs="仿宋_GB2312"/>
          <w:color w:val="auto"/>
          <w:sz w:val="24"/>
          <w:highlight w:val="none"/>
        </w:rPr>
        <w:t>其投标作为</w:t>
      </w:r>
      <w:r>
        <w:rPr>
          <w:rFonts w:hint="eastAsia" w:ascii="仿宋_GB2312" w:hAnsi="仿宋" w:eastAsia="仿宋_GB2312" w:cs="仿宋_GB2312"/>
          <w:b/>
          <w:bCs/>
          <w:color w:val="auto"/>
          <w:sz w:val="24"/>
          <w:highlight w:val="none"/>
        </w:rPr>
        <w:t>无效投标处理</w:t>
      </w:r>
      <w:r>
        <w:rPr>
          <w:rFonts w:hint="eastAsia" w:ascii="仿宋_GB2312" w:hAnsi="仿宋" w:eastAsia="仿宋_GB2312" w:cs="仿宋_GB2312"/>
          <w:color w:val="auto"/>
          <w:sz w:val="24"/>
          <w:highlight w:val="none"/>
        </w:rPr>
        <w:t>。</w:t>
      </w:r>
    </w:p>
    <w:p w14:paraId="5D6C6AA6">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投标人的书面说明材料包含货物本身成本、人工费用、运输、税收等，以及报价不会影响产品质量或诚信履约能力的说明等。</w:t>
      </w:r>
    </w:p>
    <w:p w14:paraId="3F9BFE0D">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投标人的书面说明应当签字确认或者加盖公章，否则无效。书面说明的签字确认，由其法定代表人（非法人单位负责人或自然人本人）或者其授权代表签字确认。</w:t>
      </w:r>
    </w:p>
    <w:p w14:paraId="2A8E8C9C">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投标人提供书面说明后，评标委员会应当结合采购项目采购需求、专业实际情况、投标人财务状况报告、与其他投标人比较情况等就投标人的书面说明进行审查评价。投标人如有下列情况的，评标委员会应当将其投标文件作为无效处理：</w:t>
      </w:r>
    </w:p>
    <w:p w14:paraId="797FBA78">
      <w:pPr>
        <w:numPr>
          <w:ilvl w:val="0"/>
          <w:numId w:val="4"/>
        </w:num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拒绝或者变相拒绝提供有效书面说明；</w:t>
      </w:r>
    </w:p>
    <w:p w14:paraId="564F4BA5">
      <w:pPr>
        <w:numPr>
          <w:ilvl w:val="0"/>
          <w:numId w:val="4"/>
        </w:num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书面说明不能证明其报价合理性的；</w:t>
      </w:r>
    </w:p>
    <w:p w14:paraId="33955B40">
      <w:pPr>
        <w:numPr>
          <w:ilvl w:val="0"/>
          <w:numId w:val="4"/>
        </w:num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未在规定时间内递交有效书面说明书的。</w:t>
      </w:r>
    </w:p>
    <w:p w14:paraId="1E8646C7">
      <w:pPr>
        <w:adjustRightInd w:val="0"/>
        <w:snapToGrid w:val="0"/>
        <w:spacing w:line="360" w:lineRule="auto"/>
        <w:ind w:firstLine="240" w:firstLineChars="100"/>
        <w:rPr>
          <w:rFonts w:ascii="仿宋_GB2312" w:hAnsi="仿宋" w:eastAsia="仿宋_GB2312" w:cs="仿宋_GB2312"/>
          <w:b/>
          <w:bCs/>
          <w:color w:val="auto"/>
          <w:kern w:val="0"/>
          <w:sz w:val="24"/>
          <w:highlight w:val="none"/>
        </w:rPr>
      </w:pPr>
      <w:r>
        <w:rPr>
          <w:rFonts w:hint="eastAsia" w:ascii="仿宋_GB2312" w:hAnsi="仿宋" w:eastAsia="仿宋_GB2312" w:cs="仿宋_GB2312"/>
          <w:b/>
          <w:color w:val="auto"/>
          <w:kern w:val="0"/>
          <w:sz w:val="24"/>
          <w:highlight w:val="none"/>
        </w:rPr>
        <w:t>★6</w:t>
      </w:r>
      <w:r>
        <w:rPr>
          <w:rFonts w:hint="eastAsia" w:ascii="仿宋_GB2312" w:hAnsi="仿宋" w:eastAsia="仿宋_GB2312" w:cs="仿宋_GB2312"/>
          <w:b/>
          <w:bCs/>
          <w:color w:val="auto"/>
          <w:kern w:val="0"/>
          <w:sz w:val="24"/>
          <w:highlight w:val="none"/>
        </w:rPr>
        <w:t>.需落实的政府采购政策性规定：</w:t>
      </w:r>
    </w:p>
    <w:p w14:paraId="3E9C6A7E">
      <w:pPr>
        <w:adjustRightInd w:val="0"/>
        <w:snapToGrid w:val="0"/>
        <w:spacing w:line="360" w:lineRule="auto"/>
        <w:ind w:firstLine="480" w:firstLineChars="200"/>
        <w:rPr>
          <w:rFonts w:ascii="仿宋_GB2312" w:hAnsi="仿宋" w:eastAsia="仿宋_GB2312"/>
          <w:b/>
          <w:color w:val="auto"/>
          <w:kern w:val="0"/>
          <w:sz w:val="24"/>
          <w:highlight w:val="none"/>
        </w:rPr>
      </w:pPr>
      <w:r>
        <w:rPr>
          <w:rFonts w:hint="eastAsia" w:ascii="仿宋_GB2312" w:hAnsi="仿宋" w:eastAsia="仿宋_GB2312" w:cs="仿宋_GB2312"/>
          <w:b/>
          <w:color w:val="auto"/>
          <w:kern w:val="0"/>
          <w:sz w:val="24"/>
          <w:highlight w:val="none"/>
        </w:rPr>
        <w:t>6.1对于中小微企业的相关规定</w:t>
      </w:r>
    </w:p>
    <w:p w14:paraId="27685430">
      <w:pPr>
        <w:adjustRightInd w:val="0"/>
        <w:snapToGrid w:val="0"/>
        <w:spacing w:line="360" w:lineRule="auto"/>
        <w:ind w:firstLine="480" w:firstLineChars="20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6.1.1对于非专门面向中小企业的项目，在满足价格扣除条件且在投标文件中按要求提交了《中小企业声明函》</w:t>
      </w:r>
      <w:r>
        <w:rPr>
          <w:rFonts w:hint="eastAsia" w:ascii="仿宋_GB2312" w:hAnsi="仿宋" w:eastAsia="仿宋_GB2312" w:cs="仿宋_GB2312"/>
          <w:color w:val="auto"/>
          <w:kern w:val="0"/>
          <w:sz w:val="24"/>
          <w:highlight w:val="none"/>
        </w:rPr>
        <w:t>的，</w:t>
      </w:r>
      <w:r>
        <w:rPr>
          <w:rFonts w:hint="eastAsia" w:ascii="仿宋_GB2312" w:hAnsi="仿宋" w:eastAsia="仿宋_GB2312" w:cs="仿宋_GB2312"/>
          <w:color w:val="auto"/>
          <w:sz w:val="24"/>
          <w:highlight w:val="none"/>
        </w:rPr>
        <w:t>对投标报价给予价格扣除，用扣除后的价格参与评审。投标报价扣除比例如下：</w:t>
      </w:r>
    </w:p>
    <w:p w14:paraId="001F91A7">
      <w:pPr>
        <w:adjustRightInd w:val="0"/>
        <w:snapToGrid w:val="0"/>
        <w:spacing w:line="360" w:lineRule="auto"/>
        <w:ind w:firstLine="240" w:firstLineChars="10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（1）非联合体投标</w:t>
      </w:r>
    </w:p>
    <w:p w14:paraId="0386ADB2">
      <w:pPr>
        <w:adjustRightInd w:val="0"/>
        <w:snapToGrid w:val="0"/>
        <w:spacing w:line="360" w:lineRule="auto"/>
        <w:ind w:firstLine="480" w:firstLineChars="20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小型和微型企业相应产品、服务投标报价的</w:t>
      </w:r>
      <w:r>
        <w:rPr>
          <w:rFonts w:hint="eastAsia" w:ascii="仿宋_GB2312" w:hAnsi="仿宋" w:eastAsia="仿宋_GB2312" w:cs="仿宋_GB2312"/>
          <w:color w:val="auto"/>
          <w:kern w:val="0"/>
          <w:sz w:val="24"/>
          <w:highlight w:val="none"/>
          <w:u w:val="single"/>
        </w:rPr>
        <w:t xml:space="preserve"> </w:t>
      </w:r>
      <w:r>
        <w:rPr>
          <w:rFonts w:hint="eastAsia" w:ascii="仿宋_GB2312" w:hAnsi="仿宋" w:eastAsia="仿宋_GB2312" w:cs="仿宋_GB2312"/>
          <w:b/>
          <w:color w:val="auto"/>
          <w:kern w:val="0"/>
          <w:sz w:val="24"/>
          <w:highlight w:val="none"/>
          <w:u w:val="single"/>
        </w:rPr>
        <w:t>10%</w:t>
      </w:r>
      <w:r>
        <w:rPr>
          <w:rFonts w:hint="eastAsia" w:ascii="仿宋_GB2312" w:hAnsi="仿宋" w:eastAsia="仿宋_GB2312" w:cs="仿宋_GB2312"/>
          <w:b/>
          <w:bCs/>
          <w:color w:val="auto"/>
          <w:kern w:val="0"/>
          <w:sz w:val="24"/>
          <w:highlight w:val="none"/>
          <w:u w:val="single"/>
        </w:rPr>
        <w:t>。</w:t>
      </w:r>
      <w:r>
        <w:rPr>
          <w:rFonts w:hint="eastAsia" w:ascii="仿宋_GB2312" w:hAnsi="仿宋" w:eastAsia="仿宋_GB2312" w:cs="仿宋_GB2312"/>
          <w:bCs/>
          <w:color w:val="auto"/>
          <w:kern w:val="0"/>
          <w:sz w:val="24"/>
          <w:highlight w:val="none"/>
        </w:rPr>
        <w:t>（10-20%）</w:t>
      </w:r>
    </w:p>
    <w:p w14:paraId="34051E8B">
      <w:pPr>
        <w:adjustRightInd w:val="0"/>
        <w:snapToGrid w:val="0"/>
        <w:spacing w:line="360" w:lineRule="auto"/>
        <w:ind w:firstLine="240" w:firstLineChars="10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（2）联合体投标（本项目不适用）</w:t>
      </w:r>
    </w:p>
    <w:p w14:paraId="4A6362FE">
      <w:pPr>
        <w:adjustRightInd w:val="0"/>
        <w:snapToGrid w:val="0"/>
        <w:spacing w:line="360" w:lineRule="auto"/>
        <w:ind w:firstLine="480" w:firstLineChars="20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大中型企业和其他自然人、法人或者其他组织与小型、微型企业组成联合体共同参加非专门面向中小企业的政府采购活动的，联合体报价协议中约定，小型、微型企业的协议合同金额占到联合体报价协议合同总金额30%以上的，投标报价扣除</w:t>
      </w:r>
      <w:r>
        <w:rPr>
          <w:rFonts w:hint="eastAsia" w:ascii="仿宋_GB2312" w:hAnsi="仿宋" w:eastAsia="仿宋_GB2312" w:cs="仿宋_GB2312"/>
          <w:color w:val="auto"/>
          <w:kern w:val="0"/>
          <w:sz w:val="24"/>
          <w:highlight w:val="none"/>
          <w:u w:val="single"/>
        </w:rPr>
        <w:t xml:space="preserve"> /。</w:t>
      </w:r>
    </w:p>
    <w:p w14:paraId="075ABAF5">
      <w:pPr>
        <w:adjustRightInd w:val="0"/>
        <w:snapToGrid w:val="0"/>
        <w:spacing w:line="360" w:lineRule="auto"/>
        <w:ind w:firstLine="480" w:firstLineChars="20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 xml:space="preserve">联合体各方均为小型、微型企业的，联合体视同为小型、微型企业，按第本款（1）条规定扣除比例享受扶持政策。组成联合体的大中型企业和其他自然人、法人或者其他组织，与小型、微型企业之间不得存在投资关系。 </w:t>
      </w:r>
    </w:p>
    <w:p w14:paraId="43B08319">
      <w:pPr>
        <w:adjustRightInd w:val="0"/>
        <w:snapToGrid w:val="0"/>
        <w:spacing w:line="360" w:lineRule="auto"/>
        <w:ind w:firstLine="480" w:firstLineChars="20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6.1.2监狱企业视同小型、微型企业，在满足价格扣除条件且在投标文件中按要求提交了省级以上监狱管理局、戒毒管理局（含新疆生产建设兵团）出具的属于监狱企业的证明文件的，对其投标报价按本章</w:t>
      </w:r>
      <w:r>
        <w:rPr>
          <w:rFonts w:ascii="仿宋_GB2312" w:hAnsi="仿宋" w:eastAsia="仿宋_GB2312" w:cs="仿宋_GB2312"/>
          <w:color w:val="auto"/>
          <w:sz w:val="24"/>
          <w:highlight w:val="none"/>
        </w:rPr>
        <w:t>6</w:t>
      </w:r>
      <w:r>
        <w:rPr>
          <w:rFonts w:hint="eastAsia" w:ascii="仿宋_GB2312" w:hAnsi="仿宋" w:eastAsia="仿宋_GB2312" w:cs="仿宋_GB2312"/>
          <w:color w:val="auto"/>
          <w:sz w:val="24"/>
          <w:highlight w:val="none"/>
        </w:rPr>
        <w:t>.1.1条款的比例予以扣除，</w:t>
      </w:r>
      <w:r>
        <w:rPr>
          <w:rFonts w:hint="eastAsia" w:ascii="仿宋_GB2312" w:hAnsi="仿宋" w:eastAsia="仿宋_GB2312" w:cs="仿宋_GB2312"/>
          <w:color w:val="auto"/>
          <w:kern w:val="0"/>
          <w:sz w:val="24"/>
          <w:highlight w:val="none"/>
        </w:rPr>
        <w:t>用扣除后的价格参与评审</w:t>
      </w:r>
      <w:r>
        <w:rPr>
          <w:rFonts w:hint="eastAsia" w:ascii="仿宋_GB2312" w:hAnsi="仿宋" w:eastAsia="仿宋_GB2312" w:cs="仿宋_GB2312"/>
          <w:color w:val="auto"/>
          <w:sz w:val="24"/>
          <w:highlight w:val="none"/>
        </w:rPr>
        <w:t>。</w:t>
      </w:r>
    </w:p>
    <w:p w14:paraId="5145F02B">
      <w:pPr>
        <w:adjustRightInd w:val="0"/>
        <w:snapToGrid w:val="0"/>
        <w:spacing w:line="360" w:lineRule="auto"/>
        <w:ind w:firstLine="480" w:firstLineChars="200"/>
        <w:jc w:val="left"/>
        <w:rPr>
          <w:rFonts w:ascii="仿宋_GB2312" w:hAnsi="仿宋" w:eastAsia="仿宋_GB2312" w:cs="仿宋_GB2312"/>
          <w:color w:val="auto"/>
          <w:sz w:val="24"/>
          <w:highlight w:val="none"/>
        </w:rPr>
      </w:pPr>
      <w:r>
        <w:rPr>
          <w:rFonts w:hint="eastAsia" w:ascii="仿宋_GB2312" w:hAnsi="仿宋" w:eastAsia="仿宋_GB2312" w:cs="仿宋_GB2312"/>
          <w:b/>
          <w:color w:val="auto"/>
          <w:kern w:val="0"/>
          <w:sz w:val="24"/>
          <w:highlight w:val="none"/>
        </w:rPr>
        <w:t>6.1.3</w:t>
      </w:r>
      <w:r>
        <w:rPr>
          <w:rFonts w:hint="eastAsia" w:ascii="仿宋_GB2312" w:hAnsi="仿宋" w:eastAsia="仿宋_GB2312" w:cs="仿宋_GB2312"/>
          <w:color w:val="auto"/>
          <w:sz w:val="24"/>
          <w:highlight w:val="none"/>
        </w:rPr>
        <w:t>残疾人福利性单位视同小型、微型企业，在满足价格扣除条件且在</w:t>
      </w:r>
      <w:r>
        <w:rPr>
          <w:rFonts w:hint="eastAsia" w:ascii="仿宋_GB2312" w:hAnsi="仿宋" w:eastAsia="仿宋_GB2312" w:cs="仿宋_GB2312"/>
          <w:color w:val="auto"/>
          <w:kern w:val="0"/>
          <w:sz w:val="24"/>
          <w:highlight w:val="none"/>
        </w:rPr>
        <w:t>投标文件中提供了《残疾人福利性单位声明函》的，</w:t>
      </w:r>
      <w:r>
        <w:rPr>
          <w:rFonts w:hint="eastAsia" w:ascii="仿宋_GB2312" w:hAnsi="仿宋" w:eastAsia="仿宋_GB2312" w:cs="仿宋_GB2312"/>
          <w:color w:val="auto"/>
          <w:sz w:val="24"/>
          <w:highlight w:val="none"/>
        </w:rPr>
        <w:t>对其投标报价按本章</w:t>
      </w:r>
      <w:r>
        <w:rPr>
          <w:rFonts w:ascii="仿宋_GB2312" w:hAnsi="仿宋" w:eastAsia="仿宋_GB2312" w:cs="仿宋_GB2312"/>
          <w:color w:val="auto"/>
          <w:sz w:val="24"/>
          <w:highlight w:val="none"/>
        </w:rPr>
        <w:t>6</w:t>
      </w:r>
      <w:r>
        <w:rPr>
          <w:rFonts w:hint="eastAsia" w:ascii="仿宋_GB2312" w:hAnsi="仿宋" w:eastAsia="仿宋_GB2312" w:cs="仿宋_GB2312"/>
          <w:color w:val="auto"/>
          <w:sz w:val="24"/>
          <w:highlight w:val="none"/>
        </w:rPr>
        <w:t>.1.1条款的比例予以扣除</w:t>
      </w:r>
      <w:r>
        <w:rPr>
          <w:rFonts w:hint="eastAsia" w:ascii="仿宋_GB2312" w:hAnsi="仿宋" w:eastAsia="仿宋_GB2312" w:cs="仿宋_GB2312"/>
          <w:color w:val="auto"/>
          <w:kern w:val="0"/>
          <w:sz w:val="24"/>
          <w:highlight w:val="none"/>
        </w:rPr>
        <w:t>，用扣除后的价格参与评审。</w:t>
      </w:r>
    </w:p>
    <w:p w14:paraId="13AFFDFC">
      <w:pPr>
        <w:adjustRightInd w:val="0"/>
        <w:snapToGrid w:val="0"/>
        <w:spacing w:line="360" w:lineRule="auto"/>
        <w:ind w:firstLine="480" w:firstLineChars="200"/>
        <w:rPr>
          <w:rFonts w:ascii="仿宋_GB2312" w:hAnsi="仿宋" w:eastAsia="仿宋_GB2312" w:cs="仿宋_GB2312"/>
          <w:b/>
          <w:color w:val="auto"/>
          <w:sz w:val="24"/>
          <w:highlight w:val="none"/>
        </w:rPr>
      </w:pPr>
      <w:r>
        <w:rPr>
          <w:rFonts w:hint="eastAsia" w:ascii="仿宋_GB2312" w:hAnsi="仿宋" w:eastAsia="仿宋_GB2312" w:cs="仿宋_GB2312"/>
          <w:b/>
          <w:color w:val="auto"/>
          <w:sz w:val="24"/>
          <w:highlight w:val="none"/>
        </w:rPr>
        <w:t>6.1.4监狱企业、残疾人福利性单位属于小型、微型企业的，不重复享受政策。</w:t>
      </w:r>
    </w:p>
    <w:p w14:paraId="6FCFE279">
      <w:pPr>
        <w:adjustRightInd w:val="0"/>
        <w:snapToGrid w:val="0"/>
        <w:spacing w:line="360" w:lineRule="auto"/>
        <w:ind w:firstLine="480" w:firstLineChars="200"/>
        <w:rPr>
          <w:rFonts w:ascii="仿宋_GB2312" w:hAnsi="仿宋" w:eastAsia="仿宋_GB2312" w:cs="仿宋_GB2312"/>
          <w:b/>
          <w:color w:val="auto"/>
          <w:kern w:val="0"/>
          <w:sz w:val="24"/>
          <w:highlight w:val="none"/>
        </w:rPr>
      </w:pPr>
      <w:r>
        <w:rPr>
          <w:rFonts w:hint="eastAsia" w:ascii="仿宋_GB2312" w:hAnsi="仿宋" w:eastAsia="仿宋_GB2312" w:cs="仿宋_GB2312"/>
          <w:b/>
          <w:color w:val="auto"/>
          <w:kern w:val="0"/>
          <w:sz w:val="24"/>
          <w:highlight w:val="none"/>
        </w:rPr>
        <w:t>6.2对于节能产品、环境标志产品的相关规定</w:t>
      </w:r>
    </w:p>
    <w:p w14:paraId="42453372">
      <w:pPr>
        <w:adjustRightInd w:val="0"/>
        <w:snapToGrid w:val="0"/>
        <w:spacing w:line="360" w:lineRule="auto"/>
        <w:ind w:firstLine="480" w:firstLineChars="20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节能产品或环境标志产品，依据认证证书实施政府优先采购。投标人应能够提供国家确定的认证机构出具的、处于有效期之内的节能产品、环境标志产品认证证书，方可对获得证书的产品优先推荐。</w:t>
      </w:r>
    </w:p>
    <w:p w14:paraId="3CAF5E2C">
      <w:pPr>
        <w:adjustRightInd w:val="0"/>
        <w:snapToGrid w:val="0"/>
        <w:spacing w:line="360" w:lineRule="auto"/>
        <w:ind w:firstLine="480" w:firstLineChars="200"/>
        <w:jc w:val="left"/>
        <w:rPr>
          <w:rFonts w:ascii="仿宋_GB2312" w:hAnsi="仿宋" w:eastAsia="仿宋_GB2312" w:cs="仿宋_GB2312"/>
          <w:color w:val="auto"/>
          <w:sz w:val="24"/>
          <w:highlight w:val="none"/>
        </w:rPr>
      </w:pPr>
      <w:r>
        <w:rPr>
          <w:rFonts w:hint="eastAsia" w:ascii="仿宋_GB2312" w:hAnsi="仿宋" w:eastAsia="仿宋_GB2312" w:cs="仿宋_GB2312"/>
          <w:color w:val="auto"/>
          <w:kern w:val="0"/>
          <w:sz w:val="24"/>
          <w:highlight w:val="none"/>
        </w:rPr>
        <w:t>采用最低评标价法的，</w:t>
      </w:r>
      <w:r>
        <w:rPr>
          <w:rFonts w:hint="eastAsia" w:ascii="仿宋_GB2312" w:hAnsi="仿宋" w:eastAsia="仿宋_GB2312" w:cs="仿宋_GB2312"/>
          <w:color w:val="auto"/>
          <w:sz w:val="24"/>
          <w:highlight w:val="none"/>
        </w:rPr>
        <w:t>对《获得节能/环保认证产品部分报价表》</w:t>
      </w:r>
      <w:r>
        <w:rPr>
          <w:rFonts w:hint="eastAsia" w:ascii="仿宋_GB2312" w:hAnsi="仿宋" w:eastAsia="仿宋_GB2312" w:cs="仿宋_GB2312"/>
          <w:color w:val="auto"/>
          <w:kern w:val="0"/>
          <w:sz w:val="24"/>
          <w:highlight w:val="none"/>
        </w:rPr>
        <w:t>中投标产品的报价</w:t>
      </w:r>
      <w:r>
        <w:rPr>
          <w:rFonts w:hint="eastAsia" w:ascii="仿宋_GB2312" w:hAnsi="仿宋" w:eastAsia="仿宋_GB2312" w:cs="仿宋_GB2312"/>
          <w:color w:val="auto"/>
          <w:sz w:val="24"/>
          <w:highlight w:val="none"/>
        </w:rPr>
        <w:t>给予价格扣除，用扣除后的价格参与评审。报价扣除比例为《获得节能/环保认证产品部分报价表》</w:t>
      </w:r>
      <w:r>
        <w:rPr>
          <w:rFonts w:hint="eastAsia" w:ascii="仿宋_GB2312" w:hAnsi="仿宋" w:eastAsia="仿宋_GB2312" w:cs="仿宋_GB2312"/>
          <w:color w:val="auto"/>
          <w:kern w:val="0"/>
          <w:sz w:val="24"/>
          <w:highlight w:val="none"/>
        </w:rPr>
        <w:t>中产品报价的</w:t>
      </w:r>
      <w:r>
        <w:rPr>
          <w:rFonts w:hint="eastAsia" w:ascii="仿宋_GB2312" w:hAnsi="仿宋" w:eastAsia="仿宋_GB2312" w:cs="仿宋_GB2312"/>
          <w:color w:val="auto"/>
          <w:sz w:val="24"/>
          <w:highlight w:val="none"/>
          <w:u w:val="single"/>
        </w:rPr>
        <w:t xml:space="preserve"> / </w:t>
      </w:r>
      <w:r>
        <w:rPr>
          <w:rFonts w:hint="eastAsia" w:ascii="仿宋_GB2312" w:hAnsi="仿宋" w:eastAsia="仿宋_GB2312" w:cs="仿宋_GB2312"/>
          <w:color w:val="auto"/>
          <w:sz w:val="24"/>
          <w:highlight w:val="none"/>
        </w:rPr>
        <w:t>%。</w:t>
      </w:r>
    </w:p>
    <w:p w14:paraId="2485DABE">
      <w:pPr>
        <w:adjustRightInd w:val="0"/>
        <w:snapToGrid w:val="0"/>
        <w:spacing w:line="360" w:lineRule="auto"/>
        <w:ind w:firstLine="480" w:firstLineChars="200"/>
        <w:jc w:val="left"/>
        <w:rPr>
          <w:rFonts w:ascii="仿宋_GB2312" w:hAnsi="仿宋" w:eastAsia="仿宋_GB2312" w:cs="仿宋_GB2312"/>
          <w:color w:val="auto"/>
          <w:sz w:val="24"/>
          <w:highlight w:val="none"/>
        </w:rPr>
      </w:pPr>
      <w:r>
        <w:rPr>
          <w:rFonts w:hint="eastAsia" w:ascii="仿宋_GB2312" w:hAnsi="仿宋" w:eastAsia="仿宋_GB2312" w:cs="仿宋_GB2312"/>
          <w:color w:val="auto"/>
          <w:kern w:val="0"/>
          <w:sz w:val="24"/>
          <w:highlight w:val="none"/>
        </w:rPr>
        <w:t>采用综合评分法评标的项目，对</w:t>
      </w:r>
      <w:r>
        <w:rPr>
          <w:rFonts w:hint="eastAsia" w:ascii="仿宋_GB2312" w:hAnsi="仿宋" w:eastAsia="仿宋_GB2312" w:cs="仿宋_GB2312"/>
          <w:color w:val="auto"/>
          <w:sz w:val="24"/>
          <w:highlight w:val="none"/>
        </w:rPr>
        <w:t>《获得节能/环保认证产品部分报价表》</w:t>
      </w:r>
      <w:r>
        <w:rPr>
          <w:rFonts w:hint="eastAsia" w:ascii="仿宋_GB2312" w:hAnsi="仿宋" w:eastAsia="仿宋_GB2312" w:cs="仿宋_GB2312"/>
          <w:color w:val="auto"/>
          <w:kern w:val="0"/>
          <w:sz w:val="24"/>
          <w:highlight w:val="none"/>
        </w:rPr>
        <w:t>中产品给予相应的加分。（详见评分细则）</w:t>
      </w:r>
    </w:p>
    <w:p w14:paraId="6B5542A0">
      <w:pPr>
        <w:adjustRightInd w:val="0"/>
        <w:snapToGrid w:val="0"/>
        <w:spacing w:line="360" w:lineRule="auto"/>
        <w:ind w:firstLine="480" w:firstLineChars="200"/>
        <w:jc w:val="left"/>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6.3对于列入《辽宁省创新产品和服务目录》内的产品、服务的相关规定(本项目不适用)</w:t>
      </w:r>
    </w:p>
    <w:p w14:paraId="08F95F8D">
      <w:pPr>
        <w:adjustRightInd w:val="0"/>
        <w:snapToGrid w:val="0"/>
        <w:spacing w:line="360" w:lineRule="auto"/>
        <w:ind w:firstLine="480" w:firstLineChars="20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采用最低评标价法的：对列入《辽宁省创新产品和服务目录》内的投标产品、服务给予其投标报价</w:t>
      </w:r>
      <w:r>
        <w:rPr>
          <w:rFonts w:hint="eastAsia" w:ascii="仿宋_GB2312" w:hAnsi="仿宋" w:eastAsia="仿宋_GB2312" w:cs="仿宋_GB2312"/>
          <w:color w:val="auto"/>
          <w:sz w:val="24"/>
          <w:highlight w:val="none"/>
          <w:u w:val="single"/>
        </w:rPr>
        <w:t xml:space="preserve"> / </w:t>
      </w:r>
      <w:r>
        <w:rPr>
          <w:rFonts w:hint="eastAsia" w:ascii="仿宋_GB2312" w:hAnsi="仿宋" w:eastAsia="仿宋_GB2312" w:cs="仿宋_GB2312"/>
          <w:color w:val="auto"/>
          <w:sz w:val="24"/>
          <w:highlight w:val="none"/>
        </w:rPr>
        <w:t>%的价格扣除，用扣除后的价格参与评审。</w:t>
      </w:r>
    </w:p>
    <w:p w14:paraId="36A3D75F">
      <w:pPr>
        <w:adjustRightInd w:val="0"/>
        <w:snapToGrid w:val="0"/>
        <w:spacing w:line="360" w:lineRule="auto"/>
        <w:ind w:firstLine="480" w:firstLineChars="200"/>
        <w:jc w:val="left"/>
        <w:rPr>
          <w:rFonts w:ascii="仿宋_GB2312" w:hAnsi="仿宋" w:eastAsia="仿宋_GB2312" w:cs="仿宋_GB2312"/>
          <w:color w:val="auto"/>
          <w:kern w:val="0"/>
          <w:sz w:val="24"/>
          <w:highlight w:val="none"/>
        </w:rPr>
      </w:pPr>
      <w:r>
        <w:rPr>
          <w:rFonts w:hint="eastAsia" w:ascii="仿宋_GB2312" w:hAnsi="仿宋" w:eastAsia="仿宋_GB2312" w:cs="仿宋_GB2312"/>
          <w:color w:val="auto"/>
          <w:sz w:val="24"/>
          <w:highlight w:val="none"/>
        </w:rPr>
        <w:t>采用综合评分法评标的：对列入《辽宁省创新产品和服务目录》内的投标产品、服务给予</w:t>
      </w:r>
      <w:r>
        <w:rPr>
          <w:rFonts w:hint="eastAsia" w:ascii="仿宋_GB2312" w:hAnsi="仿宋" w:eastAsia="仿宋_GB2312" w:cs="仿宋_GB2312"/>
          <w:color w:val="auto"/>
          <w:sz w:val="24"/>
          <w:highlight w:val="none"/>
          <w:u w:val="single"/>
        </w:rPr>
        <w:t xml:space="preserve"> /</w:t>
      </w:r>
      <w:r>
        <w:rPr>
          <w:rFonts w:ascii="仿宋_GB2312" w:hAnsi="仿宋" w:eastAsia="仿宋_GB2312" w:cs="仿宋_GB2312"/>
          <w:color w:val="auto"/>
          <w:sz w:val="24"/>
          <w:highlight w:val="none"/>
          <w:u w:val="single"/>
        </w:rPr>
        <w:t xml:space="preserve"> </w:t>
      </w:r>
      <w:r>
        <w:rPr>
          <w:rFonts w:hint="eastAsia" w:ascii="仿宋_GB2312" w:hAnsi="仿宋" w:eastAsia="仿宋_GB2312" w:cs="仿宋_GB2312"/>
          <w:color w:val="auto"/>
          <w:sz w:val="24"/>
          <w:highlight w:val="none"/>
        </w:rPr>
        <w:t>%的加分（详见评分细则）。</w:t>
      </w:r>
    </w:p>
    <w:p w14:paraId="2A60D72B">
      <w:pPr>
        <w:adjustRightInd w:val="0"/>
        <w:snapToGrid w:val="0"/>
        <w:spacing w:line="360" w:lineRule="auto"/>
        <w:ind w:firstLine="480" w:firstLineChars="200"/>
        <w:rPr>
          <w:rFonts w:ascii="仿宋_GB2312" w:hAnsi="仿宋" w:eastAsia="仿宋_GB2312" w:cs="仿宋_GB2312"/>
          <w:b/>
          <w:bCs/>
          <w:color w:val="auto"/>
          <w:kern w:val="0"/>
          <w:sz w:val="24"/>
          <w:highlight w:val="none"/>
        </w:rPr>
      </w:pPr>
      <w:r>
        <w:rPr>
          <w:rFonts w:hint="eastAsia" w:ascii="仿宋_GB2312" w:hAnsi="仿宋" w:eastAsia="仿宋_GB2312" w:cs="仿宋_GB2312"/>
          <w:b/>
          <w:color w:val="auto"/>
          <w:kern w:val="0"/>
          <w:sz w:val="24"/>
          <w:highlight w:val="none"/>
        </w:rPr>
        <w:t>★7</w:t>
      </w:r>
      <w:r>
        <w:rPr>
          <w:rFonts w:hint="eastAsia" w:ascii="仿宋_GB2312" w:hAnsi="仿宋" w:eastAsia="仿宋_GB2312" w:cs="仿宋_GB2312"/>
          <w:b/>
          <w:bCs/>
          <w:color w:val="auto"/>
          <w:kern w:val="0"/>
          <w:sz w:val="24"/>
          <w:highlight w:val="none"/>
        </w:rPr>
        <w:t>.投标无效情况详见投标人须知。</w:t>
      </w:r>
    </w:p>
    <w:p w14:paraId="312F7C46">
      <w:pPr>
        <w:adjustRightInd w:val="0"/>
        <w:snapToGrid w:val="0"/>
        <w:spacing w:line="360" w:lineRule="auto"/>
        <w:ind w:firstLine="480" w:firstLineChars="200"/>
        <w:rPr>
          <w:rFonts w:ascii="仿宋_GB2312" w:hAnsi="仿宋" w:eastAsia="仿宋_GB2312" w:cs="仿宋_GB2312"/>
          <w:b/>
          <w:bCs/>
          <w:color w:val="auto"/>
          <w:kern w:val="0"/>
          <w:sz w:val="24"/>
          <w:highlight w:val="none"/>
        </w:rPr>
      </w:pPr>
      <w:r>
        <w:rPr>
          <w:rFonts w:hint="eastAsia" w:ascii="仿宋_GB2312" w:hAnsi="仿宋" w:eastAsia="仿宋_GB2312" w:cs="仿宋_GB2312"/>
          <w:b/>
          <w:color w:val="auto"/>
          <w:kern w:val="0"/>
          <w:sz w:val="24"/>
          <w:highlight w:val="none"/>
        </w:rPr>
        <w:t>★8</w:t>
      </w:r>
      <w:r>
        <w:rPr>
          <w:rFonts w:hint="eastAsia" w:ascii="仿宋_GB2312" w:hAnsi="仿宋" w:eastAsia="仿宋_GB2312" w:cs="仿宋_GB2312"/>
          <w:b/>
          <w:bCs/>
          <w:color w:val="auto"/>
          <w:kern w:val="0"/>
          <w:sz w:val="24"/>
          <w:highlight w:val="none"/>
        </w:rPr>
        <w:t>.推荐中标候选人的原则</w:t>
      </w:r>
    </w:p>
    <w:p w14:paraId="281D7A62">
      <w:pPr>
        <w:adjustRightInd w:val="0"/>
        <w:snapToGrid w:val="0"/>
        <w:spacing w:line="360" w:lineRule="auto"/>
        <w:ind w:firstLine="480" w:firstLineChars="200"/>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详见第一章投标人须知第29条，具体处理办法如下：</w:t>
      </w:r>
    </w:p>
    <w:p w14:paraId="4388F166">
      <w:pPr>
        <w:adjustRightInd w:val="0"/>
        <w:snapToGrid w:val="0"/>
        <w:spacing w:line="360" w:lineRule="auto"/>
        <w:ind w:firstLine="480" w:firstLineChars="20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（1）采用最低评标价法的</w:t>
      </w:r>
      <w:r>
        <w:rPr>
          <w:rFonts w:hint="eastAsia" w:ascii="仿宋_GB2312" w:hAnsi="仿宋" w:eastAsia="仿宋_GB2312" w:cs="仿宋_GB2312"/>
          <w:b/>
          <w:bCs/>
          <w:color w:val="auto"/>
          <w:sz w:val="24"/>
          <w:highlight w:val="none"/>
        </w:rPr>
        <w:t>(本项目不适用)</w:t>
      </w:r>
      <w:r>
        <w:rPr>
          <w:rFonts w:hint="eastAsia" w:ascii="仿宋_GB2312" w:hAnsi="仿宋" w:eastAsia="仿宋_GB2312" w:cs="仿宋_GB2312"/>
          <w:color w:val="auto"/>
          <w:sz w:val="24"/>
          <w:highlight w:val="none"/>
        </w:rPr>
        <w:t>：</w:t>
      </w:r>
    </w:p>
    <w:p w14:paraId="3DAC8F80">
      <w:pPr>
        <w:adjustRightInd w:val="0"/>
        <w:snapToGrid w:val="0"/>
        <w:spacing w:line="360" w:lineRule="auto"/>
        <w:ind w:firstLine="960" w:firstLineChars="4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扣除后的投标报价相同时，按投标报价由低至高排序；</w:t>
      </w:r>
    </w:p>
    <w:p w14:paraId="7AEC6C1C">
      <w:pPr>
        <w:adjustRightInd w:val="0"/>
        <w:snapToGrid w:val="0"/>
        <w:spacing w:line="360" w:lineRule="auto"/>
        <w:ind w:firstLine="960" w:firstLineChars="4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按前款不能区分的，优先采购节能产品、环境标志产品；</w:t>
      </w:r>
    </w:p>
    <w:p w14:paraId="2D8FAD72">
      <w:pPr>
        <w:adjustRightInd w:val="0"/>
        <w:snapToGrid w:val="0"/>
        <w:spacing w:line="360" w:lineRule="auto"/>
        <w:ind w:firstLine="960" w:firstLineChars="4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按前款不能区分的，按技术指标优劣排序；</w:t>
      </w:r>
    </w:p>
    <w:p w14:paraId="603A7DD0">
      <w:pPr>
        <w:adjustRightInd w:val="0"/>
        <w:snapToGrid w:val="0"/>
        <w:spacing w:line="360" w:lineRule="auto"/>
        <w:ind w:firstLine="960" w:firstLineChars="4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其他情况，由评标委员会投票处理。</w:t>
      </w:r>
    </w:p>
    <w:p w14:paraId="60D318E2">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（2）采用综合评分法的：</w:t>
      </w:r>
    </w:p>
    <w:p w14:paraId="1C85FE06">
      <w:pPr>
        <w:adjustRightInd w:val="0"/>
        <w:snapToGrid w:val="0"/>
        <w:spacing w:line="360" w:lineRule="auto"/>
        <w:ind w:firstLine="960" w:firstLineChars="4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得分相同的，按扣除后的投标报价由低到高顺序排序；</w:t>
      </w:r>
    </w:p>
    <w:p w14:paraId="4C02C2F0">
      <w:pPr>
        <w:adjustRightInd w:val="0"/>
        <w:snapToGrid w:val="0"/>
        <w:spacing w:line="360" w:lineRule="auto"/>
        <w:ind w:firstLine="960" w:firstLineChars="4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按前款不能区分的，按投标报价由低至高顺序排序；</w:t>
      </w:r>
    </w:p>
    <w:p w14:paraId="05BC9D24">
      <w:pPr>
        <w:adjustRightInd w:val="0"/>
        <w:snapToGrid w:val="0"/>
        <w:spacing w:line="360" w:lineRule="auto"/>
        <w:ind w:firstLine="960" w:firstLineChars="4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按前款不能区分的，优先采购节能产品、环保产品；</w:t>
      </w:r>
    </w:p>
    <w:p w14:paraId="64B62D59">
      <w:pPr>
        <w:adjustRightInd w:val="0"/>
        <w:snapToGrid w:val="0"/>
        <w:spacing w:line="360" w:lineRule="auto"/>
        <w:ind w:firstLine="960" w:firstLineChars="4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按前款不能区分的，按技术指标优劣排序；</w:t>
      </w:r>
    </w:p>
    <w:p w14:paraId="2F3EC199">
      <w:pPr>
        <w:adjustRightInd w:val="0"/>
        <w:snapToGrid w:val="0"/>
        <w:spacing w:line="360" w:lineRule="auto"/>
        <w:ind w:firstLine="960" w:firstLineChars="4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其他情况，由评标委员会投票处理。</w:t>
      </w:r>
    </w:p>
    <w:p w14:paraId="30C832E6">
      <w:pPr>
        <w:adjustRightInd w:val="0"/>
        <w:snapToGrid w:val="0"/>
        <w:spacing w:line="360" w:lineRule="auto"/>
        <w:ind w:firstLine="480" w:firstLineChars="200"/>
        <w:rPr>
          <w:rFonts w:ascii="仿宋_GB2312" w:hAnsi="仿宋" w:eastAsia="仿宋_GB2312" w:cs="仿宋_GB2312"/>
          <w:b/>
          <w:color w:val="auto"/>
          <w:kern w:val="0"/>
          <w:sz w:val="24"/>
          <w:highlight w:val="none"/>
        </w:rPr>
      </w:pPr>
      <w:bookmarkStart w:id="143" w:name="_Toc30297_WPSOffice_Level2"/>
      <w:r>
        <w:rPr>
          <w:rFonts w:hint="eastAsia" w:ascii="仿宋_GB2312" w:hAnsi="仿宋" w:eastAsia="仿宋_GB2312" w:cs="仿宋_GB2312"/>
          <w:b/>
          <w:color w:val="auto"/>
          <w:sz w:val="24"/>
          <w:highlight w:val="none"/>
        </w:rPr>
        <w:t>三、</w:t>
      </w:r>
      <w:r>
        <w:rPr>
          <w:rFonts w:hint="eastAsia" w:ascii="仿宋_GB2312" w:hAnsi="仿宋" w:eastAsia="仿宋_GB2312" w:cs="仿宋_GB2312"/>
          <w:b/>
          <w:color w:val="auto"/>
          <w:kern w:val="0"/>
          <w:sz w:val="24"/>
          <w:highlight w:val="none"/>
        </w:rPr>
        <w:t>确定中标人</w:t>
      </w:r>
      <w:bookmarkEnd w:id="143"/>
    </w:p>
    <w:p w14:paraId="4F41BA61">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评标委员会根据全体评标委员会成员签字的原始评标记录和评标结果编写评标报告，并向采购人提交书面评标报告。</w:t>
      </w:r>
    </w:p>
    <w:p w14:paraId="4FE1B6ED">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采购人按照评标报告确定的中标候选人名单按顺序确定中标人，或由采购人委托评标委员会按照第一章投标人须知第31条规定的方式确定中标人。</w:t>
      </w:r>
    </w:p>
    <w:p w14:paraId="712D42A8">
      <w:pPr>
        <w:adjustRightInd w:val="0"/>
        <w:snapToGrid w:val="0"/>
        <w:spacing w:line="360" w:lineRule="auto"/>
        <w:ind w:firstLine="480" w:firstLineChars="200"/>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注：1. 评标委员会采用综合评分法对投标人的投标文件和报价进行综合评分；</w:t>
      </w:r>
    </w:p>
    <w:p w14:paraId="302A5FE2">
      <w:pPr>
        <w:adjustRightInd w:val="0"/>
        <w:snapToGrid w:val="0"/>
        <w:spacing w:line="360" w:lineRule="auto"/>
        <w:ind w:firstLine="960" w:firstLineChars="400"/>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2. 评分计算保留2位小数（四舍五入）；</w:t>
      </w:r>
    </w:p>
    <w:p w14:paraId="320FA781">
      <w:pPr>
        <w:adjustRightInd w:val="0"/>
        <w:snapToGrid w:val="0"/>
        <w:spacing w:line="360" w:lineRule="auto"/>
        <w:ind w:firstLine="960" w:firstLineChars="400"/>
        <w:rPr>
          <w:rFonts w:ascii="仿宋_GB2312" w:hAnsi="仿宋" w:eastAsia="仿宋_GB2312" w:cs="仿宋_GB2312"/>
          <w:color w:val="auto"/>
          <w:szCs w:val="21"/>
          <w:highlight w:val="none"/>
        </w:rPr>
      </w:pPr>
      <w:r>
        <w:rPr>
          <w:rFonts w:hint="eastAsia" w:ascii="仿宋_GB2312" w:hAnsi="仿宋" w:eastAsia="仿宋_GB2312" w:cs="仿宋_GB2312"/>
          <w:b/>
          <w:bCs/>
          <w:color w:val="auto"/>
          <w:sz w:val="24"/>
          <w:highlight w:val="none"/>
        </w:rPr>
        <w:t>3. 评标中遇到的其它问题，由评标委员会集体研究处理。</w:t>
      </w:r>
    </w:p>
    <w:p w14:paraId="58D7B1BB">
      <w:pPr>
        <w:pStyle w:val="3"/>
        <w:adjustRightInd w:val="0"/>
        <w:snapToGrid w:val="0"/>
        <w:spacing w:before="0" w:after="0" w:line="240" w:lineRule="auto"/>
        <w:jc w:val="left"/>
        <w:rPr>
          <w:rFonts w:ascii="仿宋_GB2312" w:hAnsi="仿宋" w:eastAsia="仿宋_GB2312" w:cs="仿宋_GB2312"/>
          <w:color w:val="auto"/>
          <w:szCs w:val="28"/>
          <w:highlight w:val="none"/>
        </w:rPr>
      </w:pPr>
      <w:r>
        <w:rPr>
          <w:rFonts w:hint="eastAsia" w:ascii="仿宋_GB2312" w:hAnsi="仿宋" w:eastAsia="仿宋_GB2312" w:cs="仿宋_GB2312"/>
          <w:color w:val="auto"/>
          <w:highlight w:val="none"/>
        </w:rPr>
        <w:br w:type="page"/>
      </w:r>
      <w:bookmarkStart w:id="144" w:name="_Toc32318_WPSOffice_Level2"/>
      <w:r>
        <w:rPr>
          <w:rFonts w:hint="eastAsia" w:ascii="仿宋_GB2312" w:hAnsi="仿宋" w:eastAsia="仿宋_GB2312" w:cs="仿宋_GB2312"/>
          <w:color w:val="auto"/>
          <w:szCs w:val="28"/>
          <w:highlight w:val="none"/>
        </w:rPr>
        <w:t>附件1</w:t>
      </w:r>
    </w:p>
    <w:p w14:paraId="2480F167">
      <w:pPr>
        <w:jc w:val="center"/>
        <w:rPr>
          <w:rFonts w:ascii="方正小标宋简体" w:hAnsi="仿宋" w:eastAsia="方正小标宋简体" w:cs="仿宋_GB2312"/>
          <w:color w:val="auto"/>
          <w:sz w:val="32"/>
          <w:szCs w:val="32"/>
          <w:highlight w:val="none"/>
        </w:rPr>
      </w:pPr>
      <w:r>
        <w:rPr>
          <w:rFonts w:hint="eastAsia" w:ascii="方正小标宋简体" w:hAnsi="仿宋" w:eastAsia="方正小标宋简体" w:cs="仿宋_GB2312"/>
          <w:color w:val="auto"/>
          <w:sz w:val="32"/>
          <w:szCs w:val="32"/>
          <w:highlight w:val="none"/>
        </w:rPr>
        <w:t>资格审查表</w:t>
      </w:r>
      <w:bookmarkEnd w:id="144"/>
    </w:p>
    <w:tbl>
      <w:tblPr>
        <w:tblStyle w:val="24"/>
        <w:tblW w:w="92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4"/>
        <w:gridCol w:w="3885"/>
        <w:gridCol w:w="2660"/>
        <w:gridCol w:w="714"/>
        <w:gridCol w:w="713"/>
        <w:gridCol w:w="721"/>
      </w:tblGrid>
      <w:tr w14:paraId="18B99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4" w:type="dxa"/>
            <w:vMerge w:val="restart"/>
            <w:vAlign w:val="center"/>
          </w:tcPr>
          <w:p w14:paraId="5E23A30A">
            <w:pPr>
              <w:ind w:left="-96" w:leftChars="-46" w:right="-86" w:rightChars="-41"/>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序号</w:t>
            </w:r>
          </w:p>
        </w:tc>
        <w:tc>
          <w:tcPr>
            <w:tcW w:w="3885" w:type="dxa"/>
            <w:vMerge w:val="restart"/>
            <w:vAlign w:val="center"/>
          </w:tcPr>
          <w:p w14:paraId="11FFA70C">
            <w:pPr>
              <w:pStyle w:val="3"/>
              <w:adjustRightInd w:val="0"/>
              <w:snapToGrid w:val="0"/>
              <w:spacing w:before="0" w:after="0" w:line="240" w:lineRule="auto"/>
              <w:ind w:left="-96" w:leftChars="-46" w:right="-86" w:rightChars="-41"/>
              <w:rPr>
                <w:rFonts w:ascii="仿宋_GB2312" w:hAnsi="仿宋_GB2312" w:eastAsia="仿宋_GB2312" w:cs="仿宋_GB2312"/>
                <w:b w:val="0"/>
                <w:color w:val="auto"/>
                <w:sz w:val="24"/>
                <w:highlight w:val="none"/>
              </w:rPr>
            </w:pPr>
            <w:r>
              <w:rPr>
                <w:rFonts w:hint="eastAsia" w:ascii="仿宋_GB2312" w:hAnsi="仿宋_GB2312" w:eastAsia="仿宋_GB2312" w:cs="仿宋_GB2312"/>
                <w:b w:val="0"/>
                <w:color w:val="auto"/>
                <w:sz w:val="24"/>
                <w:highlight w:val="none"/>
              </w:rPr>
              <w:t>审查项目</w:t>
            </w:r>
          </w:p>
        </w:tc>
        <w:tc>
          <w:tcPr>
            <w:tcW w:w="2660" w:type="dxa"/>
            <w:vMerge w:val="restart"/>
            <w:vAlign w:val="center"/>
          </w:tcPr>
          <w:p w14:paraId="525A27CB">
            <w:pPr>
              <w:pStyle w:val="3"/>
              <w:adjustRightInd w:val="0"/>
              <w:snapToGrid w:val="0"/>
              <w:spacing w:before="0" w:after="0" w:line="240" w:lineRule="auto"/>
              <w:ind w:left="-96" w:leftChars="-46" w:right="-86" w:rightChars="-41"/>
              <w:rPr>
                <w:rFonts w:ascii="仿宋_GB2312" w:hAnsi="仿宋_GB2312" w:eastAsia="仿宋_GB2312" w:cs="仿宋_GB2312"/>
                <w:b w:val="0"/>
                <w:color w:val="auto"/>
                <w:sz w:val="24"/>
                <w:highlight w:val="none"/>
              </w:rPr>
            </w:pPr>
            <w:r>
              <w:rPr>
                <w:rFonts w:hint="eastAsia" w:ascii="仿宋_GB2312" w:hAnsi="仿宋_GB2312" w:eastAsia="仿宋_GB2312" w:cs="仿宋_GB2312"/>
                <w:b w:val="0"/>
                <w:color w:val="auto"/>
                <w:sz w:val="24"/>
                <w:highlight w:val="none"/>
              </w:rPr>
              <w:t>审查标准</w:t>
            </w:r>
          </w:p>
        </w:tc>
        <w:tc>
          <w:tcPr>
            <w:tcW w:w="2148" w:type="dxa"/>
            <w:gridSpan w:val="3"/>
            <w:vAlign w:val="center"/>
          </w:tcPr>
          <w:p w14:paraId="21C6844D">
            <w:pPr>
              <w:pStyle w:val="3"/>
              <w:adjustRightInd w:val="0"/>
              <w:snapToGrid w:val="0"/>
              <w:spacing w:before="0" w:after="0" w:line="240" w:lineRule="auto"/>
              <w:ind w:left="-96" w:leftChars="-46" w:right="-86" w:rightChars="-41"/>
              <w:rPr>
                <w:rFonts w:ascii="仿宋_GB2312" w:hAnsi="仿宋_GB2312" w:eastAsia="仿宋_GB2312" w:cs="仿宋_GB2312"/>
                <w:b w:val="0"/>
                <w:color w:val="auto"/>
                <w:sz w:val="24"/>
                <w:highlight w:val="none"/>
              </w:rPr>
            </w:pPr>
            <w:r>
              <w:rPr>
                <w:rFonts w:hint="eastAsia" w:ascii="仿宋_GB2312" w:hAnsi="仿宋_GB2312" w:eastAsia="仿宋_GB2312" w:cs="仿宋_GB2312"/>
                <w:b w:val="0"/>
                <w:color w:val="auto"/>
                <w:sz w:val="24"/>
                <w:highlight w:val="none"/>
              </w:rPr>
              <w:t>投标人名称</w:t>
            </w:r>
          </w:p>
        </w:tc>
      </w:tr>
      <w:tr w14:paraId="0D6BA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564" w:type="dxa"/>
            <w:vMerge w:val="continue"/>
            <w:vAlign w:val="center"/>
          </w:tcPr>
          <w:p w14:paraId="3E65CCB6">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3885" w:type="dxa"/>
            <w:vMerge w:val="continue"/>
            <w:vAlign w:val="center"/>
          </w:tcPr>
          <w:p w14:paraId="514882BF">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2660" w:type="dxa"/>
            <w:vMerge w:val="continue"/>
            <w:vAlign w:val="center"/>
          </w:tcPr>
          <w:p w14:paraId="47BF8957">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714" w:type="dxa"/>
            <w:vAlign w:val="center"/>
          </w:tcPr>
          <w:p w14:paraId="21290867">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713" w:type="dxa"/>
            <w:vAlign w:val="center"/>
          </w:tcPr>
          <w:p w14:paraId="1900B2F1">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721" w:type="dxa"/>
            <w:vAlign w:val="center"/>
          </w:tcPr>
          <w:p w14:paraId="2BCA84B6">
            <w:pPr>
              <w:pStyle w:val="3"/>
              <w:adjustRightInd w:val="0"/>
              <w:snapToGrid w:val="0"/>
              <w:spacing w:before="0" w:after="0" w:line="240" w:lineRule="auto"/>
              <w:rPr>
                <w:rFonts w:ascii="仿宋_GB2312" w:hAnsi="仿宋_GB2312" w:eastAsia="仿宋_GB2312" w:cs="仿宋_GB2312"/>
                <w:color w:val="auto"/>
                <w:sz w:val="24"/>
                <w:highlight w:val="none"/>
              </w:rPr>
            </w:pPr>
          </w:p>
        </w:tc>
      </w:tr>
      <w:tr w14:paraId="31C20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564" w:type="dxa"/>
            <w:vAlign w:val="center"/>
          </w:tcPr>
          <w:p w14:paraId="3B6C76FB">
            <w:pPr>
              <w:snapToGrid w:val="0"/>
              <w:jc w:val="center"/>
              <w:rPr>
                <w:rFonts w:ascii="仿宋_GB2312" w:hAnsi="仿宋" w:eastAsia="仿宋_GB2312"/>
                <w:color w:val="auto"/>
                <w:highlight w:val="none"/>
              </w:rPr>
            </w:pPr>
            <w:r>
              <w:rPr>
                <w:rFonts w:hint="eastAsia" w:ascii="仿宋_GB2312" w:hAnsi="仿宋" w:eastAsia="仿宋_GB2312"/>
                <w:color w:val="auto"/>
                <w:highlight w:val="none"/>
              </w:rPr>
              <w:t>1</w:t>
            </w:r>
          </w:p>
        </w:tc>
        <w:tc>
          <w:tcPr>
            <w:tcW w:w="3885" w:type="dxa"/>
            <w:vAlign w:val="center"/>
          </w:tcPr>
          <w:p w14:paraId="20D38C98">
            <w:pPr>
              <w:snapToGrid w:val="0"/>
              <w:jc w:val="left"/>
              <w:rPr>
                <w:rFonts w:ascii="仿宋_GB2312" w:hAnsi="仿宋" w:eastAsia="仿宋_GB2312"/>
                <w:color w:val="auto"/>
                <w:highlight w:val="none"/>
              </w:rPr>
            </w:pPr>
            <w:r>
              <w:rPr>
                <w:rFonts w:hint="eastAsia" w:ascii="仿宋_GB2312" w:hAnsi="仿宋" w:eastAsia="仿宋_GB2312"/>
                <w:color w:val="auto"/>
                <w:highlight w:val="none"/>
              </w:rPr>
              <w:t>营业执照或事业单位法人证书或执业许可证等证明文件或自然人的身份证明</w:t>
            </w:r>
          </w:p>
        </w:tc>
        <w:tc>
          <w:tcPr>
            <w:tcW w:w="2660" w:type="dxa"/>
            <w:vAlign w:val="center"/>
          </w:tcPr>
          <w:p w14:paraId="0102D1B1">
            <w:pPr>
              <w:pStyle w:val="3"/>
              <w:adjustRightInd w:val="0"/>
              <w:snapToGrid w:val="0"/>
              <w:spacing w:before="0" w:after="0" w:line="240" w:lineRule="auto"/>
              <w:jc w:val="both"/>
              <w:rPr>
                <w:rFonts w:ascii="仿宋_GB2312" w:hAnsi="仿宋" w:eastAsia="仿宋_GB2312"/>
                <w:b w:val="0"/>
                <w:color w:val="auto"/>
                <w:sz w:val="21"/>
                <w:highlight w:val="none"/>
              </w:rPr>
            </w:pPr>
            <w:r>
              <w:rPr>
                <w:rFonts w:hint="eastAsia" w:ascii="仿宋_GB2312" w:hAnsi="仿宋" w:eastAsia="仿宋_GB2312"/>
                <w:b w:val="0"/>
                <w:color w:val="auto"/>
                <w:sz w:val="21"/>
                <w:highlight w:val="none"/>
              </w:rPr>
              <w:t>1.按要求提供</w:t>
            </w:r>
          </w:p>
          <w:p w14:paraId="1D382D62">
            <w:pPr>
              <w:pStyle w:val="3"/>
              <w:adjustRightInd w:val="0"/>
              <w:snapToGrid w:val="0"/>
              <w:spacing w:before="0" w:after="0" w:line="240" w:lineRule="auto"/>
              <w:jc w:val="both"/>
              <w:rPr>
                <w:rFonts w:ascii="仿宋_GB2312" w:hAnsi="仿宋" w:eastAsia="仿宋_GB2312"/>
                <w:b w:val="0"/>
                <w:color w:val="auto"/>
                <w:sz w:val="21"/>
                <w:highlight w:val="none"/>
              </w:rPr>
            </w:pPr>
            <w:r>
              <w:rPr>
                <w:rFonts w:hint="eastAsia" w:ascii="仿宋_GB2312" w:hAnsi="仿宋" w:eastAsia="仿宋_GB2312"/>
                <w:b w:val="0"/>
                <w:color w:val="auto"/>
                <w:sz w:val="21"/>
                <w:highlight w:val="none"/>
              </w:rPr>
              <w:t>2.合法有效</w:t>
            </w:r>
          </w:p>
        </w:tc>
        <w:tc>
          <w:tcPr>
            <w:tcW w:w="714" w:type="dxa"/>
            <w:vAlign w:val="center"/>
          </w:tcPr>
          <w:p w14:paraId="3CE62B41">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713" w:type="dxa"/>
            <w:vAlign w:val="center"/>
          </w:tcPr>
          <w:p w14:paraId="607F0E93">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721" w:type="dxa"/>
            <w:vAlign w:val="center"/>
          </w:tcPr>
          <w:p w14:paraId="7692FD2A">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r>
      <w:tr w14:paraId="0BAC6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564" w:type="dxa"/>
            <w:vAlign w:val="center"/>
          </w:tcPr>
          <w:p w14:paraId="7C62F84C">
            <w:pPr>
              <w:widowControl/>
              <w:snapToGrid w:val="0"/>
              <w:jc w:val="center"/>
              <w:rPr>
                <w:rFonts w:ascii="仿宋_GB2312" w:hAnsi="仿宋" w:eastAsia="仿宋_GB2312"/>
                <w:color w:val="auto"/>
                <w:highlight w:val="none"/>
              </w:rPr>
            </w:pPr>
            <w:r>
              <w:rPr>
                <w:rFonts w:hint="eastAsia" w:ascii="仿宋_GB2312" w:hAnsi="仿宋" w:eastAsia="仿宋_GB2312"/>
                <w:color w:val="auto"/>
                <w:highlight w:val="none"/>
              </w:rPr>
              <w:t>2</w:t>
            </w:r>
          </w:p>
        </w:tc>
        <w:tc>
          <w:tcPr>
            <w:tcW w:w="3885" w:type="dxa"/>
            <w:vAlign w:val="center"/>
          </w:tcPr>
          <w:p w14:paraId="0D904412">
            <w:pPr>
              <w:widowControl/>
              <w:snapToGrid w:val="0"/>
              <w:jc w:val="left"/>
              <w:rPr>
                <w:rFonts w:ascii="仿宋_GB2312" w:hAnsi="仿宋" w:eastAsia="仿宋_GB2312"/>
                <w:color w:val="auto"/>
                <w:highlight w:val="none"/>
              </w:rPr>
            </w:pPr>
            <w:r>
              <w:rPr>
                <w:rFonts w:hint="eastAsia" w:ascii="仿宋_GB2312" w:hAnsi="仿宋" w:eastAsia="仿宋_GB2312"/>
                <w:color w:val="auto"/>
                <w:highlight w:val="none"/>
              </w:rPr>
              <w:t>法定代表人（或非法人组织负责人）身份证明书</w:t>
            </w:r>
          </w:p>
        </w:tc>
        <w:tc>
          <w:tcPr>
            <w:tcW w:w="2660" w:type="dxa"/>
            <w:vAlign w:val="center"/>
          </w:tcPr>
          <w:p w14:paraId="2BA0056D">
            <w:pPr>
              <w:pStyle w:val="3"/>
              <w:adjustRightInd w:val="0"/>
              <w:snapToGrid w:val="0"/>
              <w:spacing w:before="0" w:after="0" w:line="240" w:lineRule="auto"/>
              <w:jc w:val="both"/>
              <w:rPr>
                <w:rFonts w:ascii="仿宋_GB2312" w:hAnsi="仿宋" w:eastAsia="仿宋_GB2312"/>
                <w:b w:val="0"/>
                <w:color w:val="auto"/>
                <w:sz w:val="21"/>
                <w:highlight w:val="none"/>
              </w:rPr>
            </w:pPr>
            <w:r>
              <w:rPr>
                <w:rFonts w:hint="eastAsia" w:ascii="仿宋_GB2312" w:hAnsi="仿宋" w:eastAsia="仿宋_GB2312"/>
                <w:b w:val="0"/>
                <w:color w:val="auto"/>
                <w:sz w:val="21"/>
                <w:highlight w:val="none"/>
              </w:rPr>
              <w:t>1.按给定格式填写</w:t>
            </w:r>
          </w:p>
          <w:p w14:paraId="0434F8A8">
            <w:pPr>
              <w:pStyle w:val="3"/>
              <w:adjustRightInd w:val="0"/>
              <w:snapToGrid w:val="0"/>
              <w:spacing w:before="0" w:after="0" w:line="240" w:lineRule="auto"/>
              <w:jc w:val="both"/>
              <w:rPr>
                <w:rFonts w:ascii="仿宋_GB2312" w:hAnsi="仿宋" w:eastAsia="仿宋_GB2312"/>
                <w:b w:val="0"/>
                <w:color w:val="auto"/>
                <w:sz w:val="21"/>
                <w:highlight w:val="none"/>
              </w:rPr>
            </w:pPr>
            <w:r>
              <w:rPr>
                <w:rFonts w:hint="eastAsia" w:ascii="仿宋_GB2312" w:hAnsi="仿宋" w:eastAsia="仿宋_GB2312"/>
                <w:b w:val="0"/>
                <w:color w:val="auto"/>
                <w:sz w:val="21"/>
                <w:highlight w:val="none"/>
              </w:rPr>
              <w:t>2.按规定签章</w:t>
            </w:r>
          </w:p>
        </w:tc>
        <w:tc>
          <w:tcPr>
            <w:tcW w:w="714" w:type="dxa"/>
          </w:tcPr>
          <w:p w14:paraId="5BBCCC6D">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713" w:type="dxa"/>
          </w:tcPr>
          <w:p w14:paraId="7B646E42">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721" w:type="dxa"/>
          </w:tcPr>
          <w:p w14:paraId="69E2069B">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r>
      <w:tr w14:paraId="37373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564" w:type="dxa"/>
            <w:vAlign w:val="center"/>
          </w:tcPr>
          <w:p w14:paraId="1EAE46E8">
            <w:pPr>
              <w:widowControl/>
              <w:snapToGrid w:val="0"/>
              <w:jc w:val="center"/>
              <w:rPr>
                <w:rFonts w:ascii="仿宋_GB2312" w:hAnsi="仿宋" w:eastAsia="仿宋_GB2312"/>
                <w:color w:val="auto"/>
                <w:highlight w:val="none"/>
              </w:rPr>
            </w:pPr>
            <w:r>
              <w:rPr>
                <w:rFonts w:hint="eastAsia" w:ascii="仿宋_GB2312" w:hAnsi="仿宋" w:eastAsia="仿宋_GB2312"/>
                <w:color w:val="auto"/>
                <w:highlight w:val="none"/>
              </w:rPr>
              <w:t>3</w:t>
            </w:r>
          </w:p>
        </w:tc>
        <w:tc>
          <w:tcPr>
            <w:tcW w:w="3885" w:type="dxa"/>
            <w:vAlign w:val="center"/>
          </w:tcPr>
          <w:p w14:paraId="5C85C2AC">
            <w:pPr>
              <w:widowControl/>
              <w:snapToGrid w:val="0"/>
              <w:jc w:val="left"/>
              <w:rPr>
                <w:rFonts w:ascii="仿宋_GB2312" w:hAnsi="仿宋" w:eastAsia="仿宋_GB2312"/>
                <w:color w:val="auto"/>
                <w:highlight w:val="none"/>
              </w:rPr>
            </w:pPr>
            <w:r>
              <w:rPr>
                <w:rFonts w:hint="eastAsia" w:ascii="仿宋_GB2312" w:hAnsi="仿宋" w:eastAsia="仿宋_GB2312"/>
                <w:color w:val="auto"/>
                <w:highlight w:val="none"/>
              </w:rPr>
              <w:t>法定代表人（或非法人组织负责人）授权委托书（授权委托人参加投标的须提供）</w:t>
            </w:r>
          </w:p>
        </w:tc>
        <w:tc>
          <w:tcPr>
            <w:tcW w:w="2660" w:type="dxa"/>
            <w:vAlign w:val="center"/>
          </w:tcPr>
          <w:p w14:paraId="650FBE7A">
            <w:pPr>
              <w:pStyle w:val="3"/>
              <w:adjustRightInd w:val="0"/>
              <w:snapToGrid w:val="0"/>
              <w:spacing w:before="0" w:after="0" w:line="240" w:lineRule="auto"/>
              <w:jc w:val="both"/>
              <w:rPr>
                <w:rFonts w:ascii="仿宋_GB2312" w:hAnsi="仿宋" w:eastAsia="仿宋_GB2312"/>
                <w:b w:val="0"/>
                <w:color w:val="auto"/>
                <w:sz w:val="21"/>
                <w:highlight w:val="none"/>
              </w:rPr>
            </w:pPr>
            <w:r>
              <w:rPr>
                <w:rFonts w:hint="eastAsia" w:ascii="仿宋_GB2312" w:hAnsi="仿宋" w:eastAsia="仿宋_GB2312"/>
                <w:b w:val="0"/>
                <w:color w:val="auto"/>
                <w:sz w:val="21"/>
                <w:highlight w:val="none"/>
              </w:rPr>
              <w:t>1.按给定格式填写</w:t>
            </w:r>
          </w:p>
          <w:p w14:paraId="6E31475A">
            <w:pPr>
              <w:pStyle w:val="3"/>
              <w:adjustRightInd w:val="0"/>
              <w:snapToGrid w:val="0"/>
              <w:spacing w:before="0" w:after="0" w:line="240" w:lineRule="auto"/>
              <w:jc w:val="both"/>
              <w:rPr>
                <w:rFonts w:ascii="仿宋_GB2312" w:hAnsi="仿宋" w:eastAsia="仿宋_GB2312"/>
                <w:b w:val="0"/>
                <w:color w:val="auto"/>
                <w:sz w:val="21"/>
                <w:highlight w:val="none"/>
              </w:rPr>
            </w:pPr>
            <w:r>
              <w:rPr>
                <w:rFonts w:hint="eastAsia" w:ascii="仿宋_GB2312" w:hAnsi="仿宋" w:eastAsia="仿宋_GB2312"/>
                <w:b w:val="0"/>
                <w:color w:val="auto"/>
                <w:sz w:val="21"/>
                <w:highlight w:val="none"/>
              </w:rPr>
              <w:t>2.按规定签章</w:t>
            </w:r>
          </w:p>
        </w:tc>
        <w:tc>
          <w:tcPr>
            <w:tcW w:w="714" w:type="dxa"/>
          </w:tcPr>
          <w:p w14:paraId="610CF119">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713" w:type="dxa"/>
          </w:tcPr>
          <w:p w14:paraId="4395A15C">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721" w:type="dxa"/>
          </w:tcPr>
          <w:p w14:paraId="7462A21F">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r>
      <w:tr w14:paraId="72D7D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564" w:type="dxa"/>
            <w:vAlign w:val="center"/>
          </w:tcPr>
          <w:p w14:paraId="1D87FE0C">
            <w:pPr>
              <w:widowControl/>
              <w:snapToGrid w:val="0"/>
              <w:jc w:val="center"/>
              <w:rPr>
                <w:rFonts w:ascii="仿宋_GB2312" w:hAnsi="仿宋" w:eastAsia="仿宋_GB2312"/>
                <w:color w:val="auto"/>
                <w:highlight w:val="none"/>
              </w:rPr>
            </w:pPr>
            <w:r>
              <w:rPr>
                <w:rFonts w:hint="eastAsia" w:ascii="仿宋_GB2312" w:hAnsi="仿宋" w:eastAsia="仿宋_GB2312"/>
                <w:color w:val="auto"/>
                <w:highlight w:val="none"/>
              </w:rPr>
              <w:t>4</w:t>
            </w:r>
          </w:p>
        </w:tc>
        <w:tc>
          <w:tcPr>
            <w:tcW w:w="3885" w:type="dxa"/>
            <w:vAlign w:val="center"/>
          </w:tcPr>
          <w:p w14:paraId="2B0CD545">
            <w:pPr>
              <w:widowControl/>
              <w:snapToGrid w:val="0"/>
              <w:jc w:val="left"/>
              <w:rPr>
                <w:rFonts w:ascii="仿宋_GB2312" w:hAnsi="仿宋" w:eastAsia="仿宋_GB2312"/>
                <w:color w:val="auto"/>
                <w:highlight w:val="none"/>
              </w:rPr>
            </w:pPr>
            <w:r>
              <w:rPr>
                <w:rFonts w:hint="eastAsia" w:ascii="仿宋_GB2312" w:hAnsi="仿宋" w:eastAsia="仿宋_GB2312"/>
                <w:color w:val="auto"/>
                <w:highlight w:val="none"/>
              </w:rPr>
              <w:t>具有良好的商业信誉和健全的财务会计制度的承诺函</w:t>
            </w:r>
          </w:p>
        </w:tc>
        <w:tc>
          <w:tcPr>
            <w:tcW w:w="2660" w:type="dxa"/>
            <w:vAlign w:val="center"/>
          </w:tcPr>
          <w:p w14:paraId="1D8FF65D">
            <w:pPr>
              <w:pStyle w:val="3"/>
              <w:adjustRightInd w:val="0"/>
              <w:snapToGrid w:val="0"/>
              <w:spacing w:before="0" w:after="0" w:line="240" w:lineRule="auto"/>
              <w:jc w:val="both"/>
              <w:rPr>
                <w:rFonts w:ascii="仿宋_GB2312" w:hAnsi="仿宋" w:eastAsia="仿宋_GB2312"/>
                <w:b w:val="0"/>
                <w:color w:val="auto"/>
                <w:sz w:val="21"/>
                <w:highlight w:val="none"/>
              </w:rPr>
            </w:pPr>
            <w:r>
              <w:rPr>
                <w:rFonts w:hint="eastAsia" w:ascii="仿宋_GB2312" w:hAnsi="仿宋" w:eastAsia="仿宋_GB2312"/>
                <w:b w:val="0"/>
                <w:color w:val="auto"/>
                <w:sz w:val="21"/>
                <w:highlight w:val="none"/>
              </w:rPr>
              <w:t>1.信息完整</w:t>
            </w:r>
          </w:p>
          <w:p w14:paraId="0C899B3B">
            <w:pPr>
              <w:pStyle w:val="3"/>
              <w:adjustRightInd w:val="0"/>
              <w:snapToGrid w:val="0"/>
              <w:spacing w:before="0" w:after="0" w:line="240" w:lineRule="auto"/>
              <w:jc w:val="both"/>
              <w:rPr>
                <w:rFonts w:ascii="仿宋_GB2312" w:hAnsi="仿宋" w:eastAsia="仿宋_GB2312"/>
                <w:b w:val="0"/>
                <w:color w:val="auto"/>
                <w:sz w:val="21"/>
                <w:highlight w:val="none"/>
              </w:rPr>
            </w:pPr>
            <w:r>
              <w:rPr>
                <w:rFonts w:hint="eastAsia" w:ascii="仿宋_GB2312" w:hAnsi="仿宋" w:eastAsia="仿宋_GB2312"/>
                <w:b w:val="0"/>
                <w:color w:val="auto"/>
                <w:sz w:val="21"/>
                <w:highlight w:val="none"/>
              </w:rPr>
              <w:t>2.按规定签章</w:t>
            </w:r>
          </w:p>
        </w:tc>
        <w:tc>
          <w:tcPr>
            <w:tcW w:w="714" w:type="dxa"/>
          </w:tcPr>
          <w:p w14:paraId="0C95886B">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713" w:type="dxa"/>
          </w:tcPr>
          <w:p w14:paraId="31D261D2">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721" w:type="dxa"/>
          </w:tcPr>
          <w:p w14:paraId="096D4B88">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r>
      <w:tr w14:paraId="756DF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7" w:hRule="atLeast"/>
          <w:jc w:val="center"/>
        </w:trPr>
        <w:tc>
          <w:tcPr>
            <w:tcW w:w="564" w:type="dxa"/>
            <w:vAlign w:val="center"/>
          </w:tcPr>
          <w:p w14:paraId="4E5BF90C">
            <w:pPr>
              <w:widowControl/>
              <w:snapToGrid w:val="0"/>
              <w:jc w:val="center"/>
              <w:rPr>
                <w:rFonts w:ascii="仿宋_GB2312" w:hAnsi="仿宋" w:eastAsia="仿宋_GB2312"/>
                <w:color w:val="auto"/>
                <w:highlight w:val="none"/>
              </w:rPr>
            </w:pPr>
            <w:r>
              <w:rPr>
                <w:rFonts w:hint="eastAsia" w:ascii="仿宋_GB2312" w:hAnsi="仿宋" w:eastAsia="仿宋_GB2312"/>
                <w:color w:val="auto"/>
                <w:highlight w:val="none"/>
              </w:rPr>
              <w:t>5</w:t>
            </w:r>
          </w:p>
        </w:tc>
        <w:tc>
          <w:tcPr>
            <w:tcW w:w="3885" w:type="dxa"/>
            <w:vAlign w:val="center"/>
          </w:tcPr>
          <w:p w14:paraId="30E29F4F">
            <w:pPr>
              <w:widowControl/>
              <w:snapToGrid w:val="0"/>
              <w:jc w:val="left"/>
              <w:rPr>
                <w:rFonts w:ascii="仿宋_GB2312" w:hAnsi="仿宋" w:eastAsia="仿宋_GB2312"/>
                <w:color w:val="auto"/>
                <w:highlight w:val="none"/>
              </w:rPr>
            </w:pPr>
            <w:r>
              <w:rPr>
                <w:rFonts w:hint="eastAsia" w:ascii="仿宋_GB2312" w:hAnsi="仿宋" w:eastAsia="仿宋_GB2312"/>
                <w:color w:val="auto"/>
                <w:highlight w:val="none"/>
              </w:rPr>
              <w:t>开标时间前六个月内任一个月的依法缴纳税收的缴款凭据</w:t>
            </w:r>
            <w:r>
              <w:rPr>
                <w:rFonts w:hint="eastAsia" w:ascii="仿宋_GB2312" w:hAnsi="仿宋" w:eastAsia="仿宋_GB2312"/>
                <w:b/>
                <w:bCs/>
                <w:color w:val="auto"/>
                <w:highlight w:val="none"/>
              </w:rPr>
              <w:t>（增值税等）</w:t>
            </w:r>
            <w:r>
              <w:rPr>
                <w:rFonts w:hint="eastAsia" w:ascii="仿宋_GB2312" w:hAnsi="仿宋" w:eastAsia="仿宋_GB2312"/>
                <w:color w:val="auto"/>
                <w:highlight w:val="none"/>
              </w:rPr>
              <w:t>复印件加盖公章（注：依法免税的供应商，应提供相关证明材料，包括相关法规要求原文及加盖单位公章的情况说明）</w:t>
            </w:r>
          </w:p>
        </w:tc>
        <w:tc>
          <w:tcPr>
            <w:tcW w:w="2660" w:type="dxa"/>
            <w:vAlign w:val="center"/>
          </w:tcPr>
          <w:p w14:paraId="26131D0C">
            <w:pPr>
              <w:pStyle w:val="3"/>
              <w:adjustRightInd w:val="0"/>
              <w:snapToGrid w:val="0"/>
              <w:spacing w:before="0" w:after="0" w:line="240" w:lineRule="auto"/>
              <w:jc w:val="both"/>
              <w:rPr>
                <w:rFonts w:ascii="仿宋_GB2312" w:hAnsi="仿宋" w:eastAsia="仿宋_GB2312"/>
                <w:b w:val="0"/>
                <w:color w:val="auto"/>
                <w:sz w:val="21"/>
                <w:highlight w:val="none"/>
              </w:rPr>
            </w:pPr>
            <w:r>
              <w:rPr>
                <w:rFonts w:hint="eastAsia" w:ascii="仿宋_GB2312" w:hAnsi="仿宋" w:eastAsia="仿宋_GB2312"/>
                <w:b w:val="0"/>
                <w:color w:val="auto"/>
                <w:sz w:val="21"/>
                <w:highlight w:val="none"/>
              </w:rPr>
              <w:t>1.按要求提供</w:t>
            </w:r>
          </w:p>
          <w:p w14:paraId="5D05AAE4">
            <w:pPr>
              <w:pStyle w:val="3"/>
              <w:adjustRightInd w:val="0"/>
              <w:snapToGrid w:val="0"/>
              <w:spacing w:before="0" w:after="0" w:line="240" w:lineRule="auto"/>
              <w:jc w:val="both"/>
              <w:rPr>
                <w:rFonts w:ascii="仿宋_GB2312" w:hAnsi="仿宋" w:eastAsia="仿宋_GB2312"/>
                <w:b w:val="0"/>
                <w:color w:val="auto"/>
                <w:sz w:val="21"/>
                <w:highlight w:val="none"/>
              </w:rPr>
            </w:pPr>
            <w:r>
              <w:rPr>
                <w:rFonts w:hint="eastAsia" w:ascii="仿宋_GB2312" w:hAnsi="仿宋" w:eastAsia="仿宋_GB2312"/>
                <w:b w:val="0"/>
                <w:color w:val="auto"/>
                <w:sz w:val="21"/>
                <w:highlight w:val="none"/>
              </w:rPr>
              <w:t>2.合法有效</w:t>
            </w:r>
          </w:p>
          <w:p w14:paraId="7FDE4092">
            <w:pPr>
              <w:pStyle w:val="3"/>
              <w:adjustRightInd w:val="0"/>
              <w:snapToGrid w:val="0"/>
              <w:spacing w:before="0" w:after="0" w:line="240" w:lineRule="auto"/>
              <w:jc w:val="both"/>
              <w:rPr>
                <w:rFonts w:ascii="仿宋_GB2312" w:hAnsi="仿宋" w:eastAsia="仿宋_GB2312"/>
                <w:b w:val="0"/>
                <w:color w:val="auto"/>
                <w:sz w:val="21"/>
                <w:highlight w:val="none"/>
              </w:rPr>
            </w:pPr>
            <w:r>
              <w:rPr>
                <w:rFonts w:hint="eastAsia" w:ascii="仿宋_GB2312" w:hAnsi="仿宋" w:eastAsia="仿宋_GB2312"/>
                <w:b w:val="0"/>
                <w:color w:val="auto"/>
                <w:sz w:val="21"/>
                <w:highlight w:val="none"/>
              </w:rPr>
              <w:t>3.按规定签章</w:t>
            </w:r>
          </w:p>
        </w:tc>
        <w:tc>
          <w:tcPr>
            <w:tcW w:w="714" w:type="dxa"/>
          </w:tcPr>
          <w:p w14:paraId="23D2DEE3">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713" w:type="dxa"/>
          </w:tcPr>
          <w:p w14:paraId="3AF9EF40">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721" w:type="dxa"/>
          </w:tcPr>
          <w:p w14:paraId="23E94807">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r>
      <w:tr w14:paraId="58E3E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9" w:hRule="atLeast"/>
          <w:jc w:val="center"/>
        </w:trPr>
        <w:tc>
          <w:tcPr>
            <w:tcW w:w="564" w:type="dxa"/>
            <w:vAlign w:val="center"/>
          </w:tcPr>
          <w:p w14:paraId="7B84FF33">
            <w:pPr>
              <w:widowControl/>
              <w:snapToGrid w:val="0"/>
              <w:jc w:val="center"/>
              <w:rPr>
                <w:rFonts w:ascii="仿宋_GB2312" w:hAnsi="仿宋" w:eastAsia="仿宋_GB2312"/>
                <w:color w:val="auto"/>
                <w:highlight w:val="none"/>
              </w:rPr>
            </w:pPr>
            <w:r>
              <w:rPr>
                <w:rFonts w:hint="eastAsia" w:ascii="仿宋_GB2312" w:hAnsi="仿宋" w:eastAsia="仿宋_GB2312"/>
                <w:color w:val="auto"/>
                <w:highlight w:val="none"/>
              </w:rPr>
              <w:t>6</w:t>
            </w:r>
          </w:p>
        </w:tc>
        <w:tc>
          <w:tcPr>
            <w:tcW w:w="3885" w:type="dxa"/>
            <w:vAlign w:val="center"/>
          </w:tcPr>
          <w:p w14:paraId="0AD9C230">
            <w:pPr>
              <w:widowControl/>
              <w:snapToGrid w:val="0"/>
              <w:jc w:val="left"/>
              <w:rPr>
                <w:rFonts w:ascii="仿宋_GB2312" w:hAnsi="仿宋" w:eastAsia="仿宋_GB2312"/>
                <w:color w:val="auto"/>
                <w:highlight w:val="none"/>
              </w:rPr>
            </w:pPr>
            <w:r>
              <w:rPr>
                <w:rFonts w:hint="eastAsia" w:ascii="仿宋_GB2312" w:hAnsi="仿宋" w:eastAsia="仿宋_GB2312"/>
                <w:color w:val="auto"/>
                <w:highlight w:val="none"/>
              </w:rPr>
              <w:t>开标时间前六个月内任一个月的依法缴纳社会保障资金的缴款凭据复印件加盖公章（注：依法不需要缴纳社会保障资金的投标人，应提供相关证明材料，包括相关法规要求原文及加盖单位公章的情况说明）</w:t>
            </w:r>
          </w:p>
        </w:tc>
        <w:tc>
          <w:tcPr>
            <w:tcW w:w="2660" w:type="dxa"/>
            <w:vAlign w:val="center"/>
          </w:tcPr>
          <w:p w14:paraId="6365179F">
            <w:pPr>
              <w:pStyle w:val="3"/>
              <w:adjustRightInd w:val="0"/>
              <w:snapToGrid w:val="0"/>
              <w:spacing w:before="0" w:after="0" w:line="240" w:lineRule="auto"/>
              <w:jc w:val="both"/>
              <w:rPr>
                <w:rFonts w:ascii="仿宋_GB2312" w:hAnsi="仿宋" w:eastAsia="仿宋_GB2312"/>
                <w:b w:val="0"/>
                <w:color w:val="auto"/>
                <w:sz w:val="21"/>
                <w:highlight w:val="none"/>
              </w:rPr>
            </w:pPr>
            <w:r>
              <w:rPr>
                <w:rFonts w:hint="eastAsia" w:ascii="仿宋_GB2312" w:hAnsi="仿宋" w:eastAsia="仿宋_GB2312"/>
                <w:b w:val="0"/>
                <w:color w:val="auto"/>
                <w:sz w:val="21"/>
                <w:highlight w:val="none"/>
              </w:rPr>
              <w:t>1.按要求提供</w:t>
            </w:r>
          </w:p>
          <w:p w14:paraId="3A1DB9F4">
            <w:pPr>
              <w:pStyle w:val="3"/>
              <w:adjustRightInd w:val="0"/>
              <w:snapToGrid w:val="0"/>
              <w:spacing w:before="0" w:after="0" w:line="240" w:lineRule="auto"/>
              <w:jc w:val="both"/>
              <w:rPr>
                <w:rFonts w:ascii="仿宋_GB2312" w:hAnsi="仿宋" w:eastAsia="仿宋_GB2312"/>
                <w:b w:val="0"/>
                <w:color w:val="auto"/>
                <w:sz w:val="21"/>
                <w:highlight w:val="none"/>
              </w:rPr>
            </w:pPr>
            <w:r>
              <w:rPr>
                <w:rFonts w:hint="eastAsia" w:ascii="仿宋_GB2312" w:hAnsi="仿宋" w:eastAsia="仿宋_GB2312"/>
                <w:b w:val="0"/>
                <w:color w:val="auto"/>
                <w:sz w:val="21"/>
                <w:highlight w:val="none"/>
              </w:rPr>
              <w:t>2.合法有效</w:t>
            </w:r>
          </w:p>
          <w:p w14:paraId="5AAB14C4">
            <w:pPr>
              <w:pStyle w:val="3"/>
              <w:adjustRightInd w:val="0"/>
              <w:snapToGrid w:val="0"/>
              <w:spacing w:before="0" w:after="0" w:line="240" w:lineRule="auto"/>
              <w:jc w:val="both"/>
              <w:rPr>
                <w:rFonts w:ascii="仿宋_GB2312" w:hAnsi="仿宋" w:eastAsia="仿宋_GB2312"/>
                <w:b w:val="0"/>
                <w:color w:val="auto"/>
                <w:sz w:val="21"/>
                <w:highlight w:val="none"/>
              </w:rPr>
            </w:pPr>
            <w:r>
              <w:rPr>
                <w:rFonts w:hint="eastAsia" w:ascii="仿宋_GB2312" w:hAnsi="仿宋" w:eastAsia="仿宋_GB2312"/>
                <w:b w:val="0"/>
                <w:color w:val="auto"/>
                <w:sz w:val="21"/>
                <w:highlight w:val="none"/>
              </w:rPr>
              <w:t>3.按规定签章</w:t>
            </w:r>
          </w:p>
        </w:tc>
        <w:tc>
          <w:tcPr>
            <w:tcW w:w="714" w:type="dxa"/>
          </w:tcPr>
          <w:p w14:paraId="7050BC69">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713" w:type="dxa"/>
          </w:tcPr>
          <w:p w14:paraId="5B5E245F">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721" w:type="dxa"/>
          </w:tcPr>
          <w:p w14:paraId="3939CC27">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r>
      <w:tr w14:paraId="0008A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564" w:type="dxa"/>
            <w:vAlign w:val="center"/>
          </w:tcPr>
          <w:p w14:paraId="73FD92A8">
            <w:pPr>
              <w:snapToGrid w:val="0"/>
              <w:jc w:val="center"/>
              <w:rPr>
                <w:rFonts w:ascii="仿宋_GB2312" w:hAnsi="仿宋" w:eastAsia="仿宋_GB2312"/>
                <w:color w:val="auto"/>
                <w:highlight w:val="none"/>
              </w:rPr>
            </w:pPr>
            <w:r>
              <w:rPr>
                <w:rFonts w:hint="eastAsia" w:ascii="仿宋_GB2312" w:hAnsi="仿宋" w:eastAsia="仿宋_GB2312"/>
                <w:color w:val="auto"/>
                <w:highlight w:val="none"/>
              </w:rPr>
              <w:t>7</w:t>
            </w:r>
          </w:p>
        </w:tc>
        <w:tc>
          <w:tcPr>
            <w:tcW w:w="3885" w:type="dxa"/>
            <w:vAlign w:val="center"/>
          </w:tcPr>
          <w:p w14:paraId="3DB06592">
            <w:pPr>
              <w:snapToGrid w:val="0"/>
              <w:jc w:val="left"/>
              <w:rPr>
                <w:rFonts w:ascii="仿宋_GB2312" w:hAnsi="仿宋" w:eastAsia="仿宋_GB2312"/>
                <w:color w:val="auto"/>
                <w:highlight w:val="none"/>
              </w:rPr>
            </w:pPr>
            <w:r>
              <w:rPr>
                <w:rFonts w:hint="eastAsia" w:ascii="仿宋_GB2312" w:hAnsi="仿宋" w:eastAsia="仿宋_GB2312"/>
                <w:color w:val="auto"/>
                <w:highlight w:val="none"/>
              </w:rPr>
              <w:t>具备履行合同所必需的设备和专业技术能力声明函</w:t>
            </w:r>
          </w:p>
        </w:tc>
        <w:tc>
          <w:tcPr>
            <w:tcW w:w="2660" w:type="dxa"/>
            <w:vAlign w:val="center"/>
          </w:tcPr>
          <w:p w14:paraId="7A9ADBCB">
            <w:pPr>
              <w:pStyle w:val="3"/>
              <w:adjustRightInd w:val="0"/>
              <w:snapToGrid w:val="0"/>
              <w:spacing w:before="0" w:after="0" w:line="240" w:lineRule="auto"/>
              <w:jc w:val="both"/>
              <w:rPr>
                <w:rFonts w:ascii="仿宋_GB2312" w:hAnsi="仿宋" w:eastAsia="仿宋_GB2312"/>
                <w:b w:val="0"/>
                <w:color w:val="auto"/>
                <w:sz w:val="21"/>
                <w:highlight w:val="none"/>
              </w:rPr>
            </w:pPr>
            <w:r>
              <w:rPr>
                <w:rFonts w:hint="eastAsia" w:ascii="仿宋_GB2312" w:hAnsi="仿宋" w:eastAsia="仿宋_GB2312"/>
                <w:b w:val="0"/>
                <w:color w:val="auto"/>
                <w:sz w:val="21"/>
                <w:highlight w:val="none"/>
              </w:rPr>
              <w:t>1.信息完整</w:t>
            </w:r>
          </w:p>
          <w:p w14:paraId="7552FD0C">
            <w:pPr>
              <w:pStyle w:val="3"/>
              <w:adjustRightInd w:val="0"/>
              <w:snapToGrid w:val="0"/>
              <w:spacing w:before="0" w:after="0" w:line="240" w:lineRule="auto"/>
              <w:jc w:val="both"/>
              <w:rPr>
                <w:rFonts w:ascii="仿宋_GB2312" w:hAnsi="仿宋" w:eastAsia="仿宋_GB2312"/>
                <w:b w:val="0"/>
                <w:color w:val="auto"/>
                <w:sz w:val="21"/>
                <w:highlight w:val="none"/>
              </w:rPr>
            </w:pPr>
            <w:r>
              <w:rPr>
                <w:rFonts w:hint="eastAsia" w:ascii="仿宋_GB2312" w:hAnsi="仿宋" w:eastAsia="仿宋_GB2312"/>
                <w:b w:val="0"/>
                <w:color w:val="auto"/>
                <w:sz w:val="21"/>
                <w:highlight w:val="none"/>
              </w:rPr>
              <w:t>2.按规定签章</w:t>
            </w:r>
          </w:p>
        </w:tc>
        <w:tc>
          <w:tcPr>
            <w:tcW w:w="714" w:type="dxa"/>
          </w:tcPr>
          <w:p w14:paraId="42816970">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713" w:type="dxa"/>
          </w:tcPr>
          <w:p w14:paraId="3C5D29E1">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721" w:type="dxa"/>
          </w:tcPr>
          <w:p w14:paraId="658F8965">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r>
      <w:tr w14:paraId="16D18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564" w:type="dxa"/>
            <w:vAlign w:val="center"/>
          </w:tcPr>
          <w:p w14:paraId="3779918A">
            <w:pPr>
              <w:snapToGrid w:val="0"/>
              <w:jc w:val="center"/>
              <w:rPr>
                <w:rFonts w:ascii="仿宋_GB2312" w:hAnsi="仿宋" w:eastAsia="仿宋_GB2312"/>
                <w:color w:val="auto"/>
                <w:highlight w:val="none"/>
              </w:rPr>
            </w:pPr>
            <w:r>
              <w:rPr>
                <w:rFonts w:hint="eastAsia" w:ascii="仿宋_GB2312" w:hAnsi="仿宋" w:eastAsia="仿宋_GB2312"/>
                <w:color w:val="auto"/>
                <w:highlight w:val="none"/>
              </w:rPr>
              <w:t>8</w:t>
            </w:r>
          </w:p>
        </w:tc>
        <w:tc>
          <w:tcPr>
            <w:tcW w:w="3885" w:type="dxa"/>
            <w:vAlign w:val="center"/>
          </w:tcPr>
          <w:p w14:paraId="1BC16089">
            <w:pPr>
              <w:snapToGrid w:val="0"/>
              <w:jc w:val="left"/>
              <w:rPr>
                <w:rFonts w:ascii="仿宋_GB2312" w:hAnsi="仿宋" w:eastAsia="仿宋_GB2312"/>
                <w:color w:val="auto"/>
                <w:highlight w:val="none"/>
              </w:rPr>
            </w:pPr>
            <w:r>
              <w:rPr>
                <w:rFonts w:hint="eastAsia" w:ascii="仿宋_GB2312" w:hAnsi="仿宋" w:eastAsia="仿宋_GB2312"/>
                <w:color w:val="auto"/>
                <w:highlight w:val="none"/>
              </w:rPr>
              <w:t>参加政府采购活动前3年内在经营活动中没有重大违法记录的书面声明</w:t>
            </w:r>
          </w:p>
        </w:tc>
        <w:tc>
          <w:tcPr>
            <w:tcW w:w="2660" w:type="dxa"/>
            <w:vAlign w:val="center"/>
          </w:tcPr>
          <w:p w14:paraId="787A4CF9">
            <w:pPr>
              <w:jc w:val="left"/>
              <w:rPr>
                <w:rFonts w:ascii="仿宋_GB2312" w:hAnsi="仿宋" w:eastAsia="仿宋_GB2312"/>
                <w:color w:val="auto"/>
                <w:highlight w:val="none"/>
              </w:rPr>
            </w:pPr>
            <w:r>
              <w:rPr>
                <w:rFonts w:hint="eastAsia" w:ascii="仿宋_GB2312" w:hAnsi="仿宋" w:eastAsia="仿宋_GB2312"/>
                <w:color w:val="auto"/>
                <w:highlight w:val="none"/>
              </w:rPr>
              <w:t>1.按给定格式填写</w:t>
            </w:r>
          </w:p>
          <w:p w14:paraId="675C36BC">
            <w:pPr>
              <w:jc w:val="left"/>
              <w:rPr>
                <w:rFonts w:ascii="仿宋_GB2312" w:hAnsi="仿宋" w:eastAsia="仿宋_GB2312"/>
                <w:color w:val="auto"/>
                <w:highlight w:val="none"/>
              </w:rPr>
            </w:pPr>
            <w:r>
              <w:rPr>
                <w:rFonts w:hint="eastAsia" w:ascii="仿宋_GB2312" w:hAnsi="仿宋" w:eastAsia="仿宋_GB2312"/>
                <w:color w:val="auto"/>
                <w:highlight w:val="none"/>
              </w:rPr>
              <w:t>2.按规定签章</w:t>
            </w:r>
          </w:p>
        </w:tc>
        <w:tc>
          <w:tcPr>
            <w:tcW w:w="714" w:type="dxa"/>
          </w:tcPr>
          <w:p w14:paraId="6432D15E">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713" w:type="dxa"/>
          </w:tcPr>
          <w:p w14:paraId="2ABA4FEB">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721" w:type="dxa"/>
          </w:tcPr>
          <w:p w14:paraId="279AC837">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r>
      <w:tr w14:paraId="3A328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564" w:type="dxa"/>
            <w:vAlign w:val="center"/>
          </w:tcPr>
          <w:p w14:paraId="579A4090">
            <w:pPr>
              <w:snapToGrid w:val="0"/>
              <w:jc w:val="center"/>
              <w:rPr>
                <w:rFonts w:ascii="仿宋_GB2312" w:hAnsi="仿宋" w:eastAsia="仿宋_GB2312"/>
                <w:color w:val="auto"/>
                <w:highlight w:val="none"/>
              </w:rPr>
            </w:pPr>
            <w:r>
              <w:rPr>
                <w:rFonts w:hint="eastAsia" w:ascii="仿宋_GB2312" w:hAnsi="仿宋" w:eastAsia="仿宋_GB2312"/>
                <w:color w:val="auto"/>
                <w:highlight w:val="none"/>
              </w:rPr>
              <w:t>9</w:t>
            </w:r>
          </w:p>
        </w:tc>
        <w:tc>
          <w:tcPr>
            <w:tcW w:w="3885" w:type="dxa"/>
            <w:vAlign w:val="center"/>
          </w:tcPr>
          <w:p w14:paraId="2A7EAAB2">
            <w:pPr>
              <w:snapToGrid w:val="0"/>
              <w:jc w:val="left"/>
              <w:rPr>
                <w:rFonts w:ascii="仿宋_GB2312" w:hAnsi="仿宋" w:eastAsia="仿宋_GB2312"/>
                <w:color w:val="auto"/>
                <w:highlight w:val="none"/>
              </w:rPr>
            </w:pPr>
            <w:r>
              <w:rPr>
                <w:rFonts w:hint="eastAsia" w:ascii="仿宋_GB2312" w:hAnsi="仿宋" w:eastAsia="仿宋_GB2312"/>
                <w:color w:val="auto"/>
                <w:highlight w:val="none"/>
              </w:rPr>
              <w:t>信用记录(采购人或采购代理机构将按照招标文件规定的审查期间内进行查询)</w:t>
            </w:r>
          </w:p>
        </w:tc>
        <w:tc>
          <w:tcPr>
            <w:tcW w:w="2660" w:type="dxa"/>
            <w:vAlign w:val="center"/>
          </w:tcPr>
          <w:p w14:paraId="4C8C04D9">
            <w:pPr>
              <w:pStyle w:val="3"/>
              <w:adjustRightInd w:val="0"/>
              <w:snapToGrid w:val="0"/>
              <w:spacing w:before="0" w:after="0" w:line="240" w:lineRule="auto"/>
              <w:jc w:val="both"/>
              <w:rPr>
                <w:rFonts w:ascii="仿宋_GB2312" w:hAnsi="仿宋" w:eastAsia="仿宋_GB2312"/>
                <w:color w:val="auto"/>
                <w:highlight w:val="none"/>
              </w:rPr>
            </w:pPr>
            <w:r>
              <w:rPr>
                <w:rFonts w:hint="eastAsia" w:ascii="仿宋_GB2312" w:hAnsi="仿宋" w:eastAsia="仿宋_GB2312"/>
                <w:b w:val="0"/>
                <w:color w:val="auto"/>
                <w:sz w:val="21"/>
                <w:highlight w:val="none"/>
              </w:rPr>
              <w:t>无投标须知 22.2.1 所述的不良记录</w:t>
            </w:r>
          </w:p>
        </w:tc>
        <w:tc>
          <w:tcPr>
            <w:tcW w:w="714" w:type="dxa"/>
          </w:tcPr>
          <w:p w14:paraId="3532C3B4">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713" w:type="dxa"/>
          </w:tcPr>
          <w:p w14:paraId="7C7ECCBC">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721" w:type="dxa"/>
          </w:tcPr>
          <w:p w14:paraId="40896D4A">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r>
      <w:tr w14:paraId="5F090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564" w:type="dxa"/>
            <w:vAlign w:val="center"/>
          </w:tcPr>
          <w:p w14:paraId="76C7F69D">
            <w:pPr>
              <w:snapToGrid w:val="0"/>
              <w:jc w:val="center"/>
              <w:rPr>
                <w:rFonts w:ascii="仿宋_GB2312" w:hAnsi="仿宋" w:eastAsia="仿宋_GB2312"/>
                <w:color w:val="auto"/>
                <w:highlight w:val="none"/>
              </w:rPr>
            </w:pPr>
            <w:r>
              <w:rPr>
                <w:rFonts w:hint="eastAsia" w:ascii="仿宋_GB2312" w:hAnsi="仿宋" w:eastAsia="仿宋_GB2312"/>
                <w:color w:val="auto"/>
                <w:highlight w:val="none"/>
              </w:rPr>
              <w:t>10</w:t>
            </w:r>
          </w:p>
        </w:tc>
        <w:tc>
          <w:tcPr>
            <w:tcW w:w="3885" w:type="dxa"/>
            <w:vAlign w:val="center"/>
          </w:tcPr>
          <w:p w14:paraId="0BB8DC20">
            <w:pPr>
              <w:snapToGrid w:val="0"/>
              <w:jc w:val="left"/>
              <w:rPr>
                <w:rFonts w:ascii="仿宋_GB2312" w:hAnsi="仿宋" w:eastAsia="仿宋_GB2312" w:cs="仿宋_GB2312"/>
                <w:color w:val="auto"/>
                <w:highlight w:val="none"/>
              </w:rPr>
            </w:pPr>
            <w:r>
              <w:rPr>
                <w:rFonts w:hint="eastAsia" w:ascii="仿宋_GB2312" w:hAnsi="仿宋" w:eastAsia="仿宋_GB2312" w:cs="仿宋_GB2312"/>
                <w:color w:val="auto"/>
                <w:highlight w:val="none"/>
              </w:rPr>
              <w:t>资质证书</w:t>
            </w:r>
          </w:p>
          <w:p w14:paraId="7DF1A11B">
            <w:pPr>
              <w:snapToGrid w:val="0"/>
              <w:jc w:val="left"/>
              <w:rPr>
                <w:rFonts w:ascii="仿宋_GB2312" w:hAnsi="仿宋" w:eastAsia="仿宋_GB2312"/>
                <w:b/>
                <w:bCs/>
                <w:color w:val="auto"/>
                <w:highlight w:val="none"/>
              </w:rPr>
            </w:pPr>
            <w:r>
              <w:rPr>
                <w:rFonts w:hint="eastAsia" w:ascii="仿宋_GB2312" w:hAnsi="仿宋" w:eastAsia="仿宋_GB2312"/>
                <w:b/>
                <w:bCs/>
                <w:color w:val="auto"/>
                <w:highlight w:val="none"/>
              </w:rPr>
              <w:t>（1）若投标人为制造商的，须具备下列条件a或b</w:t>
            </w:r>
            <w:r>
              <w:rPr>
                <w:rFonts w:hint="eastAsia" w:ascii="仿宋_GB2312" w:hAnsi="仿宋" w:eastAsia="仿宋_GB2312"/>
                <w:b/>
                <w:bCs/>
                <w:color w:val="auto"/>
                <w:highlight w:val="none"/>
                <w:lang w:eastAsia="zh-CN"/>
              </w:rPr>
              <w:t>（</w:t>
            </w:r>
            <w:r>
              <w:rPr>
                <w:rFonts w:hint="eastAsia" w:ascii="仿宋_GB2312" w:hAnsi="仿宋" w:eastAsia="仿宋_GB2312"/>
                <w:b/>
                <w:bCs/>
                <w:color w:val="auto"/>
                <w:highlight w:val="none"/>
                <w:lang w:val="en-US" w:eastAsia="zh-CN"/>
              </w:rPr>
              <w:t>须按要求提供相关证书复印件加盖公章</w:t>
            </w:r>
            <w:r>
              <w:rPr>
                <w:rFonts w:hint="eastAsia" w:ascii="仿宋_GB2312" w:hAnsi="仿宋" w:eastAsia="仿宋_GB2312"/>
                <w:b/>
                <w:bCs/>
                <w:color w:val="auto"/>
                <w:highlight w:val="none"/>
                <w:lang w:eastAsia="zh-CN"/>
              </w:rPr>
              <w:t>）</w:t>
            </w:r>
            <w:r>
              <w:rPr>
                <w:rFonts w:hint="eastAsia" w:ascii="仿宋_GB2312" w:hAnsi="仿宋" w:eastAsia="仿宋_GB2312"/>
                <w:b/>
                <w:bCs/>
                <w:color w:val="auto"/>
                <w:highlight w:val="none"/>
              </w:rPr>
              <w:t>：</w:t>
            </w:r>
          </w:p>
          <w:p w14:paraId="3AC1550C">
            <w:pPr>
              <w:snapToGrid w:val="0"/>
              <w:jc w:val="left"/>
              <w:rPr>
                <w:rFonts w:ascii="仿宋_GB2312" w:hAnsi="仿宋" w:eastAsia="仿宋_GB2312"/>
                <w:color w:val="auto"/>
                <w:highlight w:val="none"/>
              </w:rPr>
            </w:pPr>
            <w:r>
              <w:rPr>
                <w:rFonts w:hint="eastAsia" w:ascii="仿宋_GB2312" w:hAnsi="仿宋" w:eastAsia="仿宋_GB2312"/>
                <w:color w:val="auto"/>
                <w:highlight w:val="none"/>
              </w:rPr>
              <w:t>a.具有有效期内的《中华人民共和国特种设备生产许可证》（许可项目包括电梯制造（含安装、修理、改造），许可子项目含曳引驱动乘客电梯）（新证）。</w:t>
            </w:r>
          </w:p>
          <w:p w14:paraId="0B05DC7B">
            <w:pPr>
              <w:snapToGrid w:val="0"/>
              <w:jc w:val="left"/>
              <w:rPr>
                <w:rFonts w:ascii="仿宋_GB2312" w:hAnsi="仿宋" w:eastAsia="仿宋_GB2312"/>
                <w:color w:val="auto"/>
                <w:highlight w:val="none"/>
              </w:rPr>
            </w:pPr>
            <w:r>
              <w:rPr>
                <w:rFonts w:hint="eastAsia" w:ascii="仿宋_GB2312" w:hAnsi="仿宋" w:eastAsia="仿宋_GB2312"/>
                <w:color w:val="auto"/>
                <w:highlight w:val="none"/>
              </w:rPr>
              <w:t>b.同时具有有效期内的《中华人民共和国特种设备制造许可证》（电梯）B级及以上资质（旧证）和《中华人民共和国特种设备安装改造维修许可证》（电梯）B级及以上资质（旧证）。</w:t>
            </w:r>
          </w:p>
          <w:p w14:paraId="5D3A270B">
            <w:pPr>
              <w:snapToGrid w:val="0"/>
              <w:jc w:val="left"/>
              <w:rPr>
                <w:rFonts w:ascii="仿宋_GB2312" w:hAnsi="仿宋" w:eastAsia="仿宋_GB2312"/>
                <w:b/>
                <w:bCs/>
                <w:color w:val="auto"/>
                <w:highlight w:val="none"/>
              </w:rPr>
            </w:pPr>
            <w:r>
              <w:rPr>
                <w:rFonts w:hint="eastAsia" w:ascii="仿宋_GB2312" w:hAnsi="仿宋" w:eastAsia="仿宋_GB2312"/>
                <w:b/>
                <w:bCs/>
                <w:color w:val="auto"/>
                <w:highlight w:val="none"/>
              </w:rPr>
              <w:t>（2）若投标人为代理商的，须具备下列条件a和b</w:t>
            </w:r>
            <w:r>
              <w:rPr>
                <w:rFonts w:hint="eastAsia" w:ascii="仿宋_GB2312" w:hAnsi="仿宋" w:eastAsia="仿宋_GB2312"/>
                <w:b/>
                <w:bCs/>
                <w:color w:val="auto"/>
                <w:highlight w:val="none"/>
                <w:lang w:eastAsia="zh-CN"/>
              </w:rPr>
              <w:t>（</w:t>
            </w:r>
            <w:r>
              <w:rPr>
                <w:rFonts w:hint="eastAsia" w:ascii="仿宋_GB2312" w:hAnsi="仿宋" w:eastAsia="仿宋_GB2312"/>
                <w:b/>
                <w:bCs/>
                <w:color w:val="auto"/>
                <w:highlight w:val="none"/>
                <w:lang w:val="en-US" w:eastAsia="zh-CN"/>
              </w:rPr>
              <w:t>须按要求提供相关证书复印件加盖公章</w:t>
            </w:r>
            <w:r>
              <w:rPr>
                <w:rFonts w:hint="eastAsia" w:ascii="仿宋_GB2312" w:hAnsi="仿宋" w:eastAsia="仿宋_GB2312"/>
                <w:b/>
                <w:bCs/>
                <w:color w:val="auto"/>
                <w:highlight w:val="none"/>
                <w:lang w:eastAsia="zh-CN"/>
              </w:rPr>
              <w:t>）</w:t>
            </w:r>
            <w:r>
              <w:rPr>
                <w:rFonts w:hint="eastAsia" w:ascii="仿宋_GB2312" w:hAnsi="仿宋" w:eastAsia="仿宋_GB2312"/>
                <w:b/>
                <w:bCs/>
                <w:color w:val="auto"/>
                <w:highlight w:val="none"/>
              </w:rPr>
              <w:t>：</w:t>
            </w:r>
          </w:p>
          <w:p w14:paraId="6FCCD4D0">
            <w:pPr>
              <w:snapToGrid w:val="0"/>
              <w:jc w:val="left"/>
              <w:rPr>
                <w:rFonts w:ascii="仿宋_GB2312" w:hAnsi="仿宋" w:eastAsia="仿宋_GB2312"/>
                <w:color w:val="auto"/>
                <w:highlight w:val="none"/>
              </w:rPr>
            </w:pPr>
            <w:r>
              <w:rPr>
                <w:rFonts w:hint="eastAsia" w:ascii="仿宋_GB2312" w:hAnsi="仿宋" w:eastAsia="仿宋_GB2312"/>
                <w:color w:val="auto"/>
                <w:highlight w:val="none"/>
              </w:rPr>
              <w:t>a.具有有效期内的《中华人民共和国特种设备安装改造维修许可证》（电梯）B级及以上资质（旧证）或《中华人民共和国特种设备生产许可证》（许可项目包括电梯安装（含修理），许可子项目含曳引驱动乘客电梯）（新证）。</w:t>
            </w:r>
          </w:p>
          <w:p w14:paraId="3A0A8537">
            <w:pPr>
              <w:snapToGrid w:val="0"/>
              <w:jc w:val="left"/>
              <w:rPr>
                <w:rFonts w:ascii="仿宋_GB2312" w:hAnsi="仿宋" w:eastAsia="仿宋_GB2312"/>
                <w:color w:val="auto"/>
                <w:highlight w:val="none"/>
              </w:rPr>
            </w:pPr>
            <w:r>
              <w:rPr>
                <w:rFonts w:hint="eastAsia" w:ascii="仿宋_GB2312" w:hAnsi="仿宋" w:eastAsia="仿宋_GB2312"/>
                <w:color w:val="auto"/>
                <w:highlight w:val="none"/>
              </w:rPr>
              <w:t>b.具有经所投电梯生产制造商同意的委托合同并提供该制造商的《中华人民共和国特种设备制造许可证》（电梯）B级资质（旧证）或《中华人民共和国特种设备生产许可证》（许可项目包括电梯制造（含安装、修理、改造），许可子项目曳引驱动乘客电梯）（新证）。</w:t>
            </w:r>
          </w:p>
        </w:tc>
        <w:tc>
          <w:tcPr>
            <w:tcW w:w="2660" w:type="dxa"/>
            <w:vAlign w:val="center"/>
          </w:tcPr>
          <w:p w14:paraId="43E97916">
            <w:pPr>
              <w:pStyle w:val="3"/>
              <w:adjustRightInd w:val="0"/>
              <w:snapToGrid w:val="0"/>
              <w:spacing w:before="0" w:after="0" w:line="240" w:lineRule="auto"/>
              <w:jc w:val="both"/>
              <w:rPr>
                <w:rFonts w:ascii="仿宋_GB2312" w:hAnsi="仿宋_GB2312" w:eastAsia="仿宋_GB2312" w:cs="仿宋_GB2312"/>
                <w:b w:val="0"/>
                <w:color w:val="auto"/>
                <w:kern w:val="0"/>
                <w:sz w:val="21"/>
                <w:szCs w:val="21"/>
                <w:highlight w:val="none"/>
              </w:rPr>
            </w:pPr>
            <w:r>
              <w:rPr>
                <w:rFonts w:hint="eastAsia" w:ascii="仿宋_GB2312" w:hAnsi="仿宋_GB2312" w:eastAsia="仿宋_GB2312" w:cs="仿宋_GB2312"/>
                <w:b w:val="0"/>
                <w:color w:val="auto"/>
                <w:kern w:val="0"/>
                <w:sz w:val="21"/>
                <w:szCs w:val="21"/>
                <w:highlight w:val="none"/>
              </w:rPr>
              <w:t>1.按要求提供</w:t>
            </w:r>
          </w:p>
          <w:p w14:paraId="3B43AE3E">
            <w:pPr>
              <w:snapToGrid w:val="0"/>
              <w:jc w:val="left"/>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2.合法有效</w:t>
            </w:r>
          </w:p>
          <w:p w14:paraId="76C5B8F9">
            <w:pPr>
              <w:pStyle w:val="3"/>
              <w:adjustRightInd w:val="0"/>
              <w:snapToGrid w:val="0"/>
              <w:spacing w:before="0" w:after="0" w:line="240" w:lineRule="auto"/>
              <w:jc w:val="both"/>
              <w:rPr>
                <w:rFonts w:ascii="仿宋_GB2312" w:hAnsi="仿宋" w:eastAsia="仿宋_GB2312"/>
                <w:b w:val="0"/>
                <w:color w:val="auto"/>
                <w:sz w:val="21"/>
                <w:highlight w:val="none"/>
              </w:rPr>
            </w:pPr>
            <w:r>
              <w:rPr>
                <w:rFonts w:hint="eastAsia" w:ascii="仿宋_GB2312" w:hAnsi="仿宋_GB2312" w:eastAsia="仿宋_GB2312" w:cs="仿宋_GB2312"/>
                <w:b w:val="0"/>
                <w:color w:val="auto"/>
                <w:kern w:val="0"/>
                <w:sz w:val="21"/>
                <w:szCs w:val="21"/>
                <w:highlight w:val="none"/>
              </w:rPr>
              <w:t>3.</w:t>
            </w:r>
            <w:r>
              <w:rPr>
                <w:rFonts w:hint="eastAsia" w:ascii="仿宋_GB2312" w:hAnsi="仿宋_GB2312" w:eastAsia="仿宋_GB2312" w:cs="仿宋_GB2312"/>
                <w:b w:val="0"/>
                <w:color w:val="auto"/>
                <w:sz w:val="21"/>
                <w:szCs w:val="21"/>
                <w:highlight w:val="none"/>
              </w:rPr>
              <w:t>按规定签章</w:t>
            </w:r>
          </w:p>
        </w:tc>
        <w:tc>
          <w:tcPr>
            <w:tcW w:w="714" w:type="dxa"/>
          </w:tcPr>
          <w:p w14:paraId="0119F362">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713" w:type="dxa"/>
          </w:tcPr>
          <w:p w14:paraId="25703AC6">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721" w:type="dxa"/>
          </w:tcPr>
          <w:p w14:paraId="1778B90E">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r>
      <w:tr w14:paraId="38DFB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7109" w:type="dxa"/>
            <w:gridSpan w:val="3"/>
            <w:vAlign w:val="center"/>
          </w:tcPr>
          <w:p w14:paraId="5818BCA0">
            <w:pPr>
              <w:pStyle w:val="3"/>
              <w:adjustRightInd w:val="0"/>
              <w:snapToGrid w:val="0"/>
              <w:spacing w:before="0" w:after="0" w:line="240" w:lineRule="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结  论</w:t>
            </w:r>
          </w:p>
        </w:tc>
        <w:tc>
          <w:tcPr>
            <w:tcW w:w="714" w:type="dxa"/>
          </w:tcPr>
          <w:p w14:paraId="3AB4D8C8">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713" w:type="dxa"/>
          </w:tcPr>
          <w:p w14:paraId="307B7BC0">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721" w:type="dxa"/>
          </w:tcPr>
          <w:p w14:paraId="788F7E21">
            <w:pPr>
              <w:pStyle w:val="3"/>
              <w:adjustRightInd w:val="0"/>
              <w:snapToGrid w:val="0"/>
              <w:spacing w:before="0" w:after="0" w:line="240" w:lineRule="auto"/>
              <w:rPr>
                <w:rFonts w:ascii="仿宋_GB2312" w:hAnsi="仿宋_GB2312" w:eastAsia="仿宋_GB2312" w:cs="仿宋_GB2312"/>
                <w:color w:val="auto"/>
                <w:sz w:val="24"/>
                <w:highlight w:val="none"/>
              </w:rPr>
            </w:pPr>
          </w:p>
        </w:tc>
      </w:tr>
    </w:tbl>
    <w:p w14:paraId="157CB0D2">
      <w:pPr>
        <w:snapToGrid w:val="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填表说明：1.每项内容审查合格，在表中填写“√”；不合格填写“×”；</w:t>
      </w:r>
    </w:p>
    <w:p w14:paraId="2C54527B">
      <w:pPr>
        <w:snapToGrid w:val="0"/>
        <w:rPr>
          <w:rFonts w:ascii="仿宋_GB2312" w:hAnsi="仿宋" w:eastAsia="仿宋_GB2312" w:cs="仿宋_GB2312"/>
          <w:color w:val="auto"/>
          <w:highlight w:val="none"/>
        </w:rPr>
      </w:pPr>
      <w:r>
        <w:rPr>
          <w:rFonts w:hint="eastAsia" w:ascii="仿宋_GB2312" w:hAnsi="仿宋" w:eastAsia="仿宋_GB2312" w:cs="仿宋_GB2312"/>
          <w:color w:val="auto"/>
          <w:sz w:val="24"/>
          <w:highlight w:val="none"/>
        </w:rPr>
        <w:t xml:space="preserve">          2.审查结论填写“通过”或“不通过”。</w:t>
      </w:r>
    </w:p>
    <w:p w14:paraId="0121C6A2">
      <w:pPr>
        <w:pStyle w:val="20"/>
        <w:widowControl w:val="0"/>
        <w:snapToGrid w:val="0"/>
        <w:spacing w:before="319" w:beforeLines="100" w:beforeAutospacing="0" w:after="0" w:afterAutospacing="0" w:line="480" w:lineRule="auto"/>
        <w:jc w:val="both"/>
        <w:rPr>
          <w:rFonts w:ascii="仿宋_GB2312" w:hAnsi="仿宋" w:eastAsia="仿宋_GB2312" w:cs="仿宋_GB2312"/>
          <w:color w:val="auto"/>
          <w:highlight w:val="none"/>
        </w:rPr>
      </w:pPr>
      <w:r>
        <w:rPr>
          <w:rFonts w:hint="eastAsia" w:ascii="仿宋_GB2312" w:hAnsi="仿宋" w:eastAsia="仿宋_GB2312" w:cs="仿宋_GB2312"/>
          <w:color w:val="auto"/>
          <w:highlight w:val="none"/>
        </w:rPr>
        <w:t>审查人签字：</w:t>
      </w:r>
    </w:p>
    <w:p w14:paraId="58AAC786">
      <w:pPr>
        <w:pStyle w:val="20"/>
        <w:widowControl w:val="0"/>
        <w:snapToGrid w:val="0"/>
        <w:spacing w:before="0" w:beforeAutospacing="0" w:after="0" w:afterAutospacing="0" w:line="480" w:lineRule="auto"/>
        <w:jc w:val="both"/>
        <w:rPr>
          <w:rFonts w:ascii="仿宋_GB2312" w:hAnsi="仿宋" w:eastAsia="仿宋_GB2312" w:cs="仿宋_GB2312"/>
          <w:bCs/>
          <w:color w:val="auto"/>
          <w:highlight w:val="none"/>
        </w:rPr>
      </w:pPr>
      <w:r>
        <w:rPr>
          <w:rFonts w:hint="eastAsia" w:ascii="仿宋_GB2312" w:hAnsi="仿宋" w:eastAsia="仿宋_GB2312" w:cs="仿宋_GB2312"/>
          <w:bCs/>
          <w:color w:val="auto"/>
          <w:highlight w:val="none"/>
        </w:rPr>
        <w:t>日      期：</w:t>
      </w:r>
    </w:p>
    <w:p w14:paraId="62E81972">
      <w:pPr>
        <w:pStyle w:val="3"/>
        <w:adjustRightInd w:val="0"/>
        <w:snapToGrid w:val="0"/>
        <w:spacing w:before="0" w:after="0" w:line="240" w:lineRule="auto"/>
        <w:jc w:val="left"/>
        <w:rPr>
          <w:rFonts w:ascii="仿宋_GB2312" w:hAnsi="仿宋" w:eastAsia="仿宋_GB2312" w:cs="仿宋_GB2312"/>
          <w:color w:val="auto"/>
          <w:szCs w:val="28"/>
          <w:highlight w:val="none"/>
        </w:rPr>
        <w:sectPr>
          <w:pgSz w:w="11906" w:h="16838"/>
          <w:pgMar w:top="1468" w:right="1803" w:bottom="1272" w:left="1803" w:header="851" w:footer="899" w:gutter="0"/>
          <w:cols w:space="720" w:num="1"/>
          <w:docGrid w:type="linesAndChars" w:linePitch="319" w:charSpace="0"/>
        </w:sectPr>
      </w:pPr>
      <w:bookmarkStart w:id="145" w:name="_Toc11558_WPSOffice_Level2"/>
    </w:p>
    <w:p w14:paraId="323006CA">
      <w:pPr>
        <w:pStyle w:val="3"/>
        <w:adjustRightInd w:val="0"/>
        <w:snapToGrid w:val="0"/>
        <w:spacing w:before="0" w:after="0" w:line="240" w:lineRule="auto"/>
        <w:jc w:val="left"/>
        <w:rPr>
          <w:rFonts w:ascii="仿宋_GB2312" w:hAnsi="仿宋" w:eastAsia="仿宋_GB2312" w:cs="仿宋_GB2312"/>
          <w:color w:val="auto"/>
          <w:szCs w:val="28"/>
          <w:highlight w:val="none"/>
        </w:rPr>
      </w:pPr>
      <w:r>
        <w:rPr>
          <w:rFonts w:hint="eastAsia" w:ascii="仿宋_GB2312" w:hAnsi="仿宋" w:eastAsia="仿宋_GB2312" w:cs="仿宋_GB2312"/>
          <w:color w:val="auto"/>
          <w:szCs w:val="28"/>
          <w:highlight w:val="none"/>
        </w:rPr>
        <w:t>附件2</w:t>
      </w:r>
    </w:p>
    <w:p w14:paraId="17106639">
      <w:pPr>
        <w:jc w:val="center"/>
        <w:rPr>
          <w:rFonts w:ascii="方正小标宋简体" w:hAnsi="仿宋" w:eastAsia="方正小标宋简体" w:cs="仿宋_GB2312"/>
          <w:color w:val="auto"/>
          <w:sz w:val="32"/>
          <w:szCs w:val="32"/>
          <w:highlight w:val="none"/>
        </w:rPr>
      </w:pPr>
      <w:r>
        <w:rPr>
          <w:rFonts w:hint="eastAsia" w:ascii="方正小标宋简体" w:hAnsi="仿宋" w:eastAsia="方正小标宋简体" w:cs="仿宋_GB2312"/>
          <w:color w:val="auto"/>
          <w:sz w:val="32"/>
          <w:szCs w:val="32"/>
          <w:highlight w:val="none"/>
        </w:rPr>
        <w:t>符合性审查表</w:t>
      </w:r>
      <w:bookmarkEnd w:id="145"/>
    </w:p>
    <w:tbl>
      <w:tblPr>
        <w:tblStyle w:val="24"/>
        <w:tblW w:w="90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4"/>
        <w:gridCol w:w="2679"/>
        <w:gridCol w:w="3201"/>
        <w:gridCol w:w="867"/>
        <w:gridCol w:w="817"/>
        <w:gridCol w:w="854"/>
      </w:tblGrid>
      <w:tr w14:paraId="0BED0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664" w:type="dxa"/>
            <w:vMerge w:val="restart"/>
            <w:vAlign w:val="center"/>
          </w:tcPr>
          <w:p w14:paraId="586E0996">
            <w:pPr>
              <w:ind w:left="-84" w:leftChars="-40" w:right="-75" w:rightChars="-36"/>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序号</w:t>
            </w:r>
          </w:p>
        </w:tc>
        <w:tc>
          <w:tcPr>
            <w:tcW w:w="2679" w:type="dxa"/>
            <w:vMerge w:val="restart"/>
            <w:vAlign w:val="center"/>
          </w:tcPr>
          <w:p w14:paraId="09D6E638">
            <w:pPr>
              <w:ind w:left="-84" w:leftChars="-40" w:right="-75" w:rightChars="-36"/>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审查项目</w:t>
            </w:r>
          </w:p>
        </w:tc>
        <w:tc>
          <w:tcPr>
            <w:tcW w:w="3201" w:type="dxa"/>
            <w:vMerge w:val="restart"/>
            <w:vAlign w:val="center"/>
          </w:tcPr>
          <w:p w14:paraId="60936FD6">
            <w:pPr>
              <w:ind w:left="-84" w:leftChars="-40" w:right="-75" w:rightChars="-36"/>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审查标准</w:t>
            </w:r>
          </w:p>
        </w:tc>
        <w:tc>
          <w:tcPr>
            <w:tcW w:w="2538" w:type="dxa"/>
            <w:gridSpan w:val="3"/>
            <w:vAlign w:val="center"/>
          </w:tcPr>
          <w:p w14:paraId="6D87ABDA">
            <w:pPr>
              <w:ind w:left="-84" w:leftChars="-40" w:right="-75" w:rightChars="-36"/>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投标人名称</w:t>
            </w:r>
          </w:p>
        </w:tc>
      </w:tr>
      <w:tr w14:paraId="4E503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664" w:type="dxa"/>
            <w:vMerge w:val="continue"/>
            <w:vAlign w:val="center"/>
          </w:tcPr>
          <w:p w14:paraId="47A49119">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2679" w:type="dxa"/>
            <w:vMerge w:val="continue"/>
            <w:vAlign w:val="center"/>
          </w:tcPr>
          <w:p w14:paraId="19344171">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3201" w:type="dxa"/>
            <w:vMerge w:val="continue"/>
            <w:vAlign w:val="center"/>
          </w:tcPr>
          <w:p w14:paraId="5502978D">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867" w:type="dxa"/>
            <w:vAlign w:val="center"/>
          </w:tcPr>
          <w:p w14:paraId="72D287ED">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817" w:type="dxa"/>
            <w:vAlign w:val="center"/>
          </w:tcPr>
          <w:p w14:paraId="2C04CDF7">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854" w:type="dxa"/>
            <w:vAlign w:val="center"/>
          </w:tcPr>
          <w:p w14:paraId="3AB11048">
            <w:pPr>
              <w:pStyle w:val="3"/>
              <w:adjustRightInd w:val="0"/>
              <w:snapToGrid w:val="0"/>
              <w:spacing w:before="0" w:after="0" w:line="240" w:lineRule="auto"/>
              <w:rPr>
                <w:rFonts w:ascii="仿宋_GB2312" w:hAnsi="仿宋_GB2312" w:eastAsia="仿宋_GB2312" w:cs="仿宋_GB2312"/>
                <w:color w:val="auto"/>
                <w:sz w:val="24"/>
                <w:highlight w:val="none"/>
              </w:rPr>
            </w:pPr>
          </w:p>
        </w:tc>
      </w:tr>
      <w:tr w14:paraId="3D942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jc w:val="center"/>
        </w:trPr>
        <w:tc>
          <w:tcPr>
            <w:tcW w:w="664" w:type="dxa"/>
            <w:vAlign w:val="center"/>
          </w:tcPr>
          <w:p w14:paraId="408F5378">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kern w:val="0"/>
                <w:szCs w:val="21"/>
                <w:highlight w:val="none"/>
              </w:rPr>
              <w:t>1</w:t>
            </w:r>
          </w:p>
        </w:tc>
        <w:tc>
          <w:tcPr>
            <w:tcW w:w="2679" w:type="dxa"/>
            <w:vAlign w:val="center"/>
          </w:tcPr>
          <w:p w14:paraId="07E91168">
            <w:pPr>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kern w:val="0"/>
                <w:szCs w:val="21"/>
                <w:highlight w:val="none"/>
              </w:rPr>
              <w:t>投标函</w:t>
            </w:r>
          </w:p>
        </w:tc>
        <w:tc>
          <w:tcPr>
            <w:tcW w:w="3201" w:type="dxa"/>
            <w:vAlign w:val="center"/>
          </w:tcPr>
          <w:p w14:paraId="5902F1E5">
            <w:pPr>
              <w:pStyle w:val="3"/>
              <w:adjustRightInd w:val="0"/>
              <w:snapToGrid w:val="0"/>
              <w:spacing w:before="0" w:after="0" w:line="240" w:lineRule="auto"/>
              <w:jc w:val="both"/>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1.按给定格式填写</w:t>
            </w:r>
          </w:p>
          <w:p w14:paraId="5EBE88E6">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2.响应招标文件实质性要求</w:t>
            </w:r>
          </w:p>
          <w:p w14:paraId="2957C1E9">
            <w:pPr>
              <w:pStyle w:val="3"/>
              <w:adjustRightInd w:val="0"/>
              <w:snapToGrid w:val="0"/>
              <w:spacing w:before="0" w:after="0" w:line="240" w:lineRule="auto"/>
              <w:jc w:val="both"/>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3.按规定签章</w:t>
            </w:r>
          </w:p>
        </w:tc>
        <w:tc>
          <w:tcPr>
            <w:tcW w:w="867" w:type="dxa"/>
            <w:vAlign w:val="center"/>
          </w:tcPr>
          <w:p w14:paraId="2610AF3E">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817" w:type="dxa"/>
            <w:vAlign w:val="center"/>
          </w:tcPr>
          <w:p w14:paraId="34E17CB4">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854" w:type="dxa"/>
            <w:vAlign w:val="center"/>
          </w:tcPr>
          <w:p w14:paraId="59CBFD28">
            <w:pPr>
              <w:pStyle w:val="3"/>
              <w:adjustRightInd w:val="0"/>
              <w:snapToGrid w:val="0"/>
              <w:spacing w:before="0" w:after="0" w:line="240" w:lineRule="auto"/>
              <w:rPr>
                <w:rFonts w:ascii="仿宋_GB2312" w:hAnsi="仿宋_GB2312" w:eastAsia="仿宋_GB2312" w:cs="仿宋_GB2312"/>
                <w:color w:val="auto"/>
                <w:sz w:val="24"/>
                <w:highlight w:val="none"/>
              </w:rPr>
            </w:pPr>
          </w:p>
        </w:tc>
      </w:tr>
      <w:tr w14:paraId="18A60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jc w:val="center"/>
        </w:trPr>
        <w:tc>
          <w:tcPr>
            <w:tcW w:w="664" w:type="dxa"/>
            <w:vAlign w:val="center"/>
          </w:tcPr>
          <w:p w14:paraId="6F3B03F6">
            <w:pPr>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2</w:t>
            </w:r>
          </w:p>
        </w:tc>
        <w:tc>
          <w:tcPr>
            <w:tcW w:w="2679" w:type="dxa"/>
            <w:vAlign w:val="center"/>
          </w:tcPr>
          <w:p w14:paraId="3DD0D72A">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递交投标保证金证明材料</w:t>
            </w:r>
          </w:p>
        </w:tc>
        <w:tc>
          <w:tcPr>
            <w:tcW w:w="3201" w:type="dxa"/>
            <w:vAlign w:val="center"/>
          </w:tcPr>
          <w:p w14:paraId="4E23E434">
            <w:pPr>
              <w:pStyle w:val="3"/>
              <w:adjustRightInd w:val="0"/>
              <w:snapToGrid w:val="0"/>
              <w:spacing w:before="0" w:after="0" w:line="240" w:lineRule="auto"/>
              <w:jc w:val="both"/>
              <w:rPr>
                <w:rFonts w:ascii="仿宋_GB2312" w:hAnsi="仿宋" w:eastAsia="仿宋_GB2312"/>
                <w:b w:val="0"/>
                <w:color w:val="auto"/>
                <w:sz w:val="21"/>
                <w:highlight w:val="none"/>
              </w:rPr>
            </w:pPr>
            <w:r>
              <w:rPr>
                <w:rFonts w:hint="eastAsia" w:ascii="仿宋_GB2312" w:hAnsi="仿宋" w:eastAsia="仿宋_GB2312"/>
                <w:b w:val="0"/>
                <w:color w:val="auto"/>
                <w:sz w:val="21"/>
                <w:highlight w:val="none"/>
              </w:rPr>
              <w:t>1.按要求提供</w:t>
            </w:r>
          </w:p>
          <w:p w14:paraId="1E0E6A37">
            <w:pPr>
              <w:rPr>
                <w:rFonts w:ascii="仿宋_GB2312" w:hAnsi="仿宋_GB2312" w:eastAsia="仿宋_GB2312" w:cs="仿宋_GB2312"/>
                <w:b/>
                <w:color w:val="auto"/>
                <w:szCs w:val="21"/>
                <w:highlight w:val="none"/>
              </w:rPr>
            </w:pPr>
            <w:r>
              <w:rPr>
                <w:rFonts w:hint="eastAsia" w:ascii="仿宋_GB2312" w:hAnsi="仿宋" w:eastAsia="仿宋_GB2312"/>
                <w:color w:val="auto"/>
                <w:highlight w:val="none"/>
              </w:rPr>
              <w:t>2.合法有效</w:t>
            </w:r>
          </w:p>
        </w:tc>
        <w:tc>
          <w:tcPr>
            <w:tcW w:w="867" w:type="dxa"/>
            <w:vAlign w:val="center"/>
          </w:tcPr>
          <w:p w14:paraId="587C0172">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817" w:type="dxa"/>
            <w:vAlign w:val="center"/>
          </w:tcPr>
          <w:p w14:paraId="0E7966CA">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854" w:type="dxa"/>
            <w:vAlign w:val="center"/>
          </w:tcPr>
          <w:p w14:paraId="0F307B1F">
            <w:pPr>
              <w:pStyle w:val="3"/>
              <w:adjustRightInd w:val="0"/>
              <w:snapToGrid w:val="0"/>
              <w:spacing w:before="0" w:after="0" w:line="240" w:lineRule="auto"/>
              <w:rPr>
                <w:rFonts w:ascii="仿宋_GB2312" w:hAnsi="仿宋_GB2312" w:eastAsia="仿宋_GB2312" w:cs="仿宋_GB2312"/>
                <w:color w:val="auto"/>
                <w:sz w:val="24"/>
                <w:highlight w:val="none"/>
              </w:rPr>
            </w:pPr>
          </w:p>
        </w:tc>
      </w:tr>
      <w:tr w14:paraId="7E506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4" w:hRule="atLeast"/>
          <w:jc w:val="center"/>
        </w:trPr>
        <w:tc>
          <w:tcPr>
            <w:tcW w:w="664" w:type="dxa"/>
            <w:vAlign w:val="center"/>
          </w:tcPr>
          <w:p w14:paraId="73D90F87">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kern w:val="0"/>
                <w:szCs w:val="21"/>
                <w:highlight w:val="none"/>
              </w:rPr>
              <w:t>3</w:t>
            </w:r>
          </w:p>
        </w:tc>
        <w:tc>
          <w:tcPr>
            <w:tcW w:w="2679" w:type="dxa"/>
            <w:vAlign w:val="center"/>
          </w:tcPr>
          <w:p w14:paraId="3BA8AA01">
            <w:pPr>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kern w:val="0"/>
                <w:szCs w:val="21"/>
                <w:highlight w:val="none"/>
              </w:rPr>
              <w:t>开标一览表</w:t>
            </w:r>
          </w:p>
        </w:tc>
        <w:tc>
          <w:tcPr>
            <w:tcW w:w="3201" w:type="dxa"/>
            <w:vAlign w:val="center"/>
          </w:tcPr>
          <w:p w14:paraId="418A4F73">
            <w:pPr>
              <w:pStyle w:val="3"/>
              <w:adjustRightInd w:val="0"/>
              <w:snapToGrid w:val="0"/>
              <w:spacing w:before="0" w:after="0" w:line="240" w:lineRule="auto"/>
              <w:jc w:val="both"/>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1.按给定格式填写</w:t>
            </w:r>
          </w:p>
          <w:p w14:paraId="1C5ACB8F">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2.响应招标文件实质性要求</w:t>
            </w:r>
          </w:p>
          <w:p w14:paraId="5DA2CDBA">
            <w:pPr>
              <w:pStyle w:val="3"/>
              <w:adjustRightInd w:val="0"/>
              <w:snapToGrid w:val="0"/>
              <w:spacing w:before="0" w:after="0" w:line="240" w:lineRule="auto"/>
              <w:jc w:val="both"/>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3.按规定签章</w:t>
            </w:r>
          </w:p>
        </w:tc>
        <w:tc>
          <w:tcPr>
            <w:tcW w:w="867" w:type="dxa"/>
          </w:tcPr>
          <w:p w14:paraId="1FA18CB2">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817" w:type="dxa"/>
          </w:tcPr>
          <w:p w14:paraId="354C60E4">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854" w:type="dxa"/>
          </w:tcPr>
          <w:p w14:paraId="0F8D94FE">
            <w:pPr>
              <w:pStyle w:val="3"/>
              <w:adjustRightInd w:val="0"/>
              <w:snapToGrid w:val="0"/>
              <w:spacing w:before="0" w:after="0" w:line="240" w:lineRule="auto"/>
              <w:rPr>
                <w:rFonts w:ascii="仿宋_GB2312" w:hAnsi="仿宋_GB2312" w:eastAsia="仿宋_GB2312" w:cs="仿宋_GB2312"/>
                <w:color w:val="auto"/>
                <w:sz w:val="24"/>
                <w:highlight w:val="none"/>
              </w:rPr>
            </w:pPr>
          </w:p>
        </w:tc>
      </w:tr>
      <w:tr w14:paraId="748A3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8" w:hRule="atLeast"/>
          <w:jc w:val="center"/>
        </w:trPr>
        <w:tc>
          <w:tcPr>
            <w:tcW w:w="664" w:type="dxa"/>
            <w:vAlign w:val="center"/>
          </w:tcPr>
          <w:p w14:paraId="3CA45014">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kern w:val="0"/>
                <w:szCs w:val="21"/>
                <w:highlight w:val="none"/>
              </w:rPr>
              <w:t>4</w:t>
            </w:r>
          </w:p>
        </w:tc>
        <w:tc>
          <w:tcPr>
            <w:tcW w:w="2679" w:type="dxa"/>
            <w:vAlign w:val="center"/>
          </w:tcPr>
          <w:p w14:paraId="35C3C954">
            <w:pPr>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kern w:val="0"/>
                <w:szCs w:val="21"/>
                <w:highlight w:val="none"/>
              </w:rPr>
              <w:t>分项报价表</w:t>
            </w:r>
          </w:p>
        </w:tc>
        <w:tc>
          <w:tcPr>
            <w:tcW w:w="3201" w:type="dxa"/>
            <w:vAlign w:val="center"/>
          </w:tcPr>
          <w:p w14:paraId="2ADB4EAE">
            <w:pPr>
              <w:pStyle w:val="3"/>
              <w:adjustRightInd w:val="0"/>
              <w:snapToGrid w:val="0"/>
              <w:spacing w:before="0" w:after="0" w:line="240" w:lineRule="auto"/>
              <w:jc w:val="both"/>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1.按给定格式填写，信息完整</w:t>
            </w:r>
          </w:p>
          <w:p w14:paraId="5155DFB6">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2.响应招标文件实质性要求</w:t>
            </w:r>
          </w:p>
          <w:p w14:paraId="232594A8">
            <w:pPr>
              <w:pStyle w:val="3"/>
              <w:adjustRightInd w:val="0"/>
              <w:snapToGrid w:val="0"/>
              <w:spacing w:before="0" w:after="0" w:line="240" w:lineRule="auto"/>
              <w:jc w:val="both"/>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3.按规定签章</w:t>
            </w:r>
          </w:p>
        </w:tc>
        <w:tc>
          <w:tcPr>
            <w:tcW w:w="867" w:type="dxa"/>
          </w:tcPr>
          <w:p w14:paraId="11B91633">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817" w:type="dxa"/>
          </w:tcPr>
          <w:p w14:paraId="78D4F4D5">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854" w:type="dxa"/>
          </w:tcPr>
          <w:p w14:paraId="323A95C3">
            <w:pPr>
              <w:pStyle w:val="3"/>
              <w:adjustRightInd w:val="0"/>
              <w:snapToGrid w:val="0"/>
              <w:spacing w:before="0" w:after="0" w:line="240" w:lineRule="auto"/>
              <w:rPr>
                <w:rFonts w:ascii="仿宋_GB2312" w:hAnsi="仿宋_GB2312" w:eastAsia="仿宋_GB2312" w:cs="仿宋_GB2312"/>
                <w:color w:val="auto"/>
                <w:sz w:val="24"/>
                <w:highlight w:val="none"/>
              </w:rPr>
            </w:pPr>
          </w:p>
        </w:tc>
      </w:tr>
      <w:tr w14:paraId="79D01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jc w:val="center"/>
        </w:trPr>
        <w:tc>
          <w:tcPr>
            <w:tcW w:w="664" w:type="dxa"/>
            <w:vAlign w:val="center"/>
          </w:tcPr>
          <w:p w14:paraId="33E2FCF9">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kern w:val="0"/>
                <w:szCs w:val="21"/>
                <w:highlight w:val="none"/>
              </w:rPr>
              <w:t>5</w:t>
            </w:r>
          </w:p>
        </w:tc>
        <w:tc>
          <w:tcPr>
            <w:tcW w:w="2679" w:type="dxa"/>
            <w:vAlign w:val="center"/>
          </w:tcPr>
          <w:p w14:paraId="708AF14F">
            <w:pPr>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kern w:val="0"/>
                <w:szCs w:val="21"/>
                <w:highlight w:val="none"/>
              </w:rPr>
              <w:t>技术规格偏离表</w:t>
            </w:r>
          </w:p>
        </w:tc>
        <w:tc>
          <w:tcPr>
            <w:tcW w:w="3201" w:type="dxa"/>
            <w:vAlign w:val="center"/>
          </w:tcPr>
          <w:p w14:paraId="7B3981A4">
            <w:pPr>
              <w:pStyle w:val="3"/>
              <w:adjustRightInd w:val="0"/>
              <w:snapToGrid w:val="0"/>
              <w:spacing w:before="0" w:after="0" w:line="240" w:lineRule="auto"/>
              <w:jc w:val="both"/>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1.按给定格式及填表要求填写</w:t>
            </w:r>
          </w:p>
          <w:p w14:paraId="45E041BE">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2.响应招标文件实质性要求</w:t>
            </w:r>
          </w:p>
          <w:p w14:paraId="7989D6E7">
            <w:pPr>
              <w:pStyle w:val="3"/>
              <w:adjustRightInd w:val="0"/>
              <w:snapToGrid w:val="0"/>
              <w:spacing w:before="0" w:after="0" w:line="240" w:lineRule="auto"/>
              <w:jc w:val="both"/>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3.按规定签章</w:t>
            </w:r>
          </w:p>
        </w:tc>
        <w:tc>
          <w:tcPr>
            <w:tcW w:w="867" w:type="dxa"/>
          </w:tcPr>
          <w:p w14:paraId="15D7A228">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817" w:type="dxa"/>
          </w:tcPr>
          <w:p w14:paraId="72B03F4D">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854" w:type="dxa"/>
          </w:tcPr>
          <w:p w14:paraId="5B3E6D7F">
            <w:pPr>
              <w:pStyle w:val="3"/>
              <w:adjustRightInd w:val="0"/>
              <w:snapToGrid w:val="0"/>
              <w:spacing w:before="0" w:after="0" w:line="240" w:lineRule="auto"/>
              <w:rPr>
                <w:rFonts w:ascii="仿宋_GB2312" w:hAnsi="仿宋_GB2312" w:eastAsia="仿宋_GB2312" w:cs="仿宋_GB2312"/>
                <w:color w:val="auto"/>
                <w:sz w:val="24"/>
                <w:highlight w:val="none"/>
              </w:rPr>
            </w:pPr>
          </w:p>
        </w:tc>
      </w:tr>
      <w:tr w14:paraId="0F8A2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jc w:val="center"/>
        </w:trPr>
        <w:tc>
          <w:tcPr>
            <w:tcW w:w="664" w:type="dxa"/>
            <w:vAlign w:val="center"/>
          </w:tcPr>
          <w:p w14:paraId="6D5CABCB">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kern w:val="0"/>
                <w:szCs w:val="21"/>
                <w:highlight w:val="none"/>
              </w:rPr>
              <w:t>6</w:t>
            </w:r>
          </w:p>
        </w:tc>
        <w:tc>
          <w:tcPr>
            <w:tcW w:w="2679" w:type="dxa"/>
            <w:vAlign w:val="center"/>
          </w:tcPr>
          <w:p w14:paraId="17235D98">
            <w:pPr>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kern w:val="0"/>
                <w:szCs w:val="21"/>
                <w:highlight w:val="none"/>
              </w:rPr>
              <w:t>商务条款偏离表</w:t>
            </w:r>
          </w:p>
        </w:tc>
        <w:tc>
          <w:tcPr>
            <w:tcW w:w="3201" w:type="dxa"/>
            <w:vAlign w:val="center"/>
          </w:tcPr>
          <w:p w14:paraId="48579671">
            <w:pPr>
              <w:pStyle w:val="3"/>
              <w:adjustRightInd w:val="0"/>
              <w:snapToGrid w:val="0"/>
              <w:spacing w:before="0" w:after="0" w:line="240" w:lineRule="auto"/>
              <w:jc w:val="both"/>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1.按给定格式及填表要求填写</w:t>
            </w:r>
          </w:p>
          <w:p w14:paraId="39DE8CDC">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2.响应招标文件实质性要求</w:t>
            </w:r>
          </w:p>
          <w:p w14:paraId="799F98D7">
            <w:pPr>
              <w:pStyle w:val="3"/>
              <w:adjustRightInd w:val="0"/>
              <w:snapToGrid w:val="0"/>
              <w:spacing w:before="0" w:after="0" w:line="240" w:lineRule="auto"/>
              <w:jc w:val="both"/>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3.按规定签章</w:t>
            </w:r>
          </w:p>
        </w:tc>
        <w:tc>
          <w:tcPr>
            <w:tcW w:w="867" w:type="dxa"/>
          </w:tcPr>
          <w:p w14:paraId="19BE4949">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817" w:type="dxa"/>
          </w:tcPr>
          <w:p w14:paraId="77855655">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854" w:type="dxa"/>
          </w:tcPr>
          <w:p w14:paraId="516C028B">
            <w:pPr>
              <w:pStyle w:val="3"/>
              <w:adjustRightInd w:val="0"/>
              <w:snapToGrid w:val="0"/>
              <w:spacing w:before="0" w:after="0" w:line="240" w:lineRule="auto"/>
              <w:rPr>
                <w:rFonts w:ascii="仿宋_GB2312" w:hAnsi="仿宋_GB2312" w:eastAsia="仿宋_GB2312" w:cs="仿宋_GB2312"/>
                <w:color w:val="auto"/>
                <w:sz w:val="24"/>
                <w:highlight w:val="none"/>
              </w:rPr>
            </w:pPr>
          </w:p>
        </w:tc>
      </w:tr>
      <w:tr w14:paraId="0D444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664" w:type="dxa"/>
            <w:vAlign w:val="center"/>
          </w:tcPr>
          <w:p w14:paraId="3151F2E8">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kern w:val="0"/>
                <w:szCs w:val="21"/>
                <w:highlight w:val="none"/>
              </w:rPr>
              <w:t>7</w:t>
            </w:r>
          </w:p>
        </w:tc>
        <w:tc>
          <w:tcPr>
            <w:tcW w:w="2679" w:type="dxa"/>
            <w:vAlign w:val="center"/>
          </w:tcPr>
          <w:p w14:paraId="10B3B372">
            <w:pPr>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kern w:val="0"/>
                <w:szCs w:val="21"/>
                <w:highlight w:val="none"/>
              </w:rPr>
              <w:t>投标人关联单位说明</w:t>
            </w:r>
          </w:p>
        </w:tc>
        <w:tc>
          <w:tcPr>
            <w:tcW w:w="3201" w:type="dxa"/>
            <w:vAlign w:val="center"/>
          </w:tcPr>
          <w:p w14:paraId="181FC2B4">
            <w:pPr>
              <w:pStyle w:val="3"/>
              <w:adjustRightInd w:val="0"/>
              <w:snapToGrid w:val="0"/>
              <w:spacing w:before="0" w:after="0" w:line="240" w:lineRule="auto"/>
              <w:jc w:val="both"/>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1.无投标须知1.5所述情形</w:t>
            </w:r>
          </w:p>
          <w:p w14:paraId="66A171BB">
            <w:pPr>
              <w:pStyle w:val="3"/>
              <w:adjustRightInd w:val="0"/>
              <w:snapToGrid w:val="0"/>
              <w:spacing w:before="0" w:after="0" w:line="240" w:lineRule="auto"/>
              <w:jc w:val="both"/>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2.按</w:t>
            </w:r>
            <w:r>
              <w:rPr>
                <w:rFonts w:hint="eastAsia" w:ascii="仿宋_GB2312" w:hAnsi="仿宋_GB2312" w:eastAsia="仿宋_GB2312" w:cs="仿宋_GB2312"/>
                <w:b w:val="0"/>
                <w:color w:val="auto"/>
                <w:sz w:val="21"/>
                <w:szCs w:val="21"/>
                <w:highlight w:val="none"/>
                <w:lang w:val="en-US" w:eastAsia="zh-CN"/>
              </w:rPr>
              <w:t>给</w:t>
            </w:r>
            <w:r>
              <w:rPr>
                <w:rFonts w:hint="eastAsia" w:ascii="仿宋_GB2312" w:hAnsi="仿宋_GB2312" w:eastAsia="仿宋_GB2312" w:cs="仿宋_GB2312"/>
                <w:b w:val="0"/>
                <w:color w:val="auto"/>
                <w:sz w:val="21"/>
                <w:szCs w:val="21"/>
                <w:highlight w:val="none"/>
              </w:rPr>
              <w:t>定格式填写</w:t>
            </w:r>
          </w:p>
          <w:p w14:paraId="590174BB">
            <w:pPr>
              <w:pStyle w:val="3"/>
              <w:adjustRightInd w:val="0"/>
              <w:snapToGrid w:val="0"/>
              <w:spacing w:before="0" w:after="0" w:line="240" w:lineRule="auto"/>
              <w:jc w:val="both"/>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3.按规定签章</w:t>
            </w:r>
          </w:p>
        </w:tc>
        <w:tc>
          <w:tcPr>
            <w:tcW w:w="867" w:type="dxa"/>
          </w:tcPr>
          <w:p w14:paraId="73146581">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817" w:type="dxa"/>
          </w:tcPr>
          <w:p w14:paraId="34BE7103">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854" w:type="dxa"/>
          </w:tcPr>
          <w:p w14:paraId="7C073F72">
            <w:pPr>
              <w:pStyle w:val="3"/>
              <w:adjustRightInd w:val="0"/>
              <w:snapToGrid w:val="0"/>
              <w:spacing w:before="0" w:after="0" w:line="240" w:lineRule="auto"/>
              <w:rPr>
                <w:rFonts w:ascii="仿宋_GB2312" w:hAnsi="仿宋_GB2312" w:eastAsia="仿宋_GB2312" w:cs="仿宋_GB2312"/>
                <w:color w:val="auto"/>
                <w:sz w:val="24"/>
                <w:highlight w:val="none"/>
              </w:rPr>
            </w:pPr>
          </w:p>
        </w:tc>
      </w:tr>
      <w:tr w14:paraId="6C0A3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664" w:type="dxa"/>
            <w:vAlign w:val="center"/>
          </w:tcPr>
          <w:p w14:paraId="7AA92516">
            <w:pPr>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8</w:t>
            </w:r>
          </w:p>
        </w:tc>
        <w:tc>
          <w:tcPr>
            <w:tcW w:w="2679" w:type="dxa"/>
            <w:vAlign w:val="center"/>
          </w:tcPr>
          <w:p w14:paraId="2932332D">
            <w:pPr>
              <w:jc w:val="left"/>
              <w:rPr>
                <w:rFonts w:ascii="仿宋_GB2312" w:hAnsi="仿宋_GB2312" w:eastAsia="仿宋_GB2312" w:cs="仿宋_GB2312"/>
                <w:color w:val="auto"/>
                <w:kern w:val="0"/>
                <w:szCs w:val="21"/>
                <w:highlight w:val="none"/>
              </w:rPr>
            </w:pPr>
            <w:r>
              <w:rPr>
                <w:rFonts w:hint="eastAsia" w:ascii="仿宋_GB2312" w:hAnsi="仿宋" w:eastAsia="仿宋_GB2312" w:cs="仿宋_GB2312"/>
                <w:color w:val="auto"/>
                <w:szCs w:val="21"/>
                <w:highlight w:val="none"/>
              </w:rPr>
              <w:t>文件一致性承诺函</w:t>
            </w:r>
          </w:p>
        </w:tc>
        <w:tc>
          <w:tcPr>
            <w:tcW w:w="3201" w:type="dxa"/>
            <w:vAlign w:val="center"/>
          </w:tcPr>
          <w:p w14:paraId="4F53AB78">
            <w:pPr>
              <w:pStyle w:val="3"/>
              <w:adjustRightInd w:val="0"/>
              <w:snapToGrid w:val="0"/>
              <w:spacing w:before="0" w:after="0" w:line="240" w:lineRule="auto"/>
              <w:jc w:val="both"/>
              <w:rPr>
                <w:rFonts w:ascii="仿宋_GB2312" w:hAnsi="仿宋" w:eastAsia="仿宋_GB2312" w:cs="仿宋_GB2312"/>
                <w:b w:val="0"/>
                <w:color w:val="auto"/>
                <w:sz w:val="21"/>
                <w:szCs w:val="21"/>
                <w:highlight w:val="none"/>
              </w:rPr>
            </w:pPr>
            <w:r>
              <w:rPr>
                <w:rFonts w:hint="eastAsia" w:ascii="仿宋_GB2312" w:hAnsi="仿宋" w:eastAsia="仿宋_GB2312" w:cs="仿宋_GB2312"/>
                <w:b w:val="0"/>
                <w:color w:val="auto"/>
                <w:sz w:val="21"/>
                <w:szCs w:val="21"/>
                <w:highlight w:val="none"/>
              </w:rPr>
              <w:t>1.按给定格式及内容填写</w:t>
            </w:r>
          </w:p>
          <w:p w14:paraId="26E8C403">
            <w:pPr>
              <w:pStyle w:val="3"/>
              <w:adjustRightInd w:val="0"/>
              <w:snapToGrid w:val="0"/>
              <w:spacing w:before="0" w:after="0" w:line="240" w:lineRule="auto"/>
              <w:jc w:val="both"/>
              <w:rPr>
                <w:rFonts w:ascii="仿宋_GB2312" w:hAnsi="仿宋_GB2312" w:eastAsia="仿宋_GB2312" w:cs="仿宋_GB2312"/>
                <w:b w:val="0"/>
                <w:color w:val="auto"/>
                <w:sz w:val="21"/>
                <w:szCs w:val="21"/>
                <w:highlight w:val="none"/>
              </w:rPr>
            </w:pPr>
            <w:r>
              <w:rPr>
                <w:rFonts w:hint="eastAsia" w:ascii="仿宋_GB2312" w:hAnsi="仿宋" w:eastAsia="仿宋_GB2312" w:cs="仿宋_GB2312"/>
                <w:b w:val="0"/>
                <w:color w:val="auto"/>
                <w:sz w:val="21"/>
                <w:szCs w:val="21"/>
                <w:highlight w:val="none"/>
              </w:rPr>
              <w:t>2.按规定签章</w:t>
            </w:r>
          </w:p>
        </w:tc>
        <w:tc>
          <w:tcPr>
            <w:tcW w:w="867" w:type="dxa"/>
          </w:tcPr>
          <w:p w14:paraId="4C5C034A">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817" w:type="dxa"/>
          </w:tcPr>
          <w:p w14:paraId="5C82E069">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854" w:type="dxa"/>
          </w:tcPr>
          <w:p w14:paraId="2B9B5D0C">
            <w:pPr>
              <w:pStyle w:val="3"/>
              <w:adjustRightInd w:val="0"/>
              <w:snapToGrid w:val="0"/>
              <w:spacing w:before="0" w:after="0" w:line="240" w:lineRule="auto"/>
              <w:rPr>
                <w:rFonts w:ascii="仿宋_GB2312" w:hAnsi="仿宋_GB2312" w:eastAsia="仿宋_GB2312" w:cs="仿宋_GB2312"/>
                <w:color w:val="auto"/>
                <w:sz w:val="24"/>
                <w:highlight w:val="none"/>
              </w:rPr>
            </w:pPr>
          </w:p>
        </w:tc>
      </w:tr>
      <w:tr w14:paraId="49FB2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6544" w:type="dxa"/>
            <w:gridSpan w:val="3"/>
            <w:vAlign w:val="center"/>
          </w:tcPr>
          <w:p w14:paraId="3EA5D1E9">
            <w:pPr>
              <w:pStyle w:val="3"/>
              <w:adjustRightInd w:val="0"/>
              <w:snapToGrid w:val="0"/>
              <w:spacing w:before="0" w:after="0" w:line="240" w:lineRule="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结  论</w:t>
            </w:r>
          </w:p>
        </w:tc>
        <w:tc>
          <w:tcPr>
            <w:tcW w:w="867" w:type="dxa"/>
          </w:tcPr>
          <w:p w14:paraId="334D1154">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817" w:type="dxa"/>
          </w:tcPr>
          <w:p w14:paraId="495D16B0">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854" w:type="dxa"/>
          </w:tcPr>
          <w:p w14:paraId="42E4B439">
            <w:pPr>
              <w:pStyle w:val="3"/>
              <w:adjustRightInd w:val="0"/>
              <w:snapToGrid w:val="0"/>
              <w:spacing w:before="0" w:after="0" w:line="240" w:lineRule="auto"/>
              <w:rPr>
                <w:rFonts w:ascii="仿宋_GB2312" w:hAnsi="仿宋_GB2312" w:eastAsia="仿宋_GB2312" w:cs="仿宋_GB2312"/>
                <w:color w:val="auto"/>
                <w:sz w:val="24"/>
                <w:highlight w:val="none"/>
              </w:rPr>
            </w:pPr>
          </w:p>
        </w:tc>
      </w:tr>
    </w:tbl>
    <w:p w14:paraId="698BCFB9">
      <w:pP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填表说明：1.每项内容审查合格，在表中填写“√”；不合格填写“×”；</w:t>
      </w:r>
    </w:p>
    <w:p w14:paraId="6A55827B">
      <w:pP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 xml:space="preserve">          2.审查结论填写“通过”或“不通过”。</w:t>
      </w:r>
    </w:p>
    <w:p w14:paraId="3F451B36">
      <w:pPr>
        <w:pStyle w:val="20"/>
        <w:widowControl w:val="0"/>
        <w:snapToGrid w:val="0"/>
        <w:spacing w:before="0" w:beforeAutospacing="0" w:after="0" w:afterAutospacing="0" w:line="480" w:lineRule="auto"/>
        <w:rPr>
          <w:rFonts w:ascii="仿宋_GB2312" w:hAnsi="仿宋" w:eastAsia="仿宋_GB2312" w:cs="仿宋_GB2312"/>
          <w:color w:val="auto"/>
          <w:highlight w:val="none"/>
        </w:rPr>
      </w:pPr>
    </w:p>
    <w:p w14:paraId="6EA93C04">
      <w:pPr>
        <w:pStyle w:val="20"/>
        <w:widowControl w:val="0"/>
        <w:snapToGrid w:val="0"/>
        <w:spacing w:before="0" w:beforeAutospacing="0" w:after="0" w:afterAutospacing="0" w:line="480" w:lineRule="auto"/>
        <w:ind w:left="6720" w:hanging="6720" w:hangingChars="2800"/>
        <w:rPr>
          <w:rFonts w:ascii="仿宋_GB2312" w:hAnsi="仿宋" w:eastAsia="仿宋_GB2312" w:cs="仿宋_GB2312"/>
          <w:color w:val="auto"/>
          <w:highlight w:val="none"/>
        </w:rPr>
      </w:pPr>
      <w:r>
        <w:rPr>
          <w:rFonts w:hint="eastAsia" w:ascii="仿宋_GB2312" w:hAnsi="仿宋" w:eastAsia="仿宋_GB2312" w:cs="仿宋_GB2312"/>
          <w:color w:val="auto"/>
          <w:highlight w:val="none"/>
        </w:rPr>
        <w:t xml:space="preserve">审查人签字： </w:t>
      </w:r>
    </w:p>
    <w:p w14:paraId="3B6FEB17">
      <w:pPr>
        <w:pStyle w:val="20"/>
        <w:widowControl w:val="0"/>
        <w:snapToGrid w:val="0"/>
        <w:spacing w:before="0" w:beforeAutospacing="0" w:after="0" w:afterAutospacing="0" w:line="480" w:lineRule="auto"/>
        <w:ind w:left="6720" w:hanging="6720" w:hangingChars="2800"/>
        <w:rPr>
          <w:rFonts w:ascii="仿宋_GB2312" w:hAnsi="仿宋" w:eastAsia="仿宋_GB2312" w:cs="仿宋_GB2312"/>
          <w:b/>
          <w:color w:val="auto"/>
          <w:highlight w:val="none"/>
        </w:rPr>
      </w:pPr>
      <w:r>
        <w:rPr>
          <w:rFonts w:hint="eastAsia" w:ascii="仿宋_GB2312" w:hAnsi="仿宋" w:eastAsia="仿宋_GB2312" w:cs="仿宋_GB2312"/>
          <w:bCs/>
          <w:color w:val="auto"/>
          <w:highlight w:val="none"/>
        </w:rPr>
        <w:t>日      期：</w:t>
      </w:r>
      <w:bookmarkStart w:id="146" w:name="_Toc17433_WPSOffice_Level2"/>
      <w:r>
        <w:rPr>
          <w:rFonts w:hint="eastAsia" w:ascii="仿宋_GB2312" w:hAnsi="仿宋" w:eastAsia="仿宋_GB2312" w:cs="仿宋_GB2312"/>
          <w:b/>
          <w:color w:val="auto"/>
          <w:highlight w:val="none"/>
        </w:rPr>
        <w:t xml:space="preserve"> </w:t>
      </w:r>
    </w:p>
    <w:p w14:paraId="66BFF572">
      <w:pPr>
        <w:pStyle w:val="3"/>
        <w:adjustRightInd w:val="0"/>
        <w:snapToGrid w:val="0"/>
        <w:spacing w:before="0" w:after="0" w:line="240" w:lineRule="auto"/>
        <w:jc w:val="left"/>
        <w:rPr>
          <w:rFonts w:ascii="仿宋_GB2312" w:hAnsi="仿宋" w:eastAsia="仿宋_GB2312" w:cs="仿宋_GB2312"/>
          <w:color w:val="auto"/>
          <w:szCs w:val="28"/>
          <w:highlight w:val="none"/>
        </w:rPr>
      </w:pPr>
      <w:r>
        <w:rPr>
          <w:rFonts w:ascii="仿宋_GB2312" w:hAnsi="仿宋" w:eastAsia="仿宋_GB2312" w:cs="仿宋_GB2312"/>
          <w:color w:val="auto"/>
          <w:szCs w:val="28"/>
          <w:highlight w:val="none"/>
        </w:rPr>
        <w:br w:type="page"/>
      </w:r>
      <w:r>
        <w:rPr>
          <w:rFonts w:hint="eastAsia" w:ascii="仿宋_GB2312" w:hAnsi="仿宋" w:eastAsia="仿宋_GB2312" w:cs="仿宋_GB2312"/>
          <w:color w:val="auto"/>
          <w:szCs w:val="28"/>
          <w:highlight w:val="none"/>
        </w:rPr>
        <w:t>附件3</w:t>
      </w:r>
      <w:bookmarkEnd w:id="146"/>
    </w:p>
    <w:p w14:paraId="75F9766B">
      <w:pPr>
        <w:spacing w:line="360" w:lineRule="auto"/>
        <w:ind w:firstLine="640" w:firstLineChars="200"/>
        <w:jc w:val="center"/>
        <w:rPr>
          <w:rFonts w:ascii="方正小标宋简体" w:eastAsia="方正小标宋简体"/>
          <w:bCs/>
          <w:color w:val="auto"/>
          <w:sz w:val="32"/>
          <w:szCs w:val="32"/>
          <w:highlight w:val="none"/>
        </w:rPr>
      </w:pPr>
      <w:r>
        <w:rPr>
          <w:rFonts w:hint="eastAsia" w:ascii="方正小标宋简体" w:eastAsia="方正小标宋简体"/>
          <w:bCs/>
          <w:color w:val="auto"/>
          <w:sz w:val="32"/>
          <w:szCs w:val="32"/>
          <w:highlight w:val="none"/>
        </w:rPr>
        <w:t>评分细则</w:t>
      </w:r>
    </w:p>
    <w:p w14:paraId="16A7244A">
      <w:pPr>
        <w:spacing w:line="360" w:lineRule="auto"/>
        <w:ind w:leftChars="-95" w:hanging="199" w:hangingChars="83"/>
        <w:jc w:val="left"/>
        <w:rPr>
          <w:rFonts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rPr>
        <w:t>（一）基本评分标准</w:t>
      </w:r>
    </w:p>
    <w:tbl>
      <w:tblPr>
        <w:tblStyle w:val="25"/>
        <w:tblW w:w="5291" w:type="pct"/>
        <w:tblInd w:w="-2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4"/>
        <w:gridCol w:w="1266"/>
        <w:gridCol w:w="5742"/>
        <w:gridCol w:w="790"/>
      </w:tblGrid>
      <w:tr w14:paraId="16A2C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674" w:type="pct"/>
            <w:vAlign w:val="center"/>
          </w:tcPr>
          <w:p w14:paraId="05DD28C9">
            <w:pPr>
              <w:widowControl/>
              <w:jc w:val="center"/>
              <w:rPr>
                <w:rFonts w:ascii="仿宋_GB2312" w:hAnsi="仿宋_GB2312" w:eastAsia="仿宋_GB2312" w:cs="仿宋_GB2312"/>
                <w:color w:val="auto"/>
                <w:kern w:val="0"/>
                <w:sz w:val="24"/>
                <w:highlight w:val="none"/>
                <w:lang w:eastAsia="en-US"/>
              </w:rPr>
            </w:pPr>
            <w:r>
              <w:rPr>
                <w:rFonts w:hint="eastAsia" w:ascii="仿宋_GB2312" w:hAnsi="仿宋_GB2312" w:eastAsia="仿宋_GB2312" w:cs="仿宋_GB2312"/>
                <w:b/>
                <w:color w:val="auto"/>
                <w:kern w:val="0"/>
                <w:sz w:val="24"/>
                <w:highlight w:val="none"/>
                <w:lang w:eastAsia="en-US"/>
              </w:rPr>
              <w:t>项目</w:t>
            </w:r>
          </w:p>
        </w:tc>
        <w:tc>
          <w:tcPr>
            <w:tcW w:w="702" w:type="pct"/>
            <w:vAlign w:val="center"/>
          </w:tcPr>
          <w:p w14:paraId="31D7DDA6">
            <w:pPr>
              <w:widowControl/>
              <w:jc w:val="center"/>
              <w:rPr>
                <w:rFonts w:ascii="仿宋_GB2312" w:hAnsi="仿宋_GB2312" w:eastAsia="仿宋_GB2312" w:cs="仿宋_GB2312"/>
                <w:color w:val="auto"/>
                <w:kern w:val="0"/>
                <w:sz w:val="24"/>
                <w:highlight w:val="none"/>
                <w:lang w:eastAsia="en-US"/>
              </w:rPr>
            </w:pPr>
            <w:r>
              <w:rPr>
                <w:rFonts w:hint="eastAsia" w:ascii="仿宋_GB2312" w:hAnsi="仿宋_GB2312" w:eastAsia="仿宋_GB2312" w:cs="仿宋_GB2312"/>
                <w:b/>
                <w:color w:val="auto"/>
                <w:kern w:val="0"/>
                <w:sz w:val="24"/>
                <w:highlight w:val="none"/>
                <w:lang w:eastAsia="en-US"/>
              </w:rPr>
              <w:t>分项名称</w:t>
            </w:r>
          </w:p>
        </w:tc>
        <w:tc>
          <w:tcPr>
            <w:tcW w:w="3184" w:type="pct"/>
            <w:vAlign w:val="center"/>
          </w:tcPr>
          <w:p w14:paraId="4F28D9C9">
            <w:pPr>
              <w:widowControl/>
              <w:jc w:val="center"/>
              <w:rPr>
                <w:rFonts w:ascii="仿宋_GB2312" w:hAnsi="仿宋_GB2312" w:eastAsia="仿宋_GB2312" w:cs="仿宋_GB2312"/>
                <w:color w:val="auto"/>
                <w:kern w:val="0"/>
                <w:sz w:val="24"/>
                <w:highlight w:val="none"/>
                <w:lang w:eastAsia="en-US"/>
              </w:rPr>
            </w:pPr>
            <w:r>
              <w:rPr>
                <w:rFonts w:hint="eastAsia" w:ascii="仿宋_GB2312" w:hAnsi="仿宋_GB2312" w:eastAsia="仿宋_GB2312" w:cs="仿宋_GB2312"/>
                <w:b/>
                <w:color w:val="auto"/>
                <w:kern w:val="0"/>
                <w:sz w:val="24"/>
                <w:highlight w:val="none"/>
                <w:lang w:eastAsia="en-US"/>
              </w:rPr>
              <w:t>评分标准</w:t>
            </w:r>
          </w:p>
        </w:tc>
        <w:tc>
          <w:tcPr>
            <w:tcW w:w="438" w:type="pct"/>
            <w:vAlign w:val="center"/>
          </w:tcPr>
          <w:p w14:paraId="1527700A">
            <w:pPr>
              <w:widowControl/>
              <w:jc w:val="center"/>
              <w:rPr>
                <w:rFonts w:ascii="仿宋_GB2312" w:hAnsi="仿宋_GB2312" w:eastAsia="仿宋_GB2312" w:cs="仿宋_GB2312"/>
                <w:color w:val="auto"/>
                <w:kern w:val="0"/>
                <w:sz w:val="24"/>
                <w:highlight w:val="none"/>
                <w:lang w:eastAsia="en-US"/>
              </w:rPr>
            </w:pPr>
            <w:r>
              <w:rPr>
                <w:rFonts w:hint="eastAsia" w:ascii="仿宋_GB2312" w:hAnsi="仿宋_GB2312" w:eastAsia="仿宋_GB2312" w:cs="仿宋_GB2312"/>
                <w:b/>
                <w:color w:val="auto"/>
                <w:kern w:val="0"/>
                <w:sz w:val="24"/>
                <w:highlight w:val="none"/>
                <w:lang w:eastAsia="en-US"/>
              </w:rPr>
              <w:t>满分</w:t>
            </w:r>
          </w:p>
        </w:tc>
      </w:tr>
      <w:tr w14:paraId="55487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8" w:hRule="atLeast"/>
        </w:trPr>
        <w:tc>
          <w:tcPr>
            <w:tcW w:w="674" w:type="pct"/>
            <w:vAlign w:val="center"/>
          </w:tcPr>
          <w:p w14:paraId="1E9263C1">
            <w:pPr>
              <w:widowControl/>
              <w:jc w:val="center"/>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lang w:eastAsia="en-US"/>
              </w:rPr>
              <w:t>价格部分</w:t>
            </w:r>
            <w:r>
              <w:rPr>
                <w:rFonts w:hint="eastAsia" w:ascii="仿宋_GB2312" w:hAnsi="仿宋_GB2312" w:eastAsia="仿宋_GB2312" w:cs="仿宋_GB2312"/>
                <w:color w:val="auto"/>
                <w:kern w:val="0"/>
                <w:sz w:val="24"/>
                <w:highlight w:val="none"/>
              </w:rPr>
              <w:t>（30分）</w:t>
            </w:r>
          </w:p>
        </w:tc>
        <w:tc>
          <w:tcPr>
            <w:tcW w:w="702" w:type="pct"/>
            <w:vAlign w:val="center"/>
          </w:tcPr>
          <w:p w14:paraId="4C187F2D">
            <w:pPr>
              <w:widowControl/>
              <w:jc w:val="center"/>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投标报价</w:t>
            </w:r>
          </w:p>
        </w:tc>
        <w:tc>
          <w:tcPr>
            <w:tcW w:w="3184" w:type="pct"/>
            <w:vAlign w:val="center"/>
          </w:tcPr>
          <w:p w14:paraId="50539DFA">
            <w:pPr>
              <w:snapToGrid w:val="0"/>
              <w:spacing w:line="560" w:lineRule="exact"/>
              <w:ind w:firstLine="480" w:firstLineChars="20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评审内容：投标报价；</w:t>
            </w:r>
          </w:p>
          <w:p w14:paraId="0F9ED512">
            <w:pPr>
              <w:snapToGrid w:val="0"/>
              <w:spacing w:line="560" w:lineRule="exact"/>
              <w:ind w:firstLine="480" w:firstLineChars="200"/>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sz w:val="24"/>
                <w:highlight w:val="none"/>
              </w:rPr>
              <w:t>评审标准：</w:t>
            </w:r>
            <w:r>
              <w:rPr>
                <w:rFonts w:hint="eastAsia" w:ascii="仿宋_GB2312" w:hAnsi="仿宋_GB2312" w:eastAsia="仿宋_GB2312" w:cs="仿宋_GB2312"/>
                <w:color w:val="auto"/>
                <w:kern w:val="0"/>
                <w:sz w:val="24"/>
                <w:highlight w:val="none"/>
              </w:rPr>
              <w:t>报价得分=（Cmin/C）× 30 。</w:t>
            </w:r>
          </w:p>
          <w:p w14:paraId="75350545">
            <w:pPr>
              <w:snapToGrid w:val="0"/>
              <w:spacing w:line="560" w:lineRule="exact"/>
              <w:ind w:firstLine="480" w:firstLineChars="200"/>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sz w:val="24"/>
                <w:highlight w:val="none"/>
              </w:rPr>
              <w:t>其中，Cmin为所有有效报价中的最低响应报价，C为投标人的报价。报价得分四舍五入，保留小数点后两位。</w:t>
            </w:r>
          </w:p>
        </w:tc>
        <w:tc>
          <w:tcPr>
            <w:tcW w:w="438" w:type="pct"/>
            <w:vAlign w:val="center"/>
          </w:tcPr>
          <w:p w14:paraId="7773821E">
            <w:pPr>
              <w:widowControl/>
              <w:jc w:val="center"/>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30</w:t>
            </w:r>
          </w:p>
        </w:tc>
      </w:tr>
      <w:tr w14:paraId="309A6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674" w:type="pct"/>
            <w:vMerge w:val="restart"/>
            <w:vAlign w:val="center"/>
          </w:tcPr>
          <w:p w14:paraId="77CCA767">
            <w:pPr>
              <w:widowControl/>
              <w:jc w:val="center"/>
              <w:rPr>
                <w:rFonts w:ascii="仿宋_GB2312" w:hAnsi="仿宋_GB2312" w:eastAsia="仿宋_GB2312" w:cs="仿宋_GB2312"/>
                <w:color w:val="auto"/>
                <w:kern w:val="0"/>
                <w:sz w:val="24"/>
                <w:highlight w:val="none"/>
                <w:lang w:eastAsia="en-US"/>
              </w:rPr>
            </w:pPr>
            <w:r>
              <w:rPr>
                <w:rFonts w:hint="eastAsia" w:ascii="仿宋_GB2312" w:hAnsi="仿宋_GB2312" w:eastAsia="仿宋_GB2312" w:cs="仿宋_GB2312"/>
                <w:color w:val="auto"/>
                <w:kern w:val="0"/>
                <w:sz w:val="24"/>
                <w:highlight w:val="none"/>
                <w:lang w:eastAsia="en-US"/>
              </w:rPr>
              <w:t>技术部分</w:t>
            </w:r>
            <w:r>
              <w:rPr>
                <w:rFonts w:hint="eastAsia" w:ascii="仿宋_GB2312" w:hAnsi="仿宋_GB2312" w:eastAsia="仿宋_GB2312" w:cs="仿宋_GB2312"/>
                <w:color w:val="auto"/>
                <w:kern w:val="0"/>
                <w:sz w:val="24"/>
                <w:highlight w:val="none"/>
              </w:rPr>
              <w:t>（57分）</w:t>
            </w:r>
          </w:p>
        </w:tc>
        <w:tc>
          <w:tcPr>
            <w:tcW w:w="702" w:type="pct"/>
            <w:vAlign w:val="center"/>
          </w:tcPr>
          <w:p w14:paraId="0D761906">
            <w:pPr>
              <w:pStyle w:val="20"/>
              <w:adjustRightInd w:val="0"/>
              <w:snapToGrid w:val="0"/>
              <w:spacing w:before="0" w:beforeAutospacing="0" w:after="0" w:afterAutospacing="0"/>
              <w:jc w:val="cente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供货方案</w:t>
            </w:r>
          </w:p>
        </w:tc>
        <w:tc>
          <w:tcPr>
            <w:tcW w:w="3184" w:type="pct"/>
            <w:vAlign w:val="center"/>
          </w:tcPr>
          <w:p w14:paraId="2CCBB2EC">
            <w:pPr>
              <w:pStyle w:val="20"/>
              <w:adjustRightInd w:val="0"/>
              <w:snapToGrid w:val="0"/>
              <w:spacing w:before="0" w:beforeAutospacing="0" w:after="0" w:afterAutospacing="0" w:line="560" w:lineRule="exact"/>
              <w:ind w:firstLine="480" w:firstLineChars="20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供货方案包括但不限于电梯的包装与运输方案、实施进度计划及供货方案、质量和工期保证、控制措施等内容，进行综合评分：</w:t>
            </w:r>
          </w:p>
          <w:p w14:paraId="7B3CAB20">
            <w:pPr>
              <w:pStyle w:val="20"/>
              <w:adjustRightInd w:val="0"/>
              <w:snapToGrid w:val="0"/>
              <w:spacing w:before="0" w:beforeAutospacing="0" w:after="0" w:afterAutospacing="0" w:line="560" w:lineRule="exact"/>
              <w:ind w:firstLine="480" w:firstLineChars="20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提供符合采购需求全面详实的有效方案，得8分；</w:t>
            </w:r>
          </w:p>
          <w:p w14:paraId="7AF4DA5F">
            <w:pPr>
              <w:pStyle w:val="20"/>
              <w:adjustRightInd w:val="0"/>
              <w:snapToGrid w:val="0"/>
              <w:spacing w:before="0" w:beforeAutospacing="0" w:after="0" w:afterAutospacing="0" w:line="560" w:lineRule="exact"/>
              <w:ind w:firstLine="480" w:firstLineChars="20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方案内容存在缺陷的，得5分；</w:t>
            </w:r>
          </w:p>
          <w:p w14:paraId="5EF75322">
            <w:pPr>
              <w:pStyle w:val="20"/>
              <w:adjustRightInd w:val="0"/>
              <w:snapToGrid w:val="0"/>
              <w:spacing w:before="0" w:beforeAutospacing="0" w:after="0" w:afterAutospacing="0" w:line="560" w:lineRule="exact"/>
              <w:ind w:firstLine="480" w:firstLineChars="20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方案内容存在不符合项目需求的，或方案中缺少上述应包括内容任意一项内容的，得2分；</w:t>
            </w:r>
          </w:p>
          <w:p w14:paraId="54DB86A7">
            <w:pPr>
              <w:pStyle w:val="20"/>
              <w:adjustRightInd w:val="0"/>
              <w:snapToGrid w:val="0"/>
              <w:spacing w:before="0" w:beforeAutospacing="0" w:after="0" w:afterAutospacing="0" w:line="560" w:lineRule="exact"/>
              <w:ind w:firstLine="480" w:firstLineChars="20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未提供方案，得0分。</w:t>
            </w:r>
          </w:p>
        </w:tc>
        <w:tc>
          <w:tcPr>
            <w:tcW w:w="438" w:type="pct"/>
            <w:vAlign w:val="center"/>
          </w:tcPr>
          <w:p w14:paraId="615BC85A">
            <w:pPr>
              <w:adjustRightInd w:val="0"/>
              <w:snapToGrid w:val="0"/>
              <w:jc w:val="center"/>
              <w:rPr>
                <w:rFonts w:ascii="仿宋_GB2312" w:hAnsi="仿宋_GB2312" w:eastAsia="仿宋_GB2312" w:cs="仿宋_GB2312"/>
                <w:color w:val="auto"/>
                <w:kern w:val="0"/>
                <w:sz w:val="24"/>
                <w:highlight w:val="none"/>
              </w:rPr>
            </w:pPr>
            <w:r>
              <w:rPr>
                <w:rFonts w:ascii="仿宋_GB2312" w:hAnsi="仿宋_GB2312" w:eastAsia="仿宋_GB2312" w:cs="仿宋_GB2312"/>
                <w:color w:val="auto"/>
                <w:sz w:val="24"/>
                <w:highlight w:val="none"/>
              </w:rPr>
              <w:t>8</w:t>
            </w:r>
          </w:p>
        </w:tc>
      </w:tr>
      <w:tr w14:paraId="59299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 w:hRule="atLeast"/>
        </w:trPr>
        <w:tc>
          <w:tcPr>
            <w:tcW w:w="674" w:type="pct"/>
            <w:vMerge w:val="continue"/>
            <w:vAlign w:val="center"/>
          </w:tcPr>
          <w:p w14:paraId="0CFA01B8">
            <w:pPr>
              <w:widowControl/>
              <w:jc w:val="center"/>
              <w:rPr>
                <w:rFonts w:ascii="仿宋_GB2312" w:hAnsi="仿宋_GB2312" w:eastAsia="仿宋_GB2312" w:cs="仿宋_GB2312"/>
                <w:color w:val="auto"/>
                <w:kern w:val="0"/>
                <w:sz w:val="24"/>
                <w:highlight w:val="none"/>
                <w:lang w:eastAsia="en-US"/>
              </w:rPr>
            </w:pPr>
          </w:p>
        </w:tc>
        <w:tc>
          <w:tcPr>
            <w:tcW w:w="702" w:type="pct"/>
            <w:vAlign w:val="center"/>
          </w:tcPr>
          <w:p w14:paraId="311F93D7">
            <w:pPr>
              <w:pStyle w:val="20"/>
              <w:adjustRightInd w:val="0"/>
              <w:snapToGrid w:val="0"/>
              <w:spacing w:before="0" w:beforeAutospacing="0" w:after="0" w:afterAutospacing="0"/>
              <w:jc w:val="cente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电梯安装施工方案</w:t>
            </w:r>
          </w:p>
        </w:tc>
        <w:tc>
          <w:tcPr>
            <w:tcW w:w="3184" w:type="pct"/>
            <w:vAlign w:val="center"/>
          </w:tcPr>
          <w:p w14:paraId="77B8C2C1">
            <w:pPr>
              <w:pStyle w:val="20"/>
              <w:adjustRightInd w:val="0"/>
              <w:snapToGrid w:val="0"/>
              <w:spacing w:before="0" w:beforeAutospacing="0" w:after="0" w:afterAutospacing="0" w:line="560" w:lineRule="exact"/>
              <w:ind w:firstLine="480" w:firstLineChars="20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电梯安装施工方案包括但不限于电梯主要安装用工具和测试设备、项目人员构成、组织架构、现场安装的安全措施等内容，进行综合评分：</w:t>
            </w:r>
          </w:p>
          <w:p w14:paraId="7F272086">
            <w:pPr>
              <w:pStyle w:val="20"/>
              <w:adjustRightInd w:val="0"/>
              <w:snapToGrid w:val="0"/>
              <w:spacing w:before="0" w:beforeAutospacing="0" w:after="0" w:afterAutospacing="0" w:line="560" w:lineRule="exact"/>
              <w:ind w:firstLine="480" w:firstLineChars="20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提供符合采购需求全面详实的有效方案，得9分；</w:t>
            </w:r>
          </w:p>
          <w:p w14:paraId="6ABB7447">
            <w:pPr>
              <w:pStyle w:val="20"/>
              <w:adjustRightInd w:val="0"/>
              <w:snapToGrid w:val="0"/>
              <w:spacing w:before="0" w:beforeAutospacing="0" w:after="0" w:afterAutospacing="0" w:line="560" w:lineRule="exact"/>
              <w:ind w:firstLine="480" w:firstLineChars="20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方案内容存在缺陷的，得6分；</w:t>
            </w:r>
          </w:p>
          <w:p w14:paraId="01CEC5D5">
            <w:pPr>
              <w:pStyle w:val="20"/>
              <w:adjustRightInd w:val="0"/>
              <w:snapToGrid w:val="0"/>
              <w:spacing w:before="0" w:beforeAutospacing="0" w:after="0" w:afterAutospacing="0" w:line="560" w:lineRule="exact"/>
              <w:ind w:firstLine="480" w:firstLineChars="20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方案内容存在不符合项目需求的，或方案中缺少上述应包括内容任意一项内容的，得3分；</w:t>
            </w:r>
          </w:p>
          <w:p w14:paraId="6756DD79">
            <w:pPr>
              <w:pStyle w:val="20"/>
              <w:adjustRightInd w:val="0"/>
              <w:snapToGrid w:val="0"/>
              <w:spacing w:before="0" w:beforeAutospacing="0" w:after="0" w:afterAutospacing="0" w:line="560" w:lineRule="exact"/>
              <w:ind w:firstLine="480" w:firstLineChars="20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未提供方案，得0分。</w:t>
            </w:r>
          </w:p>
        </w:tc>
        <w:tc>
          <w:tcPr>
            <w:tcW w:w="438" w:type="pct"/>
            <w:vAlign w:val="center"/>
          </w:tcPr>
          <w:p w14:paraId="1A73C8A7">
            <w:pPr>
              <w:adjustRightInd w:val="0"/>
              <w:snapToGrid w:val="0"/>
              <w:jc w:val="center"/>
              <w:rPr>
                <w:rFonts w:ascii="仿宋_GB2312" w:hAnsi="仿宋_GB2312" w:eastAsia="仿宋_GB2312" w:cs="仿宋_GB2312"/>
                <w:color w:val="auto"/>
                <w:kern w:val="0"/>
                <w:sz w:val="24"/>
                <w:highlight w:val="none"/>
              </w:rPr>
            </w:pPr>
            <w:r>
              <w:rPr>
                <w:rFonts w:ascii="仿宋_GB2312" w:hAnsi="仿宋_GB2312" w:eastAsia="仿宋_GB2312" w:cs="仿宋_GB2312"/>
                <w:color w:val="auto"/>
                <w:sz w:val="24"/>
                <w:highlight w:val="none"/>
              </w:rPr>
              <w:t>9</w:t>
            </w:r>
          </w:p>
        </w:tc>
      </w:tr>
      <w:tr w14:paraId="0C08B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674" w:type="pct"/>
            <w:vMerge w:val="continue"/>
            <w:vAlign w:val="center"/>
          </w:tcPr>
          <w:p w14:paraId="36B175C7">
            <w:pPr>
              <w:widowControl/>
              <w:jc w:val="center"/>
              <w:rPr>
                <w:rFonts w:ascii="仿宋_GB2312" w:hAnsi="仿宋_GB2312" w:eastAsia="仿宋_GB2312" w:cs="仿宋_GB2312"/>
                <w:color w:val="auto"/>
                <w:kern w:val="0"/>
                <w:sz w:val="24"/>
                <w:highlight w:val="none"/>
                <w:lang w:eastAsia="en-US"/>
              </w:rPr>
            </w:pPr>
          </w:p>
        </w:tc>
        <w:tc>
          <w:tcPr>
            <w:tcW w:w="702" w:type="pct"/>
            <w:vAlign w:val="center"/>
          </w:tcPr>
          <w:p w14:paraId="47B9ABC2">
            <w:pPr>
              <w:pStyle w:val="20"/>
              <w:adjustRightInd w:val="0"/>
              <w:snapToGrid w:val="0"/>
              <w:spacing w:before="0" w:beforeAutospacing="0" w:after="0" w:afterAutospacing="0"/>
              <w:jc w:val="cente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调试、检验与验收方案</w:t>
            </w:r>
          </w:p>
        </w:tc>
        <w:tc>
          <w:tcPr>
            <w:tcW w:w="3184" w:type="pct"/>
            <w:vAlign w:val="center"/>
          </w:tcPr>
          <w:p w14:paraId="5DD8C047">
            <w:pPr>
              <w:pStyle w:val="20"/>
              <w:adjustRightInd w:val="0"/>
              <w:snapToGrid w:val="0"/>
              <w:spacing w:before="0" w:beforeAutospacing="0" w:after="0" w:afterAutospacing="0" w:line="560" w:lineRule="exact"/>
              <w:ind w:firstLine="480" w:firstLineChars="20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调试、检验与验收方案包括但不限于电梯的检验、电梯的调试、现场检验、验收方案等内容，进行综合评分：</w:t>
            </w:r>
          </w:p>
          <w:p w14:paraId="473D9B08">
            <w:pPr>
              <w:pStyle w:val="20"/>
              <w:adjustRightInd w:val="0"/>
              <w:snapToGrid w:val="0"/>
              <w:spacing w:before="0" w:beforeAutospacing="0" w:after="0" w:afterAutospacing="0" w:line="560" w:lineRule="exact"/>
              <w:ind w:firstLine="480" w:firstLineChars="20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提供符合采购需求全面详实的有效方案，得</w:t>
            </w:r>
            <w:r>
              <w:rPr>
                <w:rFonts w:ascii="仿宋_GB2312" w:hAnsi="仿宋_GB2312" w:eastAsia="仿宋_GB2312" w:cs="仿宋_GB2312"/>
                <w:color w:val="auto"/>
                <w:highlight w:val="none"/>
              </w:rPr>
              <w:t>8</w:t>
            </w:r>
            <w:r>
              <w:rPr>
                <w:rFonts w:hint="eastAsia" w:ascii="仿宋_GB2312" w:hAnsi="仿宋_GB2312" w:eastAsia="仿宋_GB2312" w:cs="仿宋_GB2312"/>
                <w:color w:val="auto"/>
                <w:highlight w:val="none"/>
              </w:rPr>
              <w:t>分；</w:t>
            </w:r>
          </w:p>
          <w:p w14:paraId="0C41B31B">
            <w:pPr>
              <w:pStyle w:val="20"/>
              <w:adjustRightInd w:val="0"/>
              <w:snapToGrid w:val="0"/>
              <w:spacing w:before="0" w:beforeAutospacing="0" w:after="0" w:afterAutospacing="0" w:line="560" w:lineRule="exact"/>
              <w:ind w:firstLine="480" w:firstLineChars="20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方案内容存在缺陷的，得</w:t>
            </w:r>
            <w:r>
              <w:rPr>
                <w:rFonts w:ascii="仿宋_GB2312" w:hAnsi="仿宋_GB2312" w:eastAsia="仿宋_GB2312" w:cs="仿宋_GB2312"/>
                <w:color w:val="auto"/>
                <w:highlight w:val="none"/>
              </w:rPr>
              <w:t>5</w:t>
            </w:r>
            <w:r>
              <w:rPr>
                <w:rFonts w:hint="eastAsia" w:ascii="仿宋_GB2312" w:hAnsi="仿宋_GB2312" w:eastAsia="仿宋_GB2312" w:cs="仿宋_GB2312"/>
                <w:color w:val="auto"/>
                <w:highlight w:val="none"/>
              </w:rPr>
              <w:t>分；</w:t>
            </w:r>
          </w:p>
          <w:p w14:paraId="5CEF47E7">
            <w:pPr>
              <w:pStyle w:val="20"/>
              <w:adjustRightInd w:val="0"/>
              <w:snapToGrid w:val="0"/>
              <w:spacing w:before="0" w:beforeAutospacing="0" w:after="0" w:afterAutospacing="0" w:line="560" w:lineRule="exact"/>
              <w:ind w:firstLine="480" w:firstLineChars="20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方案内容存在不符合项目需求的，或方案中缺少上述应包括内容任意一项内容的，得</w:t>
            </w:r>
            <w:r>
              <w:rPr>
                <w:rFonts w:ascii="仿宋_GB2312" w:hAnsi="仿宋_GB2312" w:eastAsia="仿宋_GB2312" w:cs="仿宋_GB2312"/>
                <w:color w:val="auto"/>
                <w:highlight w:val="none"/>
              </w:rPr>
              <w:t>2</w:t>
            </w:r>
            <w:r>
              <w:rPr>
                <w:rFonts w:hint="eastAsia" w:ascii="仿宋_GB2312" w:hAnsi="仿宋_GB2312" w:eastAsia="仿宋_GB2312" w:cs="仿宋_GB2312"/>
                <w:color w:val="auto"/>
                <w:highlight w:val="none"/>
              </w:rPr>
              <w:t>分；</w:t>
            </w:r>
          </w:p>
          <w:p w14:paraId="702B9FAA">
            <w:pPr>
              <w:pStyle w:val="20"/>
              <w:adjustRightInd w:val="0"/>
              <w:snapToGrid w:val="0"/>
              <w:spacing w:before="0" w:beforeAutospacing="0" w:after="0" w:afterAutospacing="0" w:line="560" w:lineRule="exact"/>
              <w:ind w:firstLine="480" w:firstLineChars="20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未提供方案，得0分。</w:t>
            </w:r>
          </w:p>
        </w:tc>
        <w:tc>
          <w:tcPr>
            <w:tcW w:w="438" w:type="pct"/>
            <w:vAlign w:val="center"/>
          </w:tcPr>
          <w:p w14:paraId="7B0FF90F">
            <w:pPr>
              <w:adjustRightInd w:val="0"/>
              <w:snapToGrid w:val="0"/>
              <w:jc w:val="center"/>
              <w:rPr>
                <w:rFonts w:ascii="仿宋_GB2312" w:hAnsi="仿宋_GB2312" w:eastAsia="仿宋_GB2312" w:cs="仿宋_GB2312"/>
                <w:color w:val="auto"/>
                <w:kern w:val="0"/>
                <w:sz w:val="24"/>
                <w:highlight w:val="none"/>
              </w:rPr>
            </w:pPr>
            <w:r>
              <w:rPr>
                <w:rFonts w:ascii="仿宋_GB2312" w:hAnsi="仿宋_GB2312" w:eastAsia="仿宋_GB2312" w:cs="仿宋_GB2312"/>
                <w:color w:val="auto"/>
                <w:sz w:val="24"/>
                <w:highlight w:val="none"/>
              </w:rPr>
              <w:t>8</w:t>
            </w:r>
          </w:p>
        </w:tc>
      </w:tr>
      <w:tr w14:paraId="4BC31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674" w:type="pct"/>
            <w:vMerge w:val="continue"/>
            <w:vAlign w:val="center"/>
          </w:tcPr>
          <w:p w14:paraId="65D2279F">
            <w:pPr>
              <w:widowControl/>
              <w:jc w:val="center"/>
              <w:rPr>
                <w:rFonts w:ascii="仿宋_GB2312" w:hAnsi="仿宋_GB2312" w:eastAsia="仿宋_GB2312" w:cs="仿宋_GB2312"/>
                <w:color w:val="auto"/>
                <w:kern w:val="0"/>
                <w:sz w:val="24"/>
                <w:highlight w:val="none"/>
                <w:lang w:eastAsia="en-US"/>
              </w:rPr>
            </w:pPr>
          </w:p>
        </w:tc>
        <w:tc>
          <w:tcPr>
            <w:tcW w:w="702" w:type="pct"/>
            <w:vAlign w:val="center"/>
          </w:tcPr>
          <w:p w14:paraId="07DFE4CF">
            <w:pPr>
              <w:pStyle w:val="20"/>
              <w:adjustRightInd w:val="0"/>
              <w:snapToGrid w:val="0"/>
              <w:spacing w:before="0" w:beforeAutospacing="0" w:after="0" w:afterAutospacing="0"/>
              <w:jc w:val="cente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培训方案</w:t>
            </w:r>
          </w:p>
        </w:tc>
        <w:tc>
          <w:tcPr>
            <w:tcW w:w="3184" w:type="pct"/>
            <w:vAlign w:val="center"/>
          </w:tcPr>
          <w:p w14:paraId="206F3424">
            <w:pPr>
              <w:pStyle w:val="20"/>
              <w:adjustRightInd w:val="0"/>
              <w:snapToGrid w:val="0"/>
              <w:spacing w:before="0" w:beforeAutospacing="0" w:after="0" w:afterAutospacing="0" w:line="560" w:lineRule="exact"/>
              <w:ind w:firstLine="480" w:firstLineChars="20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培训方案包括但不限于人员培训的内容、培训目标、培训方式、培训团队人员配置、培训次数、时间安排等内容，进行综合评分：</w:t>
            </w:r>
          </w:p>
          <w:p w14:paraId="2AC2E00F">
            <w:pPr>
              <w:pStyle w:val="20"/>
              <w:adjustRightInd w:val="0"/>
              <w:snapToGrid w:val="0"/>
              <w:spacing w:before="0" w:beforeAutospacing="0" w:after="0" w:afterAutospacing="0" w:line="560" w:lineRule="exact"/>
              <w:ind w:firstLine="480" w:firstLineChars="20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提供符合采购需求全面详实的有效方案，得</w:t>
            </w:r>
            <w:r>
              <w:rPr>
                <w:rFonts w:ascii="仿宋_GB2312" w:hAnsi="仿宋_GB2312" w:eastAsia="仿宋_GB2312" w:cs="仿宋_GB2312"/>
                <w:color w:val="auto"/>
                <w:highlight w:val="none"/>
              </w:rPr>
              <w:t>8</w:t>
            </w:r>
            <w:r>
              <w:rPr>
                <w:rFonts w:hint="eastAsia" w:ascii="仿宋_GB2312" w:hAnsi="仿宋_GB2312" w:eastAsia="仿宋_GB2312" w:cs="仿宋_GB2312"/>
                <w:color w:val="auto"/>
                <w:highlight w:val="none"/>
              </w:rPr>
              <w:t>分；</w:t>
            </w:r>
          </w:p>
          <w:p w14:paraId="50D9EBD8">
            <w:pPr>
              <w:pStyle w:val="20"/>
              <w:adjustRightInd w:val="0"/>
              <w:snapToGrid w:val="0"/>
              <w:spacing w:before="0" w:beforeAutospacing="0" w:after="0" w:afterAutospacing="0" w:line="560" w:lineRule="exact"/>
              <w:ind w:firstLine="480" w:firstLineChars="20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方案内容存在缺陷的，得</w:t>
            </w:r>
            <w:r>
              <w:rPr>
                <w:rFonts w:ascii="仿宋_GB2312" w:hAnsi="仿宋_GB2312" w:eastAsia="仿宋_GB2312" w:cs="仿宋_GB2312"/>
                <w:color w:val="auto"/>
                <w:highlight w:val="none"/>
              </w:rPr>
              <w:t>5</w:t>
            </w:r>
            <w:r>
              <w:rPr>
                <w:rFonts w:hint="eastAsia" w:ascii="仿宋_GB2312" w:hAnsi="仿宋_GB2312" w:eastAsia="仿宋_GB2312" w:cs="仿宋_GB2312"/>
                <w:color w:val="auto"/>
                <w:highlight w:val="none"/>
              </w:rPr>
              <w:t>分；</w:t>
            </w:r>
          </w:p>
          <w:p w14:paraId="5E388D98">
            <w:pPr>
              <w:pStyle w:val="20"/>
              <w:adjustRightInd w:val="0"/>
              <w:snapToGrid w:val="0"/>
              <w:spacing w:before="0" w:beforeAutospacing="0" w:after="0" w:afterAutospacing="0" w:line="560" w:lineRule="exact"/>
              <w:ind w:firstLine="480" w:firstLineChars="20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方案内容存在不符合项目需求的，或方案中缺少上述应包括内容任意一项内容的，得</w:t>
            </w:r>
            <w:r>
              <w:rPr>
                <w:rFonts w:ascii="仿宋_GB2312" w:hAnsi="仿宋_GB2312" w:eastAsia="仿宋_GB2312" w:cs="仿宋_GB2312"/>
                <w:color w:val="auto"/>
                <w:highlight w:val="none"/>
              </w:rPr>
              <w:t>2</w:t>
            </w:r>
            <w:r>
              <w:rPr>
                <w:rFonts w:hint="eastAsia" w:ascii="仿宋_GB2312" w:hAnsi="仿宋_GB2312" w:eastAsia="仿宋_GB2312" w:cs="仿宋_GB2312"/>
                <w:color w:val="auto"/>
                <w:highlight w:val="none"/>
              </w:rPr>
              <w:t>分；</w:t>
            </w:r>
          </w:p>
          <w:p w14:paraId="7B456060">
            <w:pPr>
              <w:pStyle w:val="20"/>
              <w:adjustRightInd w:val="0"/>
              <w:snapToGrid w:val="0"/>
              <w:spacing w:before="0" w:beforeAutospacing="0" w:after="0" w:afterAutospacing="0" w:line="560" w:lineRule="exact"/>
              <w:ind w:firstLine="480" w:firstLineChars="20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未提供方案，得0分。</w:t>
            </w:r>
          </w:p>
        </w:tc>
        <w:tc>
          <w:tcPr>
            <w:tcW w:w="438" w:type="pct"/>
            <w:vAlign w:val="center"/>
          </w:tcPr>
          <w:p w14:paraId="1505E970">
            <w:pPr>
              <w:adjustRightInd w:val="0"/>
              <w:snapToGrid w:val="0"/>
              <w:jc w:val="center"/>
              <w:rPr>
                <w:rFonts w:ascii="仿宋_GB2312" w:hAnsi="仿宋_GB2312" w:eastAsia="仿宋_GB2312" w:cs="仿宋_GB2312"/>
                <w:color w:val="auto"/>
                <w:kern w:val="0"/>
                <w:sz w:val="24"/>
                <w:highlight w:val="none"/>
              </w:rPr>
            </w:pPr>
            <w:r>
              <w:rPr>
                <w:rFonts w:ascii="仿宋_GB2312" w:hAnsi="仿宋_GB2312" w:eastAsia="仿宋_GB2312" w:cs="仿宋_GB2312"/>
                <w:color w:val="auto"/>
                <w:sz w:val="24"/>
                <w:highlight w:val="none"/>
              </w:rPr>
              <w:t>8</w:t>
            </w:r>
          </w:p>
        </w:tc>
      </w:tr>
      <w:tr w14:paraId="6A8AA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674" w:type="pct"/>
            <w:vMerge w:val="continue"/>
            <w:vAlign w:val="center"/>
          </w:tcPr>
          <w:p w14:paraId="7AE7C993">
            <w:pPr>
              <w:widowControl/>
              <w:jc w:val="left"/>
              <w:rPr>
                <w:rFonts w:ascii="仿宋_GB2312" w:hAnsi="仿宋_GB2312" w:eastAsia="仿宋_GB2312" w:cs="仿宋_GB2312"/>
                <w:color w:val="auto"/>
                <w:kern w:val="0"/>
                <w:sz w:val="24"/>
                <w:highlight w:val="none"/>
                <w:lang w:eastAsia="en-US"/>
              </w:rPr>
            </w:pPr>
          </w:p>
        </w:tc>
        <w:tc>
          <w:tcPr>
            <w:tcW w:w="702" w:type="pct"/>
            <w:vAlign w:val="center"/>
          </w:tcPr>
          <w:p w14:paraId="0799DD58">
            <w:pPr>
              <w:pStyle w:val="20"/>
              <w:adjustRightInd w:val="0"/>
              <w:snapToGrid w:val="0"/>
              <w:spacing w:before="0" w:beforeAutospacing="0" w:after="0" w:afterAutospacing="0"/>
              <w:jc w:val="cente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突发应急方案</w:t>
            </w:r>
          </w:p>
        </w:tc>
        <w:tc>
          <w:tcPr>
            <w:tcW w:w="3184" w:type="pct"/>
            <w:vAlign w:val="center"/>
          </w:tcPr>
          <w:p w14:paraId="2EC1B759">
            <w:pPr>
              <w:pStyle w:val="20"/>
              <w:adjustRightInd w:val="0"/>
              <w:snapToGrid w:val="0"/>
              <w:spacing w:before="0" w:beforeAutospacing="0" w:after="0" w:afterAutospacing="0" w:line="560" w:lineRule="exact"/>
              <w:ind w:firstLine="480" w:firstLineChars="200"/>
              <w:rPr>
                <w:rFonts w:ascii="仿宋_GB2312" w:hAnsi="仿宋_GB2312" w:eastAsia="仿宋_GB2312" w:cs="仿宋_GB2312"/>
                <w:color w:val="auto"/>
                <w:kern w:val="2"/>
                <w:highlight w:val="none"/>
              </w:rPr>
            </w:pPr>
            <w:r>
              <w:rPr>
                <w:rFonts w:hint="eastAsia" w:ascii="仿宋_GB2312" w:hAnsi="仿宋_GB2312" w:eastAsia="仿宋_GB2312" w:cs="仿宋_GB2312"/>
                <w:color w:val="auto"/>
                <w:kern w:val="2"/>
                <w:highlight w:val="none"/>
              </w:rPr>
              <w:t>突发应急方案包括但不限于应急预案、应急处置流程、相应解决措施、后期维护等内容，进行综合评分：</w:t>
            </w:r>
          </w:p>
          <w:p w14:paraId="54B83A51">
            <w:pPr>
              <w:pStyle w:val="20"/>
              <w:adjustRightInd w:val="0"/>
              <w:snapToGrid w:val="0"/>
              <w:spacing w:before="0" w:beforeAutospacing="0" w:after="0" w:afterAutospacing="0" w:line="560" w:lineRule="exact"/>
              <w:ind w:firstLine="480" w:firstLineChars="20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提供符合采购需求全面详实的有效方案，得</w:t>
            </w:r>
            <w:r>
              <w:rPr>
                <w:rFonts w:ascii="仿宋_GB2312" w:hAnsi="仿宋_GB2312" w:eastAsia="仿宋_GB2312" w:cs="仿宋_GB2312"/>
                <w:color w:val="auto"/>
                <w:highlight w:val="none"/>
              </w:rPr>
              <w:t>8</w:t>
            </w:r>
            <w:r>
              <w:rPr>
                <w:rFonts w:hint="eastAsia" w:ascii="仿宋_GB2312" w:hAnsi="仿宋_GB2312" w:eastAsia="仿宋_GB2312" w:cs="仿宋_GB2312"/>
                <w:color w:val="auto"/>
                <w:highlight w:val="none"/>
              </w:rPr>
              <w:t>分；</w:t>
            </w:r>
          </w:p>
          <w:p w14:paraId="5A61D019">
            <w:pPr>
              <w:pStyle w:val="20"/>
              <w:adjustRightInd w:val="0"/>
              <w:snapToGrid w:val="0"/>
              <w:spacing w:before="0" w:beforeAutospacing="0" w:after="0" w:afterAutospacing="0" w:line="560" w:lineRule="exact"/>
              <w:ind w:firstLine="480" w:firstLineChars="20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方案内容存在缺陷的，得</w:t>
            </w:r>
            <w:r>
              <w:rPr>
                <w:rFonts w:ascii="仿宋_GB2312" w:hAnsi="仿宋_GB2312" w:eastAsia="仿宋_GB2312" w:cs="仿宋_GB2312"/>
                <w:color w:val="auto"/>
                <w:highlight w:val="none"/>
              </w:rPr>
              <w:t>5</w:t>
            </w:r>
            <w:r>
              <w:rPr>
                <w:rFonts w:hint="eastAsia" w:ascii="仿宋_GB2312" w:hAnsi="仿宋_GB2312" w:eastAsia="仿宋_GB2312" w:cs="仿宋_GB2312"/>
                <w:color w:val="auto"/>
                <w:highlight w:val="none"/>
              </w:rPr>
              <w:t>分；</w:t>
            </w:r>
          </w:p>
          <w:p w14:paraId="1F1FFA4E">
            <w:pPr>
              <w:pStyle w:val="20"/>
              <w:adjustRightInd w:val="0"/>
              <w:snapToGrid w:val="0"/>
              <w:spacing w:before="0" w:beforeAutospacing="0" w:after="0" w:afterAutospacing="0" w:line="560" w:lineRule="exact"/>
              <w:ind w:firstLine="480" w:firstLineChars="20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方案内容存在不符合项目需求的，或方案中缺少上述应包括内容任意一项内容的，得</w:t>
            </w:r>
            <w:r>
              <w:rPr>
                <w:rFonts w:ascii="仿宋_GB2312" w:hAnsi="仿宋_GB2312" w:eastAsia="仿宋_GB2312" w:cs="仿宋_GB2312"/>
                <w:color w:val="auto"/>
                <w:highlight w:val="none"/>
              </w:rPr>
              <w:t>2</w:t>
            </w:r>
            <w:r>
              <w:rPr>
                <w:rFonts w:hint="eastAsia" w:ascii="仿宋_GB2312" w:hAnsi="仿宋_GB2312" w:eastAsia="仿宋_GB2312" w:cs="仿宋_GB2312"/>
                <w:color w:val="auto"/>
                <w:highlight w:val="none"/>
              </w:rPr>
              <w:t>分；</w:t>
            </w:r>
          </w:p>
          <w:p w14:paraId="50EFE546">
            <w:pPr>
              <w:pStyle w:val="20"/>
              <w:adjustRightInd w:val="0"/>
              <w:snapToGrid w:val="0"/>
              <w:spacing w:before="0" w:beforeAutospacing="0" w:after="0" w:afterAutospacing="0" w:line="560" w:lineRule="exact"/>
              <w:ind w:firstLine="480" w:firstLineChars="20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未提供方案，得0分。</w:t>
            </w:r>
          </w:p>
        </w:tc>
        <w:tc>
          <w:tcPr>
            <w:tcW w:w="438" w:type="pct"/>
            <w:vAlign w:val="center"/>
          </w:tcPr>
          <w:p w14:paraId="10880822">
            <w:pPr>
              <w:adjustRightInd w:val="0"/>
              <w:snapToGrid w:val="0"/>
              <w:jc w:val="center"/>
              <w:rPr>
                <w:rFonts w:ascii="仿宋_GB2312" w:hAnsi="仿宋_GB2312" w:eastAsia="仿宋_GB2312" w:cs="仿宋_GB2312"/>
                <w:color w:val="auto"/>
                <w:kern w:val="0"/>
                <w:sz w:val="24"/>
                <w:highlight w:val="none"/>
              </w:rPr>
            </w:pPr>
            <w:r>
              <w:rPr>
                <w:rFonts w:ascii="仿宋_GB2312" w:hAnsi="仿宋_GB2312" w:eastAsia="仿宋_GB2312" w:cs="仿宋_GB2312"/>
                <w:color w:val="auto"/>
                <w:sz w:val="24"/>
                <w:highlight w:val="none"/>
              </w:rPr>
              <w:t>8</w:t>
            </w:r>
          </w:p>
        </w:tc>
      </w:tr>
      <w:tr w14:paraId="11BE1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674" w:type="pct"/>
            <w:vMerge w:val="continue"/>
            <w:vAlign w:val="center"/>
          </w:tcPr>
          <w:p w14:paraId="2E5A7271">
            <w:pPr>
              <w:widowControl/>
              <w:jc w:val="left"/>
              <w:rPr>
                <w:rFonts w:ascii="仿宋_GB2312" w:hAnsi="仿宋_GB2312" w:eastAsia="仿宋_GB2312" w:cs="仿宋_GB2312"/>
                <w:color w:val="auto"/>
                <w:kern w:val="0"/>
                <w:sz w:val="24"/>
                <w:highlight w:val="none"/>
                <w:lang w:eastAsia="en-US"/>
              </w:rPr>
            </w:pPr>
          </w:p>
        </w:tc>
        <w:tc>
          <w:tcPr>
            <w:tcW w:w="702" w:type="pct"/>
            <w:vAlign w:val="center"/>
          </w:tcPr>
          <w:p w14:paraId="04028460">
            <w:pPr>
              <w:pStyle w:val="20"/>
              <w:adjustRightInd w:val="0"/>
              <w:snapToGrid w:val="0"/>
              <w:spacing w:before="0" w:beforeAutospacing="0" w:after="0" w:afterAutospacing="0"/>
              <w:jc w:val="cente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安全和文明施工保证措施</w:t>
            </w:r>
          </w:p>
        </w:tc>
        <w:tc>
          <w:tcPr>
            <w:tcW w:w="3184" w:type="pct"/>
            <w:vAlign w:val="center"/>
          </w:tcPr>
          <w:p w14:paraId="38DF89B7">
            <w:pPr>
              <w:pStyle w:val="20"/>
              <w:adjustRightInd w:val="0"/>
              <w:snapToGrid w:val="0"/>
              <w:spacing w:before="0" w:beforeAutospacing="0" w:after="0" w:afterAutospacing="0" w:line="560" w:lineRule="exact"/>
              <w:ind w:firstLine="480" w:firstLineChars="200"/>
              <w:rPr>
                <w:rFonts w:ascii="仿宋_GB2312" w:hAnsi="仿宋_GB2312" w:eastAsia="仿宋_GB2312" w:cs="仿宋_GB2312"/>
                <w:color w:val="auto"/>
                <w:kern w:val="2"/>
                <w:highlight w:val="none"/>
              </w:rPr>
            </w:pPr>
            <w:r>
              <w:rPr>
                <w:rFonts w:hint="eastAsia" w:ascii="仿宋_GB2312" w:hAnsi="仿宋_GB2312" w:eastAsia="仿宋_GB2312" w:cs="仿宋_GB2312"/>
                <w:color w:val="auto"/>
                <w:kern w:val="2"/>
                <w:highlight w:val="none"/>
              </w:rPr>
              <w:t>安全和文明施工保证措施包括但不限于安全生产技术组织措施、安全施工规章制度、安全专项交底工作等内容，对其进行综合评分：</w:t>
            </w:r>
          </w:p>
          <w:p w14:paraId="407B0062">
            <w:pPr>
              <w:pStyle w:val="20"/>
              <w:adjustRightInd w:val="0"/>
              <w:snapToGrid w:val="0"/>
              <w:spacing w:before="0" w:beforeAutospacing="0" w:after="0" w:afterAutospacing="0" w:line="560" w:lineRule="exact"/>
              <w:ind w:firstLine="480" w:firstLineChars="20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提供符合采购需求全面详实的有效方案，得</w:t>
            </w:r>
            <w:r>
              <w:rPr>
                <w:rFonts w:ascii="仿宋_GB2312" w:hAnsi="仿宋_GB2312" w:eastAsia="仿宋_GB2312" w:cs="仿宋_GB2312"/>
                <w:color w:val="auto"/>
                <w:highlight w:val="none"/>
              </w:rPr>
              <w:t>8</w:t>
            </w:r>
            <w:r>
              <w:rPr>
                <w:rFonts w:hint="eastAsia" w:ascii="仿宋_GB2312" w:hAnsi="仿宋_GB2312" w:eastAsia="仿宋_GB2312" w:cs="仿宋_GB2312"/>
                <w:color w:val="auto"/>
                <w:highlight w:val="none"/>
              </w:rPr>
              <w:t>分；</w:t>
            </w:r>
          </w:p>
          <w:p w14:paraId="560F8861">
            <w:pPr>
              <w:pStyle w:val="20"/>
              <w:adjustRightInd w:val="0"/>
              <w:snapToGrid w:val="0"/>
              <w:spacing w:before="0" w:beforeAutospacing="0" w:after="0" w:afterAutospacing="0" w:line="560" w:lineRule="exact"/>
              <w:ind w:firstLine="480" w:firstLineChars="20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方案内容存在缺陷的，得</w:t>
            </w:r>
            <w:r>
              <w:rPr>
                <w:rFonts w:ascii="仿宋_GB2312" w:hAnsi="仿宋_GB2312" w:eastAsia="仿宋_GB2312" w:cs="仿宋_GB2312"/>
                <w:color w:val="auto"/>
                <w:highlight w:val="none"/>
              </w:rPr>
              <w:t>5</w:t>
            </w:r>
            <w:r>
              <w:rPr>
                <w:rFonts w:hint="eastAsia" w:ascii="仿宋_GB2312" w:hAnsi="仿宋_GB2312" w:eastAsia="仿宋_GB2312" w:cs="仿宋_GB2312"/>
                <w:color w:val="auto"/>
                <w:highlight w:val="none"/>
              </w:rPr>
              <w:t>分；</w:t>
            </w:r>
          </w:p>
          <w:p w14:paraId="03F6F21F">
            <w:pPr>
              <w:pStyle w:val="20"/>
              <w:adjustRightInd w:val="0"/>
              <w:snapToGrid w:val="0"/>
              <w:spacing w:before="0" w:beforeAutospacing="0" w:after="0" w:afterAutospacing="0" w:line="560" w:lineRule="exact"/>
              <w:ind w:firstLine="480" w:firstLineChars="20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方案内容存在不符合项目需求的，或方案中缺少上述应包括内容任意一项内容的，得</w:t>
            </w:r>
            <w:r>
              <w:rPr>
                <w:rFonts w:ascii="仿宋_GB2312" w:hAnsi="仿宋_GB2312" w:eastAsia="仿宋_GB2312" w:cs="仿宋_GB2312"/>
                <w:color w:val="auto"/>
                <w:highlight w:val="none"/>
              </w:rPr>
              <w:t>2</w:t>
            </w:r>
            <w:r>
              <w:rPr>
                <w:rFonts w:hint="eastAsia" w:ascii="仿宋_GB2312" w:hAnsi="仿宋_GB2312" w:eastAsia="仿宋_GB2312" w:cs="仿宋_GB2312"/>
                <w:color w:val="auto"/>
                <w:highlight w:val="none"/>
              </w:rPr>
              <w:t>分；</w:t>
            </w:r>
          </w:p>
          <w:p w14:paraId="1C8313A9">
            <w:pPr>
              <w:pStyle w:val="20"/>
              <w:adjustRightInd w:val="0"/>
              <w:snapToGrid w:val="0"/>
              <w:spacing w:before="0" w:beforeAutospacing="0" w:after="0" w:afterAutospacing="0" w:line="560" w:lineRule="exact"/>
              <w:ind w:firstLine="480" w:firstLineChars="20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未提供方案，得0分。</w:t>
            </w:r>
          </w:p>
        </w:tc>
        <w:tc>
          <w:tcPr>
            <w:tcW w:w="438" w:type="pct"/>
            <w:vAlign w:val="center"/>
          </w:tcPr>
          <w:p w14:paraId="75C502F3">
            <w:pPr>
              <w:adjustRightInd w:val="0"/>
              <w:snapToGrid w:val="0"/>
              <w:jc w:val="center"/>
              <w:rPr>
                <w:rFonts w:ascii="仿宋_GB2312" w:hAnsi="仿宋_GB2312" w:eastAsia="仿宋_GB2312" w:cs="仿宋_GB2312"/>
                <w:color w:val="auto"/>
                <w:kern w:val="0"/>
                <w:sz w:val="24"/>
                <w:highlight w:val="none"/>
              </w:rPr>
            </w:pPr>
            <w:r>
              <w:rPr>
                <w:rFonts w:ascii="仿宋_GB2312" w:hAnsi="仿宋_GB2312" w:eastAsia="仿宋_GB2312" w:cs="仿宋_GB2312"/>
                <w:color w:val="auto"/>
                <w:sz w:val="24"/>
                <w:highlight w:val="none"/>
              </w:rPr>
              <w:t>8</w:t>
            </w:r>
          </w:p>
        </w:tc>
      </w:tr>
      <w:tr w14:paraId="788F9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674" w:type="pct"/>
            <w:vMerge w:val="continue"/>
            <w:vAlign w:val="center"/>
          </w:tcPr>
          <w:p w14:paraId="53C089AA">
            <w:pPr>
              <w:widowControl/>
              <w:jc w:val="left"/>
              <w:rPr>
                <w:rFonts w:ascii="仿宋_GB2312" w:hAnsi="仿宋_GB2312" w:eastAsia="仿宋_GB2312" w:cs="仿宋_GB2312"/>
                <w:color w:val="auto"/>
                <w:kern w:val="0"/>
                <w:sz w:val="24"/>
                <w:highlight w:val="none"/>
              </w:rPr>
            </w:pPr>
          </w:p>
        </w:tc>
        <w:tc>
          <w:tcPr>
            <w:tcW w:w="702" w:type="pct"/>
            <w:vAlign w:val="center"/>
          </w:tcPr>
          <w:p w14:paraId="40F3D721">
            <w:pPr>
              <w:pStyle w:val="20"/>
              <w:adjustRightInd w:val="0"/>
              <w:snapToGrid w:val="0"/>
              <w:spacing w:before="0" w:beforeAutospacing="0" w:after="0" w:afterAutospacing="0"/>
              <w:jc w:val="center"/>
              <w:rPr>
                <w:rFonts w:ascii="仿宋_GB2312" w:hAnsi="仿宋_GB2312" w:eastAsia="仿宋_GB2312" w:cs="仿宋_GB2312"/>
                <w:color w:val="auto"/>
                <w:highlight w:val="none"/>
                <w:lang w:eastAsia="en-US"/>
              </w:rPr>
            </w:pPr>
            <w:r>
              <w:rPr>
                <w:rFonts w:hint="eastAsia" w:ascii="仿宋_GB2312" w:hAnsi="仿宋_GB2312" w:eastAsia="仿宋_GB2312" w:cs="仿宋_GB2312"/>
                <w:color w:val="auto"/>
                <w:highlight w:val="none"/>
              </w:rPr>
              <w:t>售后服务方案</w:t>
            </w:r>
          </w:p>
        </w:tc>
        <w:tc>
          <w:tcPr>
            <w:tcW w:w="3184" w:type="pct"/>
            <w:vAlign w:val="center"/>
          </w:tcPr>
          <w:p w14:paraId="4D572C5D">
            <w:pPr>
              <w:pStyle w:val="20"/>
              <w:adjustRightInd w:val="0"/>
              <w:snapToGrid w:val="0"/>
              <w:spacing w:before="0" w:beforeAutospacing="0" w:after="0" w:afterAutospacing="0" w:line="560" w:lineRule="exact"/>
              <w:ind w:firstLine="480" w:firstLineChars="200"/>
              <w:rPr>
                <w:rFonts w:ascii="仿宋_GB2312" w:hAnsi="仿宋_GB2312" w:eastAsia="仿宋_GB2312" w:cs="仿宋_GB2312"/>
                <w:color w:val="auto"/>
                <w:kern w:val="2"/>
                <w:highlight w:val="none"/>
              </w:rPr>
            </w:pPr>
            <w:r>
              <w:rPr>
                <w:rFonts w:hint="eastAsia" w:ascii="仿宋_GB2312" w:hAnsi="仿宋_GB2312" w:eastAsia="仿宋_GB2312" w:cs="仿宋_GB2312"/>
                <w:color w:val="auto"/>
                <w:kern w:val="2"/>
                <w:highlight w:val="none"/>
              </w:rPr>
              <w:t>售后服务方案包括但不限于售后服务内容、售后服务形式、售后服务安排、售后服务响应时间、解决问题时间等内容，进行综合评分：</w:t>
            </w:r>
          </w:p>
          <w:p w14:paraId="7FB156BD">
            <w:pPr>
              <w:pStyle w:val="20"/>
              <w:adjustRightInd w:val="0"/>
              <w:snapToGrid w:val="0"/>
              <w:spacing w:before="0" w:beforeAutospacing="0" w:after="0" w:afterAutospacing="0" w:line="560" w:lineRule="exact"/>
              <w:ind w:firstLine="480" w:firstLineChars="20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提供符合采购需求全面详实的有效方案，得</w:t>
            </w:r>
            <w:r>
              <w:rPr>
                <w:rFonts w:ascii="仿宋_GB2312" w:hAnsi="仿宋_GB2312" w:eastAsia="仿宋_GB2312" w:cs="仿宋_GB2312"/>
                <w:color w:val="auto"/>
                <w:highlight w:val="none"/>
              </w:rPr>
              <w:t>8</w:t>
            </w:r>
            <w:r>
              <w:rPr>
                <w:rFonts w:hint="eastAsia" w:ascii="仿宋_GB2312" w:hAnsi="仿宋_GB2312" w:eastAsia="仿宋_GB2312" w:cs="仿宋_GB2312"/>
                <w:color w:val="auto"/>
                <w:highlight w:val="none"/>
              </w:rPr>
              <w:t>分；</w:t>
            </w:r>
          </w:p>
          <w:p w14:paraId="4BD31836">
            <w:pPr>
              <w:pStyle w:val="20"/>
              <w:adjustRightInd w:val="0"/>
              <w:snapToGrid w:val="0"/>
              <w:spacing w:before="0" w:beforeAutospacing="0" w:after="0" w:afterAutospacing="0" w:line="560" w:lineRule="exact"/>
              <w:ind w:firstLine="480" w:firstLineChars="20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方案内容存在缺陷的，得</w:t>
            </w:r>
            <w:r>
              <w:rPr>
                <w:rFonts w:ascii="仿宋_GB2312" w:hAnsi="仿宋_GB2312" w:eastAsia="仿宋_GB2312" w:cs="仿宋_GB2312"/>
                <w:color w:val="auto"/>
                <w:highlight w:val="none"/>
              </w:rPr>
              <w:t>5</w:t>
            </w:r>
            <w:r>
              <w:rPr>
                <w:rFonts w:hint="eastAsia" w:ascii="仿宋_GB2312" w:hAnsi="仿宋_GB2312" w:eastAsia="仿宋_GB2312" w:cs="仿宋_GB2312"/>
                <w:color w:val="auto"/>
                <w:highlight w:val="none"/>
              </w:rPr>
              <w:t>分；</w:t>
            </w:r>
          </w:p>
          <w:p w14:paraId="7BE694BD">
            <w:pPr>
              <w:pStyle w:val="20"/>
              <w:adjustRightInd w:val="0"/>
              <w:snapToGrid w:val="0"/>
              <w:spacing w:before="0" w:beforeAutospacing="0" w:after="0" w:afterAutospacing="0" w:line="560" w:lineRule="exact"/>
              <w:ind w:firstLine="480" w:firstLineChars="20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方案内容存在不符合项目需求的，或方案中缺少上述应包括内容任意一项内容的，得</w:t>
            </w:r>
            <w:r>
              <w:rPr>
                <w:rFonts w:ascii="仿宋_GB2312" w:hAnsi="仿宋_GB2312" w:eastAsia="仿宋_GB2312" w:cs="仿宋_GB2312"/>
                <w:color w:val="auto"/>
                <w:highlight w:val="none"/>
              </w:rPr>
              <w:t>2</w:t>
            </w:r>
            <w:r>
              <w:rPr>
                <w:rFonts w:hint="eastAsia" w:ascii="仿宋_GB2312" w:hAnsi="仿宋_GB2312" w:eastAsia="仿宋_GB2312" w:cs="仿宋_GB2312"/>
                <w:color w:val="auto"/>
                <w:highlight w:val="none"/>
              </w:rPr>
              <w:t>分；</w:t>
            </w:r>
          </w:p>
          <w:p w14:paraId="0CA1520F">
            <w:pPr>
              <w:pStyle w:val="20"/>
              <w:adjustRightInd w:val="0"/>
              <w:snapToGrid w:val="0"/>
              <w:spacing w:before="0" w:beforeAutospacing="0" w:after="0" w:afterAutospacing="0" w:line="560" w:lineRule="exact"/>
              <w:ind w:firstLine="480" w:firstLineChars="20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未提供方案，得0分。</w:t>
            </w:r>
          </w:p>
        </w:tc>
        <w:tc>
          <w:tcPr>
            <w:tcW w:w="438" w:type="pct"/>
            <w:vAlign w:val="center"/>
          </w:tcPr>
          <w:p w14:paraId="13BF848D">
            <w:pPr>
              <w:adjustRightInd w:val="0"/>
              <w:snapToGrid w:val="0"/>
              <w:jc w:val="center"/>
              <w:rPr>
                <w:rFonts w:ascii="仿宋_GB2312" w:hAnsi="仿宋_GB2312" w:eastAsia="仿宋_GB2312" w:cs="仿宋_GB2312"/>
                <w:color w:val="auto"/>
                <w:kern w:val="0"/>
                <w:sz w:val="24"/>
                <w:highlight w:val="none"/>
              </w:rPr>
            </w:pPr>
            <w:r>
              <w:rPr>
                <w:rFonts w:ascii="仿宋_GB2312" w:hAnsi="仿宋_GB2312" w:eastAsia="仿宋_GB2312" w:cs="仿宋_GB2312"/>
                <w:color w:val="auto"/>
                <w:sz w:val="24"/>
                <w:highlight w:val="none"/>
              </w:rPr>
              <w:t>8</w:t>
            </w:r>
          </w:p>
        </w:tc>
      </w:tr>
      <w:tr w14:paraId="26582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674" w:type="pct"/>
            <w:vMerge w:val="restart"/>
            <w:vAlign w:val="center"/>
          </w:tcPr>
          <w:p w14:paraId="1EF9F71A">
            <w:pPr>
              <w:widowControl/>
              <w:jc w:val="center"/>
              <w:rPr>
                <w:rFonts w:ascii="仿宋_GB2312" w:hAnsi="仿宋_GB2312" w:eastAsia="仿宋_GB2312" w:cs="仿宋_GB2312"/>
                <w:color w:val="auto"/>
                <w:kern w:val="0"/>
                <w:sz w:val="24"/>
                <w:highlight w:val="none"/>
                <w:lang w:eastAsia="en-US"/>
              </w:rPr>
            </w:pPr>
            <w:r>
              <w:rPr>
                <w:rFonts w:hint="eastAsia" w:ascii="仿宋_GB2312" w:hAnsi="仿宋_GB2312" w:eastAsia="仿宋_GB2312" w:cs="仿宋_GB2312"/>
                <w:color w:val="auto"/>
                <w:kern w:val="0"/>
                <w:sz w:val="24"/>
                <w:highlight w:val="none"/>
                <w:lang w:eastAsia="en-US"/>
              </w:rPr>
              <w:t>商务部分</w:t>
            </w:r>
            <w:r>
              <w:rPr>
                <w:rFonts w:hint="eastAsia" w:ascii="仿宋_GB2312" w:hAnsi="仿宋_GB2312" w:eastAsia="仿宋_GB2312" w:cs="仿宋_GB2312"/>
                <w:color w:val="auto"/>
                <w:kern w:val="0"/>
                <w:sz w:val="24"/>
                <w:highlight w:val="none"/>
              </w:rPr>
              <w:t>（13分）</w:t>
            </w:r>
          </w:p>
        </w:tc>
        <w:tc>
          <w:tcPr>
            <w:tcW w:w="702" w:type="pct"/>
            <w:vAlign w:val="center"/>
          </w:tcPr>
          <w:p w14:paraId="696B8904">
            <w:pPr>
              <w:pStyle w:val="20"/>
              <w:adjustRightInd w:val="0"/>
              <w:snapToGrid w:val="0"/>
              <w:spacing w:before="0" w:beforeAutospacing="0" w:after="0" w:afterAutospacing="0"/>
              <w:jc w:val="center"/>
              <w:rPr>
                <w:rFonts w:ascii="仿宋_GB2312" w:hAnsi="仿宋_GB2312" w:eastAsia="仿宋_GB2312" w:cs="仿宋_GB2312"/>
                <w:color w:val="auto"/>
                <w:highlight w:val="none"/>
                <w:lang w:eastAsia="en-US"/>
              </w:rPr>
            </w:pPr>
            <w:r>
              <w:rPr>
                <w:rFonts w:hint="eastAsia" w:ascii="仿宋_GB2312" w:hAnsi="仿宋_GB2312" w:eastAsia="仿宋_GB2312" w:cs="仿宋_GB2312"/>
                <w:color w:val="auto"/>
                <w:highlight w:val="none"/>
              </w:rPr>
              <w:t>企业业绩</w:t>
            </w:r>
          </w:p>
        </w:tc>
        <w:tc>
          <w:tcPr>
            <w:tcW w:w="3184" w:type="pct"/>
            <w:vAlign w:val="center"/>
          </w:tcPr>
          <w:p w14:paraId="538FD2B9">
            <w:pPr>
              <w:pStyle w:val="20"/>
              <w:adjustRightInd w:val="0"/>
              <w:snapToGrid w:val="0"/>
              <w:spacing w:before="0" w:beforeAutospacing="0" w:after="0" w:afterAutospacing="0" w:line="560" w:lineRule="exact"/>
              <w:ind w:firstLine="480" w:firstLineChars="200"/>
              <w:rPr>
                <w:rFonts w:ascii="仿宋_GB2312" w:hAnsi="仿宋_GB2312" w:eastAsia="仿宋_GB2312" w:cs="仿宋_GB2312"/>
                <w:color w:val="auto"/>
                <w:kern w:val="2"/>
                <w:highlight w:val="none"/>
              </w:rPr>
            </w:pPr>
            <w:r>
              <w:rPr>
                <w:rFonts w:hint="eastAsia" w:ascii="仿宋_GB2312" w:hAnsi="仿宋_GB2312" w:eastAsia="仿宋_GB2312" w:cs="仿宋_GB2312"/>
                <w:color w:val="auto"/>
                <w:kern w:val="2"/>
                <w:highlight w:val="none"/>
              </w:rPr>
              <w:t>评审内容：</w:t>
            </w:r>
            <w:r>
              <w:rPr>
                <w:rFonts w:hint="eastAsia" w:ascii="仿宋_GB2312" w:hAnsi="仿宋_GB2312" w:eastAsia="仿宋_GB2312" w:cs="仿宋_GB2312"/>
                <w:color w:val="auto"/>
                <w:highlight w:val="none"/>
              </w:rPr>
              <w:t>企业业绩；</w:t>
            </w:r>
          </w:p>
          <w:p w14:paraId="2C7FDA27">
            <w:pPr>
              <w:pStyle w:val="20"/>
              <w:adjustRightInd w:val="0"/>
              <w:snapToGrid w:val="0"/>
              <w:spacing w:before="0" w:beforeAutospacing="0" w:after="0" w:afterAutospacing="0" w:line="560" w:lineRule="exact"/>
              <w:ind w:firstLine="480" w:firstLineChars="200"/>
              <w:rPr>
                <w:rFonts w:ascii="仿宋_GB2312" w:hAnsi="仿宋_GB2312" w:eastAsia="仿宋_GB2312" w:cs="仿宋_GB2312"/>
                <w:color w:val="auto"/>
                <w:kern w:val="2"/>
                <w:highlight w:val="none"/>
              </w:rPr>
            </w:pPr>
            <w:r>
              <w:rPr>
                <w:rFonts w:hint="eastAsia" w:ascii="仿宋_GB2312" w:hAnsi="仿宋_GB2312" w:eastAsia="仿宋_GB2312" w:cs="仿宋_GB2312"/>
                <w:color w:val="auto"/>
                <w:kern w:val="2"/>
                <w:highlight w:val="none"/>
              </w:rPr>
              <w:t>评审标准：投标人提供的2022年1月1日至今类似</w:t>
            </w:r>
            <w:r>
              <w:rPr>
                <w:rFonts w:hint="eastAsia" w:ascii="Calibri" w:hAnsi="Calibri" w:eastAsia="仿宋_GB2312" w:cs="Calibri"/>
                <w:color w:val="auto"/>
                <w:kern w:val="2"/>
                <w:highlight w:val="none"/>
              </w:rPr>
              <w:t>项目业绩</w:t>
            </w:r>
            <w:r>
              <w:rPr>
                <w:rFonts w:hint="eastAsia" w:ascii="仿宋_GB2312" w:hAnsi="仿宋_GB2312" w:eastAsia="仿宋_GB2312" w:cs="仿宋_GB2312"/>
                <w:color w:val="auto"/>
                <w:kern w:val="2"/>
                <w:highlight w:val="none"/>
              </w:rPr>
              <w:t>，每提供一个得2分，满分10分。</w:t>
            </w:r>
          </w:p>
          <w:p w14:paraId="5554D4FE">
            <w:pPr>
              <w:pStyle w:val="20"/>
              <w:adjustRightInd w:val="0"/>
              <w:snapToGrid w:val="0"/>
              <w:spacing w:before="0" w:beforeAutospacing="0" w:after="0" w:afterAutospacing="0" w:line="560" w:lineRule="exact"/>
              <w:ind w:firstLine="480" w:firstLineChars="200"/>
              <w:rPr>
                <w:rFonts w:ascii="仿宋_GB2312" w:hAnsi="仿宋_GB2312" w:eastAsia="仿宋_GB2312" w:cs="仿宋_GB2312"/>
                <w:color w:val="auto"/>
                <w:highlight w:val="none"/>
              </w:rPr>
            </w:pPr>
            <w:r>
              <w:rPr>
                <w:rFonts w:hint="eastAsia" w:ascii="仿宋_GB2312" w:hAnsi="仿宋_GB2312" w:eastAsia="仿宋_GB2312" w:cs="仿宋_GB2312"/>
                <w:b/>
                <w:bCs/>
                <w:color w:val="auto"/>
                <w:kern w:val="2"/>
                <w:highlight w:val="none"/>
              </w:rPr>
              <w:t>注：业绩时间以合同签订时间为准；提供有效合同复印件（完整合同、包含供货清单明细页）加盖投标人公章，未提供或不满足不得分。</w:t>
            </w:r>
          </w:p>
        </w:tc>
        <w:tc>
          <w:tcPr>
            <w:tcW w:w="438" w:type="pct"/>
            <w:vAlign w:val="center"/>
          </w:tcPr>
          <w:p w14:paraId="6D62B8C5">
            <w:pPr>
              <w:pStyle w:val="20"/>
              <w:adjustRightInd w:val="0"/>
              <w:snapToGrid w:val="0"/>
              <w:spacing w:before="0" w:beforeAutospacing="0" w:after="0" w:afterAutospacing="0"/>
              <w:jc w:val="cente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10</w:t>
            </w:r>
          </w:p>
        </w:tc>
      </w:tr>
      <w:tr w14:paraId="28450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74" w:type="pct"/>
            <w:vMerge w:val="continue"/>
            <w:vAlign w:val="center"/>
          </w:tcPr>
          <w:p w14:paraId="24C69CED">
            <w:pPr>
              <w:widowControl/>
              <w:jc w:val="left"/>
              <w:rPr>
                <w:rFonts w:ascii="仿宋_GB2312" w:hAnsi="仿宋_GB2312" w:eastAsia="仿宋_GB2312" w:cs="仿宋_GB2312"/>
                <w:color w:val="auto"/>
                <w:kern w:val="0"/>
                <w:sz w:val="24"/>
                <w:highlight w:val="none"/>
                <w:lang w:eastAsia="en-US"/>
              </w:rPr>
            </w:pPr>
          </w:p>
        </w:tc>
        <w:tc>
          <w:tcPr>
            <w:tcW w:w="702" w:type="pct"/>
            <w:vAlign w:val="center"/>
          </w:tcPr>
          <w:p w14:paraId="616E254D">
            <w:pPr>
              <w:pStyle w:val="20"/>
              <w:adjustRightInd w:val="0"/>
              <w:snapToGrid w:val="0"/>
              <w:spacing w:before="0" w:beforeAutospacing="0" w:after="0" w:afterAutospacing="0"/>
              <w:jc w:val="center"/>
              <w:rPr>
                <w:rFonts w:ascii="仿宋_GB2312" w:hAnsi="仿宋_GB2312" w:eastAsia="仿宋_GB2312" w:cs="仿宋_GB2312"/>
                <w:color w:val="auto"/>
                <w:highlight w:val="none"/>
                <w:lang w:eastAsia="en-US"/>
              </w:rPr>
            </w:pPr>
            <w:r>
              <w:rPr>
                <w:rFonts w:hint="eastAsia" w:ascii="仿宋_GB2312" w:hAnsi="仿宋_GB2312" w:eastAsia="仿宋_GB2312" w:cs="仿宋_GB2312"/>
                <w:color w:val="auto"/>
                <w:highlight w:val="none"/>
              </w:rPr>
              <w:t>体系认证</w:t>
            </w:r>
          </w:p>
        </w:tc>
        <w:tc>
          <w:tcPr>
            <w:tcW w:w="3184" w:type="pct"/>
            <w:vAlign w:val="center"/>
          </w:tcPr>
          <w:p w14:paraId="4FA24203">
            <w:pPr>
              <w:pStyle w:val="20"/>
              <w:adjustRightInd w:val="0"/>
              <w:snapToGrid w:val="0"/>
              <w:spacing w:before="0" w:beforeAutospacing="0" w:after="0" w:afterAutospacing="0" w:line="560" w:lineRule="exact"/>
              <w:ind w:firstLine="480" w:firstLineChars="200"/>
              <w:rPr>
                <w:rFonts w:ascii="仿宋_GB2312" w:hAnsi="仿宋_GB2312" w:eastAsia="仿宋_GB2312" w:cs="仿宋_GB2312"/>
                <w:color w:val="auto"/>
                <w:kern w:val="2"/>
                <w:highlight w:val="none"/>
              </w:rPr>
            </w:pPr>
            <w:r>
              <w:rPr>
                <w:rFonts w:hint="eastAsia" w:ascii="仿宋_GB2312" w:hAnsi="仿宋_GB2312" w:eastAsia="仿宋_GB2312" w:cs="仿宋_GB2312"/>
                <w:color w:val="auto"/>
                <w:kern w:val="2"/>
                <w:highlight w:val="none"/>
              </w:rPr>
              <w:t>评审内容：</w:t>
            </w:r>
            <w:r>
              <w:rPr>
                <w:rFonts w:hint="eastAsia" w:ascii="仿宋_GB2312" w:hAnsi="仿宋_GB2312" w:eastAsia="仿宋_GB2312" w:cs="仿宋_GB2312"/>
                <w:color w:val="auto"/>
                <w:highlight w:val="none"/>
              </w:rPr>
              <w:t>体系认证；</w:t>
            </w:r>
          </w:p>
          <w:p w14:paraId="47D24F66">
            <w:pPr>
              <w:pStyle w:val="20"/>
              <w:adjustRightInd w:val="0"/>
              <w:snapToGrid w:val="0"/>
              <w:spacing w:before="0" w:beforeAutospacing="0" w:after="0" w:afterAutospacing="0" w:line="560" w:lineRule="exact"/>
              <w:ind w:firstLine="480" w:firstLineChars="200"/>
              <w:rPr>
                <w:rFonts w:ascii="仿宋_GB2312" w:hAnsi="仿宋_GB2312" w:eastAsia="仿宋_GB2312" w:cs="仿宋_GB2312"/>
                <w:color w:val="auto"/>
                <w:kern w:val="2"/>
                <w:highlight w:val="none"/>
              </w:rPr>
            </w:pPr>
            <w:r>
              <w:rPr>
                <w:rFonts w:hint="eastAsia" w:ascii="仿宋_GB2312" w:hAnsi="仿宋_GB2312" w:eastAsia="仿宋_GB2312" w:cs="仿宋_GB2312"/>
                <w:color w:val="auto"/>
                <w:kern w:val="2"/>
                <w:highlight w:val="none"/>
              </w:rPr>
              <w:t>评审标准：投标人或制造商具有质量管理体系认证证书、职业健康安全管理体系认证证书、环境管理体系认证证书，每提供一项得1分，满分3分。</w:t>
            </w:r>
          </w:p>
          <w:p w14:paraId="7662924A">
            <w:pPr>
              <w:pStyle w:val="20"/>
              <w:adjustRightInd w:val="0"/>
              <w:snapToGrid w:val="0"/>
              <w:spacing w:before="0" w:beforeAutospacing="0" w:after="0" w:afterAutospacing="0" w:line="560" w:lineRule="exact"/>
              <w:ind w:firstLine="480" w:firstLineChars="200"/>
              <w:rPr>
                <w:rFonts w:ascii="仿宋_GB2312" w:hAnsi="仿宋_GB2312" w:eastAsia="仿宋_GB2312" w:cs="仿宋_GB2312"/>
                <w:color w:val="auto"/>
                <w:highlight w:val="none"/>
              </w:rPr>
            </w:pPr>
            <w:r>
              <w:rPr>
                <w:rFonts w:hint="eastAsia" w:ascii="仿宋_GB2312" w:hAnsi="仿宋_GB2312" w:eastAsia="仿宋_GB2312" w:cs="仿宋_GB2312"/>
                <w:b/>
                <w:bCs/>
                <w:color w:val="auto"/>
                <w:kern w:val="2"/>
                <w:highlight w:val="none"/>
              </w:rPr>
              <w:t>注：提供有效证书复印件加盖投标人公章，未提供或不满足不得分。</w:t>
            </w:r>
          </w:p>
        </w:tc>
        <w:tc>
          <w:tcPr>
            <w:tcW w:w="438" w:type="pct"/>
            <w:vAlign w:val="center"/>
          </w:tcPr>
          <w:p w14:paraId="52B98896">
            <w:pPr>
              <w:pStyle w:val="20"/>
              <w:adjustRightInd w:val="0"/>
              <w:snapToGrid w:val="0"/>
              <w:spacing w:before="0" w:beforeAutospacing="0" w:after="0" w:afterAutospacing="0"/>
              <w:jc w:val="cente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3</w:t>
            </w:r>
          </w:p>
        </w:tc>
      </w:tr>
      <w:tr w14:paraId="29061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trPr>
        <w:tc>
          <w:tcPr>
            <w:tcW w:w="4561" w:type="pct"/>
            <w:gridSpan w:val="3"/>
            <w:vAlign w:val="center"/>
          </w:tcPr>
          <w:p w14:paraId="6D93624B">
            <w:pPr>
              <w:widowControl/>
              <w:ind w:firstLine="480" w:firstLineChars="200"/>
              <w:jc w:val="center"/>
              <w:rPr>
                <w:rFonts w:ascii="仿宋_GB2312" w:hAnsi="仿宋_GB2312" w:eastAsia="仿宋_GB2312" w:cs="仿宋_GB2312"/>
                <w:color w:val="auto"/>
                <w:kern w:val="0"/>
                <w:sz w:val="24"/>
                <w:highlight w:val="none"/>
                <w:lang w:eastAsia="en-US"/>
              </w:rPr>
            </w:pPr>
            <w:r>
              <w:rPr>
                <w:rFonts w:hint="eastAsia" w:ascii="仿宋_GB2312" w:hAnsi="仿宋_GB2312" w:eastAsia="仿宋_GB2312" w:cs="仿宋_GB2312"/>
                <w:color w:val="auto"/>
                <w:kern w:val="0"/>
                <w:sz w:val="24"/>
                <w:highlight w:val="none"/>
                <w:lang w:eastAsia="en-US"/>
              </w:rPr>
              <w:t>合计</w:t>
            </w:r>
          </w:p>
        </w:tc>
        <w:tc>
          <w:tcPr>
            <w:tcW w:w="438" w:type="pct"/>
            <w:vAlign w:val="center"/>
          </w:tcPr>
          <w:p w14:paraId="6BB32A34">
            <w:pPr>
              <w:widowControl/>
              <w:jc w:val="center"/>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lang w:eastAsia="en-US"/>
              </w:rPr>
              <w:t>100</w:t>
            </w:r>
          </w:p>
        </w:tc>
      </w:tr>
    </w:tbl>
    <w:p w14:paraId="42E38B75">
      <w:pPr>
        <w:snapToGrid w:val="0"/>
        <w:spacing w:line="360" w:lineRule="auto"/>
        <w:ind w:firstLine="480" w:firstLineChars="200"/>
        <w:rPr>
          <w:rFonts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rPr>
        <w:t>注：缺陷是指方案内容与项目需求不一致、存在相互矛盾内容以及未针对本项目编写的任意一种情形。不符合项目需求是指存在与本项目执行无关的内容、存在相关内容在实际操作中不能运用的任意一种情形。</w:t>
      </w:r>
    </w:p>
    <w:p w14:paraId="20C479DD">
      <w:pPr>
        <w:rPr>
          <w:rFonts w:ascii="仿宋_GB2312" w:hAnsi="仿宋" w:eastAsia="仿宋_GB2312" w:cs="仿宋_GB2312"/>
          <w:b/>
          <w:color w:val="auto"/>
          <w:sz w:val="24"/>
          <w:highlight w:val="none"/>
        </w:rPr>
      </w:pPr>
      <w:r>
        <w:rPr>
          <w:rFonts w:hint="eastAsia" w:ascii="仿宋_GB2312" w:eastAsia="仿宋_GB2312"/>
          <w:b/>
          <w:color w:val="auto"/>
          <w:sz w:val="24"/>
          <w:highlight w:val="none"/>
        </w:rPr>
        <w:t>（二）</w:t>
      </w:r>
      <w:r>
        <w:rPr>
          <w:rFonts w:hint="eastAsia" w:ascii="仿宋_GB2312" w:hAnsi="仿宋" w:eastAsia="仿宋_GB2312" w:cs="仿宋_GB2312"/>
          <w:b/>
          <w:color w:val="auto"/>
          <w:sz w:val="24"/>
          <w:highlight w:val="none"/>
        </w:rPr>
        <w:t>加分项评分标准</w:t>
      </w:r>
    </w:p>
    <w:tbl>
      <w:tblPr>
        <w:tblStyle w:val="24"/>
        <w:tblW w:w="9123" w:type="dxa"/>
        <w:tblInd w:w="-2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4"/>
        <w:gridCol w:w="8239"/>
      </w:tblGrid>
      <w:tr w14:paraId="04510563">
        <w:tblPrEx>
          <w:tblCellMar>
            <w:top w:w="0" w:type="dxa"/>
            <w:left w:w="108" w:type="dxa"/>
            <w:bottom w:w="0" w:type="dxa"/>
            <w:right w:w="108" w:type="dxa"/>
          </w:tblCellMar>
        </w:tblPrEx>
        <w:trPr>
          <w:cantSplit/>
          <w:trHeight w:val="466" w:hRule="atLeast"/>
        </w:trPr>
        <w:tc>
          <w:tcPr>
            <w:tcW w:w="884" w:type="dxa"/>
            <w:vAlign w:val="center"/>
          </w:tcPr>
          <w:p w14:paraId="3096FDB0">
            <w:pPr>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加分</w:t>
            </w:r>
          </w:p>
          <w:p w14:paraId="315FB719">
            <w:pPr>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因素</w:t>
            </w:r>
          </w:p>
        </w:tc>
        <w:tc>
          <w:tcPr>
            <w:tcW w:w="8239" w:type="dxa"/>
            <w:vAlign w:val="center"/>
          </w:tcPr>
          <w:p w14:paraId="70A345C0">
            <w:pPr>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加分说明</w:t>
            </w:r>
          </w:p>
        </w:tc>
      </w:tr>
      <w:tr w14:paraId="27D78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4" w:hRule="atLeast"/>
        </w:trPr>
        <w:tc>
          <w:tcPr>
            <w:tcW w:w="884" w:type="dxa"/>
            <w:vAlign w:val="center"/>
          </w:tcPr>
          <w:p w14:paraId="5016450C">
            <w:pPr>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节能</w:t>
            </w:r>
            <w:r>
              <w:rPr>
                <w:rFonts w:hint="eastAsia" w:ascii="仿宋_GB2312" w:hAnsi="仿宋_GB2312" w:eastAsia="仿宋_GB2312" w:cs="仿宋_GB2312"/>
                <w:color w:val="auto"/>
                <w:sz w:val="24"/>
                <w:highlight w:val="none"/>
              </w:rPr>
              <w:t>产品</w:t>
            </w:r>
          </w:p>
        </w:tc>
        <w:tc>
          <w:tcPr>
            <w:tcW w:w="8239" w:type="dxa"/>
            <w:vAlign w:val="center"/>
          </w:tcPr>
          <w:p w14:paraId="070BE66B">
            <w:pPr>
              <w:snapToGrid w:val="0"/>
              <w:spacing w:line="288" w:lineRule="auto"/>
              <w:rPr>
                <w:rFonts w:ascii="仿宋_GB2312" w:hAnsi="仿宋" w:eastAsia="仿宋_GB2312"/>
                <w:color w:val="auto"/>
                <w:sz w:val="24"/>
                <w:highlight w:val="none"/>
              </w:rPr>
            </w:pPr>
            <w:r>
              <w:rPr>
                <w:rFonts w:hint="eastAsia" w:ascii="仿宋_GB2312" w:hAnsi="仿宋" w:eastAsia="仿宋_GB2312"/>
                <w:color w:val="auto"/>
                <w:sz w:val="24"/>
                <w:highlight w:val="none"/>
              </w:rPr>
              <w:t>对于《获得节能认证产品部分报价表》中的投标产品价格给予价格部分总分值</w:t>
            </w:r>
            <w:r>
              <w:rPr>
                <w:rFonts w:hint="eastAsia" w:ascii="仿宋_GB2312" w:hAnsi="仿宋" w:eastAsia="仿宋_GB2312"/>
                <w:color w:val="auto"/>
                <w:sz w:val="24"/>
                <w:highlight w:val="none"/>
                <w:u w:val="single"/>
              </w:rPr>
              <w:t xml:space="preserve"> 3</w:t>
            </w:r>
            <w:r>
              <w:rPr>
                <w:rFonts w:ascii="仿宋_GB2312" w:hAnsi="仿宋" w:eastAsia="仿宋_GB2312"/>
                <w:color w:val="auto"/>
                <w:sz w:val="24"/>
                <w:highlight w:val="none"/>
                <w:u w:val="single"/>
              </w:rPr>
              <w:t xml:space="preserve"> </w:t>
            </w:r>
            <w:r>
              <w:rPr>
                <w:rFonts w:hint="eastAsia" w:ascii="仿宋_GB2312" w:hAnsi="仿宋" w:eastAsia="仿宋_GB2312"/>
                <w:color w:val="auto"/>
                <w:sz w:val="24"/>
                <w:highlight w:val="none"/>
              </w:rPr>
              <w:t>%的加分，计算公式如下：</w:t>
            </w:r>
          </w:p>
          <w:p w14:paraId="6C9C9CE1">
            <w:pPr>
              <w:snapToGrid w:val="0"/>
              <w:spacing w:line="288" w:lineRule="auto"/>
              <w:rPr>
                <w:rFonts w:ascii="仿宋_GB2312" w:hAnsi="仿宋" w:eastAsia="仿宋_GB2312"/>
                <w:color w:val="auto"/>
                <w:sz w:val="24"/>
                <w:highlight w:val="none"/>
              </w:rPr>
            </w:pPr>
            <w:r>
              <w:rPr>
                <w:rFonts w:hint="eastAsia" w:ascii="仿宋_GB2312" w:hAnsi="仿宋" w:eastAsia="仿宋_GB2312"/>
                <w:color w:val="auto"/>
                <w:sz w:val="24"/>
                <w:highlight w:val="none"/>
              </w:rPr>
              <w:t>节能产品加分＝（节能产品投标报价之和/投标总价）×价格部分总分值×</w:t>
            </w:r>
            <w:r>
              <w:rPr>
                <w:rFonts w:hint="eastAsia" w:ascii="仿宋_GB2312" w:hAnsi="仿宋" w:eastAsia="仿宋_GB2312"/>
                <w:color w:val="auto"/>
                <w:sz w:val="24"/>
                <w:highlight w:val="none"/>
                <w:u w:val="single"/>
              </w:rPr>
              <w:t xml:space="preserve"> 3 </w:t>
            </w:r>
            <w:r>
              <w:rPr>
                <w:rFonts w:hint="eastAsia" w:ascii="仿宋_GB2312" w:hAnsi="仿宋" w:eastAsia="仿宋_GB2312"/>
                <w:color w:val="auto"/>
                <w:sz w:val="24"/>
                <w:highlight w:val="none"/>
              </w:rPr>
              <w:t>%。</w:t>
            </w:r>
            <w:r>
              <w:rPr>
                <w:rFonts w:hint="eastAsia" w:ascii="仿宋_GB2312" w:hAnsi="仿宋" w:eastAsia="仿宋_GB2312"/>
                <w:b/>
                <w:color w:val="auto"/>
                <w:sz w:val="24"/>
                <w:highlight w:val="none"/>
              </w:rPr>
              <w:t>注：强制节能产品除外。</w:t>
            </w:r>
          </w:p>
        </w:tc>
      </w:tr>
      <w:tr w14:paraId="55F31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 w:hRule="atLeast"/>
        </w:trPr>
        <w:tc>
          <w:tcPr>
            <w:tcW w:w="884" w:type="dxa"/>
            <w:vAlign w:val="center"/>
          </w:tcPr>
          <w:p w14:paraId="5CCC68C9">
            <w:pPr>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环保</w:t>
            </w:r>
            <w:r>
              <w:rPr>
                <w:rFonts w:hint="eastAsia" w:ascii="仿宋_GB2312" w:hAnsi="仿宋_GB2312" w:eastAsia="仿宋_GB2312" w:cs="仿宋_GB2312"/>
                <w:color w:val="auto"/>
                <w:sz w:val="24"/>
                <w:highlight w:val="none"/>
              </w:rPr>
              <w:t>产品</w:t>
            </w:r>
          </w:p>
        </w:tc>
        <w:tc>
          <w:tcPr>
            <w:tcW w:w="8239" w:type="dxa"/>
            <w:vAlign w:val="center"/>
          </w:tcPr>
          <w:p w14:paraId="7E731418">
            <w:pPr>
              <w:snapToGrid w:val="0"/>
              <w:spacing w:line="288" w:lineRule="auto"/>
              <w:rPr>
                <w:rFonts w:ascii="仿宋_GB2312" w:hAnsi="仿宋" w:eastAsia="仿宋_GB2312"/>
                <w:color w:val="auto"/>
                <w:sz w:val="24"/>
                <w:highlight w:val="none"/>
              </w:rPr>
            </w:pPr>
            <w:r>
              <w:rPr>
                <w:rFonts w:hint="eastAsia" w:ascii="仿宋_GB2312" w:hAnsi="仿宋" w:eastAsia="仿宋_GB2312"/>
                <w:color w:val="auto"/>
                <w:sz w:val="24"/>
                <w:highlight w:val="none"/>
              </w:rPr>
              <w:t>对于《获得环保认证产品部分报价表》中的投标产品价格给予价格部分总分值</w:t>
            </w:r>
            <w:r>
              <w:rPr>
                <w:rFonts w:hint="eastAsia" w:eastAsia="仿宋_GB2312"/>
                <w:color w:val="auto"/>
                <w:sz w:val="24"/>
                <w:highlight w:val="none"/>
                <w:u w:val="single"/>
              </w:rPr>
              <w:t xml:space="preserve"> </w:t>
            </w:r>
            <w:r>
              <w:rPr>
                <w:rFonts w:hint="eastAsia" w:ascii="仿宋_GB2312" w:hAnsi="仿宋" w:eastAsia="仿宋_GB2312"/>
                <w:color w:val="auto"/>
                <w:sz w:val="24"/>
                <w:highlight w:val="none"/>
                <w:u w:val="single"/>
              </w:rPr>
              <w:t>3</w:t>
            </w:r>
            <w:r>
              <w:rPr>
                <w:rFonts w:ascii="仿宋_GB2312" w:hAnsi="仿宋" w:eastAsia="仿宋_GB2312"/>
                <w:color w:val="auto"/>
                <w:kern w:val="0"/>
                <w:sz w:val="24"/>
                <w:highlight w:val="none"/>
                <w:u w:val="single"/>
              </w:rPr>
              <w:t xml:space="preserve"> </w:t>
            </w:r>
            <w:r>
              <w:rPr>
                <w:rFonts w:hint="eastAsia" w:ascii="仿宋_GB2312" w:hAnsi="仿宋" w:eastAsia="仿宋_GB2312"/>
                <w:color w:val="auto"/>
                <w:sz w:val="24"/>
                <w:highlight w:val="none"/>
              </w:rPr>
              <w:t>%的加分，计算公式如下：</w:t>
            </w:r>
          </w:p>
          <w:p w14:paraId="57DF7F71">
            <w:pPr>
              <w:snapToGrid w:val="0"/>
              <w:spacing w:line="288" w:lineRule="auto"/>
              <w:rPr>
                <w:rFonts w:ascii="仿宋_GB2312" w:hAnsi="仿宋" w:eastAsia="仿宋_GB2312" w:cs="仿宋_GB2312"/>
                <w:color w:val="auto"/>
                <w:sz w:val="24"/>
                <w:highlight w:val="none"/>
              </w:rPr>
            </w:pPr>
            <w:r>
              <w:rPr>
                <w:rFonts w:hint="eastAsia" w:ascii="仿宋_GB2312" w:hAnsi="仿宋" w:eastAsia="仿宋_GB2312"/>
                <w:color w:val="auto"/>
                <w:sz w:val="24"/>
                <w:highlight w:val="none"/>
              </w:rPr>
              <w:t>环保产品加分＝（环保产品投标报价之和/投标总价）×价格部分总分值×</w:t>
            </w:r>
            <w:r>
              <w:rPr>
                <w:rFonts w:ascii="仿宋_GB2312" w:hAnsi="仿宋" w:eastAsia="仿宋_GB2312"/>
                <w:color w:val="auto"/>
                <w:sz w:val="24"/>
                <w:highlight w:val="none"/>
                <w:u w:val="single"/>
              </w:rPr>
              <w:t xml:space="preserve"> </w:t>
            </w:r>
            <w:r>
              <w:rPr>
                <w:rFonts w:hint="eastAsia" w:ascii="仿宋_GB2312" w:hAnsi="仿宋" w:eastAsia="仿宋_GB2312"/>
                <w:color w:val="auto"/>
                <w:sz w:val="24"/>
                <w:highlight w:val="none"/>
                <w:u w:val="single"/>
              </w:rPr>
              <w:t>3</w:t>
            </w:r>
            <w:r>
              <w:rPr>
                <w:rFonts w:hint="eastAsia" w:eastAsia="仿宋_GB2312"/>
                <w:color w:val="auto"/>
                <w:sz w:val="24"/>
                <w:highlight w:val="none"/>
                <w:u w:val="single"/>
              </w:rPr>
              <w:t xml:space="preserve"> </w:t>
            </w:r>
            <w:r>
              <w:rPr>
                <w:rFonts w:hint="eastAsia" w:ascii="仿宋_GB2312" w:hAnsi="仿宋" w:eastAsia="仿宋_GB2312"/>
                <w:color w:val="auto"/>
                <w:sz w:val="24"/>
                <w:highlight w:val="none"/>
              </w:rPr>
              <w:t>%。</w:t>
            </w:r>
          </w:p>
        </w:tc>
      </w:tr>
    </w:tbl>
    <w:p w14:paraId="1074C17E">
      <w:pPr>
        <w:rPr>
          <w:rFonts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rPr>
        <w:br w:type="page"/>
      </w:r>
    </w:p>
    <w:p w14:paraId="03749BEE">
      <w:pPr>
        <w:rPr>
          <w:color w:val="auto"/>
          <w:highlight w:val="none"/>
        </w:rPr>
      </w:pPr>
      <w:bookmarkStart w:id="147" w:name="_Toc25922_WPSOffice_Level1"/>
      <w:bookmarkStart w:id="148" w:name="_Toc111013455"/>
      <w:bookmarkStart w:id="149" w:name="_Toc26852"/>
    </w:p>
    <w:p w14:paraId="5FFAD9F2">
      <w:pPr>
        <w:rPr>
          <w:color w:val="auto"/>
          <w:highlight w:val="none"/>
        </w:rPr>
      </w:pPr>
    </w:p>
    <w:p w14:paraId="65CA345A">
      <w:pPr>
        <w:rPr>
          <w:color w:val="auto"/>
          <w:highlight w:val="none"/>
        </w:rPr>
      </w:pPr>
    </w:p>
    <w:p w14:paraId="7142B358">
      <w:pPr>
        <w:rPr>
          <w:color w:val="auto"/>
          <w:highlight w:val="none"/>
        </w:rPr>
      </w:pPr>
    </w:p>
    <w:p w14:paraId="5B9634A8">
      <w:pPr>
        <w:rPr>
          <w:color w:val="auto"/>
          <w:highlight w:val="none"/>
        </w:rPr>
      </w:pPr>
    </w:p>
    <w:p w14:paraId="77A8FFA3">
      <w:pPr>
        <w:rPr>
          <w:color w:val="auto"/>
          <w:highlight w:val="none"/>
        </w:rPr>
      </w:pPr>
    </w:p>
    <w:p w14:paraId="10DD345C">
      <w:pPr>
        <w:rPr>
          <w:color w:val="auto"/>
          <w:highlight w:val="none"/>
        </w:rPr>
      </w:pPr>
    </w:p>
    <w:p w14:paraId="2409471F">
      <w:pPr>
        <w:rPr>
          <w:color w:val="auto"/>
          <w:highlight w:val="none"/>
        </w:rPr>
      </w:pPr>
    </w:p>
    <w:p w14:paraId="61DA40B8">
      <w:pPr>
        <w:rPr>
          <w:color w:val="auto"/>
          <w:highlight w:val="none"/>
        </w:rPr>
      </w:pPr>
    </w:p>
    <w:p w14:paraId="194C4D65">
      <w:pPr>
        <w:rPr>
          <w:color w:val="auto"/>
          <w:highlight w:val="none"/>
        </w:rPr>
      </w:pPr>
    </w:p>
    <w:p w14:paraId="16A47A2A">
      <w:pPr>
        <w:rPr>
          <w:color w:val="auto"/>
          <w:highlight w:val="none"/>
        </w:rPr>
      </w:pPr>
    </w:p>
    <w:p w14:paraId="4211BF9A">
      <w:pPr>
        <w:rPr>
          <w:color w:val="auto"/>
          <w:highlight w:val="none"/>
        </w:rPr>
      </w:pPr>
    </w:p>
    <w:p w14:paraId="4D2F5CED">
      <w:pPr>
        <w:pStyle w:val="2"/>
        <w:adjustRightInd w:val="0"/>
        <w:snapToGrid w:val="0"/>
        <w:spacing w:before="319" w:beforeLines="100" w:after="319" w:afterLines="100"/>
        <w:rPr>
          <w:rFonts w:ascii="方正小标宋简体" w:hAnsi="仿宋" w:eastAsia="方正小标宋简体" w:cs="仿宋_GB2312"/>
          <w:b w:val="0"/>
          <w:bCs/>
          <w:color w:val="auto"/>
          <w:highlight w:val="none"/>
        </w:rPr>
      </w:pPr>
      <w:r>
        <w:rPr>
          <w:rFonts w:hint="eastAsia" w:ascii="方正小标宋简体" w:hAnsi="仿宋" w:eastAsia="方正小标宋简体" w:cs="仿宋_GB2312"/>
          <w:b w:val="0"/>
          <w:bCs/>
          <w:color w:val="auto"/>
          <w:highlight w:val="none"/>
        </w:rPr>
        <w:t>第五章 政府采购合同条款</w:t>
      </w:r>
      <w:bookmarkEnd w:id="147"/>
      <w:r>
        <w:rPr>
          <w:rFonts w:hint="eastAsia" w:ascii="方正小标宋简体" w:hAnsi="仿宋" w:eastAsia="方正小标宋简体" w:cs="仿宋_GB2312"/>
          <w:b w:val="0"/>
          <w:bCs/>
          <w:color w:val="auto"/>
          <w:highlight w:val="none"/>
        </w:rPr>
        <w:t>及格式</w:t>
      </w:r>
      <w:bookmarkEnd w:id="148"/>
      <w:bookmarkEnd w:id="149"/>
    </w:p>
    <w:p w14:paraId="5FE8DFB8">
      <w:pPr>
        <w:rPr>
          <w:rFonts w:ascii="仿宋_GB2312" w:hAnsi="仿宋" w:eastAsia="仿宋_GB2312" w:cs="仿宋_GB2312"/>
          <w:color w:val="auto"/>
          <w:highlight w:val="none"/>
        </w:rPr>
      </w:pPr>
    </w:p>
    <w:p w14:paraId="51D93F00">
      <w:pPr>
        <w:rPr>
          <w:rFonts w:ascii="仿宋_GB2312" w:hAnsi="仿宋" w:eastAsia="仿宋_GB2312" w:cs="仿宋_GB2312"/>
          <w:color w:val="auto"/>
          <w:highlight w:val="none"/>
        </w:rPr>
      </w:pPr>
    </w:p>
    <w:p w14:paraId="72ED29F9">
      <w:pPr>
        <w:pStyle w:val="3"/>
        <w:adjustRightInd w:val="0"/>
        <w:snapToGrid w:val="0"/>
        <w:spacing w:before="0" w:after="0" w:line="240" w:lineRule="auto"/>
        <w:jc w:val="left"/>
        <w:rPr>
          <w:rFonts w:ascii="仿宋_GB2312" w:hAnsi="仿宋" w:eastAsia="仿宋_GB2312" w:cs="仿宋_GB2312"/>
          <w:color w:val="auto"/>
          <w:szCs w:val="28"/>
          <w:highlight w:val="none"/>
        </w:rPr>
      </w:pPr>
      <w:bookmarkStart w:id="150" w:name="_Toc23704_WPSOffice_Level1"/>
      <w:r>
        <w:rPr>
          <w:rFonts w:hint="eastAsia" w:ascii="仿宋_GB2312" w:hAnsi="仿宋" w:eastAsia="仿宋_GB2312" w:cs="仿宋_GB2312"/>
          <w:color w:val="auto"/>
          <w:szCs w:val="28"/>
          <w:highlight w:val="none"/>
        </w:rPr>
        <w:br w:type="page"/>
      </w:r>
      <w:r>
        <w:rPr>
          <w:rFonts w:hint="eastAsia" w:ascii="仿宋_GB2312" w:hAnsi="仿宋" w:eastAsia="仿宋_GB2312" w:cs="仿宋_GB2312"/>
          <w:color w:val="auto"/>
          <w:szCs w:val="28"/>
          <w:highlight w:val="none"/>
        </w:rPr>
        <w:t>合同条款</w:t>
      </w:r>
    </w:p>
    <w:p w14:paraId="11F62117">
      <w:pPr>
        <w:spacing w:before="319" w:beforeLines="100" w:after="319" w:afterLines="100" w:line="480" w:lineRule="exact"/>
        <w:jc w:val="center"/>
        <w:rPr>
          <w:rFonts w:ascii="方正小标宋简体" w:hAnsi="仿宋" w:eastAsia="方正小标宋简体" w:cs="仿宋_GB2312"/>
          <w:color w:val="auto"/>
          <w:sz w:val="32"/>
          <w:szCs w:val="32"/>
          <w:highlight w:val="none"/>
        </w:rPr>
      </w:pPr>
      <w:bookmarkStart w:id="151" w:name="_Toc30224_WPSOffice_Level1"/>
      <w:r>
        <w:rPr>
          <w:rFonts w:hint="eastAsia" w:ascii="方正小标宋简体" w:hAnsi="仿宋" w:eastAsia="方正小标宋简体" w:cs="仿宋_GB2312"/>
          <w:color w:val="auto"/>
          <w:sz w:val="32"/>
          <w:szCs w:val="32"/>
          <w:highlight w:val="none"/>
        </w:rPr>
        <w:t>政府采购合同条款</w:t>
      </w:r>
      <w:bookmarkEnd w:id="151"/>
    </w:p>
    <w:p w14:paraId="22311B2E">
      <w:pPr>
        <w:adjustRightInd w:val="0"/>
        <w:snapToGrid w:val="0"/>
        <w:spacing w:line="360" w:lineRule="auto"/>
        <w:ind w:firstLine="411" w:firstLineChars="196"/>
        <w:rPr>
          <w:rFonts w:ascii="仿宋_GB2312" w:hAnsi="仿宋" w:eastAsia="仿宋_GB2312"/>
          <w:b/>
          <w:bCs/>
          <w:color w:val="auto"/>
          <w:szCs w:val="21"/>
          <w:highlight w:val="none"/>
        </w:rPr>
      </w:pPr>
      <w:bookmarkStart w:id="152" w:name="_Toc25596_WPSOffice_Level1"/>
      <w:bookmarkStart w:id="153" w:name="_Toc10117_WPSOffice_Level1"/>
      <w:bookmarkStart w:id="154" w:name="_Toc398_WPSOffice_Level1"/>
      <w:r>
        <w:rPr>
          <w:rFonts w:hint="eastAsia" w:ascii="仿宋_GB2312" w:hAnsi="仿宋" w:eastAsia="仿宋_GB2312"/>
          <w:b/>
          <w:bCs/>
          <w:color w:val="auto"/>
          <w:szCs w:val="21"/>
          <w:highlight w:val="none"/>
        </w:rPr>
        <w:t>1.术语定义</w:t>
      </w:r>
      <w:bookmarkEnd w:id="152"/>
      <w:bookmarkEnd w:id="153"/>
      <w:bookmarkEnd w:id="154"/>
    </w:p>
    <w:p w14:paraId="5272C537">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本政府采购合同下列术语应解释为：</w:t>
      </w:r>
    </w:p>
    <w:p w14:paraId="47C392F1">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1.1“政府采购合同”指供需双方依照政府采购程序、按照招标文件、投标文件确定的事项所达成的协议，包括附件、附录和上述文件所提到的构成政府采购合同的所有文件。</w:t>
      </w:r>
    </w:p>
    <w:p w14:paraId="53513508">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1.2“政府采购合同价”指根据合同约定供方在正确地完全履行政府采购合同义务后，需方应支付给供方的价格。</w:t>
      </w:r>
    </w:p>
    <w:p w14:paraId="3F2EC535">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1.3“政府采购合同货物”指政府采购合同货物清单（同投标文件中开标一览表及其附表，下同）中所约定的各种形态和种类的物品，包括原材料、燃料、设备、产品、硬件、软件、安装材料、备件及专用器具、文件资料等内容。</w:t>
      </w:r>
    </w:p>
    <w:p w14:paraId="1BC11B81">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1.4“服务”指根据政府采购合同约定供方应承担的与供货有关的伴随服务，包括（但不限于）政府采购合同货物的运输、保险、安装、测试、调试、培训、维修、提供技术指导和支持、保修期外的维护以及其它类似的义务。</w:t>
      </w:r>
    </w:p>
    <w:p w14:paraId="014FEC7F">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1.5“需方”指项目基本内容及要求中所述取得货物和服务的采购人。</w:t>
      </w:r>
    </w:p>
    <w:p w14:paraId="27E68DC0">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1.6“供方”指项目基本内容及要求中所述提供产品和服务的中标人。</w:t>
      </w:r>
    </w:p>
    <w:p w14:paraId="44ECF8C9">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1.7“检验”指需方或者需方的最终用户收货后，按照本政府采购合同约定的标准对政府采购合同货物进行的检测与查验。</w:t>
      </w:r>
    </w:p>
    <w:p w14:paraId="5CF244C3">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1.8“验收书”指需方对供方履行政府采购合同情况及结果进行现场检验和评估意见的文件。</w:t>
      </w:r>
    </w:p>
    <w:p w14:paraId="5AC38BA6">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1.9“技术资料”指安装、调试、使用、维修政府采购合同货物所应具备的产品使用说明书和、或使用指南、操作手册、维修指南、服务手册、电路图、产品演示等文件及音像资料。</w:t>
      </w:r>
    </w:p>
    <w:p w14:paraId="142F1FB7">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1.10“保修期”指自验收书签署之日起，供方以自担费用方式保证政府采购合同货物正常运行的时期。</w:t>
      </w:r>
    </w:p>
    <w:p w14:paraId="46F0482D">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1.11“第三人”是指本政府采购合同双方以外的任何中国境内外的自然人、法人或其它经济组织。</w:t>
      </w:r>
    </w:p>
    <w:p w14:paraId="2670C11E">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1.12“法律、法规”是指由中国各级政府及有关部门制定的法律、行政法规、地方性法规、规章及其它规范性文件的有关规定。</w:t>
      </w:r>
    </w:p>
    <w:p w14:paraId="18757BC6">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1.13“招标文件”指采购人或者采购组织机构发布的招标文件。</w:t>
      </w:r>
    </w:p>
    <w:p w14:paraId="7448E09E">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1.14“投标文件”指供方按照采购组织机构招标文件的要求编制和递交，并最终被评标委员会接受的投标文件。</w:t>
      </w:r>
    </w:p>
    <w:p w14:paraId="5E2C7F86">
      <w:pPr>
        <w:ind w:firstLine="420" w:firstLineChars="200"/>
        <w:rPr>
          <w:rFonts w:ascii="仿宋_GB2312" w:hAnsi="仿宋" w:eastAsia="仿宋_GB2312"/>
          <w:color w:val="auto"/>
          <w:highlight w:val="none"/>
        </w:rPr>
      </w:pPr>
      <w:bookmarkStart w:id="155" w:name="_Toc22454_WPSOffice_Level1"/>
      <w:bookmarkStart w:id="156" w:name="_Toc750_WPSOffice_Level1"/>
      <w:bookmarkStart w:id="157" w:name="_Toc29737_WPSOffice_Level1"/>
      <w:r>
        <w:rPr>
          <w:rFonts w:hint="eastAsia" w:ascii="仿宋_GB2312" w:hAnsi="仿宋" w:eastAsia="仿宋_GB2312"/>
          <w:color w:val="auto"/>
          <w:highlight w:val="none"/>
        </w:rPr>
        <w:t>2.技术指标</w:t>
      </w:r>
      <w:bookmarkEnd w:id="155"/>
      <w:bookmarkEnd w:id="156"/>
      <w:bookmarkEnd w:id="157"/>
    </w:p>
    <w:p w14:paraId="07BAEA58">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2.1交付产品的技术指标应与招标文件规定的技术指标要求及投标文件中的“技术规格偏离表及商务条款偏离表”的承诺内容相一致。</w:t>
      </w:r>
    </w:p>
    <w:p w14:paraId="20D2022D">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2.2 除技术指标另有规定外，计量单位应该使用公制。</w:t>
      </w:r>
    </w:p>
    <w:p w14:paraId="290EFF92">
      <w:pPr>
        <w:adjustRightInd w:val="0"/>
        <w:snapToGrid w:val="0"/>
        <w:spacing w:line="360" w:lineRule="auto"/>
        <w:ind w:firstLine="411" w:firstLineChars="196"/>
        <w:rPr>
          <w:rFonts w:ascii="仿宋_GB2312" w:hAnsi="仿宋" w:eastAsia="仿宋_GB2312"/>
          <w:b/>
          <w:color w:val="auto"/>
          <w:szCs w:val="21"/>
          <w:highlight w:val="none"/>
        </w:rPr>
      </w:pPr>
      <w:bookmarkStart w:id="158" w:name="_Toc1538_WPSOffice_Level1"/>
      <w:bookmarkStart w:id="159" w:name="_Toc17648_WPSOffice_Level1"/>
      <w:bookmarkStart w:id="160" w:name="_Toc19640_WPSOffice_Level1"/>
      <w:r>
        <w:rPr>
          <w:rFonts w:hint="eastAsia" w:ascii="仿宋_GB2312" w:hAnsi="仿宋" w:eastAsia="仿宋_GB2312"/>
          <w:b/>
          <w:color w:val="auto"/>
          <w:szCs w:val="21"/>
          <w:highlight w:val="none"/>
        </w:rPr>
        <w:t>3.交货</w:t>
      </w:r>
      <w:bookmarkEnd w:id="158"/>
      <w:bookmarkEnd w:id="159"/>
      <w:bookmarkEnd w:id="160"/>
    </w:p>
    <w:p w14:paraId="4501D728">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3.1供方按照合同约定的时间、地点交货</w:t>
      </w:r>
    </w:p>
    <w:p w14:paraId="630D8B78">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3.2供方交货的同时应提交下列文件：销售发票，制造厂商出具的质量检验证书、产品合格证以及招标文件、投标文件确定供方应随货物同时提供的其他资料。</w:t>
      </w:r>
    </w:p>
    <w:p w14:paraId="2C618885">
      <w:pPr>
        <w:adjustRightInd w:val="0"/>
        <w:snapToGrid w:val="0"/>
        <w:spacing w:line="360" w:lineRule="auto"/>
        <w:ind w:firstLine="411" w:firstLineChars="196"/>
        <w:rPr>
          <w:rFonts w:ascii="仿宋_GB2312" w:hAnsi="仿宋" w:eastAsia="仿宋_GB2312"/>
          <w:b/>
          <w:color w:val="auto"/>
          <w:szCs w:val="21"/>
          <w:highlight w:val="none"/>
        </w:rPr>
      </w:pPr>
      <w:bookmarkStart w:id="161" w:name="_Toc1266_WPSOffice_Level1"/>
      <w:bookmarkStart w:id="162" w:name="_Toc15048_WPSOffice_Level1"/>
      <w:bookmarkStart w:id="163" w:name="_Toc11745_WPSOffice_Level1"/>
      <w:r>
        <w:rPr>
          <w:rFonts w:hint="eastAsia" w:ascii="仿宋_GB2312" w:hAnsi="仿宋" w:eastAsia="仿宋_GB2312"/>
          <w:b/>
          <w:color w:val="auto"/>
          <w:szCs w:val="21"/>
          <w:highlight w:val="none"/>
        </w:rPr>
        <w:t>4.合同金额</w:t>
      </w:r>
      <w:bookmarkEnd w:id="161"/>
      <w:bookmarkEnd w:id="162"/>
      <w:bookmarkEnd w:id="163"/>
    </w:p>
    <w:p w14:paraId="03DBE023">
      <w:pPr>
        <w:adjustRightInd w:val="0"/>
        <w:snapToGrid w:val="0"/>
        <w:spacing w:line="360" w:lineRule="auto"/>
        <w:ind w:firstLine="411" w:firstLineChars="196"/>
        <w:rPr>
          <w:rFonts w:ascii="仿宋_GB2312" w:hAnsi="仿宋" w:eastAsia="仿宋_GB2312"/>
          <w:b/>
          <w:color w:val="auto"/>
          <w:szCs w:val="21"/>
          <w:highlight w:val="none"/>
        </w:rPr>
      </w:pPr>
      <w:r>
        <w:rPr>
          <w:rFonts w:hint="eastAsia" w:ascii="仿宋_GB2312" w:hAnsi="仿宋" w:eastAsia="仿宋_GB2312"/>
          <w:color w:val="auto"/>
          <w:szCs w:val="21"/>
          <w:highlight w:val="none"/>
        </w:rPr>
        <w:t>根据政府采购合同文件要求，确定政府采购合同的总金额。</w:t>
      </w:r>
    </w:p>
    <w:p w14:paraId="1F1BFA9A">
      <w:pPr>
        <w:adjustRightInd w:val="0"/>
        <w:snapToGrid w:val="0"/>
        <w:spacing w:line="360" w:lineRule="auto"/>
        <w:ind w:firstLine="411" w:firstLineChars="196"/>
        <w:rPr>
          <w:rFonts w:ascii="仿宋_GB2312" w:hAnsi="仿宋" w:eastAsia="仿宋_GB2312"/>
          <w:b/>
          <w:color w:val="auto"/>
          <w:szCs w:val="21"/>
          <w:highlight w:val="none"/>
        </w:rPr>
      </w:pPr>
      <w:bookmarkStart w:id="164" w:name="_Toc941_WPSOffice_Level1"/>
      <w:bookmarkStart w:id="165" w:name="_Toc22359_WPSOffice_Level1"/>
      <w:bookmarkStart w:id="166" w:name="_Toc11969_WPSOffice_Level1"/>
      <w:r>
        <w:rPr>
          <w:rFonts w:hint="eastAsia" w:ascii="仿宋_GB2312" w:hAnsi="仿宋" w:eastAsia="仿宋_GB2312"/>
          <w:b/>
          <w:color w:val="auto"/>
          <w:szCs w:val="21"/>
          <w:highlight w:val="none"/>
        </w:rPr>
        <w:t>5.付款</w:t>
      </w:r>
      <w:bookmarkEnd w:id="164"/>
      <w:bookmarkEnd w:id="165"/>
      <w:bookmarkEnd w:id="166"/>
    </w:p>
    <w:p w14:paraId="17063A86">
      <w:pPr>
        <w:adjustRightInd w:val="0"/>
        <w:snapToGrid w:val="0"/>
        <w:spacing w:line="360" w:lineRule="auto"/>
        <w:ind w:firstLine="411" w:firstLineChars="196"/>
        <w:rPr>
          <w:rFonts w:ascii="仿宋_GB2312" w:hAnsi="仿宋" w:eastAsia="仿宋_GB2312"/>
          <w:color w:val="auto"/>
          <w:szCs w:val="21"/>
          <w:highlight w:val="none"/>
          <w:u w:val="single"/>
        </w:rPr>
      </w:pPr>
      <w:bookmarkStart w:id="167" w:name="_Toc22351_WPSOffice_Level2"/>
      <w:r>
        <w:rPr>
          <w:rFonts w:hint="eastAsia" w:ascii="仿宋_GB2312" w:hAnsi="仿宋" w:eastAsia="仿宋_GB2312"/>
          <w:color w:val="auto"/>
          <w:szCs w:val="21"/>
          <w:highlight w:val="none"/>
        </w:rPr>
        <w:t>5.1付款方式、条件：需方按照合同约定的方式和条件付款。</w:t>
      </w:r>
      <w:bookmarkEnd w:id="167"/>
    </w:p>
    <w:p w14:paraId="5FF2F32A">
      <w:pPr>
        <w:adjustRightInd w:val="0"/>
        <w:snapToGrid w:val="0"/>
        <w:spacing w:line="360" w:lineRule="auto"/>
        <w:ind w:firstLine="411" w:firstLineChars="196"/>
        <w:rPr>
          <w:rFonts w:ascii="仿宋_GB2312" w:hAnsi="仿宋" w:eastAsia="仿宋_GB2312"/>
          <w:b/>
          <w:color w:val="auto"/>
          <w:szCs w:val="21"/>
          <w:highlight w:val="none"/>
        </w:rPr>
      </w:pPr>
      <w:bookmarkStart w:id="168" w:name="_Toc27769_WPSOffice_Level1"/>
      <w:bookmarkStart w:id="169" w:name="_Toc30478_WPSOffice_Level1"/>
      <w:bookmarkStart w:id="170" w:name="_Toc10526_WPSOffice_Level1"/>
      <w:r>
        <w:rPr>
          <w:rFonts w:hint="eastAsia" w:ascii="仿宋_GB2312" w:hAnsi="仿宋" w:eastAsia="仿宋_GB2312"/>
          <w:b/>
          <w:color w:val="auto"/>
          <w:szCs w:val="21"/>
          <w:highlight w:val="none"/>
        </w:rPr>
        <w:t>6.验收</w:t>
      </w:r>
      <w:bookmarkEnd w:id="168"/>
      <w:bookmarkEnd w:id="169"/>
      <w:bookmarkEnd w:id="170"/>
    </w:p>
    <w:p w14:paraId="58D9C203">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6.1供方提交的货物由需方或者需方的最终用户负责验收。</w:t>
      </w:r>
    </w:p>
    <w:p w14:paraId="29F99872">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6.2需方或者需方的最终用户应当按照采购合同规定的技术、服务等要求组织对供应商履约的验收，并出具验收书。验收书应当包括每一项技术、服务等要求的履约情况。</w:t>
      </w:r>
    </w:p>
    <w:p w14:paraId="3EA30E8F">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6.3大型或者复杂的项目，应当邀请国家认可的质量检测机构参加验收。</w:t>
      </w:r>
    </w:p>
    <w:p w14:paraId="7E6CABF8">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6.4政府向社会公众提供的公共服务项目，验收时应当邀请服务对象参与并出具意见，验收结果应当向社会公告。</w:t>
      </w:r>
    </w:p>
    <w:p w14:paraId="7C3F8803">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6.5需方或者需方的最终用户根据政府采购合同的约定接收货物，在接收时对货物的品种、规格、性能、质量、数量、外观以及配件等进行验收。需方对货物的规格技术指标如有异议，应从验收结束之日起10日内按照政府采购合同约定的方式提出。验收通过后，需方向供方收取本政府采购合同第3.2款所列明的销售发票等文件并在验收书上签字和加盖单位公章，作为验收合格、同意付款的依据。</w:t>
      </w:r>
    </w:p>
    <w:p w14:paraId="5634C9EC">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6.6货物保修期自验收书签署之日起计算。</w:t>
      </w:r>
    </w:p>
    <w:p w14:paraId="62123FAA">
      <w:pPr>
        <w:adjustRightInd w:val="0"/>
        <w:snapToGrid w:val="0"/>
        <w:spacing w:line="360" w:lineRule="auto"/>
        <w:ind w:firstLine="411" w:firstLineChars="196"/>
        <w:rPr>
          <w:rFonts w:ascii="仿宋_GB2312" w:hAnsi="仿宋" w:eastAsia="仿宋_GB2312"/>
          <w:b/>
          <w:color w:val="auto"/>
          <w:szCs w:val="21"/>
          <w:highlight w:val="none"/>
        </w:rPr>
      </w:pPr>
      <w:bookmarkStart w:id="171" w:name="_Toc31292_WPSOffice_Level1"/>
      <w:bookmarkStart w:id="172" w:name="_Toc23127_WPSOffice_Level1"/>
      <w:bookmarkStart w:id="173" w:name="_Toc21868_WPSOffice_Level1"/>
      <w:r>
        <w:rPr>
          <w:rFonts w:hint="eastAsia" w:ascii="仿宋_GB2312" w:hAnsi="仿宋" w:eastAsia="仿宋_GB2312"/>
          <w:b/>
          <w:color w:val="auto"/>
          <w:szCs w:val="21"/>
          <w:highlight w:val="none"/>
        </w:rPr>
        <w:t>7.知识产权及有关规定</w:t>
      </w:r>
      <w:bookmarkEnd w:id="171"/>
      <w:bookmarkEnd w:id="172"/>
      <w:bookmarkEnd w:id="173"/>
    </w:p>
    <w:p w14:paraId="091A63B6">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7.1供方应保证其向需方提供的任何货物或其任何部分或该货物与其他货物一起使用后，不侵犯任何第三方的知识产权、专有技术权、商业秘密权或其他任何权利。 如因上述原因，第三方向需方提起侵权诉讼，供方有义务协助需方。如因此给需方造成损失，供方同意赔付需方遭受的损失。</w:t>
      </w:r>
    </w:p>
    <w:p w14:paraId="5DFB8EC8">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7.2一方对另一方提供的技术资料、样件、图纸及其他与质量、技术、经营相关信息（包括但不限于价格、数量）有保密义务。双方应确保其人员及相关协作方承担保密义务。</w:t>
      </w:r>
    </w:p>
    <w:p w14:paraId="3594F5EB">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7.3供方保证，供方依据本政府采购合同提供的货物及相关的软件和技术资料，供方均已得到有关知识产权的权利人的合法授权，如发生涉及到专利权、著作权、商标权等争议，供方负责交涉、处理，并承担由此引起的对第三人和需方的全部法律及经济责任。</w:t>
      </w:r>
    </w:p>
    <w:p w14:paraId="0DFD53BD">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7.4本合同中涉及保密和知识产权任何条款，在合同期限内及合同终止后持续有效。</w:t>
      </w:r>
    </w:p>
    <w:p w14:paraId="2011B2A7">
      <w:pPr>
        <w:adjustRightInd w:val="0"/>
        <w:snapToGrid w:val="0"/>
        <w:spacing w:line="360" w:lineRule="auto"/>
        <w:ind w:firstLine="411" w:firstLineChars="196"/>
        <w:rPr>
          <w:rFonts w:ascii="仿宋_GB2312" w:hAnsi="仿宋" w:eastAsia="仿宋_GB2312"/>
          <w:b/>
          <w:color w:val="auto"/>
          <w:szCs w:val="21"/>
          <w:highlight w:val="none"/>
        </w:rPr>
      </w:pPr>
      <w:bookmarkStart w:id="174" w:name="_Toc26796_WPSOffice_Level1"/>
      <w:bookmarkStart w:id="175" w:name="_Toc21090_WPSOffice_Level1"/>
      <w:bookmarkStart w:id="176" w:name="_Toc24765_WPSOffice_Level1"/>
      <w:r>
        <w:rPr>
          <w:rFonts w:hint="eastAsia" w:ascii="仿宋_GB2312" w:hAnsi="仿宋" w:eastAsia="仿宋_GB2312"/>
          <w:b/>
          <w:color w:val="auto"/>
          <w:szCs w:val="21"/>
          <w:highlight w:val="none"/>
        </w:rPr>
        <w:t>8.包装要求</w:t>
      </w:r>
      <w:bookmarkEnd w:id="174"/>
      <w:bookmarkEnd w:id="175"/>
      <w:bookmarkEnd w:id="176"/>
    </w:p>
    <w:p w14:paraId="579E3363">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8.1除政府采购合同另有规定外，供方提供的全部货物均应按标准保护措施进行包装。这类包装应适应于远距离运输、防潮、防震、防锈和防野蛮装卸，以确保货物安全无损运抵指定交货地点。如因包装问题导致货物毁损或者品质下降，需方有权要求降价、换货、拒收部分或整批货物，由此造成需方的费用和损失，均由供方承担。</w:t>
      </w:r>
    </w:p>
    <w:p w14:paraId="12D42D5A">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8.2每一个包装箱内应附一份详细的装箱单和质量合格证书。</w:t>
      </w:r>
    </w:p>
    <w:p w14:paraId="50BB63E9">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8.3包装费由供方承担，包装物不回收。</w:t>
      </w:r>
      <w:bookmarkStart w:id="177" w:name="_Toc26447_WPSOffice_Level1"/>
      <w:bookmarkStart w:id="178" w:name="_Toc1308_WPSOffice_Level1"/>
      <w:bookmarkStart w:id="179" w:name="_Toc2304_WPSOffice_Level1"/>
    </w:p>
    <w:p w14:paraId="15D1FF46">
      <w:pPr>
        <w:adjustRightInd w:val="0"/>
        <w:snapToGrid w:val="0"/>
        <w:spacing w:line="360" w:lineRule="auto"/>
        <w:ind w:firstLine="411" w:firstLineChars="196"/>
        <w:rPr>
          <w:rFonts w:ascii="仿宋_GB2312" w:hAnsi="仿宋" w:eastAsia="仿宋_GB2312"/>
          <w:b/>
          <w:color w:val="auto"/>
          <w:szCs w:val="21"/>
          <w:highlight w:val="none"/>
        </w:rPr>
      </w:pPr>
      <w:r>
        <w:rPr>
          <w:rFonts w:hint="eastAsia" w:ascii="仿宋_GB2312" w:hAnsi="仿宋" w:eastAsia="仿宋_GB2312"/>
          <w:b/>
          <w:color w:val="auto"/>
          <w:szCs w:val="21"/>
          <w:highlight w:val="none"/>
        </w:rPr>
        <w:t>9.伴随服务</w:t>
      </w:r>
      <w:bookmarkEnd w:id="177"/>
      <w:bookmarkEnd w:id="178"/>
      <w:bookmarkEnd w:id="179"/>
    </w:p>
    <w:p w14:paraId="556F86B5">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9.1供方应提供所交付货物的全套技术文件资料，包括产品目录、图纸、操作手册、使用说明、维护手册和服务指南等。</w:t>
      </w:r>
    </w:p>
    <w:p w14:paraId="2B8BFA6A">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9.2供方还应提供下列服务：</w:t>
      </w:r>
    </w:p>
    <w:p w14:paraId="36703499">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9.2.1货物的现场安装、启动和试运行；</w:t>
      </w:r>
    </w:p>
    <w:p w14:paraId="41C11829">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9.2.2提供货物组装和维修所需的工具；</w:t>
      </w:r>
    </w:p>
    <w:p w14:paraId="078F2AAF">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9.2.3在质量保证期内对所交付货物提供运行监督、维修、保养等,如果招标文件没有特别要求，以供方在投标文件中提交的售后服务承诺书为准。如果上述文件规定有不一致之处，以对需方有利的为准。</w:t>
      </w:r>
    </w:p>
    <w:p w14:paraId="3F32DFB9">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9.2.4在制造厂家或在项目现场就货物的安装、启动、运行、维护等对需方人员进行培训，直至需方人员掌握全部上述技能为止。</w:t>
      </w:r>
    </w:p>
    <w:p w14:paraId="186CAFBC">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9.3伴随服务的费用应含在合同价中，不单独进行支付。</w:t>
      </w:r>
    </w:p>
    <w:p w14:paraId="1C7E2DF9">
      <w:pPr>
        <w:adjustRightInd w:val="0"/>
        <w:snapToGrid w:val="0"/>
        <w:spacing w:line="360" w:lineRule="auto"/>
        <w:ind w:firstLine="411" w:firstLineChars="196"/>
        <w:rPr>
          <w:rFonts w:ascii="仿宋_GB2312" w:hAnsi="仿宋" w:eastAsia="仿宋_GB2312"/>
          <w:b/>
          <w:color w:val="auto"/>
          <w:szCs w:val="21"/>
          <w:highlight w:val="none"/>
        </w:rPr>
      </w:pPr>
      <w:bookmarkStart w:id="180" w:name="_Toc8205_WPSOffice_Level1"/>
      <w:bookmarkStart w:id="181" w:name="_Toc14320_WPSOffice_Level1"/>
      <w:bookmarkStart w:id="182" w:name="_Toc7636_WPSOffice_Level1"/>
      <w:r>
        <w:rPr>
          <w:rFonts w:hint="eastAsia" w:ascii="仿宋_GB2312" w:hAnsi="仿宋" w:eastAsia="仿宋_GB2312"/>
          <w:b/>
          <w:color w:val="auto"/>
          <w:szCs w:val="21"/>
          <w:highlight w:val="none"/>
        </w:rPr>
        <w:t>10.质量保证期</w:t>
      </w:r>
      <w:bookmarkEnd w:id="180"/>
      <w:bookmarkEnd w:id="181"/>
      <w:bookmarkEnd w:id="182"/>
    </w:p>
    <w:p w14:paraId="7CAF0EF5">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10.1以招标文件中的规定为准，如果投标文件中的承诺优于招标文件规定，则以投标文件为准。</w:t>
      </w:r>
    </w:p>
    <w:p w14:paraId="3DADF892">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10.2如果招标文件没有特别要求，以供方在投标文件中提交的制造厂商的有关文件为准。如果上述文件规定有不一致之处，以对需方有利的为准。</w:t>
      </w:r>
    </w:p>
    <w:p w14:paraId="2B187EFF">
      <w:pPr>
        <w:adjustRightInd w:val="0"/>
        <w:snapToGrid w:val="0"/>
        <w:spacing w:line="360" w:lineRule="auto"/>
        <w:ind w:firstLine="411" w:firstLineChars="196"/>
        <w:rPr>
          <w:rFonts w:ascii="仿宋_GB2312" w:hAnsi="仿宋" w:eastAsia="仿宋_GB2312"/>
          <w:b/>
          <w:color w:val="auto"/>
          <w:szCs w:val="21"/>
          <w:highlight w:val="none"/>
        </w:rPr>
      </w:pPr>
      <w:bookmarkStart w:id="183" w:name="_Toc16220_WPSOffice_Level1"/>
      <w:bookmarkStart w:id="184" w:name="_Toc18427_WPSOffice_Level1"/>
      <w:bookmarkStart w:id="185" w:name="_Toc13950_WPSOffice_Level1"/>
      <w:r>
        <w:rPr>
          <w:rFonts w:hint="eastAsia" w:ascii="仿宋_GB2312" w:hAnsi="仿宋" w:eastAsia="仿宋_GB2312"/>
          <w:b/>
          <w:color w:val="auto"/>
          <w:szCs w:val="21"/>
          <w:highlight w:val="none"/>
        </w:rPr>
        <w:t>11.质量保证</w:t>
      </w:r>
      <w:bookmarkEnd w:id="183"/>
      <w:bookmarkEnd w:id="184"/>
      <w:bookmarkEnd w:id="185"/>
    </w:p>
    <w:p w14:paraId="44FD5C4B">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11.1供方应保证所提供的货物是原制造厂商制造的、经过合法销售渠道取得的、全新的、未使用过的，并完全符合政府采购合同规定的品牌、规格型号、技术性能、配置、质量、数量等要求。供方应保证其所提供的货物在正确安装、正常使用和保养条件下，在其使用寿命期内具有招标文件、投标文件确定的性能。由于设计、工艺或材料的缺陷而产生的故障，供方应向需方承担质量保证责任，该责任不受质量保证期的限制。</w:t>
      </w:r>
    </w:p>
    <w:p w14:paraId="1BF4429F">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11.2如果货物的规格型号、配置、技术性能、原产地及制造厂商以及其它质量技术指标与政府采购合同约定不符，或证实货物是有缺陷的，包括潜在的缺陷或使用不符合要求的材料等，需方应尽快以书面形式向供方提出本保证下的索赔。</w:t>
      </w:r>
    </w:p>
    <w:p w14:paraId="236BE75E">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11.3如果供方在接到需方通知后，在本政府采购合同约定的响应时间内没有弥补缺陷，需方可采取必要的补救措施，但其风险和费用将由供方负担，并且需方根据合同规定对供方行使的其它权利不受影响。</w:t>
      </w:r>
    </w:p>
    <w:p w14:paraId="4768410F">
      <w:pPr>
        <w:adjustRightInd w:val="0"/>
        <w:snapToGrid w:val="0"/>
        <w:spacing w:line="360" w:lineRule="auto"/>
        <w:ind w:firstLine="411" w:firstLineChars="196"/>
        <w:rPr>
          <w:rFonts w:ascii="仿宋_GB2312" w:hAnsi="仿宋" w:eastAsia="仿宋_GB2312"/>
          <w:b/>
          <w:color w:val="auto"/>
          <w:szCs w:val="21"/>
          <w:highlight w:val="none"/>
        </w:rPr>
      </w:pPr>
      <w:bookmarkStart w:id="186" w:name="_Toc29469_WPSOffice_Level1"/>
      <w:bookmarkStart w:id="187" w:name="_Toc24667_WPSOffice_Level1"/>
      <w:bookmarkStart w:id="188" w:name="_Toc9090_WPSOffice_Level1"/>
      <w:r>
        <w:rPr>
          <w:rFonts w:hint="eastAsia" w:ascii="仿宋_GB2312" w:hAnsi="仿宋" w:eastAsia="仿宋_GB2312"/>
          <w:b/>
          <w:color w:val="auto"/>
          <w:szCs w:val="21"/>
          <w:highlight w:val="none"/>
        </w:rPr>
        <w:t>12.技术服务和保修责任</w:t>
      </w:r>
      <w:bookmarkEnd w:id="186"/>
      <w:bookmarkEnd w:id="187"/>
      <w:bookmarkEnd w:id="188"/>
    </w:p>
    <w:p w14:paraId="5E64C71C">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12.1供方对政府采购合同货物的保修期，以招标文件中的规定为准，如果投标文件中的承诺优于招标文件规定，则以投标文件为准。</w:t>
      </w:r>
    </w:p>
    <w:p w14:paraId="41CC4173">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12.2供方应按如下内容提供售后服务：</w:t>
      </w:r>
    </w:p>
    <w:p w14:paraId="133932DF">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12.2.1产品经过试运行期，所有性能指标达到技术规范书的要求时，可按招标文件、投标文件内容进行初验。在试运行期间，由于产品质量等造成某些指标达不到要求，供方须更换或进行修复，试运行期重新计算。</w:t>
      </w:r>
    </w:p>
    <w:p w14:paraId="2F62D2A0">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12.2.2初验后，设备再次经过试运行期，所有性能指标达到技术规范书的要求时，可按合同招标文件、投标文件内容进行下一步验收工作，进行终验。全部达到要求时，有关方按财政部和省财政厅关于履约验收规定签署最终验收文件。</w:t>
      </w:r>
    </w:p>
    <w:p w14:paraId="74052118">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12.2.3保修期间供方要保修除消耗品以外的所有产品。如果系统、设备等发生故障，供方要调查故障原因并修复直至满足最终验收指标和性能的要求，或者修理、更换整个或部分有缺陷的材料。</w:t>
      </w:r>
    </w:p>
    <w:p w14:paraId="30D2BBD3">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12.2.4保修期内，供方提供电话、电子邮件、Web、现场服务等方式的技术支持，对用户的现场服务要求，供方必须按投标文件做出的承诺进行响应。</w:t>
      </w:r>
    </w:p>
    <w:p w14:paraId="646AB62D">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12.2.5保修期内，供方应对出现故障无法修复的产品或无法正常运行的系统，提供替代产品以保证系统的正常工作。</w:t>
      </w:r>
    </w:p>
    <w:p w14:paraId="5B0A8051">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12.2.6保修期内，供方应投标时的承诺提供相关服务。</w:t>
      </w:r>
    </w:p>
    <w:p w14:paraId="14E1BEF3">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12.2.7供方必须为维修和技术支持所未能解决的问题和故障提供正式的免费升级方案和升级服务。在质保期内，供方有责任解决所提供的投标货物和软件系统的任何问题；在质保期满后，当需要时，供方仍须对因投标货物本身的固有缺陷和瑕疵承担责任。</w:t>
      </w:r>
    </w:p>
    <w:p w14:paraId="34E5959E">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12.2.8在保修期结束后，产品寿命期内供方必须继续提供对产品备件、故障处理、软件升级等的服务，不得以任何借口拖延或中断对产品的售后服务，响应时间、取费标准按招标文件、投标文件规定或本合同约定的保修期内的相关标准执行。</w:t>
      </w:r>
    </w:p>
    <w:p w14:paraId="51C284AF">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12.2.9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 需方有权对维修或更换服务以实际发生的费用或按市场价从尚未支付的政府采购合同价款中扣除。如果这些金额不足以补偿，需方有权向供方提出不足部分的赔偿要求。货物经维修或更换后仍无法达到约定质量要求和技术标准，需方有权退货并向供方索赔。</w:t>
      </w:r>
    </w:p>
    <w:p w14:paraId="333FBF5C">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12.2.10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14:paraId="1C14BBC2">
      <w:pPr>
        <w:adjustRightInd w:val="0"/>
        <w:snapToGrid w:val="0"/>
        <w:spacing w:line="360" w:lineRule="auto"/>
        <w:ind w:firstLine="411" w:firstLineChars="196"/>
        <w:rPr>
          <w:rFonts w:ascii="仿宋_GB2312" w:hAnsi="仿宋" w:eastAsia="仿宋_GB2312"/>
          <w:b/>
          <w:color w:val="auto"/>
          <w:szCs w:val="21"/>
          <w:highlight w:val="none"/>
        </w:rPr>
      </w:pPr>
      <w:bookmarkStart w:id="189" w:name="_Toc11781_WPSOffice_Level1"/>
      <w:bookmarkStart w:id="190" w:name="_Toc16924_WPSOffice_Level1"/>
      <w:bookmarkStart w:id="191" w:name="_Toc8548_WPSOffice_Level1"/>
      <w:r>
        <w:rPr>
          <w:rFonts w:hint="eastAsia" w:ascii="仿宋_GB2312" w:hAnsi="仿宋" w:eastAsia="仿宋_GB2312"/>
          <w:b/>
          <w:color w:val="auto"/>
          <w:szCs w:val="21"/>
          <w:highlight w:val="none"/>
        </w:rPr>
        <w:t>13.违约责任</w:t>
      </w:r>
      <w:bookmarkEnd w:id="189"/>
      <w:bookmarkEnd w:id="190"/>
      <w:bookmarkEnd w:id="191"/>
    </w:p>
    <w:p w14:paraId="60D9A830">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13.1如果供方未按照政府采购合同规定的要求交付政府采购合同货物和提供服务；或供方在收到需方要求更换有缺陷的货物或部件的通知后10日内或在供方签署货损证明后10日内没有补足或更换货物、或交货仍不符合要求；或供方未能履行政府采购合同约定的任何其它义务时，需方有权向供方发出违约通知书，供方应按照需方选择的下列一种或多种方式承担赔偿责任：</w:t>
      </w:r>
    </w:p>
    <w:p w14:paraId="4DF98FF0">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13.1.1在需方同意延长的期限内交付全部货物、提供服务并承担由此给需方造成的一切损失；</w:t>
      </w:r>
    </w:p>
    <w:p w14:paraId="4EB1F3F9">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13.1.2在需方规定的时间内，用符合政府采购合同约定的规格、质量和性能要求的新零件、部件或货物来更换有缺陷的零件、部件和货物并修补缺陷部分以达到政府采购合同规定的要求，供方应承担由此发生的一切费用和风险。此时，相关货物的保修期也应相应延长；</w:t>
      </w:r>
    </w:p>
    <w:p w14:paraId="17D3ED89">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13.1.3根据货物低劣程度、损坏程度以及使需方所遭受的损失，经双方商定降低货物的价格或赔偿需方所遭受的损失；</w:t>
      </w:r>
    </w:p>
    <w:p w14:paraId="6656D2C8">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13.1.4供方同意退货，并按政府采购合同规定的同种货币将需方所退货物的全部价款退还给需方，并承担由此发生的一切损失和费用，包括利息、银行手续费、运费、保险费、检验费、仓储费、装卸费以及需方为保护货物所支出的其它必要费用；</w:t>
      </w:r>
    </w:p>
    <w:p w14:paraId="420C85C9">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13.1.5需方有权部分或全部解除政府采购合同并要求供方赔偿由此造成的损失。此时需方可采取必要的补救措施，相关费用由供方承担。</w:t>
      </w:r>
    </w:p>
    <w:p w14:paraId="680558F9">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13.2如果供方在收到需方的违约通知书后10日内未作答复也没有按照需方选择的方式承担违约责任，则需方有权从尚未支付的政府采购合同价款中扣回索赔金额，如果招标文件要求中标人提交履约保证金，则需方有权先从履约保证金中扣除索赔金额。如果这些金额不足以补偿，需方有权向供方提出不足部分的赔偿要求。</w:t>
      </w:r>
    </w:p>
    <w:p w14:paraId="68E75E28">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13.3延期交货的违约责任</w:t>
      </w:r>
    </w:p>
    <w:p w14:paraId="58D70B6E">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13.3.1供方未按政府采购合同规定的交货日期向需方交货时，则每逾期一日，供方应按逾期交付货物价款总值的0.05%计算，向需方支付逾期交货违约金，但不超过政府采购合同总金额的10%。供方支付逾期交货违约金并不免除供方交货的责任。</w:t>
      </w:r>
    </w:p>
    <w:p w14:paraId="47AF4AE5">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13.3.2如供方在政府采购合同规定的交货日期后10天内仍未能交货，则视为供方不能交货，需方有权解除政府采购合同，供方除退还已收取的货款外，还应向需方偿付政府采购合同总金额10%的违约金。</w:t>
      </w:r>
    </w:p>
    <w:p w14:paraId="59DC9A1C">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13.4以上各项交付的违约金并不影响违约方履行政府采购合同的各项义务。</w:t>
      </w:r>
    </w:p>
    <w:p w14:paraId="0E00736C">
      <w:pPr>
        <w:adjustRightInd w:val="0"/>
        <w:snapToGrid w:val="0"/>
        <w:spacing w:line="360" w:lineRule="auto"/>
        <w:ind w:firstLine="411" w:firstLineChars="196"/>
        <w:rPr>
          <w:rFonts w:ascii="仿宋_GB2312" w:hAnsi="仿宋" w:eastAsia="仿宋_GB2312"/>
          <w:b/>
          <w:color w:val="auto"/>
          <w:szCs w:val="21"/>
          <w:highlight w:val="none"/>
        </w:rPr>
      </w:pPr>
      <w:bookmarkStart w:id="192" w:name="_Toc28610_WPSOffice_Level1"/>
      <w:bookmarkStart w:id="193" w:name="_Toc21833_WPSOffice_Level1"/>
      <w:bookmarkStart w:id="194" w:name="_Toc32310_WPSOffice_Level1"/>
      <w:r>
        <w:rPr>
          <w:rFonts w:hint="eastAsia" w:ascii="仿宋_GB2312" w:hAnsi="仿宋" w:eastAsia="仿宋_GB2312"/>
          <w:b/>
          <w:color w:val="auto"/>
          <w:szCs w:val="21"/>
          <w:highlight w:val="none"/>
        </w:rPr>
        <w:t>14.不可抗力</w:t>
      </w:r>
      <w:bookmarkEnd w:id="192"/>
      <w:bookmarkEnd w:id="193"/>
      <w:bookmarkEnd w:id="194"/>
    </w:p>
    <w:p w14:paraId="3901424E">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14.1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14:paraId="0C9075C2">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14.2本条所述的“不可抗力”系指那些双方无法控制，不可预见的事件，但不包括双方的违约或疏忽。这些事件包括但不限于：战争、严重火灾、洪水、台风、地震。</w:t>
      </w:r>
    </w:p>
    <w:p w14:paraId="5140FE07">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14.3在不可抗力事件发生后，当事方应尽快以书面形式将不可抗力的情况和原因通知对方。双方应尽实际可能继续履行政府采购合同义务，并积极寻求采取合理的方案履行不受不可抗力影响的其它事项。双方应通过友好协商在合理的时间内达成进一步履行合同的协议。</w:t>
      </w:r>
      <w:bookmarkStart w:id="195" w:name="_Toc12037_WPSOffice_Level1"/>
      <w:bookmarkStart w:id="196" w:name="_Toc3262_WPSOffice_Level1"/>
      <w:bookmarkStart w:id="197" w:name="_Toc13390_WPSOffice_Level1"/>
      <w:r>
        <w:rPr>
          <w:rFonts w:hint="eastAsia" w:ascii="仿宋_GB2312" w:hAnsi="仿宋" w:eastAsia="仿宋_GB2312"/>
          <w:color w:val="auto"/>
          <w:szCs w:val="21"/>
          <w:highlight w:val="none"/>
        </w:rPr>
        <w:t xml:space="preserve"> </w:t>
      </w:r>
    </w:p>
    <w:p w14:paraId="4D22E2EB">
      <w:pPr>
        <w:adjustRightInd w:val="0"/>
        <w:snapToGrid w:val="0"/>
        <w:spacing w:line="360" w:lineRule="auto"/>
        <w:ind w:firstLine="411" w:firstLineChars="196"/>
        <w:rPr>
          <w:rFonts w:ascii="仿宋_GB2312" w:hAnsi="仿宋" w:eastAsia="仿宋_GB2312"/>
          <w:b/>
          <w:color w:val="auto"/>
          <w:szCs w:val="21"/>
          <w:highlight w:val="none"/>
        </w:rPr>
      </w:pPr>
      <w:r>
        <w:rPr>
          <w:rFonts w:hint="eastAsia" w:ascii="仿宋_GB2312" w:hAnsi="仿宋" w:eastAsia="仿宋_GB2312"/>
          <w:b/>
          <w:color w:val="auto"/>
          <w:szCs w:val="21"/>
          <w:highlight w:val="none"/>
        </w:rPr>
        <w:t>15.争端的解决</w:t>
      </w:r>
      <w:bookmarkEnd w:id="195"/>
      <w:bookmarkEnd w:id="196"/>
      <w:bookmarkEnd w:id="197"/>
    </w:p>
    <w:p w14:paraId="1D7A587C">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15.1政府采购合同的履行、违约责任和解决争议的方法等适用《中华人民共和国民法典》。</w:t>
      </w:r>
    </w:p>
    <w:p w14:paraId="02F48561">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15.2需方和供方应通过友好协商，解决在执行本政府采购合同过程中所发生的或与本政府采购合同有关的一切争端。</w:t>
      </w:r>
    </w:p>
    <w:p w14:paraId="5708CFB2">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15.3如果协商不成，双方中的任何一方可向需方所在地的人民法院提起诉讼。</w:t>
      </w:r>
    </w:p>
    <w:p w14:paraId="58840FDC">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15.4因政府采购合同部分履行引发诉讼的，在诉讼期间，除正在进行诉讼的部分外，本政府采购合同的其它部分应继续执行。</w:t>
      </w:r>
    </w:p>
    <w:p w14:paraId="4351085B">
      <w:pPr>
        <w:adjustRightInd w:val="0"/>
        <w:snapToGrid w:val="0"/>
        <w:spacing w:line="360" w:lineRule="auto"/>
        <w:ind w:firstLine="411" w:firstLineChars="196"/>
        <w:rPr>
          <w:rFonts w:ascii="仿宋_GB2312" w:hAnsi="仿宋" w:eastAsia="仿宋_GB2312"/>
          <w:b/>
          <w:color w:val="auto"/>
          <w:szCs w:val="21"/>
          <w:highlight w:val="none"/>
        </w:rPr>
      </w:pPr>
      <w:bookmarkStart w:id="198" w:name="_Toc1917_WPSOffice_Level1"/>
      <w:bookmarkStart w:id="199" w:name="_Toc7773_WPSOffice_Level1"/>
      <w:bookmarkStart w:id="200" w:name="_Toc27539_WPSOffice_Level1"/>
      <w:r>
        <w:rPr>
          <w:rFonts w:hint="eastAsia" w:ascii="仿宋_GB2312" w:hAnsi="仿宋" w:eastAsia="仿宋_GB2312"/>
          <w:b/>
          <w:color w:val="auto"/>
          <w:szCs w:val="21"/>
          <w:highlight w:val="none"/>
        </w:rPr>
        <w:t>16.违约终止政府采购合同</w:t>
      </w:r>
      <w:bookmarkEnd w:id="198"/>
      <w:bookmarkEnd w:id="199"/>
      <w:bookmarkEnd w:id="200"/>
    </w:p>
    <w:p w14:paraId="4B5F3DBA">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16.1在需方因供方违约而按政府采购合同约定采取的任何补救措施均无效的情况下，需方可在下列情况下向供方发出书面通知，提出终止部分或全部政府采购合同。</w:t>
      </w:r>
    </w:p>
    <w:p w14:paraId="35F0298C">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16.1.1如果供方未能在政府采购合同规定的限期或需方同意延长的限期内提供部分或全部货物和服务；</w:t>
      </w:r>
    </w:p>
    <w:p w14:paraId="46EFBD66">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16.1.2未经需方事先书面同意，供方部分转让和分包或全部转让和分包其应履行的政府采购合同义务。</w:t>
      </w:r>
    </w:p>
    <w:p w14:paraId="685AC582">
      <w:pPr>
        <w:adjustRightInd w:val="0"/>
        <w:snapToGrid w:val="0"/>
        <w:spacing w:line="360" w:lineRule="auto"/>
        <w:ind w:firstLine="411" w:firstLineChars="196"/>
        <w:rPr>
          <w:rFonts w:ascii="仿宋_GB2312" w:hAnsi="仿宋" w:eastAsia="仿宋_GB2312"/>
          <w:b/>
          <w:color w:val="auto"/>
          <w:szCs w:val="21"/>
          <w:highlight w:val="none"/>
        </w:rPr>
      </w:pPr>
      <w:bookmarkStart w:id="201" w:name="_Toc4220_WPSOffice_Level1"/>
      <w:bookmarkStart w:id="202" w:name="_Toc27976_WPSOffice_Level1"/>
      <w:bookmarkStart w:id="203" w:name="_Toc11967_WPSOffice_Level1"/>
      <w:r>
        <w:rPr>
          <w:rFonts w:hint="eastAsia" w:ascii="仿宋_GB2312" w:hAnsi="仿宋" w:eastAsia="仿宋_GB2312"/>
          <w:b/>
          <w:color w:val="auto"/>
          <w:szCs w:val="21"/>
          <w:highlight w:val="none"/>
        </w:rPr>
        <w:t>17.政府采购合同转让和分包</w:t>
      </w:r>
      <w:bookmarkEnd w:id="201"/>
      <w:bookmarkEnd w:id="202"/>
      <w:bookmarkEnd w:id="203"/>
    </w:p>
    <w:p w14:paraId="7B3DA11C">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除招标文件规定,并经需方事先书面同意外，供方不得部分转让和分包或全部转让和分包其应履行的政府采购合同义务。</w:t>
      </w:r>
    </w:p>
    <w:p w14:paraId="5A674EF1">
      <w:pPr>
        <w:adjustRightInd w:val="0"/>
        <w:snapToGrid w:val="0"/>
        <w:spacing w:line="360" w:lineRule="auto"/>
        <w:ind w:firstLine="411" w:firstLineChars="196"/>
        <w:rPr>
          <w:rFonts w:ascii="仿宋_GB2312" w:hAnsi="仿宋" w:eastAsia="仿宋_GB2312"/>
          <w:b/>
          <w:color w:val="auto"/>
          <w:szCs w:val="21"/>
          <w:highlight w:val="none"/>
        </w:rPr>
      </w:pPr>
      <w:bookmarkStart w:id="204" w:name="_Toc16873_WPSOffice_Level1"/>
      <w:bookmarkStart w:id="205" w:name="_Toc30020_WPSOffice_Level1"/>
      <w:bookmarkStart w:id="206" w:name="_Toc737_WPSOffice_Level1"/>
      <w:r>
        <w:rPr>
          <w:rFonts w:hint="eastAsia" w:ascii="仿宋_GB2312" w:hAnsi="仿宋" w:eastAsia="仿宋_GB2312"/>
          <w:b/>
          <w:color w:val="auto"/>
          <w:szCs w:val="21"/>
          <w:highlight w:val="none"/>
        </w:rPr>
        <w:t>18.适用法律：</w:t>
      </w:r>
      <w:bookmarkEnd w:id="204"/>
      <w:bookmarkEnd w:id="205"/>
      <w:bookmarkEnd w:id="206"/>
    </w:p>
    <w:p w14:paraId="407CA7E6">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本政府采购合同按照中华人民共和国的现行法律进行解释。</w:t>
      </w:r>
    </w:p>
    <w:p w14:paraId="3ABA3145">
      <w:pPr>
        <w:adjustRightInd w:val="0"/>
        <w:snapToGrid w:val="0"/>
        <w:spacing w:line="360" w:lineRule="auto"/>
        <w:ind w:firstLine="411" w:firstLineChars="196"/>
        <w:rPr>
          <w:rFonts w:ascii="仿宋_GB2312" w:hAnsi="仿宋" w:eastAsia="仿宋_GB2312"/>
          <w:b/>
          <w:color w:val="auto"/>
          <w:szCs w:val="21"/>
          <w:highlight w:val="none"/>
        </w:rPr>
      </w:pPr>
      <w:bookmarkStart w:id="207" w:name="_Toc20985_WPSOffice_Level1"/>
      <w:bookmarkStart w:id="208" w:name="_Toc29009_WPSOffice_Level1"/>
      <w:bookmarkStart w:id="209" w:name="_Toc23749_WPSOffice_Level1"/>
      <w:r>
        <w:rPr>
          <w:rFonts w:hint="eastAsia" w:ascii="仿宋_GB2312" w:hAnsi="仿宋" w:eastAsia="仿宋_GB2312"/>
          <w:b/>
          <w:color w:val="auto"/>
          <w:szCs w:val="21"/>
          <w:highlight w:val="none"/>
        </w:rPr>
        <w:t>19.政府采购合同生效</w:t>
      </w:r>
      <w:bookmarkEnd w:id="207"/>
      <w:bookmarkEnd w:id="208"/>
      <w:bookmarkEnd w:id="209"/>
    </w:p>
    <w:p w14:paraId="394E9CBA">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19.1本政府采购合同在供需双方法定代表人或其授权代理人签字和加盖公章后生效。</w:t>
      </w:r>
    </w:p>
    <w:p w14:paraId="175B0340">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19.2本政府采购合同一式五份，需方执二份，供方、采购组织机构、财政部门各执一份。</w:t>
      </w:r>
    </w:p>
    <w:p w14:paraId="0A3BD3BC">
      <w:pPr>
        <w:adjustRightInd w:val="0"/>
        <w:snapToGrid w:val="0"/>
        <w:spacing w:line="360" w:lineRule="auto"/>
        <w:ind w:firstLine="411" w:firstLineChars="196"/>
        <w:rPr>
          <w:rFonts w:ascii="仿宋_GB2312" w:hAnsi="仿宋" w:eastAsia="仿宋_GB2312"/>
          <w:b/>
          <w:color w:val="auto"/>
          <w:szCs w:val="21"/>
          <w:highlight w:val="none"/>
        </w:rPr>
      </w:pPr>
      <w:bookmarkStart w:id="210" w:name="_Toc20274_WPSOffice_Level1"/>
      <w:bookmarkStart w:id="211" w:name="_Toc405_WPSOffice_Level1"/>
      <w:bookmarkStart w:id="212" w:name="_Toc12339_WPSOffice_Level1"/>
      <w:r>
        <w:rPr>
          <w:rFonts w:hint="eastAsia" w:ascii="仿宋_GB2312" w:hAnsi="仿宋" w:eastAsia="仿宋_GB2312"/>
          <w:b/>
          <w:color w:val="auto"/>
          <w:szCs w:val="21"/>
          <w:highlight w:val="none"/>
        </w:rPr>
        <w:t>20.政府采购合同附件</w:t>
      </w:r>
      <w:bookmarkEnd w:id="210"/>
      <w:bookmarkEnd w:id="211"/>
      <w:bookmarkEnd w:id="212"/>
    </w:p>
    <w:p w14:paraId="755B92EE">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下列文件构成本政府采购合同不可分割的组成部分，与本政府采购合同具有同等法律效力：</w:t>
      </w:r>
    </w:p>
    <w:p w14:paraId="5E66C272">
      <w:pPr>
        <w:adjustRightInd w:val="0"/>
        <w:snapToGrid w:val="0"/>
        <w:spacing w:line="360" w:lineRule="auto"/>
        <w:ind w:firstLine="411" w:firstLineChars="196"/>
        <w:rPr>
          <w:rFonts w:ascii="仿宋_GB2312" w:hAnsi="仿宋" w:eastAsia="仿宋_GB2312"/>
          <w:color w:val="auto"/>
          <w:szCs w:val="21"/>
          <w:highlight w:val="none"/>
        </w:rPr>
      </w:pPr>
      <w:bookmarkStart w:id="213" w:name="_Toc3518_WPSOffice_Level2"/>
      <w:r>
        <w:rPr>
          <w:rFonts w:hint="eastAsia" w:ascii="仿宋_GB2312" w:hAnsi="仿宋" w:eastAsia="仿宋_GB2312"/>
          <w:color w:val="auto"/>
          <w:szCs w:val="21"/>
          <w:highlight w:val="none"/>
        </w:rPr>
        <w:t>20.1招标文件；</w:t>
      </w:r>
      <w:bookmarkEnd w:id="213"/>
    </w:p>
    <w:p w14:paraId="127E23CE">
      <w:pPr>
        <w:adjustRightInd w:val="0"/>
        <w:snapToGrid w:val="0"/>
        <w:spacing w:line="360" w:lineRule="auto"/>
        <w:ind w:firstLine="411" w:firstLineChars="196"/>
        <w:rPr>
          <w:rFonts w:ascii="仿宋_GB2312" w:hAnsi="仿宋" w:eastAsia="仿宋_GB2312"/>
          <w:color w:val="auto"/>
          <w:szCs w:val="21"/>
          <w:highlight w:val="none"/>
        </w:rPr>
      </w:pPr>
      <w:bookmarkStart w:id="214" w:name="_Toc7342_WPSOffice_Level2"/>
      <w:r>
        <w:rPr>
          <w:rFonts w:hint="eastAsia" w:ascii="仿宋_GB2312" w:hAnsi="仿宋" w:eastAsia="仿宋_GB2312"/>
          <w:color w:val="auto"/>
          <w:szCs w:val="21"/>
          <w:highlight w:val="none"/>
        </w:rPr>
        <w:t>20.2招标文件的更正公告、变更公告；</w:t>
      </w:r>
      <w:bookmarkEnd w:id="214"/>
    </w:p>
    <w:p w14:paraId="0B958908">
      <w:pPr>
        <w:adjustRightInd w:val="0"/>
        <w:snapToGrid w:val="0"/>
        <w:spacing w:line="360" w:lineRule="auto"/>
        <w:ind w:firstLine="411" w:firstLineChars="196"/>
        <w:rPr>
          <w:rFonts w:ascii="仿宋_GB2312" w:hAnsi="仿宋" w:eastAsia="仿宋_GB2312"/>
          <w:color w:val="auto"/>
          <w:szCs w:val="21"/>
          <w:highlight w:val="none"/>
        </w:rPr>
      </w:pPr>
      <w:bookmarkStart w:id="215" w:name="_Toc576_WPSOffice_Level2"/>
      <w:r>
        <w:rPr>
          <w:rFonts w:hint="eastAsia" w:ascii="仿宋_GB2312" w:hAnsi="仿宋" w:eastAsia="仿宋_GB2312"/>
          <w:color w:val="auto"/>
          <w:szCs w:val="21"/>
          <w:highlight w:val="none"/>
        </w:rPr>
        <w:t>20.3中标人提交的投标文件；</w:t>
      </w:r>
      <w:bookmarkEnd w:id="215"/>
    </w:p>
    <w:p w14:paraId="5F275959">
      <w:pPr>
        <w:adjustRightInd w:val="0"/>
        <w:snapToGrid w:val="0"/>
        <w:spacing w:line="360" w:lineRule="auto"/>
        <w:ind w:firstLine="411" w:firstLineChars="196"/>
        <w:rPr>
          <w:rFonts w:ascii="仿宋_GB2312" w:hAnsi="仿宋" w:eastAsia="仿宋_GB2312"/>
          <w:color w:val="auto"/>
          <w:szCs w:val="21"/>
          <w:highlight w:val="none"/>
        </w:rPr>
      </w:pPr>
      <w:bookmarkStart w:id="216" w:name="_Toc25464_WPSOffice_Level2"/>
      <w:r>
        <w:rPr>
          <w:rFonts w:hint="eastAsia" w:ascii="仿宋_GB2312" w:hAnsi="仿宋" w:eastAsia="仿宋_GB2312"/>
          <w:color w:val="auto"/>
          <w:szCs w:val="21"/>
          <w:highlight w:val="none"/>
        </w:rPr>
        <w:t>20.4政府采购合同条款；</w:t>
      </w:r>
      <w:bookmarkEnd w:id="216"/>
    </w:p>
    <w:p w14:paraId="525527C2">
      <w:pPr>
        <w:adjustRightInd w:val="0"/>
        <w:snapToGrid w:val="0"/>
        <w:spacing w:line="360" w:lineRule="auto"/>
        <w:ind w:firstLine="411" w:firstLineChars="196"/>
        <w:rPr>
          <w:rFonts w:ascii="仿宋_GB2312" w:hAnsi="仿宋" w:eastAsia="仿宋_GB2312"/>
          <w:color w:val="auto"/>
          <w:szCs w:val="21"/>
          <w:highlight w:val="none"/>
        </w:rPr>
      </w:pPr>
      <w:bookmarkStart w:id="217" w:name="_Toc25590_WPSOffice_Level2"/>
      <w:r>
        <w:rPr>
          <w:rFonts w:hint="eastAsia" w:ascii="仿宋_GB2312" w:hAnsi="仿宋" w:eastAsia="仿宋_GB2312"/>
          <w:color w:val="auto"/>
          <w:szCs w:val="21"/>
          <w:highlight w:val="none"/>
        </w:rPr>
        <w:t>20.5中标通知书；</w:t>
      </w:r>
      <w:bookmarkEnd w:id="217"/>
    </w:p>
    <w:p w14:paraId="7E33BF5B">
      <w:pPr>
        <w:adjustRightInd w:val="0"/>
        <w:snapToGrid w:val="0"/>
        <w:spacing w:line="360" w:lineRule="auto"/>
        <w:ind w:firstLine="411" w:firstLineChars="196"/>
        <w:rPr>
          <w:rFonts w:ascii="仿宋_GB2312" w:hAnsi="仿宋" w:eastAsia="仿宋_GB2312"/>
          <w:color w:val="auto"/>
          <w:sz w:val="24"/>
          <w:highlight w:val="none"/>
        </w:rPr>
      </w:pPr>
      <w:bookmarkStart w:id="218" w:name="_Toc10297_WPSOffice_Level2"/>
      <w:r>
        <w:rPr>
          <w:rFonts w:hint="eastAsia" w:ascii="仿宋_GB2312" w:hAnsi="仿宋" w:eastAsia="仿宋_GB2312"/>
          <w:color w:val="auto"/>
          <w:szCs w:val="21"/>
          <w:highlight w:val="none"/>
        </w:rPr>
        <w:t>20.6政府采购合同的其它附件。</w:t>
      </w:r>
      <w:bookmarkEnd w:id="218"/>
    </w:p>
    <w:p w14:paraId="458AC51C">
      <w:pPr>
        <w:pStyle w:val="3"/>
        <w:adjustRightInd w:val="0"/>
        <w:snapToGrid w:val="0"/>
        <w:spacing w:before="0" w:after="0" w:line="240" w:lineRule="auto"/>
        <w:jc w:val="left"/>
        <w:rPr>
          <w:rFonts w:ascii="仿宋_GB2312" w:hAnsi="仿宋" w:eastAsia="仿宋_GB2312" w:cs="仿宋_GB2312"/>
          <w:color w:val="auto"/>
          <w:szCs w:val="28"/>
          <w:highlight w:val="none"/>
        </w:rPr>
      </w:pPr>
      <w:r>
        <w:rPr>
          <w:rFonts w:hint="eastAsia" w:ascii="仿宋_GB2312" w:hAnsi="仿宋" w:eastAsia="仿宋_GB2312"/>
          <w:color w:val="auto"/>
          <w:sz w:val="24"/>
          <w:highlight w:val="none"/>
        </w:rPr>
        <w:br w:type="page"/>
      </w:r>
      <w:bookmarkStart w:id="219" w:name="_Toc7342_WPSOffice_Level1"/>
      <w:bookmarkStart w:id="220" w:name="_Toc372_WPSOffice_Level1"/>
      <w:bookmarkStart w:id="221" w:name="_Toc3044_WPSOffice_Level1"/>
      <w:r>
        <w:rPr>
          <w:rFonts w:hint="eastAsia" w:ascii="仿宋_GB2312" w:hAnsi="仿宋" w:eastAsia="仿宋_GB2312" w:cs="仿宋_GB2312"/>
          <w:color w:val="auto"/>
          <w:szCs w:val="28"/>
          <w:highlight w:val="none"/>
        </w:rPr>
        <w:t>合同格式</w:t>
      </w:r>
      <w:bookmarkEnd w:id="219"/>
      <w:bookmarkEnd w:id="220"/>
      <w:bookmarkEnd w:id="221"/>
      <w:r>
        <w:rPr>
          <w:rFonts w:hint="eastAsia" w:ascii="仿宋_GB2312" w:hAnsi="仿宋" w:eastAsia="仿宋_GB2312" w:cs="仿宋_GB2312"/>
          <w:color w:val="auto"/>
          <w:szCs w:val="28"/>
          <w:highlight w:val="none"/>
        </w:rPr>
        <w:t>（</w:t>
      </w:r>
      <w:r>
        <w:rPr>
          <w:rFonts w:hint="eastAsia"/>
          <w:color w:val="auto"/>
          <w:highlight w:val="none"/>
        </w:rPr>
        <w:t>合同以最终签订内容为准</w:t>
      </w:r>
      <w:r>
        <w:rPr>
          <w:rFonts w:hint="eastAsia" w:ascii="仿宋_GB2312" w:hAnsi="仿宋" w:eastAsia="仿宋_GB2312" w:cs="仿宋_GB2312"/>
          <w:color w:val="auto"/>
          <w:szCs w:val="28"/>
          <w:highlight w:val="none"/>
        </w:rPr>
        <w:t>）</w:t>
      </w:r>
    </w:p>
    <w:p w14:paraId="2C642F1F">
      <w:pPr>
        <w:spacing w:before="319" w:beforeLines="100" w:after="319" w:afterLines="100" w:line="480" w:lineRule="exact"/>
        <w:jc w:val="center"/>
        <w:rPr>
          <w:rFonts w:ascii="方正小标宋简体" w:hAnsi="仿宋" w:eastAsia="方正小标宋简体" w:cs="仿宋_GB2312"/>
          <w:color w:val="auto"/>
          <w:sz w:val="32"/>
          <w:szCs w:val="32"/>
          <w:highlight w:val="none"/>
        </w:rPr>
      </w:pPr>
      <w:bookmarkStart w:id="222" w:name="_Toc7832_WPSOffice_Level1"/>
      <w:bookmarkStart w:id="223" w:name="_Toc11644_WPSOffice_Level1"/>
      <w:r>
        <w:rPr>
          <w:rFonts w:hint="eastAsia" w:ascii="方正小标宋简体" w:hAnsi="仿宋" w:eastAsia="方正小标宋简体" w:cs="仿宋_GB2312"/>
          <w:color w:val="auto"/>
          <w:sz w:val="32"/>
          <w:szCs w:val="32"/>
          <w:highlight w:val="none"/>
        </w:rPr>
        <w:t>政府采购合同格式</w:t>
      </w:r>
      <w:bookmarkEnd w:id="222"/>
      <w:bookmarkEnd w:id="223"/>
    </w:p>
    <w:p w14:paraId="1B3D7BA0">
      <w:pPr>
        <w:adjustRightInd w:val="0"/>
        <w:snapToGrid w:val="0"/>
        <w:spacing w:line="360" w:lineRule="auto"/>
        <w:ind w:firstLine="420" w:firstLineChars="200"/>
        <w:jc w:val="left"/>
        <w:rPr>
          <w:rFonts w:ascii="仿宋_GB2312" w:hAnsi="仿宋" w:eastAsia="仿宋_GB2312"/>
          <w:color w:val="auto"/>
          <w:szCs w:val="21"/>
          <w:highlight w:val="none"/>
        </w:rPr>
      </w:pPr>
      <w:r>
        <w:rPr>
          <w:rFonts w:hint="eastAsia" w:ascii="仿宋_GB2312" w:hAnsi="仿宋" w:eastAsia="仿宋_GB2312"/>
          <w:color w:val="auto"/>
          <w:szCs w:val="21"/>
          <w:highlight w:val="none"/>
        </w:rPr>
        <w:t>政府采购合同编号：</w:t>
      </w:r>
    </w:p>
    <w:p w14:paraId="55C77C98">
      <w:pPr>
        <w:adjustRightInd w:val="0"/>
        <w:snapToGrid w:val="0"/>
        <w:spacing w:line="360" w:lineRule="auto"/>
        <w:ind w:firstLine="420" w:firstLineChars="200"/>
        <w:jc w:val="left"/>
        <w:rPr>
          <w:rFonts w:ascii="仿宋_GB2312" w:hAnsi="仿宋" w:eastAsia="仿宋_GB2312"/>
          <w:color w:val="auto"/>
          <w:szCs w:val="21"/>
          <w:highlight w:val="none"/>
        </w:rPr>
      </w:pPr>
      <w:r>
        <w:rPr>
          <w:rFonts w:hint="eastAsia" w:ascii="仿宋_GB2312" w:hAnsi="仿宋" w:eastAsia="仿宋_GB2312"/>
          <w:color w:val="auto"/>
          <w:szCs w:val="21"/>
          <w:highlight w:val="none"/>
        </w:rPr>
        <w:t>签订地点：</w:t>
      </w:r>
    </w:p>
    <w:p w14:paraId="5AEBE802">
      <w:pPr>
        <w:adjustRightInd w:val="0"/>
        <w:snapToGrid w:val="0"/>
        <w:spacing w:line="360" w:lineRule="auto"/>
        <w:ind w:firstLine="640"/>
        <w:jc w:val="left"/>
        <w:rPr>
          <w:rFonts w:ascii="仿宋_GB2312" w:hAnsi="仿宋" w:eastAsia="仿宋_GB2312"/>
          <w:color w:val="auto"/>
          <w:szCs w:val="21"/>
          <w:highlight w:val="none"/>
        </w:rPr>
      </w:pPr>
      <w:r>
        <w:rPr>
          <w:rFonts w:hint="eastAsia" w:ascii="仿宋_GB2312" w:hAnsi="仿宋" w:eastAsia="仿宋_GB2312"/>
          <w:color w:val="auto"/>
          <w:szCs w:val="21"/>
          <w:highlight w:val="none"/>
          <w:u w:val="single"/>
        </w:rPr>
        <w:t xml:space="preserve">    (需方名称</w:t>
      </w:r>
      <w:r>
        <w:rPr>
          <w:rFonts w:hint="eastAsia" w:ascii="仿宋_GB2312" w:hAnsi="仿宋" w:eastAsia="仿宋_GB2312"/>
          <w:color w:val="auto"/>
          <w:szCs w:val="21"/>
          <w:highlight w:val="none"/>
        </w:rPr>
        <w:t>) （以下简称需方）和</w:t>
      </w:r>
      <w:r>
        <w:rPr>
          <w:rFonts w:hint="eastAsia" w:ascii="仿宋_GB2312" w:hAnsi="仿宋" w:eastAsia="仿宋_GB2312"/>
          <w:color w:val="auto"/>
          <w:szCs w:val="21"/>
          <w:highlight w:val="none"/>
          <w:u w:val="single"/>
        </w:rPr>
        <w:t xml:space="preserve">   (供方名称)    </w:t>
      </w:r>
      <w:r>
        <w:rPr>
          <w:rFonts w:hint="eastAsia" w:ascii="仿宋_GB2312" w:hAnsi="仿宋" w:eastAsia="仿宋_GB2312"/>
          <w:color w:val="auto"/>
          <w:szCs w:val="21"/>
          <w:highlight w:val="none"/>
        </w:rPr>
        <w:t xml:space="preserve"> （以下简称供方）根据《中华人民共和国民法典》和有关法律法规，遵循平等、自愿、公平和诚实信用原则，同意按照下面的条款和条件订立本政府采购合同，共同信守。</w:t>
      </w:r>
    </w:p>
    <w:p w14:paraId="45481E6B">
      <w:pPr>
        <w:adjustRightInd w:val="0"/>
        <w:snapToGrid w:val="0"/>
        <w:spacing w:line="360" w:lineRule="auto"/>
        <w:jc w:val="left"/>
        <w:rPr>
          <w:rFonts w:ascii="仿宋_GB2312" w:hAnsi="仿宋" w:eastAsia="仿宋_GB2312"/>
          <w:b/>
          <w:color w:val="auto"/>
          <w:szCs w:val="21"/>
          <w:highlight w:val="none"/>
        </w:rPr>
      </w:pPr>
      <w:r>
        <w:rPr>
          <w:rFonts w:hint="eastAsia" w:ascii="仿宋_GB2312" w:hAnsi="仿宋" w:eastAsia="仿宋_GB2312"/>
          <w:b/>
          <w:color w:val="auto"/>
          <w:szCs w:val="21"/>
          <w:highlight w:val="none"/>
        </w:rPr>
        <w:t>　　</w:t>
      </w:r>
      <w:bookmarkStart w:id="224" w:name="_Toc13230_WPSOffice_Level2"/>
      <w:r>
        <w:rPr>
          <w:rFonts w:hint="eastAsia" w:ascii="仿宋_GB2312" w:hAnsi="仿宋" w:eastAsia="仿宋_GB2312"/>
          <w:b/>
          <w:color w:val="auto"/>
          <w:szCs w:val="21"/>
          <w:highlight w:val="none"/>
        </w:rPr>
        <w:t>一、政府采购合同文件</w:t>
      </w:r>
      <w:bookmarkEnd w:id="224"/>
    </w:p>
    <w:p w14:paraId="4D71ACD5">
      <w:pPr>
        <w:adjustRightInd w:val="0"/>
        <w:snapToGrid w:val="0"/>
        <w:spacing w:line="360" w:lineRule="auto"/>
        <w:jc w:val="left"/>
        <w:rPr>
          <w:rFonts w:ascii="仿宋_GB2312" w:hAnsi="仿宋" w:eastAsia="仿宋_GB2312"/>
          <w:color w:val="auto"/>
          <w:szCs w:val="21"/>
          <w:highlight w:val="none"/>
        </w:rPr>
      </w:pPr>
      <w:r>
        <w:rPr>
          <w:rFonts w:hint="eastAsia" w:ascii="仿宋_GB2312" w:hAnsi="仿宋" w:eastAsia="仿宋_GB2312"/>
          <w:color w:val="auto"/>
          <w:szCs w:val="21"/>
          <w:highlight w:val="none"/>
        </w:rPr>
        <w:t xml:space="preserve">    本政府采购合同所附下列文件是构成本政府采购合同不可分割的部分：</w:t>
      </w:r>
    </w:p>
    <w:p w14:paraId="3EBA9FCF">
      <w:pPr>
        <w:adjustRightInd w:val="0"/>
        <w:snapToGrid w:val="0"/>
        <w:spacing w:line="360" w:lineRule="auto"/>
        <w:ind w:firstLine="420" w:firstLineChars="200"/>
        <w:jc w:val="left"/>
        <w:rPr>
          <w:rFonts w:ascii="仿宋_GB2312" w:hAnsi="仿宋" w:eastAsia="仿宋_GB2312"/>
          <w:color w:val="auto"/>
          <w:szCs w:val="21"/>
          <w:highlight w:val="none"/>
        </w:rPr>
      </w:pPr>
      <w:r>
        <w:rPr>
          <w:rFonts w:hint="eastAsia" w:ascii="仿宋_GB2312" w:hAnsi="仿宋" w:eastAsia="仿宋_GB2312"/>
          <w:color w:val="auto"/>
          <w:szCs w:val="21"/>
          <w:highlight w:val="none"/>
        </w:rPr>
        <w:t>1.招标文件（招标文件编号）；</w:t>
      </w:r>
    </w:p>
    <w:p w14:paraId="4A982636">
      <w:pPr>
        <w:adjustRightInd w:val="0"/>
        <w:snapToGrid w:val="0"/>
        <w:spacing w:line="360" w:lineRule="auto"/>
        <w:ind w:firstLine="420" w:firstLineChars="200"/>
        <w:jc w:val="left"/>
        <w:rPr>
          <w:rFonts w:ascii="仿宋_GB2312" w:hAnsi="仿宋" w:eastAsia="仿宋_GB2312" w:cs="Arial"/>
          <w:color w:val="auto"/>
          <w:szCs w:val="21"/>
          <w:highlight w:val="none"/>
        </w:rPr>
      </w:pPr>
      <w:r>
        <w:rPr>
          <w:rFonts w:hint="eastAsia" w:ascii="仿宋_GB2312" w:hAnsi="仿宋" w:eastAsia="仿宋_GB2312"/>
          <w:color w:val="auto"/>
          <w:szCs w:val="21"/>
          <w:highlight w:val="none"/>
        </w:rPr>
        <w:t>2.</w:t>
      </w:r>
      <w:r>
        <w:rPr>
          <w:rFonts w:hint="eastAsia" w:ascii="仿宋_GB2312" w:hAnsi="仿宋" w:eastAsia="仿宋_GB2312" w:cs="Arial"/>
          <w:color w:val="auto"/>
          <w:szCs w:val="21"/>
          <w:highlight w:val="none"/>
        </w:rPr>
        <w:t>招标文件的更正公告、变更公告；</w:t>
      </w:r>
    </w:p>
    <w:p w14:paraId="4CE98D6C">
      <w:pPr>
        <w:adjustRightInd w:val="0"/>
        <w:snapToGrid w:val="0"/>
        <w:spacing w:line="360" w:lineRule="auto"/>
        <w:ind w:firstLine="420" w:firstLineChars="200"/>
        <w:jc w:val="left"/>
        <w:rPr>
          <w:rFonts w:ascii="仿宋_GB2312" w:hAnsi="仿宋" w:eastAsia="仿宋_GB2312"/>
          <w:color w:val="auto"/>
          <w:szCs w:val="21"/>
          <w:highlight w:val="none"/>
        </w:rPr>
      </w:pPr>
      <w:r>
        <w:rPr>
          <w:rFonts w:hint="eastAsia" w:ascii="仿宋_GB2312" w:hAnsi="仿宋" w:eastAsia="仿宋_GB2312"/>
          <w:color w:val="auto"/>
          <w:szCs w:val="21"/>
          <w:highlight w:val="none"/>
        </w:rPr>
        <w:t>3.中标人提交的投标文件；</w:t>
      </w:r>
    </w:p>
    <w:p w14:paraId="5AAC082D">
      <w:pPr>
        <w:adjustRightInd w:val="0"/>
        <w:snapToGrid w:val="0"/>
        <w:spacing w:line="360" w:lineRule="auto"/>
        <w:ind w:firstLine="420" w:firstLineChars="200"/>
        <w:jc w:val="left"/>
        <w:rPr>
          <w:rFonts w:ascii="仿宋_GB2312" w:hAnsi="仿宋" w:eastAsia="仿宋_GB2312"/>
          <w:color w:val="auto"/>
          <w:szCs w:val="21"/>
          <w:highlight w:val="none"/>
        </w:rPr>
      </w:pPr>
      <w:r>
        <w:rPr>
          <w:rFonts w:hint="eastAsia" w:ascii="仿宋_GB2312" w:hAnsi="仿宋" w:eastAsia="仿宋_GB2312"/>
          <w:color w:val="auto"/>
          <w:szCs w:val="21"/>
          <w:highlight w:val="none"/>
        </w:rPr>
        <w:t>4.政府采购合同条款；</w:t>
      </w:r>
    </w:p>
    <w:p w14:paraId="1D1E6A61">
      <w:pPr>
        <w:adjustRightInd w:val="0"/>
        <w:snapToGrid w:val="0"/>
        <w:spacing w:line="360" w:lineRule="auto"/>
        <w:ind w:firstLine="420" w:firstLineChars="200"/>
        <w:jc w:val="left"/>
        <w:rPr>
          <w:rFonts w:ascii="仿宋_GB2312" w:hAnsi="仿宋" w:eastAsia="仿宋_GB2312"/>
          <w:color w:val="auto"/>
          <w:szCs w:val="21"/>
          <w:highlight w:val="none"/>
        </w:rPr>
      </w:pPr>
      <w:r>
        <w:rPr>
          <w:rFonts w:hint="eastAsia" w:ascii="仿宋_GB2312" w:hAnsi="仿宋" w:eastAsia="仿宋_GB2312"/>
          <w:color w:val="auto"/>
          <w:szCs w:val="21"/>
          <w:highlight w:val="none"/>
        </w:rPr>
        <w:t>5.中标通知书；</w:t>
      </w:r>
    </w:p>
    <w:p w14:paraId="1343E6DF">
      <w:pPr>
        <w:adjustRightInd w:val="0"/>
        <w:snapToGrid w:val="0"/>
        <w:spacing w:line="360" w:lineRule="auto"/>
        <w:ind w:firstLine="420" w:firstLineChars="200"/>
        <w:jc w:val="left"/>
        <w:rPr>
          <w:rFonts w:ascii="仿宋_GB2312" w:hAnsi="仿宋" w:eastAsia="仿宋_GB2312"/>
          <w:color w:val="auto"/>
          <w:szCs w:val="21"/>
          <w:highlight w:val="none"/>
        </w:rPr>
      </w:pPr>
      <w:r>
        <w:rPr>
          <w:rFonts w:hint="eastAsia" w:ascii="仿宋_GB2312" w:hAnsi="仿宋" w:eastAsia="仿宋_GB2312"/>
          <w:color w:val="auto"/>
          <w:szCs w:val="21"/>
          <w:highlight w:val="none"/>
        </w:rPr>
        <w:t>6.</w:t>
      </w:r>
      <w:r>
        <w:rPr>
          <w:rFonts w:hint="eastAsia" w:ascii="仿宋_GB2312" w:hAnsi="仿宋" w:eastAsia="仿宋_GB2312" w:cs="Arial"/>
          <w:color w:val="auto"/>
          <w:szCs w:val="21"/>
          <w:highlight w:val="none"/>
        </w:rPr>
        <w:t>政府采购合同的其它附件。</w:t>
      </w:r>
    </w:p>
    <w:p w14:paraId="27B53CBD">
      <w:pPr>
        <w:adjustRightInd w:val="0"/>
        <w:snapToGrid w:val="0"/>
        <w:spacing w:line="360" w:lineRule="auto"/>
        <w:jc w:val="left"/>
        <w:rPr>
          <w:rFonts w:ascii="仿宋_GB2312" w:hAnsi="仿宋" w:eastAsia="仿宋_GB2312"/>
          <w:b/>
          <w:color w:val="auto"/>
          <w:szCs w:val="21"/>
          <w:highlight w:val="none"/>
        </w:rPr>
      </w:pPr>
      <w:r>
        <w:rPr>
          <w:rFonts w:hint="eastAsia" w:ascii="仿宋_GB2312" w:hAnsi="仿宋" w:eastAsia="仿宋_GB2312"/>
          <w:b/>
          <w:color w:val="auto"/>
          <w:szCs w:val="21"/>
          <w:highlight w:val="none"/>
        </w:rPr>
        <w:t>　　</w:t>
      </w:r>
      <w:bookmarkStart w:id="225" w:name="_Toc19527_WPSOffice_Level2"/>
      <w:r>
        <w:rPr>
          <w:rFonts w:hint="eastAsia" w:ascii="仿宋_GB2312" w:hAnsi="仿宋" w:eastAsia="仿宋_GB2312"/>
          <w:b/>
          <w:color w:val="auto"/>
          <w:szCs w:val="21"/>
          <w:highlight w:val="none"/>
        </w:rPr>
        <w:t>二、政府采购合同范围和条件</w:t>
      </w:r>
      <w:bookmarkEnd w:id="225"/>
    </w:p>
    <w:p w14:paraId="12C3A973">
      <w:pPr>
        <w:adjustRightInd w:val="0"/>
        <w:snapToGrid w:val="0"/>
        <w:spacing w:line="360" w:lineRule="auto"/>
        <w:jc w:val="left"/>
        <w:rPr>
          <w:rFonts w:ascii="仿宋_GB2312" w:hAnsi="仿宋" w:eastAsia="仿宋_GB2312"/>
          <w:color w:val="auto"/>
          <w:szCs w:val="21"/>
          <w:highlight w:val="none"/>
        </w:rPr>
      </w:pPr>
      <w:r>
        <w:rPr>
          <w:rFonts w:hint="eastAsia" w:ascii="仿宋_GB2312" w:hAnsi="仿宋" w:eastAsia="仿宋_GB2312"/>
          <w:color w:val="auto"/>
          <w:szCs w:val="21"/>
          <w:highlight w:val="none"/>
        </w:rPr>
        <w:t xml:space="preserve">    本政府采购合同的范围和条件与上述政府采购合同文件的规定相一致。</w:t>
      </w:r>
    </w:p>
    <w:p w14:paraId="5D62A8A3">
      <w:pPr>
        <w:adjustRightInd w:val="0"/>
        <w:snapToGrid w:val="0"/>
        <w:spacing w:line="360" w:lineRule="auto"/>
        <w:jc w:val="left"/>
        <w:rPr>
          <w:rFonts w:ascii="仿宋_GB2312" w:hAnsi="仿宋" w:eastAsia="仿宋_GB2312"/>
          <w:b/>
          <w:color w:val="auto"/>
          <w:szCs w:val="21"/>
          <w:highlight w:val="none"/>
        </w:rPr>
      </w:pPr>
      <w:r>
        <w:rPr>
          <w:rFonts w:hint="eastAsia" w:ascii="仿宋_GB2312" w:hAnsi="仿宋" w:eastAsia="仿宋_GB2312"/>
          <w:b/>
          <w:color w:val="auto"/>
          <w:szCs w:val="21"/>
          <w:highlight w:val="none"/>
        </w:rPr>
        <w:t>　　</w:t>
      </w:r>
      <w:bookmarkStart w:id="226" w:name="_Toc18050_WPSOffice_Level2"/>
      <w:r>
        <w:rPr>
          <w:rFonts w:hint="eastAsia" w:ascii="仿宋_GB2312" w:hAnsi="仿宋" w:eastAsia="仿宋_GB2312"/>
          <w:b/>
          <w:color w:val="auto"/>
          <w:szCs w:val="21"/>
          <w:highlight w:val="none"/>
        </w:rPr>
        <w:t>三、政府采购合同标的</w:t>
      </w:r>
      <w:bookmarkEnd w:id="226"/>
    </w:p>
    <w:p w14:paraId="6F65ED06">
      <w:pPr>
        <w:adjustRightInd w:val="0"/>
        <w:snapToGrid w:val="0"/>
        <w:spacing w:line="360" w:lineRule="auto"/>
        <w:jc w:val="left"/>
        <w:rPr>
          <w:rFonts w:ascii="仿宋_GB2312" w:hAnsi="仿宋" w:eastAsia="仿宋_GB2312"/>
          <w:color w:val="auto"/>
          <w:szCs w:val="21"/>
          <w:highlight w:val="none"/>
        </w:rPr>
      </w:pPr>
      <w:r>
        <w:rPr>
          <w:rFonts w:hint="eastAsia" w:ascii="仿宋_GB2312" w:hAnsi="仿宋" w:eastAsia="仿宋_GB2312"/>
          <w:color w:val="auto"/>
          <w:szCs w:val="21"/>
          <w:highlight w:val="none"/>
        </w:rPr>
        <w:t xml:space="preserve">    </w:t>
      </w:r>
      <w:r>
        <w:rPr>
          <w:rFonts w:hint="eastAsia" w:ascii="仿宋_GB2312" w:hAnsi="仿宋" w:eastAsia="仿宋_GB2312" w:cs="仿宋_GB2312"/>
          <w:color w:val="auto"/>
          <w:szCs w:val="21"/>
          <w:highlight w:val="none"/>
        </w:rPr>
        <w:t>本政府采购合同的标的为招标文件中所列货物及相关服务。</w:t>
      </w:r>
    </w:p>
    <w:p w14:paraId="05C96113">
      <w:pPr>
        <w:adjustRightInd w:val="0"/>
        <w:snapToGrid w:val="0"/>
        <w:spacing w:line="360" w:lineRule="auto"/>
        <w:jc w:val="left"/>
        <w:rPr>
          <w:rFonts w:ascii="仿宋_GB2312" w:hAnsi="仿宋" w:eastAsia="仿宋_GB2312"/>
          <w:b/>
          <w:color w:val="auto"/>
          <w:szCs w:val="21"/>
          <w:highlight w:val="none"/>
        </w:rPr>
      </w:pPr>
      <w:r>
        <w:rPr>
          <w:rFonts w:hint="eastAsia" w:ascii="仿宋_GB2312" w:hAnsi="仿宋" w:eastAsia="仿宋_GB2312"/>
          <w:b/>
          <w:color w:val="auto"/>
          <w:szCs w:val="21"/>
          <w:highlight w:val="none"/>
        </w:rPr>
        <w:t>　　</w:t>
      </w:r>
      <w:bookmarkStart w:id="227" w:name="_Toc27886_WPSOffice_Level2"/>
      <w:r>
        <w:rPr>
          <w:rFonts w:hint="eastAsia" w:ascii="仿宋_GB2312" w:hAnsi="仿宋" w:eastAsia="仿宋_GB2312"/>
          <w:b/>
          <w:color w:val="auto"/>
          <w:szCs w:val="21"/>
          <w:highlight w:val="none"/>
        </w:rPr>
        <w:t>四、政府采购合同金额</w:t>
      </w:r>
      <w:bookmarkEnd w:id="227"/>
    </w:p>
    <w:p w14:paraId="0951BAC2">
      <w:pPr>
        <w:adjustRightInd w:val="0"/>
        <w:snapToGrid w:val="0"/>
        <w:spacing w:line="360" w:lineRule="auto"/>
        <w:jc w:val="left"/>
        <w:rPr>
          <w:rFonts w:ascii="仿宋_GB2312" w:hAnsi="仿宋" w:eastAsia="仿宋_GB2312"/>
          <w:color w:val="auto"/>
          <w:szCs w:val="21"/>
          <w:highlight w:val="none"/>
        </w:rPr>
      </w:pPr>
      <w:r>
        <w:rPr>
          <w:rFonts w:hint="eastAsia" w:ascii="仿宋_GB2312" w:hAnsi="仿宋" w:eastAsia="仿宋_GB2312"/>
          <w:color w:val="auto"/>
          <w:szCs w:val="21"/>
          <w:highlight w:val="none"/>
        </w:rPr>
        <w:t xml:space="preserve">    根据上述政府采购合同文件要求，政府采购合同的总金额为人民币</w:t>
      </w:r>
      <w:r>
        <w:rPr>
          <w:rFonts w:hint="eastAsia" w:ascii="仿宋_GB2312" w:hAnsi="仿宋" w:eastAsia="仿宋_GB2312"/>
          <w:color w:val="auto"/>
          <w:szCs w:val="21"/>
          <w:highlight w:val="none"/>
          <w:u w:val="single"/>
        </w:rPr>
        <w:t xml:space="preserve">  （大写）                </w:t>
      </w:r>
      <w:r>
        <w:rPr>
          <w:rFonts w:hint="eastAsia" w:ascii="仿宋_GB2312" w:hAnsi="仿宋" w:eastAsia="仿宋_GB2312"/>
          <w:color w:val="auto"/>
          <w:szCs w:val="21"/>
          <w:highlight w:val="none"/>
        </w:rPr>
        <w:t xml:space="preserve"> 元。</w:t>
      </w:r>
    </w:p>
    <w:p w14:paraId="54D757C8">
      <w:pPr>
        <w:adjustRightInd w:val="0"/>
        <w:snapToGrid w:val="0"/>
        <w:spacing w:line="360" w:lineRule="auto"/>
        <w:jc w:val="left"/>
        <w:rPr>
          <w:rFonts w:ascii="仿宋_GB2312" w:hAnsi="仿宋" w:eastAsia="仿宋_GB2312"/>
          <w:color w:val="auto"/>
          <w:szCs w:val="21"/>
          <w:highlight w:val="none"/>
        </w:rPr>
      </w:pPr>
      <w:r>
        <w:rPr>
          <w:rFonts w:hint="eastAsia" w:ascii="仿宋_GB2312" w:hAnsi="仿宋" w:eastAsia="仿宋_GB2312"/>
          <w:color w:val="auto"/>
          <w:szCs w:val="21"/>
          <w:highlight w:val="none"/>
        </w:rPr>
        <w:t xml:space="preserve">    注：存在分项产品的必须清晰列明分项产品明细，包括名称、数量、分项报价等，并作为合同组成部分。</w:t>
      </w:r>
    </w:p>
    <w:p w14:paraId="6818D68D">
      <w:pPr>
        <w:adjustRightInd w:val="0"/>
        <w:snapToGrid w:val="0"/>
        <w:spacing w:line="360" w:lineRule="auto"/>
        <w:jc w:val="left"/>
        <w:rPr>
          <w:rFonts w:ascii="仿宋_GB2312" w:hAnsi="仿宋" w:eastAsia="仿宋_GB2312"/>
          <w:b/>
          <w:color w:val="auto"/>
          <w:szCs w:val="21"/>
          <w:highlight w:val="none"/>
        </w:rPr>
      </w:pPr>
      <w:r>
        <w:rPr>
          <w:rFonts w:hint="eastAsia" w:ascii="仿宋_GB2312" w:hAnsi="仿宋" w:eastAsia="仿宋_GB2312"/>
          <w:b/>
          <w:color w:val="auto"/>
          <w:szCs w:val="21"/>
          <w:highlight w:val="none"/>
        </w:rPr>
        <w:t>　　</w:t>
      </w:r>
      <w:bookmarkStart w:id="228" w:name="_Toc22211_WPSOffice_Level2"/>
      <w:r>
        <w:rPr>
          <w:rFonts w:hint="eastAsia" w:ascii="仿宋_GB2312" w:hAnsi="仿宋" w:eastAsia="仿宋_GB2312"/>
          <w:b/>
          <w:color w:val="auto"/>
          <w:szCs w:val="21"/>
          <w:highlight w:val="none"/>
        </w:rPr>
        <w:t>五、付款方式及条件</w:t>
      </w:r>
      <w:bookmarkEnd w:id="228"/>
    </w:p>
    <w:p w14:paraId="212B7B55">
      <w:pPr>
        <w:adjustRightInd w:val="0"/>
        <w:snapToGrid w:val="0"/>
        <w:spacing w:line="360" w:lineRule="auto"/>
        <w:jc w:val="left"/>
        <w:rPr>
          <w:rFonts w:ascii="仿宋_GB2312" w:hAnsi="仿宋" w:eastAsia="仿宋_GB2312"/>
          <w:b/>
          <w:color w:val="auto"/>
          <w:szCs w:val="21"/>
          <w:highlight w:val="none"/>
        </w:rPr>
      </w:pPr>
    </w:p>
    <w:p w14:paraId="4113877D">
      <w:pPr>
        <w:adjustRightInd w:val="0"/>
        <w:snapToGrid w:val="0"/>
        <w:spacing w:line="360" w:lineRule="auto"/>
        <w:jc w:val="left"/>
        <w:rPr>
          <w:rFonts w:ascii="仿宋_GB2312" w:hAnsi="仿宋" w:eastAsia="仿宋_GB2312"/>
          <w:color w:val="auto"/>
          <w:szCs w:val="21"/>
          <w:highlight w:val="none"/>
        </w:rPr>
      </w:pPr>
      <w:r>
        <w:rPr>
          <w:rFonts w:hint="eastAsia" w:ascii="仿宋_GB2312" w:hAnsi="仿宋" w:eastAsia="仿宋_GB2312"/>
          <w:b/>
          <w:color w:val="auto"/>
          <w:szCs w:val="21"/>
          <w:highlight w:val="none"/>
        </w:rPr>
        <w:t>　　</w:t>
      </w:r>
      <w:bookmarkStart w:id="229" w:name="_Toc27813_WPSOffice_Level2"/>
      <w:r>
        <w:rPr>
          <w:rFonts w:hint="eastAsia" w:ascii="仿宋_GB2312" w:hAnsi="仿宋" w:eastAsia="仿宋_GB2312"/>
          <w:b/>
          <w:color w:val="auto"/>
          <w:szCs w:val="21"/>
          <w:highlight w:val="none"/>
        </w:rPr>
        <w:t>六、交货时间和交货地点</w:t>
      </w:r>
      <w:bookmarkEnd w:id="229"/>
    </w:p>
    <w:p w14:paraId="2AB006F4">
      <w:pPr>
        <w:adjustRightInd w:val="0"/>
        <w:snapToGrid w:val="0"/>
        <w:spacing w:line="360" w:lineRule="auto"/>
        <w:jc w:val="left"/>
        <w:rPr>
          <w:rFonts w:ascii="仿宋_GB2312" w:hAnsi="仿宋" w:eastAsia="仿宋_GB2312"/>
          <w:color w:val="auto"/>
          <w:szCs w:val="21"/>
          <w:highlight w:val="none"/>
          <w:u w:val="single"/>
        </w:rPr>
      </w:pPr>
      <w:r>
        <w:rPr>
          <w:rFonts w:hint="eastAsia" w:ascii="仿宋_GB2312" w:hAnsi="仿宋" w:eastAsia="仿宋_GB2312"/>
          <w:color w:val="auto"/>
          <w:szCs w:val="21"/>
          <w:highlight w:val="none"/>
        </w:rPr>
        <w:t xml:space="preserve">    1.交货时间：</w:t>
      </w:r>
    </w:p>
    <w:p w14:paraId="47C2305C">
      <w:pPr>
        <w:adjustRightInd w:val="0"/>
        <w:snapToGrid w:val="0"/>
        <w:spacing w:line="360" w:lineRule="auto"/>
        <w:jc w:val="left"/>
        <w:rPr>
          <w:rFonts w:ascii="仿宋_GB2312" w:hAnsi="仿宋" w:eastAsia="仿宋_GB2312"/>
          <w:color w:val="auto"/>
          <w:szCs w:val="21"/>
          <w:highlight w:val="none"/>
          <w:u w:val="single"/>
        </w:rPr>
      </w:pPr>
      <w:r>
        <w:rPr>
          <w:rFonts w:hint="eastAsia" w:ascii="仿宋_GB2312" w:hAnsi="仿宋" w:eastAsia="仿宋_GB2312"/>
          <w:color w:val="auto"/>
          <w:szCs w:val="21"/>
          <w:highlight w:val="none"/>
        </w:rPr>
        <w:t xml:space="preserve">    2.交货地点：</w:t>
      </w:r>
    </w:p>
    <w:p w14:paraId="1FAAFBF6">
      <w:pPr>
        <w:adjustRightInd w:val="0"/>
        <w:snapToGrid w:val="0"/>
        <w:spacing w:line="360" w:lineRule="auto"/>
        <w:jc w:val="left"/>
        <w:rPr>
          <w:rFonts w:ascii="仿宋_GB2312" w:hAnsi="仿宋" w:eastAsia="仿宋_GB2312"/>
          <w:b/>
          <w:color w:val="auto"/>
          <w:szCs w:val="21"/>
          <w:highlight w:val="none"/>
        </w:rPr>
      </w:pPr>
      <w:r>
        <w:rPr>
          <w:rFonts w:hint="eastAsia" w:ascii="仿宋_GB2312" w:hAnsi="仿宋" w:eastAsia="仿宋_GB2312"/>
          <w:b/>
          <w:color w:val="auto"/>
          <w:szCs w:val="21"/>
          <w:highlight w:val="none"/>
        </w:rPr>
        <w:t>　　</w:t>
      </w:r>
      <w:bookmarkStart w:id="230" w:name="_Toc12497_WPSOffice_Level2"/>
      <w:r>
        <w:rPr>
          <w:rFonts w:hint="eastAsia" w:ascii="仿宋_GB2312" w:hAnsi="仿宋" w:eastAsia="仿宋_GB2312"/>
          <w:b/>
          <w:color w:val="auto"/>
          <w:szCs w:val="21"/>
          <w:highlight w:val="none"/>
        </w:rPr>
        <w:t>七、验收要求</w:t>
      </w:r>
      <w:bookmarkEnd w:id="230"/>
    </w:p>
    <w:p w14:paraId="27C2B632">
      <w:pPr>
        <w:adjustRightInd w:val="0"/>
        <w:snapToGrid w:val="0"/>
        <w:spacing w:line="360" w:lineRule="auto"/>
        <w:ind w:firstLine="420" w:firstLineChars="200"/>
        <w:jc w:val="left"/>
        <w:rPr>
          <w:rFonts w:ascii="仿宋_GB2312" w:hAnsi="仿宋" w:eastAsia="仿宋_GB2312"/>
          <w:color w:val="auto"/>
          <w:szCs w:val="21"/>
          <w:highlight w:val="none"/>
          <w:u w:val="single"/>
        </w:rPr>
      </w:pPr>
      <w:r>
        <w:rPr>
          <w:rFonts w:hint="eastAsia" w:ascii="仿宋_GB2312" w:hAnsi="仿宋" w:eastAsia="仿宋_GB2312"/>
          <w:color w:val="auto"/>
          <w:szCs w:val="21"/>
          <w:highlight w:val="none"/>
        </w:rPr>
        <w:t>供方完全履行合同义务后，需方或需方的最终用户按照上述政府采购合同文件列明的标准进行验收，验收不合格的，供方需按照第八条第2款的约定承担相应违约责任。</w:t>
      </w:r>
    </w:p>
    <w:p w14:paraId="336C3CAD">
      <w:pPr>
        <w:adjustRightInd w:val="0"/>
        <w:snapToGrid w:val="0"/>
        <w:spacing w:line="360" w:lineRule="auto"/>
        <w:ind w:firstLine="420" w:firstLineChars="200"/>
        <w:jc w:val="left"/>
        <w:rPr>
          <w:rFonts w:ascii="仿宋_GB2312" w:hAnsi="仿宋" w:eastAsia="仿宋_GB2312"/>
          <w:b/>
          <w:color w:val="auto"/>
          <w:szCs w:val="21"/>
          <w:highlight w:val="none"/>
        </w:rPr>
      </w:pPr>
      <w:bookmarkStart w:id="231" w:name="_Toc4868_WPSOffice_Level2"/>
      <w:r>
        <w:rPr>
          <w:rFonts w:hint="eastAsia" w:ascii="仿宋_GB2312" w:hAnsi="仿宋" w:eastAsia="仿宋_GB2312"/>
          <w:b/>
          <w:color w:val="auto"/>
          <w:szCs w:val="21"/>
          <w:highlight w:val="none"/>
        </w:rPr>
        <w:t>八、违约责任</w:t>
      </w:r>
      <w:bookmarkEnd w:id="231"/>
    </w:p>
    <w:p w14:paraId="25076DF4">
      <w:pPr>
        <w:adjustRightInd w:val="0"/>
        <w:snapToGrid w:val="0"/>
        <w:spacing w:line="360" w:lineRule="auto"/>
        <w:jc w:val="left"/>
        <w:rPr>
          <w:rFonts w:ascii="仿宋_GB2312" w:hAnsi="仿宋" w:eastAsia="仿宋_GB2312"/>
          <w:color w:val="auto"/>
          <w:szCs w:val="21"/>
          <w:highlight w:val="none"/>
        </w:rPr>
      </w:pPr>
      <w:r>
        <w:rPr>
          <w:rFonts w:hint="eastAsia" w:ascii="仿宋_GB2312" w:hAnsi="仿宋" w:eastAsia="仿宋_GB2312"/>
          <w:color w:val="auto"/>
          <w:szCs w:val="21"/>
          <w:highlight w:val="none"/>
        </w:rPr>
        <w:t xml:space="preserve">    1.供方逾期供货的，每逾期一天向需方支付逾期供货金额%的违约金，逾期日的，需方有权单方面解除本协议。</w:t>
      </w:r>
    </w:p>
    <w:p w14:paraId="101ADE4C">
      <w:pPr>
        <w:adjustRightInd w:val="0"/>
        <w:snapToGrid w:val="0"/>
        <w:spacing w:line="360" w:lineRule="auto"/>
        <w:jc w:val="left"/>
        <w:rPr>
          <w:rFonts w:ascii="仿宋_GB2312" w:hAnsi="仿宋" w:eastAsia="仿宋_GB2312"/>
          <w:color w:val="auto"/>
          <w:szCs w:val="21"/>
          <w:highlight w:val="none"/>
        </w:rPr>
      </w:pPr>
      <w:r>
        <w:rPr>
          <w:rFonts w:hint="eastAsia" w:ascii="仿宋_GB2312" w:hAnsi="仿宋" w:eastAsia="仿宋_GB2312"/>
          <w:color w:val="auto"/>
          <w:szCs w:val="21"/>
          <w:highlight w:val="none"/>
        </w:rPr>
        <w:t xml:space="preserve">    2.供方交付的货物不符合约定的，供方无条件更换符合约定的货物，并按照最终提供合格货物的日期遵照前款承担违约责任，更换一次货物后仍不符合约定的，需方有权单方面解除本协议。</w:t>
      </w:r>
    </w:p>
    <w:p w14:paraId="5E37A68E">
      <w:pPr>
        <w:adjustRightInd w:val="0"/>
        <w:snapToGrid w:val="0"/>
        <w:spacing w:line="360" w:lineRule="auto"/>
        <w:jc w:val="left"/>
        <w:rPr>
          <w:rFonts w:ascii="仿宋_GB2312" w:hAnsi="仿宋" w:eastAsia="仿宋_GB2312"/>
          <w:color w:val="auto"/>
          <w:szCs w:val="21"/>
          <w:highlight w:val="none"/>
        </w:rPr>
      </w:pPr>
      <w:r>
        <w:rPr>
          <w:rFonts w:hint="eastAsia" w:ascii="仿宋_GB2312" w:hAnsi="仿宋" w:eastAsia="仿宋_GB2312"/>
          <w:color w:val="auto"/>
          <w:szCs w:val="21"/>
          <w:highlight w:val="none"/>
        </w:rPr>
        <w:t xml:space="preserve">    3.需方逾期付款的，每逾期一天向供方支付逾期金额%的违约金，逾期日的，供方有权单方面解除本协议。</w:t>
      </w:r>
    </w:p>
    <w:p w14:paraId="341D271D">
      <w:pPr>
        <w:adjustRightInd w:val="0"/>
        <w:snapToGrid w:val="0"/>
        <w:spacing w:line="360" w:lineRule="auto"/>
        <w:ind w:firstLine="420" w:firstLineChars="200"/>
        <w:jc w:val="left"/>
        <w:rPr>
          <w:rFonts w:ascii="仿宋_GB2312" w:hAnsi="仿宋" w:eastAsia="仿宋_GB2312"/>
          <w:b/>
          <w:color w:val="auto"/>
          <w:szCs w:val="21"/>
          <w:highlight w:val="none"/>
        </w:rPr>
      </w:pPr>
      <w:bookmarkStart w:id="232" w:name="_Toc24496_WPSOffice_Level2"/>
      <w:r>
        <w:rPr>
          <w:rFonts w:hint="eastAsia" w:ascii="仿宋_GB2312" w:hAnsi="仿宋" w:eastAsia="仿宋_GB2312"/>
          <w:b/>
          <w:color w:val="auto"/>
          <w:szCs w:val="21"/>
          <w:highlight w:val="none"/>
        </w:rPr>
        <w:t>九、争议解决</w:t>
      </w:r>
      <w:bookmarkEnd w:id="232"/>
    </w:p>
    <w:p w14:paraId="27B36576">
      <w:pPr>
        <w:adjustRightInd w:val="0"/>
        <w:snapToGrid w:val="0"/>
        <w:spacing w:line="360" w:lineRule="auto"/>
        <w:jc w:val="left"/>
        <w:rPr>
          <w:rFonts w:ascii="仿宋_GB2312" w:hAnsi="仿宋" w:eastAsia="仿宋_GB2312"/>
          <w:b/>
          <w:color w:val="auto"/>
          <w:szCs w:val="21"/>
          <w:highlight w:val="none"/>
        </w:rPr>
      </w:pPr>
      <w:r>
        <w:rPr>
          <w:rFonts w:hint="eastAsia" w:ascii="仿宋_GB2312" w:hAnsi="仿宋" w:eastAsia="仿宋_GB2312"/>
          <w:color w:val="auto"/>
          <w:szCs w:val="21"/>
          <w:highlight w:val="none"/>
        </w:rPr>
        <w:t xml:space="preserve">    双方因履行本协议而产生的争议，应友好协商解决，协商不成的，任何一方可向需方所在地的人民法院提起诉讼。</w:t>
      </w:r>
    </w:p>
    <w:p w14:paraId="1C6003FA">
      <w:pPr>
        <w:adjustRightInd w:val="0"/>
        <w:snapToGrid w:val="0"/>
        <w:spacing w:line="360" w:lineRule="auto"/>
        <w:ind w:firstLine="420" w:firstLineChars="200"/>
        <w:jc w:val="left"/>
        <w:rPr>
          <w:rFonts w:ascii="仿宋_GB2312" w:hAnsi="仿宋" w:eastAsia="仿宋_GB2312"/>
          <w:b/>
          <w:color w:val="auto"/>
          <w:szCs w:val="21"/>
          <w:highlight w:val="none"/>
        </w:rPr>
      </w:pPr>
      <w:bookmarkStart w:id="233" w:name="_Toc24974_WPSOffice_Level2"/>
      <w:r>
        <w:rPr>
          <w:rFonts w:hint="eastAsia" w:ascii="仿宋_GB2312" w:hAnsi="仿宋" w:eastAsia="仿宋_GB2312"/>
          <w:b/>
          <w:color w:val="auto"/>
          <w:szCs w:val="21"/>
          <w:highlight w:val="none"/>
        </w:rPr>
        <w:t>十、合同生效</w:t>
      </w:r>
      <w:bookmarkEnd w:id="233"/>
    </w:p>
    <w:p w14:paraId="3B902CDC">
      <w:pPr>
        <w:adjustRightInd w:val="0"/>
        <w:snapToGrid w:val="0"/>
        <w:spacing w:line="360" w:lineRule="auto"/>
        <w:jc w:val="left"/>
        <w:rPr>
          <w:rFonts w:ascii="仿宋_GB2312" w:hAnsi="仿宋" w:eastAsia="仿宋_GB2312"/>
          <w:color w:val="auto"/>
          <w:szCs w:val="21"/>
          <w:highlight w:val="none"/>
        </w:rPr>
      </w:pPr>
      <w:r>
        <w:rPr>
          <w:rFonts w:hint="eastAsia" w:ascii="仿宋_GB2312" w:hAnsi="仿宋" w:eastAsia="仿宋_GB2312"/>
          <w:color w:val="auto"/>
          <w:szCs w:val="21"/>
          <w:highlight w:val="none"/>
        </w:rPr>
        <w:t xml:space="preserve">    本政府采购合同经双方授权代表签字盖章后生效。</w:t>
      </w:r>
    </w:p>
    <w:p w14:paraId="49CA626F">
      <w:pPr>
        <w:adjustRightInd w:val="0"/>
        <w:snapToGrid w:val="0"/>
        <w:spacing w:line="360" w:lineRule="auto"/>
        <w:ind w:firstLine="420" w:firstLineChars="200"/>
        <w:jc w:val="left"/>
        <w:rPr>
          <w:rFonts w:ascii="仿宋_GB2312" w:hAnsi="仿宋" w:eastAsia="仿宋_GB2312"/>
          <w:color w:val="auto"/>
          <w:szCs w:val="21"/>
          <w:highlight w:val="none"/>
        </w:rPr>
      </w:pPr>
      <w:r>
        <w:rPr>
          <w:rFonts w:hint="eastAsia" w:ascii="仿宋_GB2312" w:hAnsi="仿宋" w:eastAsia="仿宋_GB2312"/>
          <w:color w:val="auto"/>
          <w:szCs w:val="21"/>
          <w:highlight w:val="none"/>
        </w:rPr>
        <w:t xml:space="preserve">需  方（公章）:                   </w:t>
      </w:r>
      <w:r>
        <w:rPr>
          <w:rFonts w:ascii="仿宋_GB2312" w:hAnsi="仿宋" w:eastAsia="仿宋_GB2312"/>
          <w:color w:val="auto"/>
          <w:szCs w:val="21"/>
          <w:highlight w:val="none"/>
        </w:rPr>
        <w:t xml:space="preserve">  </w:t>
      </w:r>
      <w:r>
        <w:rPr>
          <w:rFonts w:hint="eastAsia" w:ascii="仿宋_GB2312" w:hAnsi="仿宋" w:eastAsia="仿宋_GB2312"/>
          <w:color w:val="auto"/>
          <w:szCs w:val="21"/>
          <w:highlight w:val="none"/>
        </w:rPr>
        <w:t xml:space="preserve">  供  方(公章):</w:t>
      </w:r>
    </w:p>
    <w:p w14:paraId="72A74434">
      <w:pPr>
        <w:adjustRightInd w:val="0"/>
        <w:snapToGrid w:val="0"/>
        <w:spacing w:line="360" w:lineRule="auto"/>
        <w:ind w:firstLine="420" w:firstLineChars="200"/>
        <w:jc w:val="left"/>
        <w:rPr>
          <w:rFonts w:ascii="仿宋_GB2312" w:hAnsi="仿宋" w:eastAsia="仿宋_GB2312"/>
          <w:color w:val="auto"/>
          <w:szCs w:val="21"/>
          <w:highlight w:val="none"/>
        </w:rPr>
      </w:pPr>
      <w:r>
        <w:rPr>
          <w:rFonts w:hint="eastAsia" w:ascii="仿宋_GB2312" w:hAnsi="仿宋" w:eastAsia="仿宋_GB2312"/>
          <w:color w:val="auto"/>
          <w:szCs w:val="21"/>
          <w:highlight w:val="none"/>
        </w:rPr>
        <w:t>法定代表人或授权代表人(签字):         法定代表人或授权代表人(签字):</w:t>
      </w:r>
    </w:p>
    <w:p w14:paraId="3418309B">
      <w:pPr>
        <w:adjustRightInd w:val="0"/>
        <w:snapToGrid w:val="0"/>
        <w:spacing w:line="360" w:lineRule="auto"/>
        <w:ind w:firstLine="420" w:firstLineChars="200"/>
        <w:rPr>
          <w:rFonts w:ascii="仿宋_GB2312" w:hAnsi="仿宋" w:eastAsia="仿宋_GB2312" w:cs="Lucida Sans Unicode"/>
          <w:color w:val="auto"/>
          <w:szCs w:val="21"/>
          <w:highlight w:val="none"/>
          <w:u w:val="single"/>
        </w:rPr>
      </w:pPr>
      <w:r>
        <w:rPr>
          <w:rFonts w:hint="eastAsia" w:ascii="仿宋_GB2312" w:hAnsi="仿宋" w:eastAsia="仿宋_GB2312" w:cs="Lucida Sans Unicode"/>
          <w:color w:val="auto"/>
          <w:szCs w:val="21"/>
          <w:highlight w:val="none"/>
        </w:rPr>
        <w:t xml:space="preserve">地 </w:t>
      </w:r>
      <w:r>
        <w:rPr>
          <w:rFonts w:ascii="仿宋_GB2312" w:hAnsi="仿宋" w:eastAsia="仿宋_GB2312" w:cs="Lucida Sans Unicode"/>
          <w:color w:val="auto"/>
          <w:szCs w:val="21"/>
          <w:highlight w:val="none"/>
        </w:rPr>
        <w:t xml:space="preserve"> </w:t>
      </w:r>
      <w:r>
        <w:rPr>
          <w:rFonts w:hint="eastAsia" w:ascii="仿宋_GB2312" w:hAnsi="仿宋" w:eastAsia="仿宋_GB2312" w:cs="Lucida Sans Unicode"/>
          <w:color w:val="auto"/>
          <w:szCs w:val="21"/>
          <w:highlight w:val="none"/>
        </w:rPr>
        <w:t xml:space="preserve">址：      </w:t>
      </w:r>
      <w:r>
        <w:rPr>
          <w:rFonts w:ascii="仿宋_GB2312" w:hAnsi="仿宋" w:eastAsia="仿宋_GB2312" w:cs="Lucida Sans Unicode"/>
          <w:color w:val="auto"/>
          <w:szCs w:val="21"/>
          <w:highlight w:val="none"/>
        </w:rPr>
        <w:t xml:space="preserve">                        </w:t>
      </w:r>
      <w:r>
        <w:rPr>
          <w:rFonts w:hint="eastAsia" w:ascii="仿宋_GB2312" w:hAnsi="仿宋" w:eastAsia="仿宋_GB2312" w:cs="Lucida Sans Unicode"/>
          <w:color w:val="auto"/>
          <w:szCs w:val="21"/>
          <w:highlight w:val="none"/>
        </w:rPr>
        <w:t xml:space="preserve">地 </w:t>
      </w:r>
      <w:r>
        <w:rPr>
          <w:rFonts w:ascii="仿宋_GB2312" w:hAnsi="仿宋" w:eastAsia="仿宋_GB2312" w:cs="Lucida Sans Unicode"/>
          <w:color w:val="auto"/>
          <w:szCs w:val="21"/>
          <w:highlight w:val="none"/>
        </w:rPr>
        <w:t xml:space="preserve"> </w:t>
      </w:r>
      <w:r>
        <w:rPr>
          <w:rFonts w:hint="eastAsia" w:ascii="仿宋_GB2312" w:hAnsi="仿宋" w:eastAsia="仿宋_GB2312" w:cs="Lucida Sans Unicode"/>
          <w:color w:val="auto"/>
          <w:szCs w:val="21"/>
          <w:highlight w:val="none"/>
        </w:rPr>
        <w:t>址：</w:t>
      </w:r>
    </w:p>
    <w:p w14:paraId="33AF2FE3">
      <w:pPr>
        <w:adjustRightInd w:val="0"/>
        <w:snapToGrid w:val="0"/>
        <w:spacing w:line="360" w:lineRule="auto"/>
        <w:ind w:firstLine="420" w:firstLineChars="200"/>
        <w:rPr>
          <w:rFonts w:ascii="仿宋_GB2312" w:hAnsi="仿宋" w:eastAsia="仿宋_GB2312" w:cs="Lucida Sans Unicode"/>
          <w:color w:val="auto"/>
          <w:szCs w:val="21"/>
          <w:highlight w:val="none"/>
        </w:rPr>
      </w:pPr>
      <w:r>
        <w:rPr>
          <w:rFonts w:hint="eastAsia" w:ascii="仿宋_GB2312" w:hAnsi="仿宋" w:eastAsia="仿宋_GB2312" w:cs="Lucida Sans Unicode"/>
          <w:color w:val="auto"/>
          <w:szCs w:val="21"/>
          <w:highlight w:val="none"/>
        </w:rPr>
        <w:t xml:space="preserve">联系人：    </w:t>
      </w:r>
      <w:r>
        <w:rPr>
          <w:rFonts w:ascii="仿宋_GB2312" w:hAnsi="仿宋" w:eastAsia="仿宋_GB2312" w:cs="Lucida Sans Unicode"/>
          <w:color w:val="auto"/>
          <w:szCs w:val="21"/>
          <w:highlight w:val="none"/>
        </w:rPr>
        <w:t xml:space="preserve">                          </w:t>
      </w:r>
      <w:r>
        <w:rPr>
          <w:rFonts w:hint="eastAsia" w:ascii="仿宋_GB2312" w:hAnsi="仿宋" w:eastAsia="仿宋_GB2312" w:cs="Lucida Sans Unicode"/>
          <w:color w:val="auto"/>
          <w:szCs w:val="21"/>
          <w:highlight w:val="none"/>
        </w:rPr>
        <w:t>联系人：</w:t>
      </w:r>
    </w:p>
    <w:p w14:paraId="34119585">
      <w:pPr>
        <w:adjustRightInd w:val="0"/>
        <w:snapToGrid w:val="0"/>
        <w:spacing w:line="360" w:lineRule="auto"/>
        <w:ind w:firstLine="420" w:firstLineChars="200"/>
        <w:rPr>
          <w:rFonts w:ascii="仿宋_GB2312" w:hAnsi="仿宋" w:eastAsia="仿宋_GB2312" w:cs="Lucida Sans Unicode"/>
          <w:color w:val="auto"/>
          <w:szCs w:val="21"/>
          <w:highlight w:val="none"/>
          <w:u w:val="single"/>
        </w:rPr>
      </w:pPr>
      <w:r>
        <w:rPr>
          <w:rFonts w:hint="eastAsia" w:ascii="仿宋_GB2312" w:hAnsi="仿宋" w:eastAsia="仿宋_GB2312" w:cs="Lucida Sans Unicode"/>
          <w:color w:val="auto"/>
          <w:szCs w:val="21"/>
          <w:highlight w:val="none"/>
        </w:rPr>
        <w:t xml:space="preserve">电  话：      </w:t>
      </w:r>
      <w:r>
        <w:rPr>
          <w:rFonts w:ascii="仿宋_GB2312" w:hAnsi="仿宋" w:eastAsia="仿宋_GB2312" w:cs="Lucida Sans Unicode"/>
          <w:color w:val="auto"/>
          <w:szCs w:val="21"/>
          <w:highlight w:val="none"/>
        </w:rPr>
        <w:t xml:space="preserve">                        </w:t>
      </w:r>
      <w:r>
        <w:rPr>
          <w:rFonts w:hint="eastAsia" w:ascii="仿宋_GB2312" w:hAnsi="仿宋" w:eastAsia="仿宋_GB2312" w:cs="Lucida Sans Unicode"/>
          <w:color w:val="auto"/>
          <w:szCs w:val="21"/>
          <w:highlight w:val="none"/>
        </w:rPr>
        <w:t>电  话：</w:t>
      </w:r>
    </w:p>
    <w:p w14:paraId="09AAA0A1">
      <w:pPr>
        <w:adjustRightInd w:val="0"/>
        <w:snapToGrid w:val="0"/>
        <w:spacing w:line="360" w:lineRule="auto"/>
        <w:ind w:firstLine="420" w:firstLineChars="200"/>
        <w:rPr>
          <w:rFonts w:ascii="仿宋_GB2312" w:hAnsi="仿宋" w:eastAsia="仿宋_GB2312" w:cs="Lucida Sans Unicode"/>
          <w:color w:val="auto"/>
          <w:szCs w:val="21"/>
          <w:highlight w:val="none"/>
          <w:u w:val="single"/>
        </w:rPr>
      </w:pPr>
      <w:r>
        <w:rPr>
          <w:rFonts w:hint="eastAsia" w:ascii="仿宋_GB2312" w:hAnsi="仿宋" w:eastAsia="仿宋_GB2312" w:cs="Lucida Sans Unicode"/>
          <w:color w:val="auto"/>
          <w:szCs w:val="21"/>
          <w:highlight w:val="none"/>
        </w:rPr>
        <w:t xml:space="preserve">传  真：     </w:t>
      </w:r>
      <w:r>
        <w:rPr>
          <w:rFonts w:ascii="仿宋_GB2312" w:hAnsi="仿宋" w:eastAsia="仿宋_GB2312" w:cs="Lucida Sans Unicode"/>
          <w:color w:val="auto"/>
          <w:szCs w:val="21"/>
          <w:highlight w:val="none"/>
        </w:rPr>
        <w:t xml:space="preserve">                         </w:t>
      </w:r>
      <w:r>
        <w:rPr>
          <w:rFonts w:hint="eastAsia" w:ascii="仿宋_GB2312" w:hAnsi="仿宋" w:eastAsia="仿宋_GB2312" w:cs="Lucida Sans Unicode"/>
          <w:color w:val="auto"/>
          <w:szCs w:val="21"/>
          <w:highlight w:val="none"/>
        </w:rPr>
        <w:t>传  真：</w:t>
      </w:r>
    </w:p>
    <w:p w14:paraId="5BE9C05D">
      <w:pPr>
        <w:adjustRightInd w:val="0"/>
        <w:snapToGrid w:val="0"/>
        <w:spacing w:line="360" w:lineRule="auto"/>
        <w:ind w:firstLine="420" w:firstLineChars="200"/>
        <w:rPr>
          <w:rFonts w:ascii="仿宋_GB2312" w:hAnsi="仿宋" w:eastAsia="仿宋_GB2312" w:cs="Lucida Sans Unicode"/>
          <w:color w:val="auto"/>
          <w:szCs w:val="21"/>
          <w:highlight w:val="none"/>
          <w:u w:val="single"/>
        </w:rPr>
      </w:pPr>
      <w:r>
        <w:rPr>
          <w:rFonts w:hint="eastAsia" w:ascii="仿宋_GB2312" w:hAnsi="仿宋" w:eastAsia="仿宋_GB2312" w:cs="Lucida Sans Unicode"/>
          <w:color w:val="auto"/>
          <w:szCs w:val="21"/>
          <w:highlight w:val="none"/>
        </w:rPr>
        <w:t xml:space="preserve">邮 </w:t>
      </w:r>
      <w:r>
        <w:rPr>
          <w:rFonts w:ascii="仿宋_GB2312" w:hAnsi="仿宋" w:eastAsia="仿宋_GB2312" w:cs="Lucida Sans Unicode"/>
          <w:color w:val="auto"/>
          <w:szCs w:val="21"/>
          <w:highlight w:val="none"/>
        </w:rPr>
        <w:t xml:space="preserve"> </w:t>
      </w:r>
      <w:r>
        <w:rPr>
          <w:rFonts w:hint="eastAsia" w:ascii="仿宋_GB2312" w:hAnsi="仿宋" w:eastAsia="仿宋_GB2312" w:cs="Lucida Sans Unicode"/>
          <w:color w:val="auto"/>
          <w:szCs w:val="21"/>
          <w:highlight w:val="none"/>
        </w:rPr>
        <w:t xml:space="preserve">编：      </w:t>
      </w:r>
      <w:r>
        <w:rPr>
          <w:rFonts w:ascii="仿宋_GB2312" w:hAnsi="仿宋" w:eastAsia="仿宋_GB2312" w:cs="Lucida Sans Unicode"/>
          <w:color w:val="auto"/>
          <w:szCs w:val="21"/>
          <w:highlight w:val="none"/>
        </w:rPr>
        <w:t xml:space="preserve">                        </w:t>
      </w:r>
      <w:r>
        <w:rPr>
          <w:rFonts w:hint="eastAsia" w:ascii="仿宋_GB2312" w:hAnsi="仿宋" w:eastAsia="仿宋_GB2312" w:cs="Lucida Sans Unicode"/>
          <w:color w:val="auto"/>
          <w:szCs w:val="21"/>
          <w:highlight w:val="none"/>
        </w:rPr>
        <w:t>邮  编：</w:t>
      </w:r>
    </w:p>
    <w:p w14:paraId="49CA226D">
      <w:pPr>
        <w:adjustRightInd w:val="0"/>
        <w:snapToGrid w:val="0"/>
        <w:spacing w:line="360" w:lineRule="auto"/>
        <w:ind w:firstLine="420" w:firstLineChars="200"/>
        <w:rPr>
          <w:rFonts w:ascii="仿宋_GB2312" w:hAnsi="仿宋" w:eastAsia="仿宋_GB2312" w:cs="Lucida Sans Unicode"/>
          <w:color w:val="auto"/>
          <w:szCs w:val="21"/>
          <w:highlight w:val="none"/>
          <w:u w:val="single"/>
        </w:rPr>
      </w:pPr>
      <w:r>
        <w:rPr>
          <w:rFonts w:hint="eastAsia" w:ascii="仿宋_GB2312" w:hAnsi="仿宋" w:eastAsia="仿宋_GB2312" w:cs="Lucida Sans Unicode"/>
          <w:color w:val="auto"/>
          <w:szCs w:val="21"/>
          <w:highlight w:val="none"/>
        </w:rPr>
        <w:t>日  期：</w:t>
      </w:r>
      <w:r>
        <w:rPr>
          <w:rFonts w:hint="eastAsia" w:ascii="仿宋_GB2312" w:hAnsi="仿宋" w:eastAsia="仿宋_GB2312" w:cs="Lucida Sans Unicode"/>
          <w:color w:val="auto"/>
          <w:szCs w:val="21"/>
          <w:highlight w:val="none"/>
          <w:u w:val="single"/>
        </w:rPr>
        <w:t xml:space="preserve">      </w:t>
      </w:r>
      <w:r>
        <w:rPr>
          <w:rFonts w:hint="eastAsia" w:ascii="仿宋_GB2312" w:hAnsi="仿宋" w:eastAsia="仿宋_GB2312" w:cs="Lucida Sans Unicode"/>
          <w:color w:val="auto"/>
          <w:szCs w:val="21"/>
          <w:highlight w:val="none"/>
        </w:rPr>
        <w:t>年</w:t>
      </w:r>
      <w:r>
        <w:rPr>
          <w:rFonts w:hint="eastAsia" w:ascii="仿宋_GB2312" w:hAnsi="仿宋" w:eastAsia="仿宋_GB2312" w:cs="Lucida Sans Unicode"/>
          <w:color w:val="auto"/>
          <w:szCs w:val="21"/>
          <w:highlight w:val="none"/>
          <w:u w:val="single"/>
        </w:rPr>
        <w:t xml:space="preserve">      </w:t>
      </w:r>
      <w:r>
        <w:rPr>
          <w:rFonts w:hint="eastAsia" w:ascii="仿宋_GB2312" w:hAnsi="仿宋" w:eastAsia="仿宋_GB2312" w:cs="Lucida Sans Unicode"/>
          <w:color w:val="auto"/>
          <w:szCs w:val="21"/>
          <w:highlight w:val="none"/>
        </w:rPr>
        <w:t>月</w:t>
      </w:r>
      <w:r>
        <w:rPr>
          <w:rFonts w:hint="eastAsia" w:ascii="仿宋_GB2312" w:hAnsi="仿宋" w:eastAsia="仿宋_GB2312" w:cs="Lucida Sans Unicode"/>
          <w:color w:val="auto"/>
          <w:szCs w:val="21"/>
          <w:highlight w:val="none"/>
          <w:u w:val="single"/>
        </w:rPr>
        <w:t xml:space="preserve">      </w:t>
      </w:r>
      <w:r>
        <w:rPr>
          <w:rFonts w:hint="eastAsia" w:ascii="仿宋_GB2312" w:hAnsi="仿宋" w:eastAsia="仿宋_GB2312" w:cs="Lucida Sans Unicode"/>
          <w:color w:val="auto"/>
          <w:szCs w:val="21"/>
          <w:highlight w:val="none"/>
        </w:rPr>
        <w:t>日      日  期：</w:t>
      </w:r>
      <w:r>
        <w:rPr>
          <w:rFonts w:hint="eastAsia" w:ascii="仿宋_GB2312" w:hAnsi="仿宋" w:eastAsia="仿宋_GB2312" w:cs="Lucida Sans Unicode"/>
          <w:color w:val="auto"/>
          <w:szCs w:val="21"/>
          <w:highlight w:val="none"/>
          <w:u w:val="single"/>
        </w:rPr>
        <w:t xml:space="preserve">       </w:t>
      </w:r>
      <w:r>
        <w:rPr>
          <w:rFonts w:hint="eastAsia" w:ascii="仿宋_GB2312" w:hAnsi="仿宋" w:eastAsia="仿宋_GB2312" w:cs="Lucida Sans Unicode"/>
          <w:color w:val="auto"/>
          <w:szCs w:val="21"/>
          <w:highlight w:val="none"/>
        </w:rPr>
        <w:t>年</w:t>
      </w:r>
      <w:r>
        <w:rPr>
          <w:rFonts w:hint="eastAsia" w:ascii="仿宋_GB2312" w:hAnsi="仿宋" w:eastAsia="仿宋_GB2312" w:cs="Lucida Sans Unicode"/>
          <w:color w:val="auto"/>
          <w:szCs w:val="21"/>
          <w:highlight w:val="none"/>
          <w:u w:val="single"/>
        </w:rPr>
        <w:t xml:space="preserve">      </w:t>
      </w:r>
      <w:r>
        <w:rPr>
          <w:rFonts w:hint="eastAsia" w:ascii="仿宋_GB2312" w:hAnsi="仿宋" w:eastAsia="仿宋_GB2312" w:cs="Lucida Sans Unicode"/>
          <w:color w:val="auto"/>
          <w:szCs w:val="21"/>
          <w:highlight w:val="none"/>
        </w:rPr>
        <w:t>月</w:t>
      </w:r>
      <w:r>
        <w:rPr>
          <w:rFonts w:hint="eastAsia" w:ascii="仿宋_GB2312" w:hAnsi="仿宋" w:eastAsia="仿宋_GB2312" w:cs="Lucida Sans Unicode"/>
          <w:color w:val="auto"/>
          <w:szCs w:val="21"/>
          <w:highlight w:val="none"/>
          <w:u w:val="single"/>
        </w:rPr>
        <w:t xml:space="preserve">     </w:t>
      </w:r>
      <w:r>
        <w:rPr>
          <w:rFonts w:hint="eastAsia" w:ascii="仿宋_GB2312" w:hAnsi="仿宋" w:eastAsia="仿宋_GB2312" w:cs="Lucida Sans Unicode"/>
          <w:color w:val="auto"/>
          <w:szCs w:val="21"/>
          <w:highlight w:val="none"/>
        </w:rPr>
        <w:t>日</w:t>
      </w:r>
    </w:p>
    <w:p w14:paraId="260BBA6F">
      <w:pPr>
        <w:widowControl/>
        <w:jc w:val="left"/>
        <w:rPr>
          <w:rFonts w:ascii="仿宋_GB2312" w:hAnsi="仿宋" w:eastAsia="仿宋_GB2312" w:cs="仿宋_GB2312"/>
          <w:b/>
          <w:color w:val="auto"/>
          <w:sz w:val="28"/>
          <w:szCs w:val="28"/>
          <w:highlight w:val="none"/>
        </w:rPr>
      </w:pPr>
    </w:p>
    <w:bookmarkEnd w:id="150"/>
    <w:p w14:paraId="12CFFB60">
      <w:pPr>
        <w:wordWrap w:val="0"/>
        <w:adjustRightInd w:val="0"/>
        <w:snapToGrid w:val="0"/>
        <w:spacing w:line="360" w:lineRule="auto"/>
        <w:jc w:val="right"/>
        <w:rPr>
          <w:rFonts w:ascii="仿宋_GB2312" w:hAnsi="仿宋" w:eastAsia="仿宋_GB2312" w:cs="仿宋_GB2312"/>
          <w:color w:val="auto"/>
          <w:szCs w:val="21"/>
          <w:highlight w:val="none"/>
        </w:rPr>
      </w:pPr>
    </w:p>
    <w:p w14:paraId="3FE34123">
      <w:pPr>
        <w:wordWrap w:val="0"/>
        <w:adjustRightInd w:val="0"/>
        <w:snapToGrid w:val="0"/>
        <w:spacing w:line="360" w:lineRule="auto"/>
        <w:jc w:val="right"/>
        <w:rPr>
          <w:rFonts w:ascii="仿宋_GB2312" w:hAnsi="仿宋" w:eastAsia="仿宋_GB2312" w:cs="仿宋_GB2312"/>
          <w:color w:val="auto"/>
          <w:szCs w:val="21"/>
          <w:highlight w:val="none"/>
        </w:rPr>
      </w:pPr>
    </w:p>
    <w:sectPr>
      <w:pgSz w:w="11906" w:h="16838"/>
      <w:pgMar w:top="1468" w:right="1803" w:bottom="1418" w:left="1803" w:header="851" w:footer="899" w:gutter="0"/>
      <w:cols w:space="720" w:num="1"/>
      <w:docGrid w:type="linesAndChar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A508D207-4E41-496F-B6EB-95C5EBCACE9E}"/>
  </w:font>
  <w:font w:name="黑体">
    <w:panose1 w:val="02010609060101010101"/>
    <w:charset w:val="86"/>
    <w:family w:val="auto"/>
    <w:pitch w:val="default"/>
    <w:sig w:usb0="800002BF" w:usb1="38CF7CFA" w:usb2="00000016" w:usb3="00000000" w:csb0="00040001" w:csb1="00000000"/>
    <w:embedRegular r:id="rId2" w:fontKey="{33512B63-9578-4834-B38B-D948AB61E40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F263AD91-3227-49FD-90F4-2CB538FB2FB6}"/>
  </w:font>
  <w:font w:name="仿宋">
    <w:panose1 w:val="02010609060101010101"/>
    <w:charset w:val="86"/>
    <w:family w:val="auto"/>
    <w:pitch w:val="default"/>
    <w:sig w:usb0="800002BF" w:usb1="38CF7CFA" w:usb2="00000016" w:usb3="00000000" w:csb0="00040001" w:csb1="00000000"/>
    <w:embedRegular r:id="rId4" w:fontKey="{3DF9A5F1-BD81-408B-9A51-DC722B1272A4}"/>
  </w:font>
  <w:font w:name="Bookman Old Style">
    <w:panose1 w:val="02050604050505020204"/>
    <w:charset w:val="00"/>
    <w:family w:val="roman"/>
    <w:pitch w:val="default"/>
    <w:sig w:usb0="00000287" w:usb1="00000000" w:usb2="00000000" w:usb3="00000000" w:csb0="2000009F" w:csb1="DFD70000"/>
  </w:font>
  <w:font w:name="仿宋_GB2312">
    <w:panose1 w:val="02010609030101010101"/>
    <w:charset w:val="86"/>
    <w:family w:val="modern"/>
    <w:pitch w:val="default"/>
    <w:sig w:usb0="00000001" w:usb1="080E0000" w:usb2="00000000" w:usb3="00000000" w:csb0="00040000" w:csb1="00000000"/>
    <w:embedRegular r:id="rId5" w:fontKey="{24F9EEE8-98FC-46B9-BA70-3A05B579A94A}"/>
  </w:font>
  <w:font w:name="方正小标宋简体">
    <w:panose1 w:val="02010601030101010101"/>
    <w:charset w:val="86"/>
    <w:family w:val="script"/>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embedRegular r:id="rId6" w:fontKey="{543C10D8-FF41-4530-BC97-9595219AEFCF}"/>
  </w:font>
  <w:font w:name="Wingdings 2">
    <w:panose1 w:val="05020102010507070707"/>
    <w:charset w:val="02"/>
    <w:family w:val="roman"/>
    <w:pitch w:val="default"/>
    <w:sig w:usb0="00000000" w:usb1="00000000" w:usb2="00000000" w:usb3="00000000" w:csb0="80000000" w:csb1="00000000"/>
    <w:embedRegular r:id="rId7" w:fontKey="{CB5C103E-5338-43CC-A86F-E15D74DED14E}"/>
  </w:font>
  <w:font w:name="微软雅黑">
    <w:panose1 w:val="020B0503020204020204"/>
    <w:charset w:val="86"/>
    <w:family w:val="swiss"/>
    <w:pitch w:val="default"/>
    <w:sig w:usb0="80000287" w:usb1="2ACF3C50" w:usb2="00000016" w:usb3="00000000" w:csb0="0004001F" w:csb1="00000000"/>
    <w:embedRegular r:id="rId8" w:fontKey="{848DEBCF-139F-4704-B6C8-F292473B2B97}"/>
  </w:font>
  <w:font w:name="Lucida Sans Unicode">
    <w:panose1 w:val="020B0602030504020204"/>
    <w:charset w:val="00"/>
    <w:family w:val="swiss"/>
    <w:pitch w:val="default"/>
    <w:sig w:usb0="80001AFF" w:usb1="0000396B" w:usb2="00000000" w:usb3="00000000" w:csb0="200000BF" w:csb1="D7F70000"/>
    <w:embedRegular r:id="rId9" w:fontKey="{A0794D1D-7FFA-4718-B223-D2F5C2741B01}"/>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5D0AB8">
    <w:pPr>
      <w:pStyle w:val="1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2F266A9">
                          <w:pPr>
                            <w:pStyle w:val="14"/>
                          </w:pPr>
                          <w:r>
                            <w:fldChar w:fldCharType="begin"/>
                          </w:r>
                          <w:r>
                            <w:instrText xml:space="preserve"> PAGE  \* MERGEFORMAT </w:instrText>
                          </w:r>
                          <w:r>
                            <w:fldChar w:fldCharType="separate"/>
                          </w:r>
                          <w:r>
                            <w:t>1</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JFlysIBAACN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NiRZcrCAQAAjQMAAA4AAAAAAAAAAQAgAAAAHgEAAGRycy9lMm9Eb2MueG1sUEsF&#10;BgAAAAAGAAYAWQEAAFIFAAAAAA==&#10;">
              <v:fill on="f" focussize="0,0"/>
              <v:stroke on="f"/>
              <v:imagedata o:title=""/>
              <o:lock v:ext="edit" aspectratio="f"/>
              <v:textbox inset="0mm,0mm,0mm,0mm" style="mso-fit-shape-to-text:t;">
                <w:txbxContent>
                  <w:p w14:paraId="42F266A9">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9D5194">
    <w:pPr>
      <w:pStyle w:val="14"/>
      <w:jc w:val="center"/>
    </w:pPr>
    <w:r>
      <w:drawing>
        <wp:anchor distT="0" distB="0" distL="114300" distR="114300" simplePos="0" relativeHeight="251659264" behindDoc="0" locked="0" layoutInCell="1" allowOverlap="1">
          <wp:simplePos x="0" y="0"/>
          <wp:positionH relativeFrom="margin">
            <wp:posOffset>60325</wp:posOffset>
          </wp:positionH>
          <wp:positionV relativeFrom="margin">
            <wp:posOffset>8985885</wp:posOffset>
          </wp:positionV>
          <wp:extent cx="1291590" cy="297815"/>
          <wp:effectExtent l="0" t="0" r="3810" b="6985"/>
          <wp:wrapSquare wrapText="bothSides"/>
          <wp:docPr id="498337009" name="图片 1" descr="4d4c1e332dcbbeb2042e2395d655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337009" name="图片 1" descr="4d4c1e332dcbbeb2042e2395d655406"/>
                  <pic:cNvPicPr>
                    <a:picLocks noChangeAspect="1"/>
                  </pic:cNvPicPr>
                </pic:nvPicPr>
                <pic:blipFill>
                  <a:blip r:embed="rId1"/>
                  <a:stretch>
                    <a:fillRect/>
                  </a:stretch>
                </pic:blipFill>
                <pic:spPr>
                  <a:xfrm>
                    <a:off x="0" y="0"/>
                    <a:ext cx="1291590" cy="297815"/>
                  </a:xfrm>
                  <a:prstGeom prst="rect">
                    <a:avLst/>
                  </a:prstGeom>
                  <a:noFill/>
                  <a:ln>
                    <a:noFill/>
                  </a:ln>
                </pic:spPr>
              </pic:pic>
            </a:graphicData>
          </a:graphic>
        </wp:anchor>
      </w:drawing>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0B57918">
                          <w:pPr>
                            <w:pStyle w:val="14"/>
                          </w:pPr>
                          <w:r>
                            <w:fldChar w:fldCharType="begin"/>
                          </w:r>
                          <w:r>
                            <w:instrText xml:space="preserve"> PAGE  \* MERGEFORMAT </w:instrText>
                          </w:r>
                          <w:r>
                            <w:fldChar w:fldCharType="separate"/>
                          </w:r>
                          <w:r>
                            <w:t>72</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8zq8sIBAACN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GfM6vLCAQAAjQMAAA4AAAAAAAAAAQAgAAAAHgEAAGRycy9lMm9Eb2MueG1sUEsF&#10;BgAAAAAGAAYAWQEAAFIFAAAAAA==&#10;">
              <v:fill on="f" focussize="0,0"/>
              <v:stroke on="f"/>
              <v:imagedata o:title=""/>
              <o:lock v:ext="edit" aspectratio="f"/>
              <v:textbox inset="0mm,0mm,0mm,0mm" style="mso-fit-shape-to-text:t;">
                <w:txbxContent>
                  <w:p w14:paraId="00B57918">
                    <w:pPr>
                      <w:pStyle w:val="14"/>
                    </w:pPr>
                    <w:r>
                      <w:fldChar w:fldCharType="begin"/>
                    </w:r>
                    <w:r>
                      <w:instrText xml:space="preserve"> PAGE  \* MERGEFORMAT </w:instrText>
                    </w:r>
                    <w:r>
                      <w:fldChar w:fldCharType="separate"/>
                    </w:r>
                    <w:r>
                      <w:t>72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96F7A9">
    <w:pPr>
      <w:pStyle w:val="15"/>
      <w:pBdr>
        <w:left w:val="none" w:color="auto" w:sz="0" w:space="0"/>
      </w:pBdr>
      <w:jc w:val="left"/>
      <w:rPr>
        <w:rFonts w:ascii="仿宋_GB2312" w:eastAsia="仿宋_GB2312"/>
        <w:sz w:val="21"/>
        <w:szCs w:val="21"/>
        <w:u w:val="single"/>
      </w:rPr>
    </w:pPr>
    <w:r>
      <w:rPr>
        <w:rFonts w:hint="eastAsia" w:ascii="仿宋_GB2312" w:hAnsi="仿宋" w:eastAsia="仿宋_GB2312" w:cs="仿宋_GB2312"/>
        <w:bCs/>
        <w:sz w:val="21"/>
        <w:szCs w:val="21"/>
        <w:u w:val="single"/>
      </w:rPr>
      <w:t xml:space="preserve">辽宁大学数字经济智能实验室设备采购      </w:t>
    </w:r>
    <w:r>
      <w:rPr>
        <w:rFonts w:hint="eastAsia" w:ascii="仿宋_GB2312" w:eastAsia="仿宋_GB2312"/>
        <w:sz w:val="21"/>
        <w:szCs w:val="21"/>
        <w:u w:val="single"/>
      </w:rPr>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2D50EA">
    <w:pPr>
      <w:pStyle w:val="15"/>
      <w:jc w:val="left"/>
      <w:rPr>
        <w:rFonts w:ascii="仿宋_GB2312" w:eastAsia="仿宋_GB2312"/>
        <w:spacing w:val="-11"/>
        <w:sz w:val="21"/>
        <w:szCs w:val="21"/>
        <w:u w:val="single"/>
      </w:rPr>
    </w:pPr>
    <w:r>
      <w:rPr>
        <w:rFonts w:hint="eastAsia" w:ascii="仿宋_GB2312" w:eastAsia="仿宋_GB2312"/>
        <w:spacing w:val="-11"/>
        <w:sz w:val="21"/>
        <w:szCs w:val="21"/>
        <w:u w:val="single"/>
      </w:rPr>
      <w:t>沈阳药科大学校本部食堂电梯更新项目                                                    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BB1979">
    <w:pPr>
      <w:pStyle w:val="15"/>
      <w:jc w:val="left"/>
      <w:rPr>
        <w:rFonts w:ascii="仿宋_GB2312" w:eastAsia="仿宋_GB2312"/>
        <w:spacing w:val="-11"/>
        <w:sz w:val="21"/>
        <w:szCs w:val="21"/>
        <w:u w:val="single"/>
      </w:rPr>
    </w:pPr>
    <w:r>
      <w:rPr>
        <w:rFonts w:hint="eastAsia" w:ascii="仿宋_GB2312" w:eastAsia="仿宋_GB2312"/>
        <w:spacing w:val="-11"/>
        <w:sz w:val="21"/>
        <w:szCs w:val="21"/>
        <w:u w:val="single"/>
      </w:rPr>
      <w:t>沈阳药科大学校本部食堂电梯更新项目                                                                                                                        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03F5E2">
    <w:pPr>
      <w:pStyle w:val="15"/>
      <w:jc w:val="left"/>
      <w:rPr>
        <w:rFonts w:ascii="仿宋_GB2312" w:eastAsia="仿宋_GB2312"/>
        <w:spacing w:val="-11"/>
        <w:sz w:val="21"/>
        <w:szCs w:val="21"/>
        <w:u w:val="single"/>
      </w:rPr>
    </w:pPr>
    <w:r>
      <w:rPr>
        <w:rFonts w:hint="eastAsia" w:ascii="仿宋_GB2312" w:eastAsia="仿宋_GB2312"/>
        <w:spacing w:val="-11"/>
        <w:sz w:val="21"/>
        <w:szCs w:val="21"/>
        <w:u w:val="single"/>
      </w:rPr>
      <w:t>沈阳药科大学校本部食堂电梯更新项目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FDF470"/>
    <w:multiLevelType w:val="singleLevel"/>
    <w:tmpl w:val="B4FDF470"/>
    <w:lvl w:ilvl="0" w:tentative="0">
      <w:start w:val="1"/>
      <w:numFmt w:val="decimal"/>
      <w:suff w:val="nothing"/>
      <w:lvlText w:val="（%1）"/>
      <w:lvlJc w:val="left"/>
    </w:lvl>
  </w:abstractNum>
  <w:abstractNum w:abstractNumId="1">
    <w:nsid w:val="B9A1E8D1"/>
    <w:multiLevelType w:val="singleLevel"/>
    <w:tmpl w:val="B9A1E8D1"/>
    <w:lvl w:ilvl="0" w:tentative="0">
      <w:start w:val="1"/>
      <w:numFmt w:val="decimal"/>
      <w:suff w:val="nothing"/>
      <w:lvlText w:val="（%1）"/>
      <w:lvlJc w:val="left"/>
    </w:lvl>
  </w:abstractNum>
  <w:abstractNum w:abstractNumId="2">
    <w:nsid w:val="27E8E525"/>
    <w:multiLevelType w:val="singleLevel"/>
    <w:tmpl w:val="27E8E525"/>
    <w:lvl w:ilvl="0" w:tentative="0">
      <w:start w:val="1"/>
      <w:numFmt w:val="decimal"/>
      <w:suff w:val="nothing"/>
      <w:lvlText w:val="（%1）"/>
      <w:lvlJc w:val="left"/>
    </w:lvl>
  </w:abstractNum>
  <w:abstractNum w:abstractNumId="3">
    <w:nsid w:val="420C153B"/>
    <w:multiLevelType w:val="multilevel"/>
    <w:tmpl w:val="420C153B"/>
    <w:lvl w:ilvl="0" w:tentative="0">
      <w:start w:val="1"/>
      <w:numFmt w:val="decimal"/>
      <w:pStyle w:val="49"/>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dit="forms"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RlN2E3M2YyZTI4YzBkZGZiODA5ZGU4ODEyMTFjN2YifQ=="/>
    <w:docVar w:name="KSO_WPS_MARK_KEY" w:val="5d0bbac2-f58e-4940-ad86-9741303097e3"/>
  </w:docVars>
  <w:rsids>
    <w:rsidRoot w:val="35AB3B2B"/>
    <w:rsid w:val="00001D20"/>
    <w:rsid w:val="00004125"/>
    <w:rsid w:val="00005402"/>
    <w:rsid w:val="0000641B"/>
    <w:rsid w:val="00007440"/>
    <w:rsid w:val="0001113B"/>
    <w:rsid w:val="0001139C"/>
    <w:rsid w:val="0001159B"/>
    <w:rsid w:val="00017AF4"/>
    <w:rsid w:val="0002011C"/>
    <w:rsid w:val="00022EBF"/>
    <w:rsid w:val="000233D8"/>
    <w:rsid w:val="00023A89"/>
    <w:rsid w:val="00023B01"/>
    <w:rsid w:val="00024251"/>
    <w:rsid w:val="00026932"/>
    <w:rsid w:val="00030162"/>
    <w:rsid w:val="0003037F"/>
    <w:rsid w:val="00031896"/>
    <w:rsid w:val="000341B1"/>
    <w:rsid w:val="00034C0E"/>
    <w:rsid w:val="000355FB"/>
    <w:rsid w:val="000375BC"/>
    <w:rsid w:val="0004047A"/>
    <w:rsid w:val="000410E2"/>
    <w:rsid w:val="00042C33"/>
    <w:rsid w:val="000435F9"/>
    <w:rsid w:val="000450F2"/>
    <w:rsid w:val="000469CA"/>
    <w:rsid w:val="0005082B"/>
    <w:rsid w:val="00051172"/>
    <w:rsid w:val="000566C3"/>
    <w:rsid w:val="00056F1E"/>
    <w:rsid w:val="000577D5"/>
    <w:rsid w:val="00057CD8"/>
    <w:rsid w:val="00061274"/>
    <w:rsid w:val="0006186F"/>
    <w:rsid w:val="0006255E"/>
    <w:rsid w:val="00062FCE"/>
    <w:rsid w:val="000643F6"/>
    <w:rsid w:val="00066EBC"/>
    <w:rsid w:val="000700FA"/>
    <w:rsid w:val="000704E4"/>
    <w:rsid w:val="00070A26"/>
    <w:rsid w:val="000730A7"/>
    <w:rsid w:val="000733BA"/>
    <w:rsid w:val="00074508"/>
    <w:rsid w:val="000749E3"/>
    <w:rsid w:val="0007606C"/>
    <w:rsid w:val="00076791"/>
    <w:rsid w:val="00080F44"/>
    <w:rsid w:val="000841BF"/>
    <w:rsid w:val="00084D3F"/>
    <w:rsid w:val="000860D4"/>
    <w:rsid w:val="0009236C"/>
    <w:rsid w:val="00092509"/>
    <w:rsid w:val="00092BC6"/>
    <w:rsid w:val="000942B7"/>
    <w:rsid w:val="0009495A"/>
    <w:rsid w:val="00095530"/>
    <w:rsid w:val="00095F2E"/>
    <w:rsid w:val="00096996"/>
    <w:rsid w:val="0009792E"/>
    <w:rsid w:val="000A070F"/>
    <w:rsid w:val="000A61C2"/>
    <w:rsid w:val="000A63CD"/>
    <w:rsid w:val="000A63D7"/>
    <w:rsid w:val="000A6851"/>
    <w:rsid w:val="000A696E"/>
    <w:rsid w:val="000B09EB"/>
    <w:rsid w:val="000B39BF"/>
    <w:rsid w:val="000B6BAB"/>
    <w:rsid w:val="000B6FF4"/>
    <w:rsid w:val="000B7AAB"/>
    <w:rsid w:val="000C0419"/>
    <w:rsid w:val="000C2EC2"/>
    <w:rsid w:val="000C3A16"/>
    <w:rsid w:val="000C45C0"/>
    <w:rsid w:val="000C5045"/>
    <w:rsid w:val="000D033D"/>
    <w:rsid w:val="000D1A20"/>
    <w:rsid w:val="000D1B81"/>
    <w:rsid w:val="000D212E"/>
    <w:rsid w:val="000D2859"/>
    <w:rsid w:val="000D3269"/>
    <w:rsid w:val="000D3D1C"/>
    <w:rsid w:val="000D451C"/>
    <w:rsid w:val="000D5885"/>
    <w:rsid w:val="000D5F9E"/>
    <w:rsid w:val="000D7AE4"/>
    <w:rsid w:val="000D7F39"/>
    <w:rsid w:val="000E0E24"/>
    <w:rsid w:val="000E1032"/>
    <w:rsid w:val="000E2E67"/>
    <w:rsid w:val="000E3FC3"/>
    <w:rsid w:val="000E663A"/>
    <w:rsid w:val="000E6939"/>
    <w:rsid w:val="000F0A3D"/>
    <w:rsid w:val="000F2F64"/>
    <w:rsid w:val="000F3AB4"/>
    <w:rsid w:val="000F3F91"/>
    <w:rsid w:val="000F4689"/>
    <w:rsid w:val="000F581E"/>
    <w:rsid w:val="000F5F68"/>
    <w:rsid w:val="001006F2"/>
    <w:rsid w:val="00102A03"/>
    <w:rsid w:val="00102FDC"/>
    <w:rsid w:val="001044F8"/>
    <w:rsid w:val="00104C90"/>
    <w:rsid w:val="001107FB"/>
    <w:rsid w:val="00110B4F"/>
    <w:rsid w:val="00110EED"/>
    <w:rsid w:val="001113BD"/>
    <w:rsid w:val="00112D2F"/>
    <w:rsid w:val="00115A69"/>
    <w:rsid w:val="00115B51"/>
    <w:rsid w:val="0011622C"/>
    <w:rsid w:val="00120015"/>
    <w:rsid w:val="001204EC"/>
    <w:rsid w:val="00120DBC"/>
    <w:rsid w:val="00121B70"/>
    <w:rsid w:val="00122521"/>
    <w:rsid w:val="0012282A"/>
    <w:rsid w:val="00123F7B"/>
    <w:rsid w:val="00124501"/>
    <w:rsid w:val="001246B7"/>
    <w:rsid w:val="00124970"/>
    <w:rsid w:val="00124CBD"/>
    <w:rsid w:val="00125079"/>
    <w:rsid w:val="00130A05"/>
    <w:rsid w:val="00132D1A"/>
    <w:rsid w:val="00133D35"/>
    <w:rsid w:val="0013490A"/>
    <w:rsid w:val="00135997"/>
    <w:rsid w:val="00136783"/>
    <w:rsid w:val="00137913"/>
    <w:rsid w:val="00140CC1"/>
    <w:rsid w:val="001412F2"/>
    <w:rsid w:val="00142344"/>
    <w:rsid w:val="00144CB4"/>
    <w:rsid w:val="00145835"/>
    <w:rsid w:val="00147B06"/>
    <w:rsid w:val="00147FE4"/>
    <w:rsid w:val="00151E92"/>
    <w:rsid w:val="00152B8D"/>
    <w:rsid w:val="00153C8F"/>
    <w:rsid w:val="00153E3D"/>
    <w:rsid w:val="00154272"/>
    <w:rsid w:val="00154309"/>
    <w:rsid w:val="00154B67"/>
    <w:rsid w:val="0015588C"/>
    <w:rsid w:val="0015718D"/>
    <w:rsid w:val="00160683"/>
    <w:rsid w:val="00161753"/>
    <w:rsid w:val="00163B9A"/>
    <w:rsid w:val="00164EFB"/>
    <w:rsid w:val="001655B2"/>
    <w:rsid w:val="00166548"/>
    <w:rsid w:val="00167CB8"/>
    <w:rsid w:val="00170000"/>
    <w:rsid w:val="001711BB"/>
    <w:rsid w:val="00171212"/>
    <w:rsid w:val="00171502"/>
    <w:rsid w:val="00172E78"/>
    <w:rsid w:val="00172F58"/>
    <w:rsid w:val="00173CFE"/>
    <w:rsid w:val="0017403B"/>
    <w:rsid w:val="001776AF"/>
    <w:rsid w:val="001818FB"/>
    <w:rsid w:val="0018274C"/>
    <w:rsid w:val="00183CBA"/>
    <w:rsid w:val="00184549"/>
    <w:rsid w:val="00184D5C"/>
    <w:rsid w:val="00185488"/>
    <w:rsid w:val="001872B6"/>
    <w:rsid w:val="00190485"/>
    <w:rsid w:val="00192677"/>
    <w:rsid w:val="00195A3B"/>
    <w:rsid w:val="00197881"/>
    <w:rsid w:val="001A10E9"/>
    <w:rsid w:val="001A2FB9"/>
    <w:rsid w:val="001A4739"/>
    <w:rsid w:val="001A4EC7"/>
    <w:rsid w:val="001A64C4"/>
    <w:rsid w:val="001B00F8"/>
    <w:rsid w:val="001B28CD"/>
    <w:rsid w:val="001B2A86"/>
    <w:rsid w:val="001B5104"/>
    <w:rsid w:val="001B63CD"/>
    <w:rsid w:val="001B7DAE"/>
    <w:rsid w:val="001C00CE"/>
    <w:rsid w:val="001C3207"/>
    <w:rsid w:val="001C39C9"/>
    <w:rsid w:val="001C4569"/>
    <w:rsid w:val="001C5A45"/>
    <w:rsid w:val="001C5F86"/>
    <w:rsid w:val="001C6199"/>
    <w:rsid w:val="001C66E0"/>
    <w:rsid w:val="001C7210"/>
    <w:rsid w:val="001D0C9A"/>
    <w:rsid w:val="001D34B8"/>
    <w:rsid w:val="001D4BED"/>
    <w:rsid w:val="001D6499"/>
    <w:rsid w:val="001E1D36"/>
    <w:rsid w:val="001E32C3"/>
    <w:rsid w:val="001E340C"/>
    <w:rsid w:val="001E4478"/>
    <w:rsid w:val="001E5672"/>
    <w:rsid w:val="001E5F36"/>
    <w:rsid w:val="001E69F3"/>
    <w:rsid w:val="001F2B1F"/>
    <w:rsid w:val="001F58B7"/>
    <w:rsid w:val="001F5DE3"/>
    <w:rsid w:val="001F6948"/>
    <w:rsid w:val="00201D14"/>
    <w:rsid w:val="00203227"/>
    <w:rsid w:val="00213BF7"/>
    <w:rsid w:val="00214FB4"/>
    <w:rsid w:val="00215411"/>
    <w:rsid w:val="00216673"/>
    <w:rsid w:val="00216F25"/>
    <w:rsid w:val="002178BF"/>
    <w:rsid w:val="002205E8"/>
    <w:rsid w:val="002220C1"/>
    <w:rsid w:val="0022261B"/>
    <w:rsid w:val="00223C9B"/>
    <w:rsid w:val="0022447E"/>
    <w:rsid w:val="00224745"/>
    <w:rsid w:val="00225FD2"/>
    <w:rsid w:val="00231E22"/>
    <w:rsid w:val="0023246A"/>
    <w:rsid w:val="0023398D"/>
    <w:rsid w:val="0023442D"/>
    <w:rsid w:val="0023694D"/>
    <w:rsid w:val="0023697B"/>
    <w:rsid w:val="00237426"/>
    <w:rsid w:val="00237843"/>
    <w:rsid w:val="002439C3"/>
    <w:rsid w:val="00244B20"/>
    <w:rsid w:val="00245DB0"/>
    <w:rsid w:val="00246D69"/>
    <w:rsid w:val="00247506"/>
    <w:rsid w:val="00250B65"/>
    <w:rsid w:val="00254120"/>
    <w:rsid w:val="002545AB"/>
    <w:rsid w:val="00254A05"/>
    <w:rsid w:val="00255C96"/>
    <w:rsid w:val="0025692F"/>
    <w:rsid w:val="002570BA"/>
    <w:rsid w:val="00260B67"/>
    <w:rsid w:val="00271BBE"/>
    <w:rsid w:val="00271FF0"/>
    <w:rsid w:val="00273AA9"/>
    <w:rsid w:val="00273C09"/>
    <w:rsid w:val="00275045"/>
    <w:rsid w:val="00275F39"/>
    <w:rsid w:val="002769E0"/>
    <w:rsid w:val="002819BA"/>
    <w:rsid w:val="002823D3"/>
    <w:rsid w:val="00282AF1"/>
    <w:rsid w:val="00285E04"/>
    <w:rsid w:val="00286C30"/>
    <w:rsid w:val="00286D11"/>
    <w:rsid w:val="00287EBE"/>
    <w:rsid w:val="00290252"/>
    <w:rsid w:val="00291A6E"/>
    <w:rsid w:val="00294569"/>
    <w:rsid w:val="00297998"/>
    <w:rsid w:val="00297C3D"/>
    <w:rsid w:val="002A0D3C"/>
    <w:rsid w:val="002A1123"/>
    <w:rsid w:val="002A136D"/>
    <w:rsid w:val="002A262E"/>
    <w:rsid w:val="002A49F4"/>
    <w:rsid w:val="002A7134"/>
    <w:rsid w:val="002B2772"/>
    <w:rsid w:val="002B2B54"/>
    <w:rsid w:val="002B39F7"/>
    <w:rsid w:val="002B40F2"/>
    <w:rsid w:val="002B6923"/>
    <w:rsid w:val="002B7DF9"/>
    <w:rsid w:val="002C05D5"/>
    <w:rsid w:val="002C460C"/>
    <w:rsid w:val="002C4FC6"/>
    <w:rsid w:val="002C5C48"/>
    <w:rsid w:val="002C79A6"/>
    <w:rsid w:val="002D095A"/>
    <w:rsid w:val="002D104D"/>
    <w:rsid w:val="002D1B09"/>
    <w:rsid w:val="002D241D"/>
    <w:rsid w:val="002D4C1A"/>
    <w:rsid w:val="002D524D"/>
    <w:rsid w:val="002E079E"/>
    <w:rsid w:val="002E25E7"/>
    <w:rsid w:val="002E4A5D"/>
    <w:rsid w:val="002E6902"/>
    <w:rsid w:val="002F0451"/>
    <w:rsid w:val="002F1E14"/>
    <w:rsid w:val="002F235C"/>
    <w:rsid w:val="002F5274"/>
    <w:rsid w:val="002F72C6"/>
    <w:rsid w:val="002F7BD4"/>
    <w:rsid w:val="003000ED"/>
    <w:rsid w:val="00301B78"/>
    <w:rsid w:val="00302A71"/>
    <w:rsid w:val="00302CF5"/>
    <w:rsid w:val="00302D3B"/>
    <w:rsid w:val="003033F6"/>
    <w:rsid w:val="0031138F"/>
    <w:rsid w:val="00312E7E"/>
    <w:rsid w:val="0031380D"/>
    <w:rsid w:val="003139A7"/>
    <w:rsid w:val="0031429E"/>
    <w:rsid w:val="00314ACB"/>
    <w:rsid w:val="0031511D"/>
    <w:rsid w:val="003161F8"/>
    <w:rsid w:val="003174D2"/>
    <w:rsid w:val="00320AC8"/>
    <w:rsid w:val="003216E0"/>
    <w:rsid w:val="003232B4"/>
    <w:rsid w:val="003235CC"/>
    <w:rsid w:val="00323FA4"/>
    <w:rsid w:val="0032400F"/>
    <w:rsid w:val="00324F29"/>
    <w:rsid w:val="00330298"/>
    <w:rsid w:val="00331229"/>
    <w:rsid w:val="00331C2E"/>
    <w:rsid w:val="003330EA"/>
    <w:rsid w:val="00333267"/>
    <w:rsid w:val="00336750"/>
    <w:rsid w:val="00337123"/>
    <w:rsid w:val="00342B14"/>
    <w:rsid w:val="003437A3"/>
    <w:rsid w:val="00344E6A"/>
    <w:rsid w:val="0034582A"/>
    <w:rsid w:val="00346935"/>
    <w:rsid w:val="00346B21"/>
    <w:rsid w:val="00347D42"/>
    <w:rsid w:val="00347E78"/>
    <w:rsid w:val="00350EAF"/>
    <w:rsid w:val="0035183D"/>
    <w:rsid w:val="0035298E"/>
    <w:rsid w:val="00353333"/>
    <w:rsid w:val="003545DF"/>
    <w:rsid w:val="00360CDC"/>
    <w:rsid w:val="003619B7"/>
    <w:rsid w:val="00362E10"/>
    <w:rsid w:val="0036384F"/>
    <w:rsid w:val="00365038"/>
    <w:rsid w:val="00365361"/>
    <w:rsid w:val="003701E8"/>
    <w:rsid w:val="003715E4"/>
    <w:rsid w:val="003724D8"/>
    <w:rsid w:val="00372E54"/>
    <w:rsid w:val="00372EF3"/>
    <w:rsid w:val="00372F56"/>
    <w:rsid w:val="00375E20"/>
    <w:rsid w:val="00375FC0"/>
    <w:rsid w:val="003767EE"/>
    <w:rsid w:val="003769BA"/>
    <w:rsid w:val="00377583"/>
    <w:rsid w:val="0038223C"/>
    <w:rsid w:val="00383CEA"/>
    <w:rsid w:val="0038697D"/>
    <w:rsid w:val="003879AD"/>
    <w:rsid w:val="00391ADD"/>
    <w:rsid w:val="00391C93"/>
    <w:rsid w:val="00393C8D"/>
    <w:rsid w:val="00395104"/>
    <w:rsid w:val="00395E01"/>
    <w:rsid w:val="00396066"/>
    <w:rsid w:val="00396190"/>
    <w:rsid w:val="003A0A83"/>
    <w:rsid w:val="003A0C5B"/>
    <w:rsid w:val="003A0CA8"/>
    <w:rsid w:val="003A2E94"/>
    <w:rsid w:val="003A5702"/>
    <w:rsid w:val="003A5988"/>
    <w:rsid w:val="003A798C"/>
    <w:rsid w:val="003B3DB5"/>
    <w:rsid w:val="003B3F3F"/>
    <w:rsid w:val="003B3F78"/>
    <w:rsid w:val="003B4E97"/>
    <w:rsid w:val="003B643A"/>
    <w:rsid w:val="003B704E"/>
    <w:rsid w:val="003B746F"/>
    <w:rsid w:val="003C28DE"/>
    <w:rsid w:val="003C2E8F"/>
    <w:rsid w:val="003C32AC"/>
    <w:rsid w:val="003C4104"/>
    <w:rsid w:val="003C63A6"/>
    <w:rsid w:val="003C7732"/>
    <w:rsid w:val="003C7F66"/>
    <w:rsid w:val="003C7F87"/>
    <w:rsid w:val="003D0009"/>
    <w:rsid w:val="003D0404"/>
    <w:rsid w:val="003D12FF"/>
    <w:rsid w:val="003D13BD"/>
    <w:rsid w:val="003D1C62"/>
    <w:rsid w:val="003D27FC"/>
    <w:rsid w:val="003D49A4"/>
    <w:rsid w:val="003E01A6"/>
    <w:rsid w:val="003E221D"/>
    <w:rsid w:val="003E2902"/>
    <w:rsid w:val="003E4680"/>
    <w:rsid w:val="003F00A4"/>
    <w:rsid w:val="003F20E3"/>
    <w:rsid w:val="003F2156"/>
    <w:rsid w:val="003F23CE"/>
    <w:rsid w:val="003F3339"/>
    <w:rsid w:val="003F38B1"/>
    <w:rsid w:val="003F4325"/>
    <w:rsid w:val="003F6281"/>
    <w:rsid w:val="003F6426"/>
    <w:rsid w:val="003F66CE"/>
    <w:rsid w:val="003F77CA"/>
    <w:rsid w:val="00403226"/>
    <w:rsid w:val="00405103"/>
    <w:rsid w:val="00405BD8"/>
    <w:rsid w:val="004069FA"/>
    <w:rsid w:val="00410D06"/>
    <w:rsid w:val="0041355F"/>
    <w:rsid w:val="00416146"/>
    <w:rsid w:val="004161BB"/>
    <w:rsid w:val="0041677C"/>
    <w:rsid w:val="00417582"/>
    <w:rsid w:val="00420F48"/>
    <w:rsid w:val="00421904"/>
    <w:rsid w:val="0042221A"/>
    <w:rsid w:val="00423C6D"/>
    <w:rsid w:val="00424669"/>
    <w:rsid w:val="004246A3"/>
    <w:rsid w:val="00425155"/>
    <w:rsid w:val="00425C78"/>
    <w:rsid w:val="0042656C"/>
    <w:rsid w:val="00426C65"/>
    <w:rsid w:val="00431380"/>
    <w:rsid w:val="00431EDF"/>
    <w:rsid w:val="0043346F"/>
    <w:rsid w:val="00433ABA"/>
    <w:rsid w:val="00433BB2"/>
    <w:rsid w:val="00433C36"/>
    <w:rsid w:val="00434F6B"/>
    <w:rsid w:val="00435265"/>
    <w:rsid w:val="004357B7"/>
    <w:rsid w:val="00436CD6"/>
    <w:rsid w:val="00436D95"/>
    <w:rsid w:val="00437652"/>
    <w:rsid w:val="0043799D"/>
    <w:rsid w:val="00440750"/>
    <w:rsid w:val="00442823"/>
    <w:rsid w:val="00443541"/>
    <w:rsid w:val="00445396"/>
    <w:rsid w:val="00451A10"/>
    <w:rsid w:val="00452FA2"/>
    <w:rsid w:val="0045483E"/>
    <w:rsid w:val="00456958"/>
    <w:rsid w:val="00456E81"/>
    <w:rsid w:val="004574A7"/>
    <w:rsid w:val="00457963"/>
    <w:rsid w:val="00457E5B"/>
    <w:rsid w:val="0046038F"/>
    <w:rsid w:val="0046047A"/>
    <w:rsid w:val="00460499"/>
    <w:rsid w:val="0046303B"/>
    <w:rsid w:val="00464095"/>
    <w:rsid w:val="00465DC4"/>
    <w:rsid w:val="00465F83"/>
    <w:rsid w:val="00470C61"/>
    <w:rsid w:val="0047239C"/>
    <w:rsid w:val="00474B13"/>
    <w:rsid w:val="00474CC4"/>
    <w:rsid w:val="00476EB8"/>
    <w:rsid w:val="00477BC0"/>
    <w:rsid w:val="0048013C"/>
    <w:rsid w:val="0048027C"/>
    <w:rsid w:val="004808CE"/>
    <w:rsid w:val="00481BAD"/>
    <w:rsid w:val="004838DC"/>
    <w:rsid w:val="0048782C"/>
    <w:rsid w:val="004910D3"/>
    <w:rsid w:val="0049133C"/>
    <w:rsid w:val="0049398A"/>
    <w:rsid w:val="00493E8A"/>
    <w:rsid w:val="004943DF"/>
    <w:rsid w:val="00495555"/>
    <w:rsid w:val="00495790"/>
    <w:rsid w:val="00496012"/>
    <w:rsid w:val="0049637B"/>
    <w:rsid w:val="0049745C"/>
    <w:rsid w:val="004A1A92"/>
    <w:rsid w:val="004A1D8B"/>
    <w:rsid w:val="004A2D75"/>
    <w:rsid w:val="004A4879"/>
    <w:rsid w:val="004B0A48"/>
    <w:rsid w:val="004B263F"/>
    <w:rsid w:val="004B48CF"/>
    <w:rsid w:val="004B7CA2"/>
    <w:rsid w:val="004C03EA"/>
    <w:rsid w:val="004C300D"/>
    <w:rsid w:val="004C467A"/>
    <w:rsid w:val="004C5563"/>
    <w:rsid w:val="004C5BB9"/>
    <w:rsid w:val="004C64C9"/>
    <w:rsid w:val="004C6DB8"/>
    <w:rsid w:val="004D0869"/>
    <w:rsid w:val="004D1851"/>
    <w:rsid w:val="004D24E7"/>
    <w:rsid w:val="004D24F6"/>
    <w:rsid w:val="004D275B"/>
    <w:rsid w:val="004D67BB"/>
    <w:rsid w:val="004D6B70"/>
    <w:rsid w:val="004E0CA9"/>
    <w:rsid w:val="004E253C"/>
    <w:rsid w:val="004E3769"/>
    <w:rsid w:val="004E386A"/>
    <w:rsid w:val="004E4160"/>
    <w:rsid w:val="004E4BAC"/>
    <w:rsid w:val="004E5B71"/>
    <w:rsid w:val="004F259B"/>
    <w:rsid w:val="004F2C51"/>
    <w:rsid w:val="004F490A"/>
    <w:rsid w:val="004F7FA6"/>
    <w:rsid w:val="005011FC"/>
    <w:rsid w:val="005018C5"/>
    <w:rsid w:val="00501990"/>
    <w:rsid w:val="00501EE6"/>
    <w:rsid w:val="00502E90"/>
    <w:rsid w:val="00503C1C"/>
    <w:rsid w:val="00504648"/>
    <w:rsid w:val="0050583C"/>
    <w:rsid w:val="00505E95"/>
    <w:rsid w:val="00507372"/>
    <w:rsid w:val="005077FD"/>
    <w:rsid w:val="005115D1"/>
    <w:rsid w:val="00512505"/>
    <w:rsid w:val="00512EF0"/>
    <w:rsid w:val="00513444"/>
    <w:rsid w:val="005145B3"/>
    <w:rsid w:val="00514D00"/>
    <w:rsid w:val="005165F2"/>
    <w:rsid w:val="00517997"/>
    <w:rsid w:val="00517B72"/>
    <w:rsid w:val="00520C29"/>
    <w:rsid w:val="005227FD"/>
    <w:rsid w:val="0052696C"/>
    <w:rsid w:val="005273C0"/>
    <w:rsid w:val="00527F4B"/>
    <w:rsid w:val="00530961"/>
    <w:rsid w:val="005319D6"/>
    <w:rsid w:val="00533AC7"/>
    <w:rsid w:val="00535617"/>
    <w:rsid w:val="005356D4"/>
    <w:rsid w:val="00535E7A"/>
    <w:rsid w:val="005363EC"/>
    <w:rsid w:val="00537106"/>
    <w:rsid w:val="005378C5"/>
    <w:rsid w:val="00537DE6"/>
    <w:rsid w:val="00537DEC"/>
    <w:rsid w:val="00542206"/>
    <w:rsid w:val="0054254B"/>
    <w:rsid w:val="005448AD"/>
    <w:rsid w:val="00546967"/>
    <w:rsid w:val="00547A4C"/>
    <w:rsid w:val="00547E7A"/>
    <w:rsid w:val="00550D6F"/>
    <w:rsid w:val="00552073"/>
    <w:rsid w:val="00552A48"/>
    <w:rsid w:val="00554217"/>
    <w:rsid w:val="00554F66"/>
    <w:rsid w:val="0055604D"/>
    <w:rsid w:val="0055608C"/>
    <w:rsid w:val="00557267"/>
    <w:rsid w:val="005574FC"/>
    <w:rsid w:val="0056074F"/>
    <w:rsid w:val="005618DC"/>
    <w:rsid w:val="005620D2"/>
    <w:rsid w:val="005645A7"/>
    <w:rsid w:val="00564650"/>
    <w:rsid w:val="00565387"/>
    <w:rsid w:val="00565976"/>
    <w:rsid w:val="00565E12"/>
    <w:rsid w:val="00566384"/>
    <w:rsid w:val="00566646"/>
    <w:rsid w:val="00566B29"/>
    <w:rsid w:val="0056704F"/>
    <w:rsid w:val="00571132"/>
    <w:rsid w:val="0057118B"/>
    <w:rsid w:val="00573077"/>
    <w:rsid w:val="0057312A"/>
    <w:rsid w:val="00573238"/>
    <w:rsid w:val="005756BA"/>
    <w:rsid w:val="00575A00"/>
    <w:rsid w:val="00575F8E"/>
    <w:rsid w:val="0057714E"/>
    <w:rsid w:val="00577718"/>
    <w:rsid w:val="00581FD9"/>
    <w:rsid w:val="00582EE2"/>
    <w:rsid w:val="005837BD"/>
    <w:rsid w:val="00584C97"/>
    <w:rsid w:val="0058523E"/>
    <w:rsid w:val="0058528C"/>
    <w:rsid w:val="00590D75"/>
    <w:rsid w:val="00593643"/>
    <w:rsid w:val="005940F8"/>
    <w:rsid w:val="005A0280"/>
    <w:rsid w:val="005A2D64"/>
    <w:rsid w:val="005A361F"/>
    <w:rsid w:val="005A37E8"/>
    <w:rsid w:val="005A3945"/>
    <w:rsid w:val="005A3DAF"/>
    <w:rsid w:val="005A51F5"/>
    <w:rsid w:val="005A7371"/>
    <w:rsid w:val="005B1BBA"/>
    <w:rsid w:val="005B1F09"/>
    <w:rsid w:val="005B2E2C"/>
    <w:rsid w:val="005B3BED"/>
    <w:rsid w:val="005B3D5D"/>
    <w:rsid w:val="005B47C4"/>
    <w:rsid w:val="005B48A5"/>
    <w:rsid w:val="005B64AA"/>
    <w:rsid w:val="005B6834"/>
    <w:rsid w:val="005B6D9A"/>
    <w:rsid w:val="005B7018"/>
    <w:rsid w:val="005B7390"/>
    <w:rsid w:val="005B7955"/>
    <w:rsid w:val="005C0F97"/>
    <w:rsid w:val="005C11FC"/>
    <w:rsid w:val="005C2137"/>
    <w:rsid w:val="005C3516"/>
    <w:rsid w:val="005C4C1C"/>
    <w:rsid w:val="005C4F4B"/>
    <w:rsid w:val="005C5182"/>
    <w:rsid w:val="005C5A1A"/>
    <w:rsid w:val="005C790E"/>
    <w:rsid w:val="005D4603"/>
    <w:rsid w:val="005D48AB"/>
    <w:rsid w:val="005D49FC"/>
    <w:rsid w:val="005D4F59"/>
    <w:rsid w:val="005D523F"/>
    <w:rsid w:val="005E2912"/>
    <w:rsid w:val="005E2D80"/>
    <w:rsid w:val="005E4A02"/>
    <w:rsid w:val="005E527D"/>
    <w:rsid w:val="005F2452"/>
    <w:rsid w:val="005F26A3"/>
    <w:rsid w:val="005F2AC1"/>
    <w:rsid w:val="005F3121"/>
    <w:rsid w:val="005F38DE"/>
    <w:rsid w:val="005F47D3"/>
    <w:rsid w:val="005F67DB"/>
    <w:rsid w:val="005F7EA7"/>
    <w:rsid w:val="00600CE1"/>
    <w:rsid w:val="006029A7"/>
    <w:rsid w:val="00604B8F"/>
    <w:rsid w:val="006072BB"/>
    <w:rsid w:val="0060735E"/>
    <w:rsid w:val="00610597"/>
    <w:rsid w:val="00613AD2"/>
    <w:rsid w:val="0061537E"/>
    <w:rsid w:val="00615EA1"/>
    <w:rsid w:val="00617DD0"/>
    <w:rsid w:val="0062157E"/>
    <w:rsid w:val="00621747"/>
    <w:rsid w:val="00622DFF"/>
    <w:rsid w:val="006241B4"/>
    <w:rsid w:val="00624646"/>
    <w:rsid w:val="0062781E"/>
    <w:rsid w:val="006279B9"/>
    <w:rsid w:val="00627D7A"/>
    <w:rsid w:val="00630B7E"/>
    <w:rsid w:val="006310BF"/>
    <w:rsid w:val="006314BF"/>
    <w:rsid w:val="0063383B"/>
    <w:rsid w:val="00633919"/>
    <w:rsid w:val="00633CA8"/>
    <w:rsid w:val="006340B2"/>
    <w:rsid w:val="006355EA"/>
    <w:rsid w:val="00635F97"/>
    <w:rsid w:val="00636D14"/>
    <w:rsid w:val="00640136"/>
    <w:rsid w:val="0064074B"/>
    <w:rsid w:val="0064144D"/>
    <w:rsid w:val="00642EAC"/>
    <w:rsid w:val="0064602E"/>
    <w:rsid w:val="00650440"/>
    <w:rsid w:val="00652DB6"/>
    <w:rsid w:val="00653A5E"/>
    <w:rsid w:val="006546F2"/>
    <w:rsid w:val="00657937"/>
    <w:rsid w:val="0066105C"/>
    <w:rsid w:val="00662411"/>
    <w:rsid w:val="00663993"/>
    <w:rsid w:val="00665166"/>
    <w:rsid w:val="00665666"/>
    <w:rsid w:val="006704AF"/>
    <w:rsid w:val="00670C40"/>
    <w:rsid w:val="006715F9"/>
    <w:rsid w:val="00672DBE"/>
    <w:rsid w:val="0067385E"/>
    <w:rsid w:val="00674842"/>
    <w:rsid w:val="0067552A"/>
    <w:rsid w:val="00677A8C"/>
    <w:rsid w:val="0068416B"/>
    <w:rsid w:val="00684BFB"/>
    <w:rsid w:val="00684C44"/>
    <w:rsid w:val="0068566F"/>
    <w:rsid w:val="006868A3"/>
    <w:rsid w:val="00686999"/>
    <w:rsid w:val="00687030"/>
    <w:rsid w:val="0069059A"/>
    <w:rsid w:val="006911F9"/>
    <w:rsid w:val="00692FA7"/>
    <w:rsid w:val="00693374"/>
    <w:rsid w:val="00694B11"/>
    <w:rsid w:val="006951A7"/>
    <w:rsid w:val="00695279"/>
    <w:rsid w:val="00695E14"/>
    <w:rsid w:val="00696589"/>
    <w:rsid w:val="00696885"/>
    <w:rsid w:val="00696ACE"/>
    <w:rsid w:val="0069744B"/>
    <w:rsid w:val="0069767F"/>
    <w:rsid w:val="006A0CB3"/>
    <w:rsid w:val="006A26E7"/>
    <w:rsid w:val="006A4675"/>
    <w:rsid w:val="006A4E61"/>
    <w:rsid w:val="006A59B9"/>
    <w:rsid w:val="006B27C2"/>
    <w:rsid w:val="006B338A"/>
    <w:rsid w:val="006B3A52"/>
    <w:rsid w:val="006B43CC"/>
    <w:rsid w:val="006B4F71"/>
    <w:rsid w:val="006B5ABF"/>
    <w:rsid w:val="006B5E1E"/>
    <w:rsid w:val="006B63A4"/>
    <w:rsid w:val="006C074A"/>
    <w:rsid w:val="006C0AEE"/>
    <w:rsid w:val="006C1D37"/>
    <w:rsid w:val="006C2D50"/>
    <w:rsid w:val="006C5E81"/>
    <w:rsid w:val="006C78CF"/>
    <w:rsid w:val="006D0CE9"/>
    <w:rsid w:val="006D2B63"/>
    <w:rsid w:val="006D3D3B"/>
    <w:rsid w:val="006D4466"/>
    <w:rsid w:val="006D4E40"/>
    <w:rsid w:val="006D5B4F"/>
    <w:rsid w:val="006D67EE"/>
    <w:rsid w:val="006D717B"/>
    <w:rsid w:val="006E09FA"/>
    <w:rsid w:val="006E14FF"/>
    <w:rsid w:val="006E194D"/>
    <w:rsid w:val="006E1D20"/>
    <w:rsid w:val="006E2139"/>
    <w:rsid w:val="006E2284"/>
    <w:rsid w:val="006E3800"/>
    <w:rsid w:val="006E3F96"/>
    <w:rsid w:val="006E491A"/>
    <w:rsid w:val="006E506A"/>
    <w:rsid w:val="006E511A"/>
    <w:rsid w:val="006F32FB"/>
    <w:rsid w:val="006F4F95"/>
    <w:rsid w:val="006F56E1"/>
    <w:rsid w:val="006F5C69"/>
    <w:rsid w:val="006F6597"/>
    <w:rsid w:val="006F716C"/>
    <w:rsid w:val="006F77FC"/>
    <w:rsid w:val="006F7850"/>
    <w:rsid w:val="00700573"/>
    <w:rsid w:val="0070077B"/>
    <w:rsid w:val="0070236D"/>
    <w:rsid w:val="00702588"/>
    <w:rsid w:val="00703122"/>
    <w:rsid w:val="0070382D"/>
    <w:rsid w:val="00703D24"/>
    <w:rsid w:val="00705E25"/>
    <w:rsid w:val="0071040D"/>
    <w:rsid w:val="0071110B"/>
    <w:rsid w:val="00711694"/>
    <w:rsid w:val="0071324F"/>
    <w:rsid w:val="00722432"/>
    <w:rsid w:val="00722B2C"/>
    <w:rsid w:val="007237ED"/>
    <w:rsid w:val="007237FD"/>
    <w:rsid w:val="00724BC3"/>
    <w:rsid w:val="00726A84"/>
    <w:rsid w:val="00730A38"/>
    <w:rsid w:val="00731416"/>
    <w:rsid w:val="0073636B"/>
    <w:rsid w:val="007402CA"/>
    <w:rsid w:val="00741475"/>
    <w:rsid w:val="007421E7"/>
    <w:rsid w:val="0074394D"/>
    <w:rsid w:val="007447CC"/>
    <w:rsid w:val="00745BB9"/>
    <w:rsid w:val="00746CCD"/>
    <w:rsid w:val="00747BF4"/>
    <w:rsid w:val="0075182E"/>
    <w:rsid w:val="00751F13"/>
    <w:rsid w:val="00752B13"/>
    <w:rsid w:val="00753387"/>
    <w:rsid w:val="00753824"/>
    <w:rsid w:val="00754F5D"/>
    <w:rsid w:val="0075697A"/>
    <w:rsid w:val="00757B10"/>
    <w:rsid w:val="007620ED"/>
    <w:rsid w:val="00762A76"/>
    <w:rsid w:val="00762BF7"/>
    <w:rsid w:val="00764EE8"/>
    <w:rsid w:val="00765032"/>
    <w:rsid w:val="00765381"/>
    <w:rsid w:val="00765846"/>
    <w:rsid w:val="00766759"/>
    <w:rsid w:val="007710DB"/>
    <w:rsid w:val="00771EC3"/>
    <w:rsid w:val="007728CB"/>
    <w:rsid w:val="007745C8"/>
    <w:rsid w:val="00774F69"/>
    <w:rsid w:val="00774FD7"/>
    <w:rsid w:val="007756C4"/>
    <w:rsid w:val="00776E07"/>
    <w:rsid w:val="00777C79"/>
    <w:rsid w:val="00777EDD"/>
    <w:rsid w:val="00780257"/>
    <w:rsid w:val="00782336"/>
    <w:rsid w:val="007828DE"/>
    <w:rsid w:val="00782C7D"/>
    <w:rsid w:val="007839F2"/>
    <w:rsid w:val="00784140"/>
    <w:rsid w:val="007868C8"/>
    <w:rsid w:val="007958E0"/>
    <w:rsid w:val="007959AB"/>
    <w:rsid w:val="0079603B"/>
    <w:rsid w:val="007A01E2"/>
    <w:rsid w:val="007A03F8"/>
    <w:rsid w:val="007A1449"/>
    <w:rsid w:val="007A181D"/>
    <w:rsid w:val="007A1B08"/>
    <w:rsid w:val="007A1FF1"/>
    <w:rsid w:val="007A30BA"/>
    <w:rsid w:val="007A3A13"/>
    <w:rsid w:val="007A3F76"/>
    <w:rsid w:val="007A51B4"/>
    <w:rsid w:val="007A6657"/>
    <w:rsid w:val="007A6F63"/>
    <w:rsid w:val="007B0079"/>
    <w:rsid w:val="007B2744"/>
    <w:rsid w:val="007B3048"/>
    <w:rsid w:val="007B3C17"/>
    <w:rsid w:val="007B3FE1"/>
    <w:rsid w:val="007B74A2"/>
    <w:rsid w:val="007C0422"/>
    <w:rsid w:val="007C0EBC"/>
    <w:rsid w:val="007C11D2"/>
    <w:rsid w:val="007C14A1"/>
    <w:rsid w:val="007C2CCC"/>
    <w:rsid w:val="007C3A1A"/>
    <w:rsid w:val="007C420E"/>
    <w:rsid w:val="007C51E0"/>
    <w:rsid w:val="007C5476"/>
    <w:rsid w:val="007C568C"/>
    <w:rsid w:val="007C64B1"/>
    <w:rsid w:val="007C717F"/>
    <w:rsid w:val="007D0A2A"/>
    <w:rsid w:val="007D52ED"/>
    <w:rsid w:val="007D72D5"/>
    <w:rsid w:val="007E0907"/>
    <w:rsid w:val="007E21CF"/>
    <w:rsid w:val="007E2874"/>
    <w:rsid w:val="007E2A5A"/>
    <w:rsid w:val="007E2CB9"/>
    <w:rsid w:val="007E64FA"/>
    <w:rsid w:val="007F0A1D"/>
    <w:rsid w:val="007F1271"/>
    <w:rsid w:val="007F1277"/>
    <w:rsid w:val="007F14E4"/>
    <w:rsid w:val="007F1855"/>
    <w:rsid w:val="007F18A5"/>
    <w:rsid w:val="007F315A"/>
    <w:rsid w:val="007F3766"/>
    <w:rsid w:val="007F4F80"/>
    <w:rsid w:val="007F5AA0"/>
    <w:rsid w:val="007F5AC9"/>
    <w:rsid w:val="007F5E90"/>
    <w:rsid w:val="007F6E94"/>
    <w:rsid w:val="007F767A"/>
    <w:rsid w:val="007F774A"/>
    <w:rsid w:val="00803A51"/>
    <w:rsid w:val="00803F59"/>
    <w:rsid w:val="00803FB1"/>
    <w:rsid w:val="0080433C"/>
    <w:rsid w:val="008076C8"/>
    <w:rsid w:val="008102F1"/>
    <w:rsid w:val="00813670"/>
    <w:rsid w:val="008176EC"/>
    <w:rsid w:val="0081770E"/>
    <w:rsid w:val="00817860"/>
    <w:rsid w:val="0082188B"/>
    <w:rsid w:val="008233DA"/>
    <w:rsid w:val="00823F24"/>
    <w:rsid w:val="00824172"/>
    <w:rsid w:val="0082582B"/>
    <w:rsid w:val="00825E37"/>
    <w:rsid w:val="0083050D"/>
    <w:rsid w:val="00830AAB"/>
    <w:rsid w:val="00831444"/>
    <w:rsid w:val="00831E79"/>
    <w:rsid w:val="0083279A"/>
    <w:rsid w:val="008352F2"/>
    <w:rsid w:val="008367D7"/>
    <w:rsid w:val="008374FE"/>
    <w:rsid w:val="0084001B"/>
    <w:rsid w:val="008428EF"/>
    <w:rsid w:val="00844285"/>
    <w:rsid w:val="008444CC"/>
    <w:rsid w:val="00846E7E"/>
    <w:rsid w:val="0085080A"/>
    <w:rsid w:val="00850953"/>
    <w:rsid w:val="00851531"/>
    <w:rsid w:val="00851846"/>
    <w:rsid w:val="00853234"/>
    <w:rsid w:val="008541A9"/>
    <w:rsid w:val="008548E9"/>
    <w:rsid w:val="0085543B"/>
    <w:rsid w:val="00855C77"/>
    <w:rsid w:val="00855E64"/>
    <w:rsid w:val="00860C03"/>
    <w:rsid w:val="0086451E"/>
    <w:rsid w:val="00865F61"/>
    <w:rsid w:val="008718A3"/>
    <w:rsid w:val="008718DB"/>
    <w:rsid w:val="0087241B"/>
    <w:rsid w:val="00872C12"/>
    <w:rsid w:val="00874EB2"/>
    <w:rsid w:val="00876A74"/>
    <w:rsid w:val="00877015"/>
    <w:rsid w:val="00881F3F"/>
    <w:rsid w:val="00884512"/>
    <w:rsid w:val="00884AEC"/>
    <w:rsid w:val="00885B23"/>
    <w:rsid w:val="00885FE6"/>
    <w:rsid w:val="008878D1"/>
    <w:rsid w:val="00887D94"/>
    <w:rsid w:val="008907DF"/>
    <w:rsid w:val="00890FFD"/>
    <w:rsid w:val="00892AD8"/>
    <w:rsid w:val="008939F5"/>
    <w:rsid w:val="00893BB1"/>
    <w:rsid w:val="0089575A"/>
    <w:rsid w:val="008977BF"/>
    <w:rsid w:val="008A031F"/>
    <w:rsid w:val="008A07F8"/>
    <w:rsid w:val="008A0F78"/>
    <w:rsid w:val="008A1A81"/>
    <w:rsid w:val="008A2025"/>
    <w:rsid w:val="008B151B"/>
    <w:rsid w:val="008B3E33"/>
    <w:rsid w:val="008B584A"/>
    <w:rsid w:val="008C0CC4"/>
    <w:rsid w:val="008C632A"/>
    <w:rsid w:val="008C699D"/>
    <w:rsid w:val="008C7B17"/>
    <w:rsid w:val="008C7DAC"/>
    <w:rsid w:val="008D0E57"/>
    <w:rsid w:val="008D12BB"/>
    <w:rsid w:val="008D1C80"/>
    <w:rsid w:val="008D1E72"/>
    <w:rsid w:val="008D297F"/>
    <w:rsid w:val="008D2B28"/>
    <w:rsid w:val="008D3113"/>
    <w:rsid w:val="008D32DE"/>
    <w:rsid w:val="008D3DC6"/>
    <w:rsid w:val="008D4820"/>
    <w:rsid w:val="008D5777"/>
    <w:rsid w:val="008D767B"/>
    <w:rsid w:val="008E1E72"/>
    <w:rsid w:val="008E1F6C"/>
    <w:rsid w:val="008E20CD"/>
    <w:rsid w:val="008E37AC"/>
    <w:rsid w:val="008E5B7A"/>
    <w:rsid w:val="008E6972"/>
    <w:rsid w:val="008F1396"/>
    <w:rsid w:val="008F249C"/>
    <w:rsid w:val="008F3EEE"/>
    <w:rsid w:val="008F4784"/>
    <w:rsid w:val="008F4A8F"/>
    <w:rsid w:val="008F4BA0"/>
    <w:rsid w:val="008F542B"/>
    <w:rsid w:val="008F671F"/>
    <w:rsid w:val="008F6E80"/>
    <w:rsid w:val="008F7115"/>
    <w:rsid w:val="008F7CA4"/>
    <w:rsid w:val="00900E6A"/>
    <w:rsid w:val="00901534"/>
    <w:rsid w:val="00903458"/>
    <w:rsid w:val="0090372B"/>
    <w:rsid w:val="00903DA9"/>
    <w:rsid w:val="0090446A"/>
    <w:rsid w:val="00904B67"/>
    <w:rsid w:val="00904E19"/>
    <w:rsid w:val="00910B27"/>
    <w:rsid w:val="00914F04"/>
    <w:rsid w:val="0091652C"/>
    <w:rsid w:val="00916844"/>
    <w:rsid w:val="0092025A"/>
    <w:rsid w:val="00926E0F"/>
    <w:rsid w:val="00930E2A"/>
    <w:rsid w:val="0093148D"/>
    <w:rsid w:val="00931C17"/>
    <w:rsid w:val="00934FF5"/>
    <w:rsid w:val="009357A6"/>
    <w:rsid w:val="00936777"/>
    <w:rsid w:val="00936C49"/>
    <w:rsid w:val="0093777C"/>
    <w:rsid w:val="00937842"/>
    <w:rsid w:val="00940883"/>
    <w:rsid w:val="009414E8"/>
    <w:rsid w:val="00941E5B"/>
    <w:rsid w:val="00941FB7"/>
    <w:rsid w:val="0094206C"/>
    <w:rsid w:val="009430DE"/>
    <w:rsid w:val="00944572"/>
    <w:rsid w:val="009457F5"/>
    <w:rsid w:val="00946992"/>
    <w:rsid w:val="0094701F"/>
    <w:rsid w:val="00950C1E"/>
    <w:rsid w:val="009515FC"/>
    <w:rsid w:val="00952208"/>
    <w:rsid w:val="00952DFF"/>
    <w:rsid w:val="00953227"/>
    <w:rsid w:val="009540FF"/>
    <w:rsid w:val="00955790"/>
    <w:rsid w:val="009557BE"/>
    <w:rsid w:val="009566E7"/>
    <w:rsid w:val="0096597C"/>
    <w:rsid w:val="0096750B"/>
    <w:rsid w:val="0097340B"/>
    <w:rsid w:val="0097378F"/>
    <w:rsid w:val="009740DF"/>
    <w:rsid w:val="0097542A"/>
    <w:rsid w:val="00975609"/>
    <w:rsid w:val="00982B3D"/>
    <w:rsid w:val="009832CB"/>
    <w:rsid w:val="00984524"/>
    <w:rsid w:val="00985526"/>
    <w:rsid w:val="00985C33"/>
    <w:rsid w:val="0098744A"/>
    <w:rsid w:val="00987F43"/>
    <w:rsid w:val="0099193F"/>
    <w:rsid w:val="00991ADF"/>
    <w:rsid w:val="00994CC8"/>
    <w:rsid w:val="00996D1C"/>
    <w:rsid w:val="00997019"/>
    <w:rsid w:val="00997821"/>
    <w:rsid w:val="009A0648"/>
    <w:rsid w:val="009A1E92"/>
    <w:rsid w:val="009A33BF"/>
    <w:rsid w:val="009A3A1B"/>
    <w:rsid w:val="009A3BC0"/>
    <w:rsid w:val="009A4E1D"/>
    <w:rsid w:val="009A4FE9"/>
    <w:rsid w:val="009A5F69"/>
    <w:rsid w:val="009A6124"/>
    <w:rsid w:val="009A70BD"/>
    <w:rsid w:val="009A7D05"/>
    <w:rsid w:val="009B310E"/>
    <w:rsid w:val="009B3BCA"/>
    <w:rsid w:val="009B4D83"/>
    <w:rsid w:val="009B591A"/>
    <w:rsid w:val="009C25A6"/>
    <w:rsid w:val="009C6363"/>
    <w:rsid w:val="009D003B"/>
    <w:rsid w:val="009D0EA3"/>
    <w:rsid w:val="009D12AB"/>
    <w:rsid w:val="009D1D1A"/>
    <w:rsid w:val="009D2F67"/>
    <w:rsid w:val="009D363B"/>
    <w:rsid w:val="009D4A52"/>
    <w:rsid w:val="009D5CFF"/>
    <w:rsid w:val="009E08D7"/>
    <w:rsid w:val="009E11D9"/>
    <w:rsid w:val="009E1CA6"/>
    <w:rsid w:val="009E428A"/>
    <w:rsid w:val="009E6182"/>
    <w:rsid w:val="009F1BE2"/>
    <w:rsid w:val="009F306E"/>
    <w:rsid w:val="009F3B7C"/>
    <w:rsid w:val="009F3F6A"/>
    <w:rsid w:val="009F4690"/>
    <w:rsid w:val="009F4BEB"/>
    <w:rsid w:val="009F4C1B"/>
    <w:rsid w:val="009F5FFB"/>
    <w:rsid w:val="00A00605"/>
    <w:rsid w:val="00A01ADC"/>
    <w:rsid w:val="00A02901"/>
    <w:rsid w:val="00A05D3C"/>
    <w:rsid w:val="00A061F0"/>
    <w:rsid w:val="00A06351"/>
    <w:rsid w:val="00A10CF9"/>
    <w:rsid w:val="00A11730"/>
    <w:rsid w:val="00A12B31"/>
    <w:rsid w:val="00A155F7"/>
    <w:rsid w:val="00A16BE5"/>
    <w:rsid w:val="00A173B6"/>
    <w:rsid w:val="00A20495"/>
    <w:rsid w:val="00A2262A"/>
    <w:rsid w:val="00A237C2"/>
    <w:rsid w:val="00A23E33"/>
    <w:rsid w:val="00A24E38"/>
    <w:rsid w:val="00A25177"/>
    <w:rsid w:val="00A26288"/>
    <w:rsid w:val="00A2757B"/>
    <w:rsid w:val="00A27ED3"/>
    <w:rsid w:val="00A301D2"/>
    <w:rsid w:val="00A30936"/>
    <w:rsid w:val="00A30FC2"/>
    <w:rsid w:val="00A3261E"/>
    <w:rsid w:val="00A3327F"/>
    <w:rsid w:val="00A33E31"/>
    <w:rsid w:val="00A348F3"/>
    <w:rsid w:val="00A34A83"/>
    <w:rsid w:val="00A34FF5"/>
    <w:rsid w:val="00A36713"/>
    <w:rsid w:val="00A40483"/>
    <w:rsid w:val="00A413A6"/>
    <w:rsid w:val="00A429CD"/>
    <w:rsid w:val="00A47E67"/>
    <w:rsid w:val="00A538DE"/>
    <w:rsid w:val="00A53B29"/>
    <w:rsid w:val="00A53BF4"/>
    <w:rsid w:val="00A56725"/>
    <w:rsid w:val="00A57417"/>
    <w:rsid w:val="00A60F93"/>
    <w:rsid w:val="00A61118"/>
    <w:rsid w:val="00A6193E"/>
    <w:rsid w:val="00A650AC"/>
    <w:rsid w:val="00A65A98"/>
    <w:rsid w:val="00A66891"/>
    <w:rsid w:val="00A66F1A"/>
    <w:rsid w:val="00A67038"/>
    <w:rsid w:val="00A713ED"/>
    <w:rsid w:val="00A72EFF"/>
    <w:rsid w:val="00A732A1"/>
    <w:rsid w:val="00A73383"/>
    <w:rsid w:val="00A73983"/>
    <w:rsid w:val="00A74E42"/>
    <w:rsid w:val="00A758F1"/>
    <w:rsid w:val="00A77EC8"/>
    <w:rsid w:val="00A805C1"/>
    <w:rsid w:val="00A811F2"/>
    <w:rsid w:val="00A81D22"/>
    <w:rsid w:val="00A82127"/>
    <w:rsid w:val="00A83AD0"/>
    <w:rsid w:val="00A85C08"/>
    <w:rsid w:val="00A875D4"/>
    <w:rsid w:val="00A87A00"/>
    <w:rsid w:val="00A90E41"/>
    <w:rsid w:val="00A93B17"/>
    <w:rsid w:val="00A974E2"/>
    <w:rsid w:val="00AA4459"/>
    <w:rsid w:val="00AA5037"/>
    <w:rsid w:val="00AA5F54"/>
    <w:rsid w:val="00AB1AD2"/>
    <w:rsid w:val="00AB1E0C"/>
    <w:rsid w:val="00AB2011"/>
    <w:rsid w:val="00AB2823"/>
    <w:rsid w:val="00AB297E"/>
    <w:rsid w:val="00AB35C0"/>
    <w:rsid w:val="00AB4055"/>
    <w:rsid w:val="00AB46D8"/>
    <w:rsid w:val="00AB5AC7"/>
    <w:rsid w:val="00AB69E5"/>
    <w:rsid w:val="00AC0141"/>
    <w:rsid w:val="00AC059C"/>
    <w:rsid w:val="00AC0E36"/>
    <w:rsid w:val="00AC4735"/>
    <w:rsid w:val="00AC4BA1"/>
    <w:rsid w:val="00AC4F4E"/>
    <w:rsid w:val="00AC5852"/>
    <w:rsid w:val="00AC72CA"/>
    <w:rsid w:val="00AD04C5"/>
    <w:rsid w:val="00AD0E53"/>
    <w:rsid w:val="00AD1881"/>
    <w:rsid w:val="00AD3E32"/>
    <w:rsid w:val="00AD4627"/>
    <w:rsid w:val="00AD58F8"/>
    <w:rsid w:val="00AE0814"/>
    <w:rsid w:val="00AE3211"/>
    <w:rsid w:val="00AE3975"/>
    <w:rsid w:val="00AE3A67"/>
    <w:rsid w:val="00AE3DE1"/>
    <w:rsid w:val="00AE5486"/>
    <w:rsid w:val="00AE6092"/>
    <w:rsid w:val="00AE6103"/>
    <w:rsid w:val="00AF06E8"/>
    <w:rsid w:val="00AF132B"/>
    <w:rsid w:val="00AF2FBA"/>
    <w:rsid w:val="00AF327C"/>
    <w:rsid w:val="00AF43EB"/>
    <w:rsid w:val="00AF61A5"/>
    <w:rsid w:val="00AF702F"/>
    <w:rsid w:val="00AF7880"/>
    <w:rsid w:val="00B04B85"/>
    <w:rsid w:val="00B04E5B"/>
    <w:rsid w:val="00B0507A"/>
    <w:rsid w:val="00B06B57"/>
    <w:rsid w:val="00B07CA5"/>
    <w:rsid w:val="00B108FB"/>
    <w:rsid w:val="00B10FE9"/>
    <w:rsid w:val="00B20DF2"/>
    <w:rsid w:val="00B23591"/>
    <w:rsid w:val="00B23A6D"/>
    <w:rsid w:val="00B27081"/>
    <w:rsid w:val="00B276D4"/>
    <w:rsid w:val="00B2788C"/>
    <w:rsid w:val="00B31624"/>
    <w:rsid w:val="00B32ADC"/>
    <w:rsid w:val="00B33BAB"/>
    <w:rsid w:val="00B34597"/>
    <w:rsid w:val="00B34B5B"/>
    <w:rsid w:val="00B34D66"/>
    <w:rsid w:val="00B35BD1"/>
    <w:rsid w:val="00B36549"/>
    <w:rsid w:val="00B41994"/>
    <w:rsid w:val="00B41B07"/>
    <w:rsid w:val="00B421BD"/>
    <w:rsid w:val="00B4342A"/>
    <w:rsid w:val="00B4389A"/>
    <w:rsid w:val="00B443ED"/>
    <w:rsid w:val="00B45306"/>
    <w:rsid w:val="00B45646"/>
    <w:rsid w:val="00B45EAC"/>
    <w:rsid w:val="00B468A7"/>
    <w:rsid w:val="00B47161"/>
    <w:rsid w:val="00B472BC"/>
    <w:rsid w:val="00B47A77"/>
    <w:rsid w:val="00B5046C"/>
    <w:rsid w:val="00B519F6"/>
    <w:rsid w:val="00B52322"/>
    <w:rsid w:val="00B54E71"/>
    <w:rsid w:val="00B557BF"/>
    <w:rsid w:val="00B561ED"/>
    <w:rsid w:val="00B56FE5"/>
    <w:rsid w:val="00B57AEF"/>
    <w:rsid w:val="00B62BF5"/>
    <w:rsid w:val="00B63443"/>
    <w:rsid w:val="00B65849"/>
    <w:rsid w:val="00B6687E"/>
    <w:rsid w:val="00B670EB"/>
    <w:rsid w:val="00B71DF4"/>
    <w:rsid w:val="00B73DD6"/>
    <w:rsid w:val="00B75F2E"/>
    <w:rsid w:val="00B763AC"/>
    <w:rsid w:val="00B76409"/>
    <w:rsid w:val="00B820D1"/>
    <w:rsid w:val="00B82712"/>
    <w:rsid w:val="00B83AEA"/>
    <w:rsid w:val="00B85770"/>
    <w:rsid w:val="00B91886"/>
    <w:rsid w:val="00B91C12"/>
    <w:rsid w:val="00B93A94"/>
    <w:rsid w:val="00B93F2F"/>
    <w:rsid w:val="00B95D07"/>
    <w:rsid w:val="00B9725E"/>
    <w:rsid w:val="00B97C02"/>
    <w:rsid w:val="00BA2350"/>
    <w:rsid w:val="00BA350C"/>
    <w:rsid w:val="00BA657B"/>
    <w:rsid w:val="00BA7264"/>
    <w:rsid w:val="00BA7453"/>
    <w:rsid w:val="00BA76EF"/>
    <w:rsid w:val="00BB0DA4"/>
    <w:rsid w:val="00BB0FB9"/>
    <w:rsid w:val="00BB1D83"/>
    <w:rsid w:val="00BB241E"/>
    <w:rsid w:val="00BB38A8"/>
    <w:rsid w:val="00BB40D4"/>
    <w:rsid w:val="00BB56E3"/>
    <w:rsid w:val="00BB570D"/>
    <w:rsid w:val="00BB5E97"/>
    <w:rsid w:val="00BB6AEE"/>
    <w:rsid w:val="00BB6C7C"/>
    <w:rsid w:val="00BC056D"/>
    <w:rsid w:val="00BC07A6"/>
    <w:rsid w:val="00BC10ED"/>
    <w:rsid w:val="00BC188F"/>
    <w:rsid w:val="00BC22DA"/>
    <w:rsid w:val="00BC3F24"/>
    <w:rsid w:val="00BC400E"/>
    <w:rsid w:val="00BC4BF1"/>
    <w:rsid w:val="00BC5757"/>
    <w:rsid w:val="00BC68E2"/>
    <w:rsid w:val="00BD03EB"/>
    <w:rsid w:val="00BD0A39"/>
    <w:rsid w:val="00BD15AC"/>
    <w:rsid w:val="00BD27C6"/>
    <w:rsid w:val="00BD4121"/>
    <w:rsid w:val="00BD4246"/>
    <w:rsid w:val="00BD4EED"/>
    <w:rsid w:val="00BD75CF"/>
    <w:rsid w:val="00BE17F7"/>
    <w:rsid w:val="00BE1C8B"/>
    <w:rsid w:val="00BE32F3"/>
    <w:rsid w:val="00BE6676"/>
    <w:rsid w:val="00BF1CE5"/>
    <w:rsid w:val="00BF2574"/>
    <w:rsid w:val="00BF4409"/>
    <w:rsid w:val="00BF56E4"/>
    <w:rsid w:val="00BF5725"/>
    <w:rsid w:val="00BF706B"/>
    <w:rsid w:val="00C00982"/>
    <w:rsid w:val="00C025B3"/>
    <w:rsid w:val="00C03794"/>
    <w:rsid w:val="00C041B7"/>
    <w:rsid w:val="00C046D6"/>
    <w:rsid w:val="00C04A7D"/>
    <w:rsid w:val="00C078A4"/>
    <w:rsid w:val="00C113CB"/>
    <w:rsid w:val="00C1146C"/>
    <w:rsid w:val="00C119BD"/>
    <w:rsid w:val="00C11BA4"/>
    <w:rsid w:val="00C13216"/>
    <w:rsid w:val="00C13944"/>
    <w:rsid w:val="00C13A1F"/>
    <w:rsid w:val="00C13D88"/>
    <w:rsid w:val="00C149B1"/>
    <w:rsid w:val="00C15D29"/>
    <w:rsid w:val="00C160E3"/>
    <w:rsid w:val="00C16AB5"/>
    <w:rsid w:val="00C20EE3"/>
    <w:rsid w:val="00C2217B"/>
    <w:rsid w:val="00C229CA"/>
    <w:rsid w:val="00C25539"/>
    <w:rsid w:val="00C2639B"/>
    <w:rsid w:val="00C30FC2"/>
    <w:rsid w:val="00C3387C"/>
    <w:rsid w:val="00C34BF9"/>
    <w:rsid w:val="00C35184"/>
    <w:rsid w:val="00C37E4C"/>
    <w:rsid w:val="00C41DEC"/>
    <w:rsid w:val="00C45518"/>
    <w:rsid w:val="00C46A2F"/>
    <w:rsid w:val="00C5229C"/>
    <w:rsid w:val="00C535F4"/>
    <w:rsid w:val="00C53BD8"/>
    <w:rsid w:val="00C53FF8"/>
    <w:rsid w:val="00C54077"/>
    <w:rsid w:val="00C55A4E"/>
    <w:rsid w:val="00C56695"/>
    <w:rsid w:val="00C572E4"/>
    <w:rsid w:val="00C5780E"/>
    <w:rsid w:val="00C57C1A"/>
    <w:rsid w:val="00C603FA"/>
    <w:rsid w:val="00C60490"/>
    <w:rsid w:val="00C621A8"/>
    <w:rsid w:val="00C63F1C"/>
    <w:rsid w:val="00C64268"/>
    <w:rsid w:val="00C65295"/>
    <w:rsid w:val="00C65CB3"/>
    <w:rsid w:val="00C6664C"/>
    <w:rsid w:val="00C66946"/>
    <w:rsid w:val="00C700C6"/>
    <w:rsid w:val="00C71228"/>
    <w:rsid w:val="00C714AC"/>
    <w:rsid w:val="00C71B6F"/>
    <w:rsid w:val="00C725B5"/>
    <w:rsid w:val="00C7542A"/>
    <w:rsid w:val="00C7598D"/>
    <w:rsid w:val="00C76964"/>
    <w:rsid w:val="00C7742D"/>
    <w:rsid w:val="00C81D46"/>
    <w:rsid w:val="00C8356B"/>
    <w:rsid w:val="00C83EF7"/>
    <w:rsid w:val="00C86CC7"/>
    <w:rsid w:val="00C86F38"/>
    <w:rsid w:val="00C87DDF"/>
    <w:rsid w:val="00C90FC7"/>
    <w:rsid w:val="00C9111A"/>
    <w:rsid w:val="00C9148F"/>
    <w:rsid w:val="00C92AB3"/>
    <w:rsid w:val="00C93B32"/>
    <w:rsid w:val="00C94E2F"/>
    <w:rsid w:val="00C97A87"/>
    <w:rsid w:val="00C97BA7"/>
    <w:rsid w:val="00CA3CFD"/>
    <w:rsid w:val="00CA5B9F"/>
    <w:rsid w:val="00CA5EB1"/>
    <w:rsid w:val="00CA7336"/>
    <w:rsid w:val="00CB0D10"/>
    <w:rsid w:val="00CB0EB1"/>
    <w:rsid w:val="00CB1E10"/>
    <w:rsid w:val="00CB2169"/>
    <w:rsid w:val="00CB244C"/>
    <w:rsid w:val="00CB313E"/>
    <w:rsid w:val="00CB4F93"/>
    <w:rsid w:val="00CB7F65"/>
    <w:rsid w:val="00CC15EF"/>
    <w:rsid w:val="00CC2798"/>
    <w:rsid w:val="00CC32B0"/>
    <w:rsid w:val="00CC4977"/>
    <w:rsid w:val="00CC4E38"/>
    <w:rsid w:val="00CC4EA2"/>
    <w:rsid w:val="00CC4FD8"/>
    <w:rsid w:val="00CC51AF"/>
    <w:rsid w:val="00CC54A7"/>
    <w:rsid w:val="00CC614B"/>
    <w:rsid w:val="00CC7443"/>
    <w:rsid w:val="00CD1AA4"/>
    <w:rsid w:val="00CD3C6F"/>
    <w:rsid w:val="00CD595E"/>
    <w:rsid w:val="00CD72CA"/>
    <w:rsid w:val="00CD79DA"/>
    <w:rsid w:val="00CE0A92"/>
    <w:rsid w:val="00CE0F66"/>
    <w:rsid w:val="00CE1391"/>
    <w:rsid w:val="00CE154F"/>
    <w:rsid w:val="00CE3DD8"/>
    <w:rsid w:val="00CE3FAF"/>
    <w:rsid w:val="00CF0006"/>
    <w:rsid w:val="00CF06D6"/>
    <w:rsid w:val="00CF1E2E"/>
    <w:rsid w:val="00CF3B19"/>
    <w:rsid w:val="00CF4F84"/>
    <w:rsid w:val="00CF5E36"/>
    <w:rsid w:val="00CF642A"/>
    <w:rsid w:val="00CF69A3"/>
    <w:rsid w:val="00CF77F2"/>
    <w:rsid w:val="00D0045C"/>
    <w:rsid w:val="00D00B0C"/>
    <w:rsid w:val="00D011B6"/>
    <w:rsid w:val="00D01278"/>
    <w:rsid w:val="00D01EB5"/>
    <w:rsid w:val="00D0448C"/>
    <w:rsid w:val="00D05D25"/>
    <w:rsid w:val="00D07F15"/>
    <w:rsid w:val="00D10808"/>
    <w:rsid w:val="00D10CB2"/>
    <w:rsid w:val="00D13793"/>
    <w:rsid w:val="00D16394"/>
    <w:rsid w:val="00D20B4D"/>
    <w:rsid w:val="00D20DC8"/>
    <w:rsid w:val="00D21497"/>
    <w:rsid w:val="00D23AF6"/>
    <w:rsid w:val="00D240A2"/>
    <w:rsid w:val="00D249CE"/>
    <w:rsid w:val="00D25068"/>
    <w:rsid w:val="00D27CA1"/>
    <w:rsid w:val="00D31C04"/>
    <w:rsid w:val="00D31C69"/>
    <w:rsid w:val="00D32C8F"/>
    <w:rsid w:val="00D33D22"/>
    <w:rsid w:val="00D34A65"/>
    <w:rsid w:val="00D35B64"/>
    <w:rsid w:val="00D3654D"/>
    <w:rsid w:val="00D40E59"/>
    <w:rsid w:val="00D411F2"/>
    <w:rsid w:val="00D42B17"/>
    <w:rsid w:val="00D50584"/>
    <w:rsid w:val="00D513BF"/>
    <w:rsid w:val="00D519BD"/>
    <w:rsid w:val="00D51EFC"/>
    <w:rsid w:val="00D52014"/>
    <w:rsid w:val="00D5203F"/>
    <w:rsid w:val="00D53565"/>
    <w:rsid w:val="00D56364"/>
    <w:rsid w:val="00D569BE"/>
    <w:rsid w:val="00D57EC7"/>
    <w:rsid w:val="00D602FB"/>
    <w:rsid w:val="00D60B11"/>
    <w:rsid w:val="00D6541F"/>
    <w:rsid w:val="00D70A03"/>
    <w:rsid w:val="00D718BB"/>
    <w:rsid w:val="00D72C4D"/>
    <w:rsid w:val="00D74670"/>
    <w:rsid w:val="00D77A35"/>
    <w:rsid w:val="00D77C54"/>
    <w:rsid w:val="00D804B3"/>
    <w:rsid w:val="00D8064A"/>
    <w:rsid w:val="00D8087F"/>
    <w:rsid w:val="00D81EA5"/>
    <w:rsid w:val="00D81F13"/>
    <w:rsid w:val="00D820BA"/>
    <w:rsid w:val="00D82F87"/>
    <w:rsid w:val="00D8435D"/>
    <w:rsid w:val="00D86CE2"/>
    <w:rsid w:val="00D87717"/>
    <w:rsid w:val="00D906A1"/>
    <w:rsid w:val="00D95734"/>
    <w:rsid w:val="00D957E0"/>
    <w:rsid w:val="00D96AE8"/>
    <w:rsid w:val="00DA26A8"/>
    <w:rsid w:val="00DA2B06"/>
    <w:rsid w:val="00DA4008"/>
    <w:rsid w:val="00DA4744"/>
    <w:rsid w:val="00DA5EB6"/>
    <w:rsid w:val="00DB10A5"/>
    <w:rsid w:val="00DB229C"/>
    <w:rsid w:val="00DB297B"/>
    <w:rsid w:val="00DB3BA2"/>
    <w:rsid w:val="00DB41F3"/>
    <w:rsid w:val="00DB7241"/>
    <w:rsid w:val="00DC0B0A"/>
    <w:rsid w:val="00DC0C43"/>
    <w:rsid w:val="00DC14E6"/>
    <w:rsid w:val="00DC4FA2"/>
    <w:rsid w:val="00DC61A3"/>
    <w:rsid w:val="00DC7756"/>
    <w:rsid w:val="00DC7D61"/>
    <w:rsid w:val="00DD084B"/>
    <w:rsid w:val="00DD14FD"/>
    <w:rsid w:val="00DD1550"/>
    <w:rsid w:val="00DD15DE"/>
    <w:rsid w:val="00DD7228"/>
    <w:rsid w:val="00DD7BF3"/>
    <w:rsid w:val="00DE1C75"/>
    <w:rsid w:val="00DE3995"/>
    <w:rsid w:val="00DE56D0"/>
    <w:rsid w:val="00DE6DC8"/>
    <w:rsid w:val="00DE76CC"/>
    <w:rsid w:val="00DE7ABF"/>
    <w:rsid w:val="00DF0119"/>
    <w:rsid w:val="00DF10D0"/>
    <w:rsid w:val="00DF1B7E"/>
    <w:rsid w:val="00DF31FB"/>
    <w:rsid w:val="00DF3FC6"/>
    <w:rsid w:val="00DF43E8"/>
    <w:rsid w:val="00E01590"/>
    <w:rsid w:val="00E022CA"/>
    <w:rsid w:val="00E0254A"/>
    <w:rsid w:val="00E03A96"/>
    <w:rsid w:val="00E0524F"/>
    <w:rsid w:val="00E07EA2"/>
    <w:rsid w:val="00E10725"/>
    <w:rsid w:val="00E11833"/>
    <w:rsid w:val="00E11B2B"/>
    <w:rsid w:val="00E1227E"/>
    <w:rsid w:val="00E129F3"/>
    <w:rsid w:val="00E13885"/>
    <w:rsid w:val="00E1388D"/>
    <w:rsid w:val="00E15234"/>
    <w:rsid w:val="00E1762E"/>
    <w:rsid w:val="00E17A16"/>
    <w:rsid w:val="00E21EA2"/>
    <w:rsid w:val="00E21FB9"/>
    <w:rsid w:val="00E25FC6"/>
    <w:rsid w:val="00E27949"/>
    <w:rsid w:val="00E31DDF"/>
    <w:rsid w:val="00E34F30"/>
    <w:rsid w:val="00E35B1C"/>
    <w:rsid w:val="00E36A42"/>
    <w:rsid w:val="00E36C1C"/>
    <w:rsid w:val="00E37F75"/>
    <w:rsid w:val="00E41963"/>
    <w:rsid w:val="00E43024"/>
    <w:rsid w:val="00E437A9"/>
    <w:rsid w:val="00E4425F"/>
    <w:rsid w:val="00E45333"/>
    <w:rsid w:val="00E46D5C"/>
    <w:rsid w:val="00E525DA"/>
    <w:rsid w:val="00E57E2B"/>
    <w:rsid w:val="00E605BD"/>
    <w:rsid w:val="00E605C3"/>
    <w:rsid w:val="00E6333A"/>
    <w:rsid w:val="00E63A07"/>
    <w:rsid w:val="00E645F8"/>
    <w:rsid w:val="00E65F38"/>
    <w:rsid w:val="00E66EF8"/>
    <w:rsid w:val="00E67BCA"/>
    <w:rsid w:val="00E7165A"/>
    <w:rsid w:val="00E71C92"/>
    <w:rsid w:val="00E724CA"/>
    <w:rsid w:val="00E73591"/>
    <w:rsid w:val="00E73D0B"/>
    <w:rsid w:val="00E77208"/>
    <w:rsid w:val="00E777B0"/>
    <w:rsid w:val="00E8051D"/>
    <w:rsid w:val="00E80A36"/>
    <w:rsid w:val="00E811E7"/>
    <w:rsid w:val="00E8174E"/>
    <w:rsid w:val="00E83E68"/>
    <w:rsid w:val="00E9042A"/>
    <w:rsid w:val="00E921B7"/>
    <w:rsid w:val="00E94FB3"/>
    <w:rsid w:val="00E95C5E"/>
    <w:rsid w:val="00E95E4A"/>
    <w:rsid w:val="00E96DA4"/>
    <w:rsid w:val="00E96E36"/>
    <w:rsid w:val="00E97797"/>
    <w:rsid w:val="00EA044B"/>
    <w:rsid w:val="00EA19B2"/>
    <w:rsid w:val="00EA349D"/>
    <w:rsid w:val="00EA3ED9"/>
    <w:rsid w:val="00EA40E8"/>
    <w:rsid w:val="00EA4698"/>
    <w:rsid w:val="00EA6831"/>
    <w:rsid w:val="00EA6F2F"/>
    <w:rsid w:val="00EA6FE2"/>
    <w:rsid w:val="00EB102C"/>
    <w:rsid w:val="00EB1C0E"/>
    <w:rsid w:val="00EB2277"/>
    <w:rsid w:val="00EB4566"/>
    <w:rsid w:val="00EB5386"/>
    <w:rsid w:val="00EB6CD9"/>
    <w:rsid w:val="00EB6D30"/>
    <w:rsid w:val="00EB6F3A"/>
    <w:rsid w:val="00EB7E60"/>
    <w:rsid w:val="00EC0F6F"/>
    <w:rsid w:val="00EC336B"/>
    <w:rsid w:val="00EC4BE7"/>
    <w:rsid w:val="00EC5369"/>
    <w:rsid w:val="00ED024B"/>
    <w:rsid w:val="00ED0C6F"/>
    <w:rsid w:val="00ED0EC4"/>
    <w:rsid w:val="00ED1E2A"/>
    <w:rsid w:val="00ED2303"/>
    <w:rsid w:val="00ED3249"/>
    <w:rsid w:val="00ED3B69"/>
    <w:rsid w:val="00ED5986"/>
    <w:rsid w:val="00ED617D"/>
    <w:rsid w:val="00EE12BC"/>
    <w:rsid w:val="00EE3DE8"/>
    <w:rsid w:val="00EE51C6"/>
    <w:rsid w:val="00EE5BE0"/>
    <w:rsid w:val="00EE68FA"/>
    <w:rsid w:val="00EE7CFC"/>
    <w:rsid w:val="00EF0895"/>
    <w:rsid w:val="00EF16FF"/>
    <w:rsid w:val="00EF29D6"/>
    <w:rsid w:val="00EF39E5"/>
    <w:rsid w:val="00EF4DFF"/>
    <w:rsid w:val="00EF4F05"/>
    <w:rsid w:val="00EF7A72"/>
    <w:rsid w:val="00F0269E"/>
    <w:rsid w:val="00F02A0B"/>
    <w:rsid w:val="00F041E3"/>
    <w:rsid w:val="00F0499C"/>
    <w:rsid w:val="00F05317"/>
    <w:rsid w:val="00F054E3"/>
    <w:rsid w:val="00F05A30"/>
    <w:rsid w:val="00F05EBD"/>
    <w:rsid w:val="00F064F2"/>
    <w:rsid w:val="00F1159B"/>
    <w:rsid w:val="00F12BEA"/>
    <w:rsid w:val="00F1484E"/>
    <w:rsid w:val="00F156F6"/>
    <w:rsid w:val="00F16439"/>
    <w:rsid w:val="00F16FF4"/>
    <w:rsid w:val="00F17167"/>
    <w:rsid w:val="00F172E7"/>
    <w:rsid w:val="00F20447"/>
    <w:rsid w:val="00F208C0"/>
    <w:rsid w:val="00F2137F"/>
    <w:rsid w:val="00F221CC"/>
    <w:rsid w:val="00F22F0A"/>
    <w:rsid w:val="00F27441"/>
    <w:rsid w:val="00F3061C"/>
    <w:rsid w:val="00F31388"/>
    <w:rsid w:val="00F31AB8"/>
    <w:rsid w:val="00F358FE"/>
    <w:rsid w:val="00F37897"/>
    <w:rsid w:val="00F40691"/>
    <w:rsid w:val="00F406AD"/>
    <w:rsid w:val="00F428EA"/>
    <w:rsid w:val="00F441B8"/>
    <w:rsid w:val="00F44C10"/>
    <w:rsid w:val="00F44F67"/>
    <w:rsid w:val="00F46C0E"/>
    <w:rsid w:val="00F473A9"/>
    <w:rsid w:val="00F51371"/>
    <w:rsid w:val="00F51A4B"/>
    <w:rsid w:val="00F51F82"/>
    <w:rsid w:val="00F5200B"/>
    <w:rsid w:val="00F535ED"/>
    <w:rsid w:val="00F566A7"/>
    <w:rsid w:val="00F57B12"/>
    <w:rsid w:val="00F57DF3"/>
    <w:rsid w:val="00F60A96"/>
    <w:rsid w:val="00F61503"/>
    <w:rsid w:val="00F62F8A"/>
    <w:rsid w:val="00F63271"/>
    <w:rsid w:val="00F64DEA"/>
    <w:rsid w:val="00F67C2D"/>
    <w:rsid w:val="00F7050E"/>
    <w:rsid w:val="00F705B3"/>
    <w:rsid w:val="00F72CA9"/>
    <w:rsid w:val="00F73039"/>
    <w:rsid w:val="00F742D0"/>
    <w:rsid w:val="00F7590E"/>
    <w:rsid w:val="00F76363"/>
    <w:rsid w:val="00F814FF"/>
    <w:rsid w:val="00F81C1E"/>
    <w:rsid w:val="00F83168"/>
    <w:rsid w:val="00F83FFD"/>
    <w:rsid w:val="00F84CC3"/>
    <w:rsid w:val="00F87234"/>
    <w:rsid w:val="00F9063B"/>
    <w:rsid w:val="00F907CF"/>
    <w:rsid w:val="00F91F4C"/>
    <w:rsid w:val="00F93D91"/>
    <w:rsid w:val="00F94824"/>
    <w:rsid w:val="00F948BF"/>
    <w:rsid w:val="00F94917"/>
    <w:rsid w:val="00F949E3"/>
    <w:rsid w:val="00F94FC8"/>
    <w:rsid w:val="00F9503B"/>
    <w:rsid w:val="00F95A7E"/>
    <w:rsid w:val="00F97013"/>
    <w:rsid w:val="00F97C3B"/>
    <w:rsid w:val="00FA00A3"/>
    <w:rsid w:val="00FA25DF"/>
    <w:rsid w:val="00FA2B33"/>
    <w:rsid w:val="00FA4EA2"/>
    <w:rsid w:val="00FA5F1E"/>
    <w:rsid w:val="00FA7379"/>
    <w:rsid w:val="00FB019B"/>
    <w:rsid w:val="00FB0443"/>
    <w:rsid w:val="00FB62F5"/>
    <w:rsid w:val="00FB6C6E"/>
    <w:rsid w:val="00FB7B1F"/>
    <w:rsid w:val="00FC15F9"/>
    <w:rsid w:val="00FC19C8"/>
    <w:rsid w:val="00FC1BD8"/>
    <w:rsid w:val="00FC2BBC"/>
    <w:rsid w:val="00FC3763"/>
    <w:rsid w:val="00FC3E1B"/>
    <w:rsid w:val="00FC6B5D"/>
    <w:rsid w:val="00FC6CD4"/>
    <w:rsid w:val="00FC6CF4"/>
    <w:rsid w:val="00FC7DA6"/>
    <w:rsid w:val="00FC7FD4"/>
    <w:rsid w:val="00FD1922"/>
    <w:rsid w:val="00FD194D"/>
    <w:rsid w:val="00FD239F"/>
    <w:rsid w:val="00FD2A4B"/>
    <w:rsid w:val="00FD2B60"/>
    <w:rsid w:val="00FD4247"/>
    <w:rsid w:val="00FD57C2"/>
    <w:rsid w:val="00FD6E49"/>
    <w:rsid w:val="00FD78D3"/>
    <w:rsid w:val="00FE1942"/>
    <w:rsid w:val="00FE2CC3"/>
    <w:rsid w:val="00FE46A4"/>
    <w:rsid w:val="00FE66A3"/>
    <w:rsid w:val="00FE6881"/>
    <w:rsid w:val="00FF2C4E"/>
    <w:rsid w:val="00FF75E6"/>
    <w:rsid w:val="01007E42"/>
    <w:rsid w:val="01017684"/>
    <w:rsid w:val="01023293"/>
    <w:rsid w:val="01037053"/>
    <w:rsid w:val="01064C9A"/>
    <w:rsid w:val="01066379"/>
    <w:rsid w:val="010D6029"/>
    <w:rsid w:val="010F1DA1"/>
    <w:rsid w:val="01101675"/>
    <w:rsid w:val="011078C7"/>
    <w:rsid w:val="01121891"/>
    <w:rsid w:val="01142224"/>
    <w:rsid w:val="01145609"/>
    <w:rsid w:val="011B1E5F"/>
    <w:rsid w:val="011B6997"/>
    <w:rsid w:val="011E0236"/>
    <w:rsid w:val="011E1FE4"/>
    <w:rsid w:val="01275D20"/>
    <w:rsid w:val="01276727"/>
    <w:rsid w:val="01282E62"/>
    <w:rsid w:val="012B64AF"/>
    <w:rsid w:val="012D7A8C"/>
    <w:rsid w:val="01303AC5"/>
    <w:rsid w:val="01311D17"/>
    <w:rsid w:val="0132783D"/>
    <w:rsid w:val="0136732D"/>
    <w:rsid w:val="013B2B96"/>
    <w:rsid w:val="013B330F"/>
    <w:rsid w:val="013C690E"/>
    <w:rsid w:val="013D4B60"/>
    <w:rsid w:val="013E4434"/>
    <w:rsid w:val="013E61E2"/>
    <w:rsid w:val="01422176"/>
    <w:rsid w:val="014A4B87"/>
    <w:rsid w:val="014B08FF"/>
    <w:rsid w:val="014F6641"/>
    <w:rsid w:val="014F6EDE"/>
    <w:rsid w:val="01505F15"/>
    <w:rsid w:val="01563F22"/>
    <w:rsid w:val="0159301C"/>
    <w:rsid w:val="015B4FE6"/>
    <w:rsid w:val="015E4AD6"/>
    <w:rsid w:val="01635C49"/>
    <w:rsid w:val="016519C1"/>
    <w:rsid w:val="01655E65"/>
    <w:rsid w:val="0167398B"/>
    <w:rsid w:val="0168700A"/>
    <w:rsid w:val="016A306B"/>
    <w:rsid w:val="016A347B"/>
    <w:rsid w:val="016A6FD7"/>
    <w:rsid w:val="016C149F"/>
    <w:rsid w:val="016F45ED"/>
    <w:rsid w:val="017165B7"/>
    <w:rsid w:val="01722330"/>
    <w:rsid w:val="017240DE"/>
    <w:rsid w:val="01760231"/>
    <w:rsid w:val="017716F4"/>
    <w:rsid w:val="017734C4"/>
    <w:rsid w:val="01785B98"/>
    <w:rsid w:val="01814321"/>
    <w:rsid w:val="018502B5"/>
    <w:rsid w:val="01864D83"/>
    <w:rsid w:val="01883901"/>
    <w:rsid w:val="018A1427"/>
    <w:rsid w:val="018A7679"/>
    <w:rsid w:val="018C1643"/>
    <w:rsid w:val="018C1A4B"/>
    <w:rsid w:val="018E53BB"/>
    <w:rsid w:val="01910A08"/>
    <w:rsid w:val="019276A6"/>
    <w:rsid w:val="01934780"/>
    <w:rsid w:val="019422A6"/>
    <w:rsid w:val="01953A50"/>
    <w:rsid w:val="01967DCC"/>
    <w:rsid w:val="019A5532"/>
    <w:rsid w:val="019B53E2"/>
    <w:rsid w:val="019D73AC"/>
    <w:rsid w:val="019E4ED3"/>
    <w:rsid w:val="01A249C3"/>
    <w:rsid w:val="01A56261"/>
    <w:rsid w:val="01AA1AC9"/>
    <w:rsid w:val="01AA4085"/>
    <w:rsid w:val="01AA7D1B"/>
    <w:rsid w:val="01AC3A93"/>
    <w:rsid w:val="01AE7D07"/>
    <w:rsid w:val="01AF70E0"/>
    <w:rsid w:val="01B0282E"/>
    <w:rsid w:val="01B62D84"/>
    <w:rsid w:val="01B85F94"/>
    <w:rsid w:val="01B97F5E"/>
    <w:rsid w:val="01BE7323"/>
    <w:rsid w:val="01C012ED"/>
    <w:rsid w:val="01C87EA6"/>
    <w:rsid w:val="01C963F3"/>
    <w:rsid w:val="01CA216C"/>
    <w:rsid w:val="01CA3F1A"/>
    <w:rsid w:val="01CF32DE"/>
    <w:rsid w:val="01CF7782"/>
    <w:rsid w:val="01D152A8"/>
    <w:rsid w:val="01D408F4"/>
    <w:rsid w:val="01D54D98"/>
    <w:rsid w:val="01D5675C"/>
    <w:rsid w:val="01D628BE"/>
    <w:rsid w:val="01DB1C83"/>
    <w:rsid w:val="01DE1665"/>
    <w:rsid w:val="01E054EB"/>
    <w:rsid w:val="01E2462E"/>
    <w:rsid w:val="01E46D89"/>
    <w:rsid w:val="01E50D53"/>
    <w:rsid w:val="01E66FA5"/>
    <w:rsid w:val="01EB45BC"/>
    <w:rsid w:val="01EC0334"/>
    <w:rsid w:val="01EC3E90"/>
    <w:rsid w:val="01F01BD2"/>
    <w:rsid w:val="01F176F8"/>
    <w:rsid w:val="01F3521E"/>
    <w:rsid w:val="01F376F8"/>
    <w:rsid w:val="01F600EE"/>
    <w:rsid w:val="01F62F61"/>
    <w:rsid w:val="01F82835"/>
    <w:rsid w:val="01FB51D5"/>
    <w:rsid w:val="01FD3E07"/>
    <w:rsid w:val="01FD609D"/>
    <w:rsid w:val="01FD7E4B"/>
    <w:rsid w:val="01FF3BC3"/>
    <w:rsid w:val="020016E9"/>
    <w:rsid w:val="020236B3"/>
    <w:rsid w:val="02025A9F"/>
    <w:rsid w:val="0206313E"/>
    <w:rsid w:val="02076F1C"/>
    <w:rsid w:val="02092C94"/>
    <w:rsid w:val="020A2568"/>
    <w:rsid w:val="020A5DD5"/>
    <w:rsid w:val="020C6BED"/>
    <w:rsid w:val="020E4D8C"/>
    <w:rsid w:val="0213141D"/>
    <w:rsid w:val="021533E7"/>
    <w:rsid w:val="021B47BF"/>
    <w:rsid w:val="021F6013"/>
    <w:rsid w:val="02217FDE"/>
    <w:rsid w:val="02225B04"/>
    <w:rsid w:val="0229063E"/>
    <w:rsid w:val="02296E92"/>
    <w:rsid w:val="02297FE6"/>
    <w:rsid w:val="022A6766"/>
    <w:rsid w:val="022B0E5C"/>
    <w:rsid w:val="022C0730"/>
    <w:rsid w:val="022E26FA"/>
    <w:rsid w:val="022F74E1"/>
    <w:rsid w:val="02300221"/>
    <w:rsid w:val="02313F99"/>
    <w:rsid w:val="02327E75"/>
    <w:rsid w:val="02331ABF"/>
    <w:rsid w:val="0233386D"/>
    <w:rsid w:val="02343362"/>
    <w:rsid w:val="02355837"/>
    <w:rsid w:val="0236335D"/>
    <w:rsid w:val="023B0973"/>
    <w:rsid w:val="023B6BC5"/>
    <w:rsid w:val="024263C4"/>
    <w:rsid w:val="0242796A"/>
    <w:rsid w:val="02427F54"/>
    <w:rsid w:val="02467A44"/>
    <w:rsid w:val="0247556A"/>
    <w:rsid w:val="02493090"/>
    <w:rsid w:val="024C0DD3"/>
    <w:rsid w:val="024C49DC"/>
    <w:rsid w:val="02502671"/>
    <w:rsid w:val="02512F75"/>
    <w:rsid w:val="02533F0F"/>
    <w:rsid w:val="02551A35"/>
    <w:rsid w:val="025739FF"/>
    <w:rsid w:val="025A34EF"/>
    <w:rsid w:val="025A704C"/>
    <w:rsid w:val="025C1016"/>
    <w:rsid w:val="025F0B06"/>
    <w:rsid w:val="0261487E"/>
    <w:rsid w:val="026223A4"/>
    <w:rsid w:val="026305F6"/>
    <w:rsid w:val="026B3007"/>
    <w:rsid w:val="027125E7"/>
    <w:rsid w:val="02750329"/>
    <w:rsid w:val="027E22C9"/>
    <w:rsid w:val="027F4D04"/>
    <w:rsid w:val="0281282A"/>
    <w:rsid w:val="0284231A"/>
    <w:rsid w:val="028642E4"/>
    <w:rsid w:val="02867E41"/>
    <w:rsid w:val="02880C6E"/>
    <w:rsid w:val="02897931"/>
    <w:rsid w:val="028A4C7F"/>
    <w:rsid w:val="028B36A9"/>
    <w:rsid w:val="028E3199"/>
    <w:rsid w:val="028F7400"/>
    <w:rsid w:val="02902A6D"/>
    <w:rsid w:val="02921D28"/>
    <w:rsid w:val="02963DFC"/>
    <w:rsid w:val="02985DC6"/>
    <w:rsid w:val="029C1412"/>
    <w:rsid w:val="029C7664"/>
    <w:rsid w:val="029E7AD0"/>
    <w:rsid w:val="02A16E70"/>
    <w:rsid w:val="02A209F3"/>
    <w:rsid w:val="02A604E3"/>
    <w:rsid w:val="02A8425B"/>
    <w:rsid w:val="02A91D81"/>
    <w:rsid w:val="02AD361F"/>
    <w:rsid w:val="02B01361"/>
    <w:rsid w:val="02B04EBD"/>
    <w:rsid w:val="02B20C36"/>
    <w:rsid w:val="02B349AE"/>
    <w:rsid w:val="02B3536B"/>
    <w:rsid w:val="02B40E52"/>
    <w:rsid w:val="02B63DBC"/>
    <w:rsid w:val="02BA0F2C"/>
    <w:rsid w:val="02BD75DA"/>
    <w:rsid w:val="02BE118E"/>
    <w:rsid w:val="02BF4D9E"/>
    <w:rsid w:val="02BF77F6"/>
    <w:rsid w:val="02C1356F"/>
    <w:rsid w:val="02C31095"/>
    <w:rsid w:val="02C458C8"/>
    <w:rsid w:val="02C62933"/>
    <w:rsid w:val="02C95F7F"/>
    <w:rsid w:val="02CD3CC1"/>
    <w:rsid w:val="02CF7A3A"/>
    <w:rsid w:val="02D212D8"/>
    <w:rsid w:val="02D316F5"/>
    <w:rsid w:val="02D36DFE"/>
    <w:rsid w:val="02D64E81"/>
    <w:rsid w:val="02DD3BBA"/>
    <w:rsid w:val="02DD578B"/>
    <w:rsid w:val="02DE1D1A"/>
    <w:rsid w:val="02DE5584"/>
    <w:rsid w:val="02E37041"/>
    <w:rsid w:val="02E4100B"/>
    <w:rsid w:val="02E556E0"/>
    <w:rsid w:val="02E5725D"/>
    <w:rsid w:val="02E66B31"/>
    <w:rsid w:val="02E74E3B"/>
    <w:rsid w:val="02E9346E"/>
    <w:rsid w:val="02EA4873"/>
    <w:rsid w:val="02ED1C6E"/>
    <w:rsid w:val="02F05C02"/>
    <w:rsid w:val="02F2197A"/>
    <w:rsid w:val="02F53218"/>
    <w:rsid w:val="02F545EC"/>
    <w:rsid w:val="02F61B78"/>
    <w:rsid w:val="02F81D0F"/>
    <w:rsid w:val="02F92D08"/>
    <w:rsid w:val="02FA30D3"/>
    <w:rsid w:val="02FC4FF1"/>
    <w:rsid w:val="03000C14"/>
    <w:rsid w:val="03015719"/>
    <w:rsid w:val="03035935"/>
    <w:rsid w:val="03082F4B"/>
    <w:rsid w:val="03084CFA"/>
    <w:rsid w:val="03090322"/>
    <w:rsid w:val="030D0562"/>
    <w:rsid w:val="030D40BE"/>
    <w:rsid w:val="03123DCA"/>
    <w:rsid w:val="03127926"/>
    <w:rsid w:val="0314369E"/>
    <w:rsid w:val="03190CB5"/>
    <w:rsid w:val="031C07A5"/>
    <w:rsid w:val="031E276F"/>
    <w:rsid w:val="031E3529"/>
    <w:rsid w:val="0320447C"/>
    <w:rsid w:val="032759B1"/>
    <w:rsid w:val="03292BFF"/>
    <w:rsid w:val="032A4C70"/>
    <w:rsid w:val="032B6C3A"/>
    <w:rsid w:val="032D29B2"/>
    <w:rsid w:val="032F672A"/>
    <w:rsid w:val="0332621A"/>
    <w:rsid w:val="033306F3"/>
    <w:rsid w:val="03391357"/>
    <w:rsid w:val="033A0C2B"/>
    <w:rsid w:val="033C0E47"/>
    <w:rsid w:val="0341020B"/>
    <w:rsid w:val="03435D32"/>
    <w:rsid w:val="03465822"/>
    <w:rsid w:val="034675D0"/>
    <w:rsid w:val="034A3347"/>
    <w:rsid w:val="034A3564"/>
    <w:rsid w:val="035166A0"/>
    <w:rsid w:val="035241C7"/>
    <w:rsid w:val="03575C81"/>
    <w:rsid w:val="03577A2F"/>
    <w:rsid w:val="03597303"/>
    <w:rsid w:val="035D1B13"/>
    <w:rsid w:val="035E2B6B"/>
    <w:rsid w:val="035E4919"/>
    <w:rsid w:val="035E700F"/>
    <w:rsid w:val="03604B36"/>
    <w:rsid w:val="0361440A"/>
    <w:rsid w:val="036208AE"/>
    <w:rsid w:val="03633EEE"/>
    <w:rsid w:val="03654808"/>
    <w:rsid w:val="03661A20"/>
    <w:rsid w:val="03667C72"/>
    <w:rsid w:val="03681C3C"/>
    <w:rsid w:val="036A59B4"/>
    <w:rsid w:val="036F159C"/>
    <w:rsid w:val="0371289F"/>
    <w:rsid w:val="03722553"/>
    <w:rsid w:val="0374413D"/>
    <w:rsid w:val="03771E7F"/>
    <w:rsid w:val="037B2B57"/>
    <w:rsid w:val="037B371D"/>
    <w:rsid w:val="037B54CB"/>
    <w:rsid w:val="037C1244"/>
    <w:rsid w:val="037E320E"/>
    <w:rsid w:val="03830824"/>
    <w:rsid w:val="038325D2"/>
    <w:rsid w:val="038500F8"/>
    <w:rsid w:val="0385634A"/>
    <w:rsid w:val="038D51FF"/>
    <w:rsid w:val="03942A31"/>
    <w:rsid w:val="03966D7D"/>
    <w:rsid w:val="039B791C"/>
    <w:rsid w:val="03A013D6"/>
    <w:rsid w:val="03A04F32"/>
    <w:rsid w:val="03A07AD7"/>
    <w:rsid w:val="03A2298D"/>
    <w:rsid w:val="03A314FC"/>
    <w:rsid w:val="03AA4003"/>
    <w:rsid w:val="03AA5DB1"/>
    <w:rsid w:val="03AC12AA"/>
    <w:rsid w:val="03B10EED"/>
    <w:rsid w:val="03B121B2"/>
    <w:rsid w:val="03B15391"/>
    <w:rsid w:val="03B46C2F"/>
    <w:rsid w:val="03BC7892"/>
    <w:rsid w:val="03BD3D36"/>
    <w:rsid w:val="03C07382"/>
    <w:rsid w:val="03C2759E"/>
    <w:rsid w:val="03C41DFB"/>
    <w:rsid w:val="03C50E3C"/>
    <w:rsid w:val="03C54999"/>
    <w:rsid w:val="03CA1FAF"/>
    <w:rsid w:val="03CC1A1D"/>
    <w:rsid w:val="03CC3F79"/>
    <w:rsid w:val="03CE5F43"/>
    <w:rsid w:val="03D1158F"/>
    <w:rsid w:val="03D33559"/>
    <w:rsid w:val="03D51C53"/>
    <w:rsid w:val="03D60954"/>
    <w:rsid w:val="03DC1511"/>
    <w:rsid w:val="03DD1CE2"/>
    <w:rsid w:val="03DE3CAC"/>
    <w:rsid w:val="03DF1EFE"/>
    <w:rsid w:val="03DF62C8"/>
    <w:rsid w:val="03E05C76"/>
    <w:rsid w:val="03E70DB3"/>
    <w:rsid w:val="03E868D9"/>
    <w:rsid w:val="03E94B2B"/>
    <w:rsid w:val="03EC73DD"/>
    <w:rsid w:val="03EF2CE9"/>
    <w:rsid w:val="03EF7C67"/>
    <w:rsid w:val="03F139E0"/>
    <w:rsid w:val="03F1578E"/>
    <w:rsid w:val="03F31506"/>
    <w:rsid w:val="03F355D2"/>
    <w:rsid w:val="03FA61DB"/>
    <w:rsid w:val="03FA6D38"/>
    <w:rsid w:val="03FF434E"/>
    <w:rsid w:val="04003C23"/>
    <w:rsid w:val="040320C1"/>
    <w:rsid w:val="04043713"/>
    <w:rsid w:val="0405748B"/>
    <w:rsid w:val="04074FB1"/>
    <w:rsid w:val="04082AD7"/>
    <w:rsid w:val="0409628C"/>
    <w:rsid w:val="040C05A4"/>
    <w:rsid w:val="040E6340"/>
    <w:rsid w:val="0412660D"/>
    <w:rsid w:val="04131BA8"/>
    <w:rsid w:val="041476CE"/>
    <w:rsid w:val="04221DEB"/>
    <w:rsid w:val="04223B99"/>
    <w:rsid w:val="0423034F"/>
    <w:rsid w:val="04230507"/>
    <w:rsid w:val="04247911"/>
    <w:rsid w:val="04253689"/>
    <w:rsid w:val="0426158D"/>
    <w:rsid w:val="04263D68"/>
    <w:rsid w:val="042913CB"/>
    <w:rsid w:val="0429339A"/>
    <w:rsid w:val="042B650B"/>
    <w:rsid w:val="042C0EBC"/>
    <w:rsid w:val="042E24FA"/>
    <w:rsid w:val="04351B1E"/>
    <w:rsid w:val="04363AE8"/>
    <w:rsid w:val="043B2EAD"/>
    <w:rsid w:val="043D6C25"/>
    <w:rsid w:val="043E7C97"/>
    <w:rsid w:val="043F474B"/>
    <w:rsid w:val="044615E4"/>
    <w:rsid w:val="044B1A22"/>
    <w:rsid w:val="044B7594"/>
    <w:rsid w:val="044C2F6F"/>
    <w:rsid w:val="045301F6"/>
    <w:rsid w:val="04553F6E"/>
    <w:rsid w:val="04567CE7"/>
    <w:rsid w:val="04575F38"/>
    <w:rsid w:val="0458580D"/>
    <w:rsid w:val="045D52C7"/>
    <w:rsid w:val="045F404A"/>
    <w:rsid w:val="04610AB3"/>
    <w:rsid w:val="046201A6"/>
    <w:rsid w:val="04671EF4"/>
    <w:rsid w:val="04673CA2"/>
    <w:rsid w:val="04680BC2"/>
    <w:rsid w:val="04695C6C"/>
    <w:rsid w:val="046C3066"/>
    <w:rsid w:val="046D4DBC"/>
    <w:rsid w:val="04706FFA"/>
    <w:rsid w:val="04754611"/>
    <w:rsid w:val="04762137"/>
    <w:rsid w:val="04784101"/>
    <w:rsid w:val="047E7637"/>
    <w:rsid w:val="047F2D99"/>
    <w:rsid w:val="048B3E34"/>
    <w:rsid w:val="048B5BE2"/>
    <w:rsid w:val="048E56D2"/>
    <w:rsid w:val="04926F71"/>
    <w:rsid w:val="04932CE9"/>
    <w:rsid w:val="049A7BD3"/>
    <w:rsid w:val="049D565A"/>
    <w:rsid w:val="049F51EA"/>
    <w:rsid w:val="04A44EF6"/>
    <w:rsid w:val="04A46CA4"/>
    <w:rsid w:val="04A62A1C"/>
    <w:rsid w:val="04A70542"/>
    <w:rsid w:val="04A86794"/>
    <w:rsid w:val="04A942BA"/>
    <w:rsid w:val="04AB1DE0"/>
    <w:rsid w:val="04AC72EC"/>
    <w:rsid w:val="04AE18D1"/>
    <w:rsid w:val="04AE367F"/>
    <w:rsid w:val="04B00B8E"/>
    <w:rsid w:val="04B0389B"/>
    <w:rsid w:val="04B35139"/>
    <w:rsid w:val="04B52C5F"/>
    <w:rsid w:val="04B8274F"/>
    <w:rsid w:val="04B862AB"/>
    <w:rsid w:val="04B869D7"/>
    <w:rsid w:val="04C023BF"/>
    <w:rsid w:val="04C11604"/>
    <w:rsid w:val="04C609C8"/>
    <w:rsid w:val="04C640B6"/>
    <w:rsid w:val="04C64E6C"/>
    <w:rsid w:val="04C904B8"/>
    <w:rsid w:val="04D05CEB"/>
    <w:rsid w:val="04D16A79"/>
    <w:rsid w:val="04D255BF"/>
    <w:rsid w:val="04D31337"/>
    <w:rsid w:val="04D37589"/>
    <w:rsid w:val="04D72BD5"/>
    <w:rsid w:val="04DC643E"/>
    <w:rsid w:val="04E2157A"/>
    <w:rsid w:val="04E23328"/>
    <w:rsid w:val="04E25CD9"/>
    <w:rsid w:val="04E35A1E"/>
    <w:rsid w:val="04E452F2"/>
    <w:rsid w:val="04E62E18"/>
    <w:rsid w:val="04EB48D3"/>
    <w:rsid w:val="04EB6681"/>
    <w:rsid w:val="04ED064B"/>
    <w:rsid w:val="04F0325B"/>
    <w:rsid w:val="04F321BB"/>
    <w:rsid w:val="04F55751"/>
    <w:rsid w:val="04FC088E"/>
    <w:rsid w:val="04FC263C"/>
    <w:rsid w:val="05015EA4"/>
    <w:rsid w:val="05045994"/>
    <w:rsid w:val="05047743"/>
    <w:rsid w:val="0506170D"/>
    <w:rsid w:val="050B17DB"/>
    <w:rsid w:val="050D2A9B"/>
    <w:rsid w:val="050E236F"/>
    <w:rsid w:val="0511667E"/>
    <w:rsid w:val="05177476"/>
    <w:rsid w:val="0518120E"/>
    <w:rsid w:val="0518627B"/>
    <w:rsid w:val="05190704"/>
    <w:rsid w:val="05191440"/>
    <w:rsid w:val="051A5F1D"/>
    <w:rsid w:val="051C683A"/>
    <w:rsid w:val="051C7D2B"/>
    <w:rsid w:val="051E25B2"/>
    <w:rsid w:val="05237BC9"/>
    <w:rsid w:val="05257DE5"/>
    <w:rsid w:val="05283431"/>
    <w:rsid w:val="052878D5"/>
    <w:rsid w:val="052D6C99"/>
    <w:rsid w:val="053242A8"/>
    <w:rsid w:val="053242B0"/>
    <w:rsid w:val="053566BD"/>
    <w:rsid w:val="053718C6"/>
    <w:rsid w:val="0539563E"/>
    <w:rsid w:val="053A4F12"/>
    <w:rsid w:val="05404C1F"/>
    <w:rsid w:val="0542447B"/>
    <w:rsid w:val="0543026B"/>
    <w:rsid w:val="05445D91"/>
    <w:rsid w:val="05452235"/>
    <w:rsid w:val="05461B09"/>
    <w:rsid w:val="054933A7"/>
    <w:rsid w:val="054F4E62"/>
    <w:rsid w:val="05502988"/>
    <w:rsid w:val="05504736"/>
    <w:rsid w:val="055204AE"/>
    <w:rsid w:val="05595CE0"/>
    <w:rsid w:val="05597A8E"/>
    <w:rsid w:val="055A7363"/>
    <w:rsid w:val="055C132D"/>
    <w:rsid w:val="055E6E53"/>
    <w:rsid w:val="05600E1D"/>
    <w:rsid w:val="0560706F"/>
    <w:rsid w:val="056106F1"/>
    <w:rsid w:val="05614B95"/>
    <w:rsid w:val="056A3A4A"/>
    <w:rsid w:val="056B77C2"/>
    <w:rsid w:val="056C5FA6"/>
    <w:rsid w:val="05704DD8"/>
    <w:rsid w:val="057228FE"/>
    <w:rsid w:val="057332A8"/>
    <w:rsid w:val="05740424"/>
    <w:rsid w:val="057523EE"/>
    <w:rsid w:val="05776166"/>
    <w:rsid w:val="05791EDF"/>
    <w:rsid w:val="057B7AFF"/>
    <w:rsid w:val="057E5747"/>
    <w:rsid w:val="057E74F5"/>
    <w:rsid w:val="058014BF"/>
    <w:rsid w:val="0580226C"/>
    <w:rsid w:val="05872BAE"/>
    <w:rsid w:val="0587317A"/>
    <w:rsid w:val="0587524D"/>
    <w:rsid w:val="058A5E9A"/>
    <w:rsid w:val="058B39C0"/>
    <w:rsid w:val="058D14E6"/>
    <w:rsid w:val="058D598A"/>
    <w:rsid w:val="058D6A20"/>
    <w:rsid w:val="058D7738"/>
    <w:rsid w:val="058E1920"/>
    <w:rsid w:val="05900FD6"/>
    <w:rsid w:val="05937513"/>
    <w:rsid w:val="05942874"/>
    <w:rsid w:val="05946D18"/>
    <w:rsid w:val="0596483F"/>
    <w:rsid w:val="059705B7"/>
    <w:rsid w:val="0597144F"/>
    <w:rsid w:val="05976809"/>
    <w:rsid w:val="05997E8B"/>
    <w:rsid w:val="059A3C03"/>
    <w:rsid w:val="059B2E14"/>
    <w:rsid w:val="059C5BCD"/>
    <w:rsid w:val="059C797B"/>
    <w:rsid w:val="059D3E1F"/>
    <w:rsid w:val="059E36F3"/>
    <w:rsid w:val="059E60FE"/>
    <w:rsid w:val="05A14F91"/>
    <w:rsid w:val="05A54A82"/>
    <w:rsid w:val="05A93E12"/>
    <w:rsid w:val="05A97689"/>
    <w:rsid w:val="05AA531D"/>
    <w:rsid w:val="05AC4062"/>
    <w:rsid w:val="05AF76AE"/>
    <w:rsid w:val="05B13426"/>
    <w:rsid w:val="05B2719F"/>
    <w:rsid w:val="05B3330C"/>
    <w:rsid w:val="05B3687C"/>
    <w:rsid w:val="05B41169"/>
    <w:rsid w:val="05B60A3D"/>
    <w:rsid w:val="05B64EE1"/>
    <w:rsid w:val="05BB42A5"/>
    <w:rsid w:val="05BB6053"/>
    <w:rsid w:val="05BC001D"/>
    <w:rsid w:val="05BE3D95"/>
    <w:rsid w:val="05BE5B43"/>
    <w:rsid w:val="05C3315A"/>
    <w:rsid w:val="05C55124"/>
    <w:rsid w:val="05C869C2"/>
    <w:rsid w:val="05C9341B"/>
    <w:rsid w:val="05CB0A83"/>
    <w:rsid w:val="05CB200E"/>
    <w:rsid w:val="05CC0260"/>
    <w:rsid w:val="05CD3179"/>
    <w:rsid w:val="05CF1AFF"/>
    <w:rsid w:val="05D067D9"/>
    <w:rsid w:val="05DB04A3"/>
    <w:rsid w:val="05DC4FCD"/>
    <w:rsid w:val="05DE1D42"/>
    <w:rsid w:val="05E11832"/>
    <w:rsid w:val="05EA4B8A"/>
    <w:rsid w:val="05EC5CFB"/>
    <w:rsid w:val="05ED6429"/>
    <w:rsid w:val="05EF03F3"/>
    <w:rsid w:val="05EF21A1"/>
    <w:rsid w:val="05F23A3F"/>
    <w:rsid w:val="05F3571B"/>
    <w:rsid w:val="05F41565"/>
    <w:rsid w:val="05F86E6F"/>
    <w:rsid w:val="05FB0B46"/>
    <w:rsid w:val="05FB28F4"/>
    <w:rsid w:val="05FB6D97"/>
    <w:rsid w:val="05FE190F"/>
    <w:rsid w:val="05FE23E4"/>
    <w:rsid w:val="06023C82"/>
    <w:rsid w:val="060519C4"/>
    <w:rsid w:val="0607573C"/>
    <w:rsid w:val="060914B4"/>
    <w:rsid w:val="060D266C"/>
    <w:rsid w:val="061439B5"/>
    <w:rsid w:val="06146715"/>
    <w:rsid w:val="0619721E"/>
    <w:rsid w:val="06201525"/>
    <w:rsid w:val="06212BFD"/>
    <w:rsid w:val="062260D2"/>
    <w:rsid w:val="062A142B"/>
    <w:rsid w:val="063046E0"/>
    <w:rsid w:val="06306B73"/>
    <w:rsid w:val="06316315"/>
    <w:rsid w:val="0634792B"/>
    <w:rsid w:val="06367DD0"/>
    <w:rsid w:val="06380A36"/>
    <w:rsid w:val="06383B48"/>
    <w:rsid w:val="063C6088"/>
    <w:rsid w:val="063E0A32"/>
    <w:rsid w:val="063E13F9"/>
    <w:rsid w:val="063F4ED6"/>
    <w:rsid w:val="063F6C84"/>
    <w:rsid w:val="064047AA"/>
    <w:rsid w:val="06436049"/>
    <w:rsid w:val="064918B1"/>
    <w:rsid w:val="06497B03"/>
    <w:rsid w:val="064F49ED"/>
    <w:rsid w:val="06540256"/>
    <w:rsid w:val="06562220"/>
    <w:rsid w:val="0659586C"/>
    <w:rsid w:val="065A1D10"/>
    <w:rsid w:val="065B15E4"/>
    <w:rsid w:val="065D35AE"/>
    <w:rsid w:val="065D535C"/>
    <w:rsid w:val="065F7326"/>
    <w:rsid w:val="0661309E"/>
    <w:rsid w:val="06614D64"/>
    <w:rsid w:val="0667442D"/>
    <w:rsid w:val="066C37F1"/>
    <w:rsid w:val="066D0A5C"/>
    <w:rsid w:val="066E7569"/>
    <w:rsid w:val="0671705A"/>
    <w:rsid w:val="0673692E"/>
    <w:rsid w:val="06744454"/>
    <w:rsid w:val="06750C66"/>
    <w:rsid w:val="067C415F"/>
    <w:rsid w:val="067F52D3"/>
    <w:rsid w:val="06823015"/>
    <w:rsid w:val="06824DC3"/>
    <w:rsid w:val="06840B3B"/>
    <w:rsid w:val="068444C5"/>
    <w:rsid w:val="06860DE2"/>
    <w:rsid w:val="06862B05"/>
    <w:rsid w:val="06896151"/>
    <w:rsid w:val="068B1EC9"/>
    <w:rsid w:val="06914018"/>
    <w:rsid w:val="06935222"/>
    <w:rsid w:val="06952D48"/>
    <w:rsid w:val="06973455"/>
    <w:rsid w:val="06986394"/>
    <w:rsid w:val="069B4C5C"/>
    <w:rsid w:val="069B7C33"/>
    <w:rsid w:val="069C40D7"/>
    <w:rsid w:val="069C5240"/>
    <w:rsid w:val="069E34B0"/>
    <w:rsid w:val="06A04125"/>
    <w:rsid w:val="06A61321"/>
    <w:rsid w:val="06A66D03"/>
    <w:rsid w:val="06A85634"/>
    <w:rsid w:val="06A905C3"/>
    <w:rsid w:val="06A967F3"/>
    <w:rsid w:val="06AB256C"/>
    <w:rsid w:val="06AC0498"/>
    <w:rsid w:val="06AE7966"/>
    <w:rsid w:val="06B01930"/>
    <w:rsid w:val="06B07B82"/>
    <w:rsid w:val="06B308C5"/>
    <w:rsid w:val="06B34F7C"/>
    <w:rsid w:val="06B61737"/>
    <w:rsid w:val="06B63431"/>
    <w:rsid w:val="06B70F10"/>
    <w:rsid w:val="06BA27AF"/>
    <w:rsid w:val="06BA455D"/>
    <w:rsid w:val="06BA630B"/>
    <w:rsid w:val="06C61153"/>
    <w:rsid w:val="06C62F02"/>
    <w:rsid w:val="06C76C7A"/>
    <w:rsid w:val="06C80593"/>
    <w:rsid w:val="06C948D6"/>
    <w:rsid w:val="06CD24E2"/>
    <w:rsid w:val="06CE625A"/>
    <w:rsid w:val="06D25D4A"/>
    <w:rsid w:val="06D27AF8"/>
    <w:rsid w:val="06D373CC"/>
    <w:rsid w:val="06D53145"/>
    <w:rsid w:val="06D721B0"/>
    <w:rsid w:val="06D7510F"/>
    <w:rsid w:val="06DB7470"/>
    <w:rsid w:val="06DD024B"/>
    <w:rsid w:val="06DD649D"/>
    <w:rsid w:val="06DE0942"/>
    <w:rsid w:val="06DE721C"/>
    <w:rsid w:val="06E11AE9"/>
    <w:rsid w:val="06E14A83"/>
    <w:rsid w:val="06E45A7E"/>
    <w:rsid w:val="06EB6E0C"/>
    <w:rsid w:val="06EC66E0"/>
    <w:rsid w:val="06ED4932"/>
    <w:rsid w:val="06EF58D3"/>
    <w:rsid w:val="06F04422"/>
    <w:rsid w:val="06F07F7E"/>
    <w:rsid w:val="06F21F49"/>
    <w:rsid w:val="06F37CAA"/>
    <w:rsid w:val="06F55739"/>
    <w:rsid w:val="06F704BC"/>
    <w:rsid w:val="06F832D7"/>
    <w:rsid w:val="06FA704F"/>
    <w:rsid w:val="070103DE"/>
    <w:rsid w:val="07026F93"/>
    <w:rsid w:val="070677A2"/>
    <w:rsid w:val="070D0B30"/>
    <w:rsid w:val="070D6D82"/>
    <w:rsid w:val="07116147"/>
    <w:rsid w:val="071163A2"/>
    <w:rsid w:val="07133C6D"/>
    <w:rsid w:val="07140111"/>
    <w:rsid w:val="07155C37"/>
    <w:rsid w:val="07177C01"/>
    <w:rsid w:val="071B11B5"/>
    <w:rsid w:val="071D4AEC"/>
    <w:rsid w:val="071D689A"/>
    <w:rsid w:val="071E2D3E"/>
    <w:rsid w:val="071F0864"/>
    <w:rsid w:val="07245E7A"/>
    <w:rsid w:val="0724740A"/>
    <w:rsid w:val="072476FB"/>
    <w:rsid w:val="07261BF2"/>
    <w:rsid w:val="07283BBC"/>
    <w:rsid w:val="072A356D"/>
    <w:rsid w:val="072D4D2F"/>
    <w:rsid w:val="07322345"/>
    <w:rsid w:val="07350087"/>
    <w:rsid w:val="073562D9"/>
    <w:rsid w:val="073700BD"/>
    <w:rsid w:val="0737795B"/>
    <w:rsid w:val="07377BA8"/>
    <w:rsid w:val="073B52FD"/>
    <w:rsid w:val="073D0CEA"/>
    <w:rsid w:val="073E40F6"/>
    <w:rsid w:val="073F4A62"/>
    <w:rsid w:val="07422CDA"/>
    <w:rsid w:val="074309F6"/>
    <w:rsid w:val="07434552"/>
    <w:rsid w:val="074402CA"/>
    <w:rsid w:val="0746576F"/>
    <w:rsid w:val="07465DF0"/>
    <w:rsid w:val="074A1932"/>
    <w:rsid w:val="074F15CE"/>
    <w:rsid w:val="07543D37"/>
    <w:rsid w:val="075524D7"/>
    <w:rsid w:val="07556AF7"/>
    <w:rsid w:val="07571DAC"/>
    <w:rsid w:val="075E084C"/>
    <w:rsid w:val="075E138C"/>
    <w:rsid w:val="075E75DE"/>
    <w:rsid w:val="075E76FE"/>
    <w:rsid w:val="076369A2"/>
    <w:rsid w:val="07646B0F"/>
    <w:rsid w:val="0765096C"/>
    <w:rsid w:val="07660241"/>
    <w:rsid w:val="07683FB9"/>
    <w:rsid w:val="076D15CF"/>
    <w:rsid w:val="076D5A73"/>
    <w:rsid w:val="076F3599"/>
    <w:rsid w:val="07707311"/>
    <w:rsid w:val="07723089"/>
    <w:rsid w:val="077706A0"/>
    <w:rsid w:val="0777244E"/>
    <w:rsid w:val="077961C6"/>
    <w:rsid w:val="077C5CB6"/>
    <w:rsid w:val="077C7A64"/>
    <w:rsid w:val="077E558A"/>
    <w:rsid w:val="078132CC"/>
    <w:rsid w:val="07852DBD"/>
    <w:rsid w:val="07854B6B"/>
    <w:rsid w:val="078B7CA7"/>
    <w:rsid w:val="078D7EC3"/>
    <w:rsid w:val="078F59E9"/>
    <w:rsid w:val="07944DAE"/>
    <w:rsid w:val="079A613C"/>
    <w:rsid w:val="079B0BC0"/>
    <w:rsid w:val="079B25E0"/>
    <w:rsid w:val="079C3C62"/>
    <w:rsid w:val="079E79DA"/>
    <w:rsid w:val="07A90142"/>
    <w:rsid w:val="07A912D8"/>
    <w:rsid w:val="07AB77AC"/>
    <w:rsid w:val="07AC659B"/>
    <w:rsid w:val="07AD5E6F"/>
    <w:rsid w:val="07B0770E"/>
    <w:rsid w:val="07B13BB2"/>
    <w:rsid w:val="07B30001"/>
    <w:rsid w:val="07B34DB3"/>
    <w:rsid w:val="07B70A9C"/>
    <w:rsid w:val="07B74F40"/>
    <w:rsid w:val="07B914A1"/>
    <w:rsid w:val="07B94814"/>
    <w:rsid w:val="07BB67DE"/>
    <w:rsid w:val="07BF7C4C"/>
    <w:rsid w:val="07C02047"/>
    <w:rsid w:val="07C03DF5"/>
    <w:rsid w:val="07C338E5"/>
    <w:rsid w:val="07C37441"/>
    <w:rsid w:val="07CB4548"/>
    <w:rsid w:val="07CD02C0"/>
    <w:rsid w:val="07CF228A"/>
    <w:rsid w:val="07CF5DE6"/>
    <w:rsid w:val="07CF7529"/>
    <w:rsid w:val="07D258D6"/>
    <w:rsid w:val="07D30A7B"/>
    <w:rsid w:val="07D63618"/>
    <w:rsid w:val="07D7113E"/>
    <w:rsid w:val="07D77390"/>
    <w:rsid w:val="07D815AB"/>
    <w:rsid w:val="07D96C64"/>
    <w:rsid w:val="07DB0C2F"/>
    <w:rsid w:val="07DB478B"/>
    <w:rsid w:val="07DD49A7"/>
    <w:rsid w:val="07DE24CD"/>
    <w:rsid w:val="07E04497"/>
    <w:rsid w:val="07E13D6B"/>
    <w:rsid w:val="07E31891"/>
    <w:rsid w:val="07E35D35"/>
    <w:rsid w:val="07E449F2"/>
    <w:rsid w:val="07E5385B"/>
    <w:rsid w:val="07E775D3"/>
    <w:rsid w:val="07E850FA"/>
    <w:rsid w:val="07EA0E98"/>
    <w:rsid w:val="07EC6998"/>
    <w:rsid w:val="07ED0962"/>
    <w:rsid w:val="07EF3F42"/>
    <w:rsid w:val="07F341CA"/>
    <w:rsid w:val="07F4584C"/>
    <w:rsid w:val="07F67816"/>
    <w:rsid w:val="07F7358F"/>
    <w:rsid w:val="07F817E1"/>
    <w:rsid w:val="07F97BC5"/>
    <w:rsid w:val="07FB4EDF"/>
    <w:rsid w:val="08000695"/>
    <w:rsid w:val="08017F69"/>
    <w:rsid w:val="08055CAB"/>
    <w:rsid w:val="080A32C2"/>
    <w:rsid w:val="080B2B96"/>
    <w:rsid w:val="080D3086"/>
    <w:rsid w:val="080F2686"/>
    <w:rsid w:val="0812649D"/>
    <w:rsid w:val="08147C9D"/>
    <w:rsid w:val="0817778D"/>
    <w:rsid w:val="081952B3"/>
    <w:rsid w:val="081E0B1B"/>
    <w:rsid w:val="081E4FBF"/>
    <w:rsid w:val="081E6D6D"/>
    <w:rsid w:val="08204893"/>
    <w:rsid w:val="0822685D"/>
    <w:rsid w:val="08253C58"/>
    <w:rsid w:val="082779D0"/>
    <w:rsid w:val="082C148A"/>
    <w:rsid w:val="082D6FB0"/>
    <w:rsid w:val="082F4AD6"/>
    <w:rsid w:val="083245C7"/>
    <w:rsid w:val="08332819"/>
    <w:rsid w:val="08333BEB"/>
    <w:rsid w:val="08346591"/>
    <w:rsid w:val="08353668"/>
    <w:rsid w:val="08365E65"/>
    <w:rsid w:val="0837398B"/>
    <w:rsid w:val="08381BDD"/>
    <w:rsid w:val="08386081"/>
    <w:rsid w:val="083D5445"/>
    <w:rsid w:val="08406CE4"/>
    <w:rsid w:val="08420CAE"/>
    <w:rsid w:val="0842723E"/>
    <w:rsid w:val="08493DEA"/>
    <w:rsid w:val="084A5DB4"/>
    <w:rsid w:val="084A7B62"/>
    <w:rsid w:val="084F33CB"/>
    <w:rsid w:val="0854453D"/>
    <w:rsid w:val="0855720F"/>
    <w:rsid w:val="0858402D"/>
    <w:rsid w:val="085A0FEF"/>
    <w:rsid w:val="085A5FF7"/>
    <w:rsid w:val="085B1D6F"/>
    <w:rsid w:val="085B4F44"/>
    <w:rsid w:val="085E53BC"/>
    <w:rsid w:val="085F360E"/>
    <w:rsid w:val="08601134"/>
    <w:rsid w:val="086230FE"/>
    <w:rsid w:val="086259AA"/>
    <w:rsid w:val="0862710F"/>
    <w:rsid w:val="08641C8D"/>
    <w:rsid w:val="08674270"/>
    <w:rsid w:val="0869623A"/>
    <w:rsid w:val="086A5B0F"/>
    <w:rsid w:val="086C5D2B"/>
    <w:rsid w:val="086E1AA3"/>
    <w:rsid w:val="086F1377"/>
    <w:rsid w:val="08713341"/>
    <w:rsid w:val="08744BDF"/>
    <w:rsid w:val="0878022B"/>
    <w:rsid w:val="087921F6"/>
    <w:rsid w:val="087F106F"/>
    <w:rsid w:val="087F5A5E"/>
    <w:rsid w:val="087F780C"/>
    <w:rsid w:val="088017D6"/>
    <w:rsid w:val="08852948"/>
    <w:rsid w:val="0888740E"/>
    <w:rsid w:val="0889068B"/>
    <w:rsid w:val="088A7F5F"/>
    <w:rsid w:val="088D5F5C"/>
    <w:rsid w:val="088F518C"/>
    <w:rsid w:val="08905AF1"/>
    <w:rsid w:val="08915791"/>
    <w:rsid w:val="08940DDD"/>
    <w:rsid w:val="08950582"/>
    <w:rsid w:val="0895529C"/>
    <w:rsid w:val="08964B56"/>
    <w:rsid w:val="08966904"/>
    <w:rsid w:val="089B216C"/>
    <w:rsid w:val="089D7C92"/>
    <w:rsid w:val="089F1C5C"/>
    <w:rsid w:val="08A226A5"/>
    <w:rsid w:val="08A26242"/>
    <w:rsid w:val="08A637F4"/>
    <w:rsid w:val="08A70B11"/>
    <w:rsid w:val="08AB6853"/>
    <w:rsid w:val="08B03E69"/>
    <w:rsid w:val="08B11C07"/>
    <w:rsid w:val="08B1373D"/>
    <w:rsid w:val="08BA6A96"/>
    <w:rsid w:val="08BB636A"/>
    <w:rsid w:val="08BC0A60"/>
    <w:rsid w:val="08C16076"/>
    <w:rsid w:val="08C27806"/>
    <w:rsid w:val="08C43471"/>
    <w:rsid w:val="08C571E9"/>
    <w:rsid w:val="08CB0CA3"/>
    <w:rsid w:val="08D00067"/>
    <w:rsid w:val="08D12032"/>
    <w:rsid w:val="08D37B58"/>
    <w:rsid w:val="08D40010"/>
    <w:rsid w:val="08D43939"/>
    <w:rsid w:val="08D77648"/>
    <w:rsid w:val="08D86F1C"/>
    <w:rsid w:val="08DA2C94"/>
    <w:rsid w:val="08DD6D78"/>
    <w:rsid w:val="08DF474E"/>
    <w:rsid w:val="08E25FED"/>
    <w:rsid w:val="08E27D00"/>
    <w:rsid w:val="08E43B13"/>
    <w:rsid w:val="08E51639"/>
    <w:rsid w:val="08E6156B"/>
    <w:rsid w:val="08EA1E31"/>
    <w:rsid w:val="08EB30F3"/>
    <w:rsid w:val="08EB6C4F"/>
    <w:rsid w:val="08ED0123"/>
    <w:rsid w:val="08EE30F1"/>
    <w:rsid w:val="08EE4992"/>
    <w:rsid w:val="08EF5CA7"/>
    <w:rsid w:val="08F024B8"/>
    <w:rsid w:val="08F31FA8"/>
    <w:rsid w:val="08FA1588"/>
    <w:rsid w:val="08FB2C0B"/>
    <w:rsid w:val="08FC2CBB"/>
    <w:rsid w:val="08FD2E53"/>
    <w:rsid w:val="090135A2"/>
    <w:rsid w:val="09045F63"/>
    <w:rsid w:val="09047D11"/>
    <w:rsid w:val="09063A89"/>
    <w:rsid w:val="09077801"/>
    <w:rsid w:val="090B72F2"/>
    <w:rsid w:val="090E0B90"/>
    <w:rsid w:val="09102B5A"/>
    <w:rsid w:val="091066B6"/>
    <w:rsid w:val="09130588"/>
    <w:rsid w:val="091A4149"/>
    <w:rsid w:val="091A7535"/>
    <w:rsid w:val="091B505B"/>
    <w:rsid w:val="09216B15"/>
    <w:rsid w:val="0922463B"/>
    <w:rsid w:val="0923288D"/>
    <w:rsid w:val="09264EA8"/>
    <w:rsid w:val="09287EA3"/>
    <w:rsid w:val="092B34F0"/>
    <w:rsid w:val="092E2FE0"/>
    <w:rsid w:val="092E4D8E"/>
    <w:rsid w:val="09325386"/>
    <w:rsid w:val="093305F6"/>
    <w:rsid w:val="093525C0"/>
    <w:rsid w:val="09360E2A"/>
    <w:rsid w:val="093A1985"/>
    <w:rsid w:val="093A3733"/>
    <w:rsid w:val="093A7BD7"/>
    <w:rsid w:val="093C458B"/>
    <w:rsid w:val="093C56FD"/>
    <w:rsid w:val="093F6115"/>
    <w:rsid w:val="09410F65"/>
    <w:rsid w:val="0941245A"/>
    <w:rsid w:val="0946032A"/>
    <w:rsid w:val="09491BC8"/>
    <w:rsid w:val="094B5940"/>
    <w:rsid w:val="094C3466"/>
    <w:rsid w:val="094C565A"/>
    <w:rsid w:val="09526CCE"/>
    <w:rsid w:val="09532A47"/>
    <w:rsid w:val="09540C99"/>
    <w:rsid w:val="09554A11"/>
    <w:rsid w:val="095C563D"/>
    <w:rsid w:val="095F6949"/>
    <w:rsid w:val="0963712E"/>
    <w:rsid w:val="096802A0"/>
    <w:rsid w:val="0969226A"/>
    <w:rsid w:val="096B5FE2"/>
    <w:rsid w:val="096D1D5A"/>
    <w:rsid w:val="096D3B08"/>
    <w:rsid w:val="096D5AA7"/>
    <w:rsid w:val="096E6FD7"/>
    <w:rsid w:val="0972111F"/>
    <w:rsid w:val="09722434"/>
    <w:rsid w:val="097430E9"/>
    <w:rsid w:val="097B5DA6"/>
    <w:rsid w:val="097E5D15"/>
    <w:rsid w:val="09817516"/>
    <w:rsid w:val="0983157E"/>
    <w:rsid w:val="09842C00"/>
    <w:rsid w:val="09883E52"/>
    <w:rsid w:val="098A290C"/>
    <w:rsid w:val="098A46BA"/>
    <w:rsid w:val="098D423D"/>
    <w:rsid w:val="098D5137"/>
    <w:rsid w:val="098E3A7F"/>
    <w:rsid w:val="09903C9B"/>
    <w:rsid w:val="09931095"/>
    <w:rsid w:val="0997077C"/>
    <w:rsid w:val="099E0166"/>
    <w:rsid w:val="09A028E1"/>
    <w:rsid w:val="09A03EDE"/>
    <w:rsid w:val="09A06440"/>
    <w:rsid w:val="09A17C56"/>
    <w:rsid w:val="09A45050"/>
    <w:rsid w:val="09A514F4"/>
    <w:rsid w:val="09A55022"/>
    <w:rsid w:val="09AC638D"/>
    <w:rsid w:val="09AD03A9"/>
    <w:rsid w:val="09AD2157"/>
    <w:rsid w:val="09B24CF6"/>
    <w:rsid w:val="09B2776D"/>
    <w:rsid w:val="09B41737"/>
    <w:rsid w:val="09B421E7"/>
    <w:rsid w:val="09B43F64"/>
    <w:rsid w:val="09B63701"/>
    <w:rsid w:val="09B96D4E"/>
    <w:rsid w:val="09BA2AC6"/>
    <w:rsid w:val="09BB0D18"/>
    <w:rsid w:val="09BC4A90"/>
    <w:rsid w:val="09BC7504"/>
    <w:rsid w:val="09BE4364"/>
    <w:rsid w:val="09C0632E"/>
    <w:rsid w:val="09C13056"/>
    <w:rsid w:val="09C3197A"/>
    <w:rsid w:val="09C321A9"/>
    <w:rsid w:val="09C63218"/>
    <w:rsid w:val="09CA2D09"/>
    <w:rsid w:val="09CB6A81"/>
    <w:rsid w:val="09CB743E"/>
    <w:rsid w:val="09CC068F"/>
    <w:rsid w:val="09D26E62"/>
    <w:rsid w:val="09D27E0F"/>
    <w:rsid w:val="09D43B87"/>
    <w:rsid w:val="09D73678"/>
    <w:rsid w:val="09D92ABE"/>
    <w:rsid w:val="09D92F4C"/>
    <w:rsid w:val="09DB4F16"/>
    <w:rsid w:val="09E11DB2"/>
    <w:rsid w:val="09E162A4"/>
    <w:rsid w:val="09E661A6"/>
    <w:rsid w:val="09E71B0D"/>
    <w:rsid w:val="09EA5159"/>
    <w:rsid w:val="09EB0ED1"/>
    <w:rsid w:val="09EB3F7C"/>
    <w:rsid w:val="09EC1D7A"/>
    <w:rsid w:val="09EC7123"/>
    <w:rsid w:val="09ED4C49"/>
    <w:rsid w:val="09EE4F48"/>
    <w:rsid w:val="09EF4C97"/>
    <w:rsid w:val="09F2225F"/>
    <w:rsid w:val="09F4422A"/>
    <w:rsid w:val="09F50B88"/>
    <w:rsid w:val="09F558AC"/>
    <w:rsid w:val="09F61D50"/>
    <w:rsid w:val="09F77876"/>
    <w:rsid w:val="09F935EE"/>
    <w:rsid w:val="09FD11BF"/>
    <w:rsid w:val="0A03621B"/>
    <w:rsid w:val="0A071687"/>
    <w:rsid w:val="0A0843AE"/>
    <w:rsid w:val="0A0A57FB"/>
    <w:rsid w:val="0A0D0E47"/>
    <w:rsid w:val="0A0F4BBF"/>
    <w:rsid w:val="0A106E52"/>
    <w:rsid w:val="0A116B8A"/>
    <w:rsid w:val="0A122902"/>
    <w:rsid w:val="0A13499B"/>
    <w:rsid w:val="0A1641A0"/>
    <w:rsid w:val="0A197F04"/>
    <w:rsid w:val="0A1A2AD5"/>
    <w:rsid w:val="0A1B17B6"/>
    <w:rsid w:val="0A1B3564"/>
    <w:rsid w:val="0A215EC8"/>
    <w:rsid w:val="0A2543E3"/>
    <w:rsid w:val="0A260FC3"/>
    <w:rsid w:val="0A283998"/>
    <w:rsid w:val="0A285C81"/>
    <w:rsid w:val="0A2A19F9"/>
    <w:rsid w:val="0A2A7C4B"/>
    <w:rsid w:val="0A2B6A3F"/>
    <w:rsid w:val="0A2E62AB"/>
    <w:rsid w:val="0A312D88"/>
    <w:rsid w:val="0A31710B"/>
    <w:rsid w:val="0A333E3A"/>
    <w:rsid w:val="0A39126B"/>
    <w:rsid w:val="0A3D797F"/>
    <w:rsid w:val="0A3E7253"/>
    <w:rsid w:val="0A434869"/>
    <w:rsid w:val="0A4505E1"/>
    <w:rsid w:val="0A454A85"/>
    <w:rsid w:val="0A4A3E4A"/>
    <w:rsid w:val="0A4D7496"/>
    <w:rsid w:val="0A4F1460"/>
    <w:rsid w:val="0A5371A2"/>
    <w:rsid w:val="0A540824"/>
    <w:rsid w:val="0A553E45"/>
    <w:rsid w:val="0A59408D"/>
    <w:rsid w:val="0A5B7E05"/>
    <w:rsid w:val="0A5E16A3"/>
    <w:rsid w:val="0A60366D"/>
    <w:rsid w:val="0A621193"/>
    <w:rsid w:val="0A623A91"/>
    <w:rsid w:val="0A634F0B"/>
    <w:rsid w:val="0A643AC5"/>
    <w:rsid w:val="0A650C83"/>
    <w:rsid w:val="0A650D3F"/>
    <w:rsid w:val="0A6C0264"/>
    <w:rsid w:val="0A6C3DC0"/>
    <w:rsid w:val="0A6E5D8A"/>
    <w:rsid w:val="0A6F38B0"/>
    <w:rsid w:val="0A71361E"/>
    <w:rsid w:val="0A726EFC"/>
    <w:rsid w:val="0A7333A0"/>
    <w:rsid w:val="0A73514E"/>
    <w:rsid w:val="0A740EC6"/>
    <w:rsid w:val="0A764C3F"/>
    <w:rsid w:val="0A7717AF"/>
    <w:rsid w:val="0A782765"/>
    <w:rsid w:val="0A79028B"/>
    <w:rsid w:val="0A7D421F"/>
    <w:rsid w:val="0A7D4792"/>
    <w:rsid w:val="0A7E1D45"/>
    <w:rsid w:val="0A7F7F97"/>
    <w:rsid w:val="0A8235E3"/>
    <w:rsid w:val="0A84735B"/>
    <w:rsid w:val="0A856C30"/>
    <w:rsid w:val="0A886720"/>
    <w:rsid w:val="0A894972"/>
    <w:rsid w:val="0A895365"/>
    <w:rsid w:val="0A8A693C"/>
    <w:rsid w:val="0A8C7FBE"/>
    <w:rsid w:val="0A92134D"/>
    <w:rsid w:val="0A982E07"/>
    <w:rsid w:val="0A984BB5"/>
    <w:rsid w:val="0A9926DB"/>
    <w:rsid w:val="0A9A6B7F"/>
    <w:rsid w:val="0A9D041D"/>
    <w:rsid w:val="0A9D666F"/>
    <w:rsid w:val="0A9F23E7"/>
    <w:rsid w:val="0AA03A6A"/>
    <w:rsid w:val="0AA21440"/>
    <w:rsid w:val="0AA417AC"/>
    <w:rsid w:val="0AA7129C"/>
    <w:rsid w:val="0AA862BE"/>
    <w:rsid w:val="0AAC0660"/>
    <w:rsid w:val="0AB17A25"/>
    <w:rsid w:val="0AB71268"/>
    <w:rsid w:val="0AB7162C"/>
    <w:rsid w:val="0AB823C4"/>
    <w:rsid w:val="0AB85257"/>
    <w:rsid w:val="0AB87005"/>
    <w:rsid w:val="0AB92811"/>
    <w:rsid w:val="0ABB145E"/>
    <w:rsid w:val="0ABB4D47"/>
    <w:rsid w:val="0ABE04E4"/>
    <w:rsid w:val="0AC05EBA"/>
    <w:rsid w:val="0AC459AA"/>
    <w:rsid w:val="0AC51722"/>
    <w:rsid w:val="0AC7549A"/>
    <w:rsid w:val="0AC8421B"/>
    <w:rsid w:val="0AC9008D"/>
    <w:rsid w:val="0AC91212"/>
    <w:rsid w:val="0AC92FC0"/>
    <w:rsid w:val="0ACA0AE6"/>
    <w:rsid w:val="0ACA4546"/>
    <w:rsid w:val="0ACE05D7"/>
    <w:rsid w:val="0ACE4A7B"/>
    <w:rsid w:val="0AD57BB7"/>
    <w:rsid w:val="0AD6133C"/>
    <w:rsid w:val="0ADB1C5D"/>
    <w:rsid w:val="0ADD081A"/>
    <w:rsid w:val="0ADD2F10"/>
    <w:rsid w:val="0ADD4CBE"/>
    <w:rsid w:val="0AE147AE"/>
    <w:rsid w:val="0AE222D4"/>
    <w:rsid w:val="0AE24082"/>
    <w:rsid w:val="0AE47DFA"/>
    <w:rsid w:val="0AE62773"/>
    <w:rsid w:val="0AE85CFC"/>
    <w:rsid w:val="0AE918B4"/>
    <w:rsid w:val="0AEA1189"/>
    <w:rsid w:val="0AEC6CAF"/>
    <w:rsid w:val="0AEE2A27"/>
    <w:rsid w:val="0AEF0A53"/>
    <w:rsid w:val="0AF3628F"/>
    <w:rsid w:val="0AF65D7F"/>
    <w:rsid w:val="0AF838A6"/>
    <w:rsid w:val="0AFB5144"/>
    <w:rsid w:val="0AFD2C6A"/>
    <w:rsid w:val="0AFF69E2"/>
    <w:rsid w:val="0B0009AC"/>
    <w:rsid w:val="0B04224A"/>
    <w:rsid w:val="0B097861"/>
    <w:rsid w:val="0B0A41D2"/>
    <w:rsid w:val="0B0B35D9"/>
    <w:rsid w:val="0B0C7351"/>
    <w:rsid w:val="0B0E003D"/>
    <w:rsid w:val="0B0E131B"/>
    <w:rsid w:val="0B0F14CD"/>
    <w:rsid w:val="0B105ABE"/>
    <w:rsid w:val="0B137E4E"/>
    <w:rsid w:val="0B14682F"/>
    <w:rsid w:val="0B167A05"/>
    <w:rsid w:val="0B196A2C"/>
    <w:rsid w:val="0B1C57E6"/>
    <w:rsid w:val="0B1D155E"/>
    <w:rsid w:val="0B21104E"/>
    <w:rsid w:val="0B212DFC"/>
    <w:rsid w:val="0B226B74"/>
    <w:rsid w:val="0B247692"/>
    <w:rsid w:val="0B280BE4"/>
    <w:rsid w:val="0B2C17A1"/>
    <w:rsid w:val="0B2D79F3"/>
    <w:rsid w:val="0B301291"/>
    <w:rsid w:val="0B310B66"/>
    <w:rsid w:val="0B3348DE"/>
    <w:rsid w:val="0B352404"/>
    <w:rsid w:val="0B377A45"/>
    <w:rsid w:val="0B3F3282"/>
    <w:rsid w:val="0B4127F4"/>
    <w:rsid w:val="0B41524D"/>
    <w:rsid w:val="0B424B21"/>
    <w:rsid w:val="0B4307AD"/>
    <w:rsid w:val="0B46416C"/>
    <w:rsid w:val="0B470389"/>
    <w:rsid w:val="0B494101"/>
    <w:rsid w:val="0B4A3F7D"/>
    <w:rsid w:val="0B4E5BBB"/>
    <w:rsid w:val="0B4F3755"/>
    <w:rsid w:val="0B5166AE"/>
    <w:rsid w:val="0B54456B"/>
    <w:rsid w:val="0B57681E"/>
    <w:rsid w:val="0B5A4560"/>
    <w:rsid w:val="0B5D252B"/>
    <w:rsid w:val="0B5D7BAD"/>
    <w:rsid w:val="0B5E5DFE"/>
    <w:rsid w:val="0B61144B"/>
    <w:rsid w:val="0B622AC3"/>
    <w:rsid w:val="0B636A84"/>
    <w:rsid w:val="0B680A2B"/>
    <w:rsid w:val="0B6B4077"/>
    <w:rsid w:val="0B6F7B25"/>
    <w:rsid w:val="0B70168E"/>
    <w:rsid w:val="0B705B32"/>
    <w:rsid w:val="0B723658"/>
    <w:rsid w:val="0B753148"/>
    <w:rsid w:val="0B772A1C"/>
    <w:rsid w:val="0B786794"/>
    <w:rsid w:val="0B7A26B1"/>
    <w:rsid w:val="0B7C0033"/>
    <w:rsid w:val="0B7C44D7"/>
    <w:rsid w:val="0B7D1FFD"/>
    <w:rsid w:val="0B7E024F"/>
    <w:rsid w:val="0B811E6C"/>
    <w:rsid w:val="0B815649"/>
    <w:rsid w:val="0B825441"/>
    <w:rsid w:val="0B8415DD"/>
    <w:rsid w:val="0B860EB1"/>
    <w:rsid w:val="0B882E7B"/>
    <w:rsid w:val="0B8909A2"/>
    <w:rsid w:val="0B8C3FEE"/>
    <w:rsid w:val="0B905452"/>
    <w:rsid w:val="0B9424C2"/>
    <w:rsid w:val="0B9A495D"/>
    <w:rsid w:val="0B9C6927"/>
    <w:rsid w:val="0B9F01C5"/>
    <w:rsid w:val="0BA23811"/>
    <w:rsid w:val="0BA457DB"/>
    <w:rsid w:val="0BA525D8"/>
    <w:rsid w:val="0BA53A2D"/>
    <w:rsid w:val="0BA56018"/>
    <w:rsid w:val="0BA63302"/>
    <w:rsid w:val="0BA82D87"/>
    <w:rsid w:val="0BA92DF2"/>
    <w:rsid w:val="0BA94BA0"/>
    <w:rsid w:val="0BAB0918"/>
    <w:rsid w:val="0BAD1BD9"/>
    <w:rsid w:val="0BB464DE"/>
    <w:rsid w:val="0BB772BD"/>
    <w:rsid w:val="0BBA0B5B"/>
    <w:rsid w:val="0BBC48D3"/>
    <w:rsid w:val="0BBF2615"/>
    <w:rsid w:val="0BC11EE9"/>
    <w:rsid w:val="0BC1638D"/>
    <w:rsid w:val="0BC55E7E"/>
    <w:rsid w:val="0BCB2D68"/>
    <w:rsid w:val="0BCE52D3"/>
    <w:rsid w:val="0BD13BA5"/>
    <w:rsid w:val="0BD31C1D"/>
    <w:rsid w:val="0BD50CE3"/>
    <w:rsid w:val="0BD53BE7"/>
    <w:rsid w:val="0BD55995"/>
    <w:rsid w:val="0BD74967"/>
    <w:rsid w:val="0BD7795F"/>
    <w:rsid w:val="0BD87233"/>
    <w:rsid w:val="0BDE2A9B"/>
    <w:rsid w:val="0BE04A65"/>
    <w:rsid w:val="0BE300B2"/>
    <w:rsid w:val="0BE34556"/>
    <w:rsid w:val="0BE43E2A"/>
    <w:rsid w:val="0BE81B6C"/>
    <w:rsid w:val="0BE8391A"/>
    <w:rsid w:val="0BEA7692"/>
    <w:rsid w:val="0BEB26C8"/>
    <w:rsid w:val="0BF00A21"/>
    <w:rsid w:val="0BF26547"/>
    <w:rsid w:val="0BF43AE2"/>
    <w:rsid w:val="0BF55B92"/>
    <w:rsid w:val="0BF56037"/>
    <w:rsid w:val="0BF67EC9"/>
    <w:rsid w:val="0BF71DAF"/>
    <w:rsid w:val="0BFC1173"/>
    <w:rsid w:val="0BFD6B61"/>
    <w:rsid w:val="0C007DEB"/>
    <w:rsid w:val="0C01678A"/>
    <w:rsid w:val="0C023101"/>
    <w:rsid w:val="0C040028"/>
    <w:rsid w:val="0C060244"/>
    <w:rsid w:val="0C087B18"/>
    <w:rsid w:val="0C0A3890"/>
    <w:rsid w:val="0C0D3381"/>
    <w:rsid w:val="0C0F0EA7"/>
    <w:rsid w:val="0C1110C3"/>
    <w:rsid w:val="0C112E71"/>
    <w:rsid w:val="0C14470F"/>
    <w:rsid w:val="0C152235"/>
    <w:rsid w:val="0C175FAD"/>
    <w:rsid w:val="0C197F77"/>
    <w:rsid w:val="0C1A103B"/>
    <w:rsid w:val="0C1A784C"/>
    <w:rsid w:val="0C1B3CF0"/>
    <w:rsid w:val="0C1D3984"/>
    <w:rsid w:val="0C230DF6"/>
    <w:rsid w:val="0C274F90"/>
    <w:rsid w:val="0C28640C"/>
    <w:rsid w:val="0C2A5CE1"/>
    <w:rsid w:val="0C2C6B67"/>
    <w:rsid w:val="0C2F6006"/>
    <w:rsid w:val="0C300E1D"/>
    <w:rsid w:val="0C30706F"/>
    <w:rsid w:val="0C310A61"/>
    <w:rsid w:val="0C34090D"/>
    <w:rsid w:val="0C3628D7"/>
    <w:rsid w:val="0C364685"/>
    <w:rsid w:val="0C3703FE"/>
    <w:rsid w:val="0C3721AC"/>
    <w:rsid w:val="0C3A4DF1"/>
    <w:rsid w:val="0C3B1C9C"/>
    <w:rsid w:val="0C3B7EEE"/>
    <w:rsid w:val="0C3C06D6"/>
    <w:rsid w:val="0C3D1EB8"/>
    <w:rsid w:val="0C3E79DE"/>
    <w:rsid w:val="0C41302A"/>
    <w:rsid w:val="0C426CB3"/>
    <w:rsid w:val="0C450D6C"/>
    <w:rsid w:val="0C455357"/>
    <w:rsid w:val="0C4641DA"/>
    <w:rsid w:val="0C4843B9"/>
    <w:rsid w:val="0C5056AF"/>
    <w:rsid w:val="0C5114BF"/>
    <w:rsid w:val="0C527F29"/>
    <w:rsid w:val="0C530DEB"/>
    <w:rsid w:val="0C5603BC"/>
    <w:rsid w:val="0C564D28"/>
    <w:rsid w:val="0C581959"/>
    <w:rsid w:val="0C590374"/>
    <w:rsid w:val="0C59351C"/>
    <w:rsid w:val="0C5965C6"/>
    <w:rsid w:val="0C5B37C6"/>
    <w:rsid w:val="0C5C7E64"/>
    <w:rsid w:val="0C5D60B6"/>
    <w:rsid w:val="0C602928"/>
    <w:rsid w:val="0C637445"/>
    <w:rsid w:val="0C654F6B"/>
    <w:rsid w:val="0C686809"/>
    <w:rsid w:val="0C6A2581"/>
    <w:rsid w:val="0C6A432F"/>
    <w:rsid w:val="0C6A750D"/>
    <w:rsid w:val="0C6D3E1F"/>
    <w:rsid w:val="0C6F1945"/>
    <w:rsid w:val="0C7156BE"/>
    <w:rsid w:val="0C727767"/>
    <w:rsid w:val="0C760F26"/>
    <w:rsid w:val="0C776A4C"/>
    <w:rsid w:val="0C790A16"/>
    <w:rsid w:val="0C7927C4"/>
    <w:rsid w:val="0C7B653C"/>
    <w:rsid w:val="0C7D22B4"/>
    <w:rsid w:val="0C811679"/>
    <w:rsid w:val="0C8252F9"/>
    <w:rsid w:val="0C8278CB"/>
    <w:rsid w:val="0C835107"/>
    <w:rsid w:val="0C8352C9"/>
    <w:rsid w:val="0C8353F1"/>
    <w:rsid w:val="0C88726E"/>
    <w:rsid w:val="0C8A677F"/>
    <w:rsid w:val="0C8C24F7"/>
    <w:rsid w:val="0C8D0F7C"/>
    <w:rsid w:val="0C8E44C1"/>
    <w:rsid w:val="0C8E5FD5"/>
    <w:rsid w:val="0C8F1FE8"/>
    <w:rsid w:val="0C915D60"/>
    <w:rsid w:val="0C917B0E"/>
    <w:rsid w:val="0C927091"/>
    <w:rsid w:val="0C945850"/>
    <w:rsid w:val="0C994C14"/>
    <w:rsid w:val="0C9D5F6F"/>
    <w:rsid w:val="0C9E047D"/>
    <w:rsid w:val="0CA02447"/>
    <w:rsid w:val="0CA17CE4"/>
    <w:rsid w:val="0CA5180B"/>
    <w:rsid w:val="0CA535B9"/>
    <w:rsid w:val="0CA57A5D"/>
    <w:rsid w:val="0CA75583"/>
    <w:rsid w:val="0CA830A9"/>
    <w:rsid w:val="0CAA0BCF"/>
    <w:rsid w:val="0CAA5073"/>
    <w:rsid w:val="0CAC2B9A"/>
    <w:rsid w:val="0CAE6912"/>
    <w:rsid w:val="0CB3217A"/>
    <w:rsid w:val="0CB41A4E"/>
    <w:rsid w:val="0CB437FC"/>
    <w:rsid w:val="0CB46CF7"/>
    <w:rsid w:val="0CB47E66"/>
    <w:rsid w:val="0CB657C6"/>
    <w:rsid w:val="0CB8153E"/>
    <w:rsid w:val="0CB87790"/>
    <w:rsid w:val="0CB90E13"/>
    <w:rsid w:val="0CBB2DDD"/>
    <w:rsid w:val="0CC223BD"/>
    <w:rsid w:val="0CC40407"/>
    <w:rsid w:val="0CC47EE3"/>
    <w:rsid w:val="0CCA3020"/>
    <w:rsid w:val="0CCB7B51"/>
    <w:rsid w:val="0CCC323C"/>
    <w:rsid w:val="0CCC4F7E"/>
    <w:rsid w:val="0CCE2B10"/>
    <w:rsid w:val="0CD10852"/>
    <w:rsid w:val="0CD12600"/>
    <w:rsid w:val="0CD65E68"/>
    <w:rsid w:val="0CD8398F"/>
    <w:rsid w:val="0CDB347F"/>
    <w:rsid w:val="0CDB522D"/>
    <w:rsid w:val="0CDB6FDB"/>
    <w:rsid w:val="0CDD2D53"/>
    <w:rsid w:val="0CDE1C2A"/>
    <w:rsid w:val="0CE1105D"/>
    <w:rsid w:val="0CE30634"/>
    <w:rsid w:val="0CE33469"/>
    <w:rsid w:val="0CE71E24"/>
    <w:rsid w:val="0CE866DD"/>
    <w:rsid w:val="0CE916F8"/>
    <w:rsid w:val="0CEC11E8"/>
    <w:rsid w:val="0CEE6D0E"/>
    <w:rsid w:val="0CF30129"/>
    <w:rsid w:val="0CF462EF"/>
    <w:rsid w:val="0CF54541"/>
    <w:rsid w:val="0CF956B3"/>
    <w:rsid w:val="0CFA1B57"/>
    <w:rsid w:val="0CFB148C"/>
    <w:rsid w:val="0CFB58CF"/>
    <w:rsid w:val="0CFF129D"/>
    <w:rsid w:val="0D002EE5"/>
    <w:rsid w:val="0D0429D6"/>
    <w:rsid w:val="0D044784"/>
    <w:rsid w:val="0D046532"/>
    <w:rsid w:val="0D076022"/>
    <w:rsid w:val="0D0C3638"/>
    <w:rsid w:val="0D0C53E6"/>
    <w:rsid w:val="0D1B387B"/>
    <w:rsid w:val="0D1D5B70"/>
    <w:rsid w:val="0D200E92"/>
    <w:rsid w:val="0D272220"/>
    <w:rsid w:val="0D29243C"/>
    <w:rsid w:val="0D2C5A88"/>
    <w:rsid w:val="0D2E1801"/>
    <w:rsid w:val="0D3112F1"/>
    <w:rsid w:val="0D3229EB"/>
    <w:rsid w:val="0D335069"/>
    <w:rsid w:val="0D352B8F"/>
    <w:rsid w:val="0D35493D"/>
    <w:rsid w:val="0D366907"/>
    <w:rsid w:val="0D38442D"/>
    <w:rsid w:val="0D3A3D4E"/>
    <w:rsid w:val="0D3C216F"/>
    <w:rsid w:val="0D3D1A44"/>
    <w:rsid w:val="0D3D5EE8"/>
    <w:rsid w:val="0D3F3A0E"/>
    <w:rsid w:val="0D3F57BC"/>
    <w:rsid w:val="0D403B03"/>
    <w:rsid w:val="0D416E49"/>
    <w:rsid w:val="0D417786"/>
    <w:rsid w:val="0D4234FE"/>
    <w:rsid w:val="0D4350B1"/>
    <w:rsid w:val="0D470B14"/>
    <w:rsid w:val="0D49488C"/>
    <w:rsid w:val="0D4C7ED9"/>
    <w:rsid w:val="0D505C1B"/>
    <w:rsid w:val="0D5154EF"/>
    <w:rsid w:val="0D553231"/>
    <w:rsid w:val="0D556D8D"/>
    <w:rsid w:val="0D5A25F6"/>
    <w:rsid w:val="0D5B2BA8"/>
    <w:rsid w:val="0D5D70E8"/>
    <w:rsid w:val="0D633481"/>
    <w:rsid w:val="0D641011"/>
    <w:rsid w:val="0D645222"/>
    <w:rsid w:val="0D646FBB"/>
    <w:rsid w:val="0D69568B"/>
    <w:rsid w:val="0D6B2B7C"/>
    <w:rsid w:val="0D6C2329"/>
    <w:rsid w:val="0D6C40D7"/>
    <w:rsid w:val="0D6E42F3"/>
    <w:rsid w:val="0D703BC7"/>
    <w:rsid w:val="0D716C1A"/>
    <w:rsid w:val="0D731909"/>
    <w:rsid w:val="0D7336B7"/>
    <w:rsid w:val="0D774F56"/>
    <w:rsid w:val="0D776DD9"/>
    <w:rsid w:val="0D782A7C"/>
    <w:rsid w:val="0D7A4A46"/>
    <w:rsid w:val="0D7C07BE"/>
    <w:rsid w:val="0D7C6A10"/>
    <w:rsid w:val="0D7E7B62"/>
    <w:rsid w:val="0D8256A8"/>
    <w:rsid w:val="0D841421"/>
    <w:rsid w:val="0D857517"/>
    <w:rsid w:val="0D865199"/>
    <w:rsid w:val="0D8E229F"/>
    <w:rsid w:val="0D8E6743"/>
    <w:rsid w:val="0D8F1B47"/>
    <w:rsid w:val="0D935B07"/>
    <w:rsid w:val="0D950172"/>
    <w:rsid w:val="0D95362E"/>
    <w:rsid w:val="0D957AD2"/>
    <w:rsid w:val="0D961154"/>
    <w:rsid w:val="0D98311E"/>
    <w:rsid w:val="0D994565"/>
    <w:rsid w:val="0D9A6E96"/>
    <w:rsid w:val="0D9D0734"/>
    <w:rsid w:val="0D9D24E2"/>
    <w:rsid w:val="0D9F26FE"/>
    <w:rsid w:val="0D9F5624"/>
    <w:rsid w:val="0DA0360B"/>
    <w:rsid w:val="0DA04772"/>
    <w:rsid w:val="0DA11FD2"/>
    <w:rsid w:val="0DA1438C"/>
    <w:rsid w:val="0DA47700"/>
    <w:rsid w:val="0DA50BCE"/>
    <w:rsid w:val="0DA558DE"/>
    <w:rsid w:val="0DA63A8D"/>
    <w:rsid w:val="0DAB4BFF"/>
    <w:rsid w:val="0DAC2BE0"/>
    <w:rsid w:val="0DAC4521"/>
    <w:rsid w:val="0DAF0B93"/>
    <w:rsid w:val="0DB461AA"/>
    <w:rsid w:val="0DB557FA"/>
    <w:rsid w:val="0DB55C17"/>
    <w:rsid w:val="0DB65122"/>
    <w:rsid w:val="0DB717F6"/>
    <w:rsid w:val="0DB735A4"/>
    <w:rsid w:val="0DB86340"/>
    <w:rsid w:val="0DB8731C"/>
    <w:rsid w:val="0DB937C0"/>
    <w:rsid w:val="0DBA3AA3"/>
    <w:rsid w:val="0DBB40B9"/>
    <w:rsid w:val="0DBC0BBA"/>
    <w:rsid w:val="0DC134A7"/>
    <w:rsid w:val="0DC14423"/>
    <w:rsid w:val="0DC161D1"/>
    <w:rsid w:val="0DC42165"/>
    <w:rsid w:val="0DC61A39"/>
    <w:rsid w:val="0DC77E62"/>
    <w:rsid w:val="0DC91529"/>
    <w:rsid w:val="0DCB34F3"/>
    <w:rsid w:val="0DD04666"/>
    <w:rsid w:val="0DD73C46"/>
    <w:rsid w:val="0DD759F4"/>
    <w:rsid w:val="0DD8176C"/>
    <w:rsid w:val="0DDC300B"/>
    <w:rsid w:val="0DDC6E3D"/>
    <w:rsid w:val="0DDC74AE"/>
    <w:rsid w:val="0DDE4FD5"/>
    <w:rsid w:val="0DE17D54"/>
    <w:rsid w:val="0DE34399"/>
    <w:rsid w:val="0DE46363"/>
    <w:rsid w:val="0DE545B5"/>
    <w:rsid w:val="0DE620DB"/>
    <w:rsid w:val="0DE95727"/>
    <w:rsid w:val="0DEA1BCB"/>
    <w:rsid w:val="0DED5218"/>
    <w:rsid w:val="0DED5F86"/>
    <w:rsid w:val="0DEF2C07"/>
    <w:rsid w:val="0DF06AB6"/>
    <w:rsid w:val="0DF447F8"/>
    <w:rsid w:val="0DF50570"/>
    <w:rsid w:val="0DF50931"/>
    <w:rsid w:val="0DF540CC"/>
    <w:rsid w:val="0DF645D6"/>
    <w:rsid w:val="0DF91E0E"/>
    <w:rsid w:val="0DFA26A5"/>
    <w:rsid w:val="0DFC36AD"/>
    <w:rsid w:val="0DFC545B"/>
    <w:rsid w:val="0DFD6421"/>
    <w:rsid w:val="0DFE11D3"/>
    <w:rsid w:val="0E016F15"/>
    <w:rsid w:val="0E060087"/>
    <w:rsid w:val="0E06452B"/>
    <w:rsid w:val="0E0662D9"/>
    <w:rsid w:val="0E0802A4"/>
    <w:rsid w:val="0E082052"/>
    <w:rsid w:val="0E083E00"/>
    <w:rsid w:val="0E08610B"/>
    <w:rsid w:val="0E0E518E"/>
    <w:rsid w:val="0E115D2D"/>
    <w:rsid w:val="0E1327A4"/>
    <w:rsid w:val="0E146C48"/>
    <w:rsid w:val="0E1529C0"/>
    <w:rsid w:val="0E19425F"/>
    <w:rsid w:val="0E1E3623"/>
    <w:rsid w:val="0E1E7AC7"/>
    <w:rsid w:val="0E1F1149"/>
    <w:rsid w:val="0E1F739B"/>
    <w:rsid w:val="0E2055ED"/>
    <w:rsid w:val="0E2449B2"/>
    <w:rsid w:val="0E2624D8"/>
    <w:rsid w:val="0E2826F4"/>
    <w:rsid w:val="0E286250"/>
    <w:rsid w:val="0E2A646C"/>
    <w:rsid w:val="0E2D7D0A"/>
    <w:rsid w:val="0E2F3A82"/>
    <w:rsid w:val="0E341099"/>
    <w:rsid w:val="0E372937"/>
    <w:rsid w:val="0E3B2429"/>
    <w:rsid w:val="0E407A3D"/>
    <w:rsid w:val="0E43308A"/>
    <w:rsid w:val="0E440BB0"/>
    <w:rsid w:val="0E4447A8"/>
    <w:rsid w:val="0E460DCC"/>
    <w:rsid w:val="0E464928"/>
    <w:rsid w:val="0E4A4418"/>
    <w:rsid w:val="0E4B1F3E"/>
    <w:rsid w:val="0E4C5A77"/>
    <w:rsid w:val="0E4D03C4"/>
    <w:rsid w:val="0E4D368D"/>
    <w:rsid w:val="0E4F5ED2"/>
    <w:rsid w:val="0E503571"/>
    <w:rsid w:val="0E511C4A"/>
    <w:rsid w:val="0E512BF8"/>
    <w:rsid w:val="0E5131BF"/>
    <w:rsid w:val="0E525AF8"/>
    <w:rsid w:val="0E536DD7"/>
    <w:rsid w:val="0E5400D2"/>
    <w:rsid w:val="0E540297"/>
    <w:rsid w:val="0E545297"/>
    <w:rsid w:val="0E572FD9"/>
    <w:rsid w:val="0E582C0E"/>
    <w:rsid w:val="0E5C239D"/>
    <w:rsid w:val="0E5E1C72"/>
    <w:rsid w:val="0E5E7EC3"/>
    <w:rsid w:val="0E666D78"/>
    <w:rsid w:val="0E677FB6"/>
    <w:rsid w:val="0E686F94"/>
    <w:rsid w:val="0E6A2D0C"/>
    <w:rsid w:val="0E6A3AEA"/>
    <w:rsid w:val="0E6E52B8"/>
    <w:rsid w:val="0E6F20D1"/>
    <w:rsid w:val="0E71409B"/>
    <w:rsid w:val="0E72396F"/>
    <w:rsid w:val="0E7476E7"/>
    <w:rsid w:val="0E770F85"/>
    <w:rsid w:val="0E77636A"/>
    <w:rsid w:val="0E792F4F"/>
    <w:rsid w:val="0E7B2823"/>
    <w:rsid w:val="0E7B6CC7"/>
    <w:rsid w:val="0E7C659C"/>
    <w:rsid w:val="0E7E2314"/>
    <w:rsid w:val="0E7E79F3"/>
    <w:rsid w:val="0E8042DE"/>
    <w:rsid w:val="0E807E3A"/>
    <w:rsid w:val="0E8813E4"/>
    <w:rsid w:val="0E8A2A67"/>
    <w:rsid w:val="0E8C4A31"/>
    <w:rsid w:val="0E8D2557"/>
    <w:rsid w:val="0E8D7100"/>
    <w:rsid w:val="0E8F62CF"/>
    <w:rsid w:val="0E903DF5"/>
    <w:rsid w:val="0E910299"/>
    <w:rsid w:val="0E912047"/>
    <w:rsid w:val="0E924011"/>
    <w:rsid w:val="0E963B01"/>
    <w:rsid w:val="0E9658AF"/>
    <w:rsid w:val="0E981627"/>
    <w:rsid w:val="0E9B031F"/>
    <w:rsid w:val="0EA004DC"/>
    <w:rsid w:val="0EA0672E"/>
    <w:rsid w:val="0EA31D7A"/>
    <w:rsid w:val="0EA37FCC"/>
    <w:rsid w:val="0EA55676"/>
    <w:rsid w:val="0EAA135B"/>
    <w:rsid w:val="0EAA4EB7"/>
    <w:rsid w:val="0EAB25D1"/>
    <w:rsid w:val="0EAC50D3"/>
    <w:rsid w:val="0EAD49A7"/>
    <w:rsid w:val="0EB36461"/>
    <w:rsid w:val="0EB75826"/>
    <w:rsid w:val="0EB9159E"/>
    <w:rsid w:val="0EB9334C"/>
    <w:rsid w:val="0EBC7EAB"/>
    <w:rsid w:val="0EC00B7E"/>
    <w:rsid w:val="0EC0292C"/>
    <w:rsid w:val="0EC046DA"/>
    <w:rsid w:val="0EC266A4"/>
    <w:rsid w:val="0EC3241C"/>
    <w:rsid w:val="0EC75A69"/>
    <w:rsid w:val="0EC97353"/>
    <w:rsid w:val="0ECA5559"/>
    <w:rsid w:val="0ECC7523"/>
    <w:rsid w:val="0ECE329B"/>
    <w:rsid w:val="0ED03695"/>
    <w:rsid w:val="0ED14B39"/>
    <w:rsid w:val="0ED168E7"/>
    <w:rsid w:val="0ED558F6"/>
    <w:rsid w:val="0ED61957"/>
    <w:rsid w:val="0ED70216"/>
    <w:rsid w:val="0ED85EC8"/>
    <w:rsid w:val="0ED91C40"/>
    <w:rsid w:val="0EDB1514"/>
    <w:rsid w:val="0EDD4937"/>
    <w:rsid w:val="0EE06B2A"/>
    <w:rsid w:val="0EE228A3"/>
    <w:rsid w:val="0EE52393"/>
    <w:rsid w:val="0EE77EB9"/>
    <w:rsid w:val="0EE83C31"/>
    <w:rsid w:val="0EE83F3E"/>
    <w:rsid w:val="0EEC0FAC"/>
    <w:rsid w:val="0EED1247"/>
    <w:rsid w:val="0EEE56EB"/>
    <w:rsid w:val="0EF32D02"/>
    <w:rsid w:val="0EF32E21"/>
    <w:rsid w:val="0EF37672"/>
    <w:rsid w:val="0EF46240"/>
    <w:rsid w:val="0EF80C90"/>
    <w:rsid w:val="0EF83E74"/>
    <w:rsid w:val="0EFA4090"/>
    <w:rsid w:val="0EFB1BB6"/>
    <w:rsid w:val="0EFB5712"/>
    <w:rsid w:val="0EFD592E"/>
    <w:rsid w:val="0EFE5203"/>
    <w:rsid w:val="0F000F7B"/>
    <w:rsid w:val="0F022F45"/>
    <w:rsid w:val="0F024CF3"/>
    <w:rsid w:val="0F042EE4"/>
    <w:rsid w:val="0F072309"/>
    <w:rsid w:val="0F0740B7"/>
    <w:rsid w:val="0F087E2F"/>
    <w:rsid w:val="0F0942D3"/>
    <w:rsid w:val="0F0A004B"/>
    <w:rsid w:val="0F0A3BA7"/>
    <w:rsid w:val="0F0B7106"/>
    <w:rsid w:val="0F1113DA"/>
    <w:rsid w:val="0F130CAE"/>
    <w:rsid w:val="0F136F00"/>
    <w:rsid w:val="0F1467D4"/>
    <w:rsid w:val="0F16079E"/>
    <w:rsid w:val="0F16254C"/>
    <w:rsid w:val="0F165F46"/>
    <w:rsid w:val="0F1964F3"/>
    <w:rsid w:val="0F1B7B63"/>
    <w:rsid w:val="0F21132C"/>
    <w:rsid w:val="0F220EF1"/>
    <w:rsid w:val="0F24241C"/>
    <w:rsid w:val="0F276507"/>
    <w:rsid w:val="0F292D94"/>
    <w:rsid w:val="0F296723"/>
    <w:rsid w:val="0F2A5FF8"/>
    <w:rsid w:val="0F2C7FC2"/>
    <w:rsid w:val="0F2F360E"/>
    <w:rsid w:val="0F317386"/>
    <w:rsid w:val="0F333125"/>
    <w:rsid w:val="0F360E40"/>
    <w:rsid w:val="0F3A26DF"/>
    <w:rsid w:val="0F3A448D"/>
    <w:rsid w:val="0F3F1AA3"/>
    <w:rsid w:val="0F423341"/>
    <w:rsid w:val="0F4470B9"/>
    <w:rsid w:val="0F465E03"/>
    <w:rsid w:val="0F470958"/>
    <w:rsid w:val="0F474DFC"/>
    <w:rsid w:val="0F4A3C6A"/>
    <w:rsid w:val="0F4C5F6E"/>
    <w:rsid w:val="0F5002B6"/>
    <w:rsid w:val="0F501F02"/>
    <w:rsid w:val="0F5117D6"/>
    <w:rsid w:val="0F515C7A"/>
    <w:rsid w:val="0F526369"/>
    <w:rsid w:val="0F53554E"/>
    <w:rsid w:val="0F5372FC"/>
    <w:rsid w:val="0F543075"/>
    <w:rsid w:val="0F56503F"/>
    <w:rsid w:val="0F580DB7"/>
    <w:rsid w:val="0F5A68DD"/>
    <w:rsid w:val="0F5C1D51"/>
    <w:rsid w:val="0F5E0741"/>
    <w:rsid w:val="0F5F5CA1"/>
    <w:rsid w:val="0F615EBD"/>
    <w:rsid w:val="0F620FFF"/>
    <w:rsid w:val="0F621F1A"/>
    <w:rsid w:val="0F6611A1"/>
    <w:rsid w:val="0F681E22"/>
    <w:rsid w:val="0F6879EC"/>
    <w:rsid w:val="0F691DD8"/>
    <w:rsid w:val="0F6C20F8"/>
    <w:rsid w:val="0F707EAE"/>
    <w:rsid w:val="0F711E78"/>
    <w:rsid w:val="0F735BF1"/>
    <w:rsid w:val="0F73799F"/>
    <w:rsid w:val="0F753717"/>
    <w:rsid w:val="0F76123D"/>
    <w:rsid w:val="0F7B6853"/>
    <w:rsid w:val="0F7D081D"/>
    <w:rsid w:val="0F825E34"/>
    <w:rsid w:val="0F827BE2"/>
    <w:rsid w:val="0F833F24"/>
    <w:rsid w:val="0F871C1B"/>
    <w:rsid w:val="0F87687D"/>
    <w:rsid w:val="0F890F70"/>
    <w:rsid w:val="0F8971C2"/>
    <w:rsid w:val="0F8C280E"/>
    <w:rsid w:val="0F8E2A2A"/>
    <w:rsid w:val="0F8E79CE"/>
    <w:rsid w:val="0F916077"/>
    <w:rsid w:val="0F9255ED"/>
    <w:rsid w:val="0F9262E5"/>
    <w:rsid w:val="0F977B31"/>
    <w:rsid w:val="0F9954C0"/>
    <w:rsid w:val="0F9D2C6D"/>
    <w:rsid w:val="0F9F69E6"/>
    <w:rsid w:val="0FA062BA"/>
    <w:rsid w:val="0FA1450C"/>
    <w:rsid w:val="0FA61B22"/>
    <w:rsid w:val="0FA63F13"/>
    <w:rsid w:val="0FA77648"/>
    <w:rsid w:val="0FA83AEC"/>
    <w:rsid w:val="0FA97864"/>
    <w:rsid w:val="0FAD1102"/>
    <w:rsid w:val="0FB07ECC"/>
    <w:rsid w:val="0FB32491"/>
    <w:rsid w:val="0FB3423F"/>
    <w:rsid w:val="0FB55461"/>
    <w:rsid w:val="0FB63DEA"/>
    <w:rsid w:val="0FB83603"/>
    <w:rsid w:val="0FB87AA7"/>
    <w:rsid w:val="0FBA737B"/>
    <w:rsid w:val="0FBF2BE4"/>
    <w:rsid w:val="0FC1070A"/>
    <w:rsid w:val="0FC24482"/>
    <w:rsid w:val="0FC621C4"/>
    <w:rsid w:val="0FC71A98"/>
    <w:rsid w:val="0FC87CEA"/>
    <w:rsid w:val="0FC93A62"/>
    <w:rsid w:val="0FCA42ED"/>
    <w:rsid w:val="0FCB3337"/>
    <w:rsid w:val="0FCB6EBE"/>
    <w:rsid w:val="0FCD5301"/>
    <w:rsid w:val="0FCE1079"/>
    <w:rsid w:val="0FCE3827"/>
    <w:rsid w:val="0FD0094D"/>
    <w:rsid w:val="0FD1316F"/>
    <w:rsid w:val="0FD146C5"/>
    <w:rsid w:val="0FD3043D"/>
    <w:rsid w:val="0FD3668F"/>
    <w:rsid w:val="0FD42685"/>
    <w:rsid w:val="0FD51183"/>
    <w:rsid w:val="0FD57331"/>
    <w:rsid w:val="0FD83CA6"/>
    <w:rsid w:val="0FD92952"/>
    <w:rsid w:val="0FDC19E8"/>
    <w:rsid w:val="0FE32D76"/>
    <w:rsid w:val="0FE34B24"/>
    <w:rsid w:val="0FE60171"/>
    <w:rsid w:val="0FE73815"/>
    <w:rsid w:val="0FEB5787"/>
    <w:rsid w:val="0FEE0B17"/>
    <w:rsid w:val="0FEE34C9"/>
    <w:rsid w:val="0FEE60A0"/>
    <w:rsid w:val="0FF24D67"/>
    <w:rsid w:val="0FF3288D"/>
    <w:rsid w:val="0FF87EA4"/>
    <w:rsid w:val="0FFB2356"/>
    <w:rsid w:val="0FFC1742"/>
    <w:rsid w:val="0FFC7994"/>
    <w:rsid w:val="0FFF1232"/>
    <w:rsid w:val="0FFF466D"/>
    <w:rsid w:val="1000028B"/>
    <w:rsid w:val="10044A9B"/>
    <w:rsid w:val="10066A65"/>
    <w:rsid w:val="10066E92"/>
    <w:rsid w:val="1008458B"/>
    <w:rsid w:val="100B5B75"/>
    <w:rsid w:val="100B7BD7"/>
    <w:rsid w:val="100E1475"/>
    <w:rsid w:val="100F3B6B"/>
    <w:rsid w:val="101051ED"/>
    <w:rsid w:val="10142A71"/>
    <w:rsid w:val="101633E4"/>
    <w:rsid w:val="101747CE"/>
    <w:rsid w:val="101822F4"/>
    <w:rsid w:val="101E3DAE"/>
    <w:rsid w:val="101F3682"/>
    <w:rsid w:val="1021389E"/>
    <w:rsid w:val="102313C5"/>
    <w:rsid w:val="10234F21"/>
    <w:rsid w:val="10262C63"/>
    <w:rsid w:val="10294501"/>
    <w:rsid w:val="102962AF"/>
    <w:rsid w:val="102978DA"/>
    <w:rsid w:val="102C4A54"/>
    <w:rsid w:val="102D5D9F"/>
    <w:rsid w:val="102E1B18"/>
    <w:rsid w:val="10307BFB"/>
    <w:rsid w:val="1031510F"/>
    <w:rsid w:val="10321608"/>
    <w:rsid w:val="1032785A"/>
    <w:rsid w:val="1034712E"/>
    <w:rsid w:val="10390CED"/>
    <w:rsid w:val="103A04BC"/>
    <w:rsid w:val="103A226A"/>
    <w:rsid w:val="103C6964"/>
    <w:rsid w:val="103E7FAD"/>
    <w:rsid w:val="103F3D25"/>
    <w:rsid w:val="104355C3"/>
    <w:rsid w:val="104430E9"/>
    <w:rsid w:val="10463305"/>
    <w:rsid w:val="10487C63"/>
    <w:rsid w:val="104A4BA3"/>
    <w:rsid w:val="104B3262"/>
    <w:rsid w:val="104B4477"/>
    <w:rsid w:val="104D01F0"/>
    <w:rsid w:val="10507CE0"/>
    <w:rsid w:val="10507EB4"/>
    <w:rsid w:val="10523A58"/>
    <w:rsid w:val="105300C1"/>
    <w:rsid w:val="10535489"/>
    <w:rsid w:val="105477D0"/>
    <w:rsid w:val="10554D6F"/>
    <w:rsid w:val="105570A4"/>
    <w:rsid w:val="10563694"/>
    <w:rsid w:val="105772C0"/>
    <w:rsid w:val="105A46BB"/>
    <w:rsid w:val="105C0433"/>
    <w:rsid w:val="105E23FD"/>
    <w:rsid w:val="10607C17"/>
    <w:rsid w:val="10613C9B"/>
    <w:rsid w:val="106D43EE"/>
    <w:rsid w:val="10700268"/>
    <w:rsid w:val="10702130"/>
    <w:rsid w:val="107439CE"/>
    <w:rsid w:val="107522FB"/>
    <w:rsid w:val="107647A0"/>
    <w:rsid w:val="10771710"/>
    <w:rsid w:val="1077526D"/>
    <w:rsid w:val="10775C30"/>
    <w:rsid w:val="10797237"/>
    <w:rsid w:val="10797991"/>
    <w:rsid w:val="107E2A9F"/>
    <w:rsid w:val="108A31F2"/>
    <w:rsid w:val="108C5FAA"/>
    <w:rsid w:val="108D7FEC"/>
    <w:rsid w:val="1090632E"/>
    <w:rsid w:val="10945E1E"/>
    <w:rsid w:val="10947BCD"/>
    <w:rsid w:val="10973B61"/>
    <w:rsid w:val="10991687"/>
    <w:rsid w:val="109D1177"/>
    <w:rsid w:val="10A122E9"/>
    <w:rsid w:val="10A223D8"/>
    <w:rsid w:val="10A67900"/>
    <w:rsid w:val="10A73DA4"/>
    <w:rsid w:val="10A87B1C"/>
    <w:rsid w:val="10AA0ABF"/>
    <w:rsid w:val="10AB4F16"/>
    <w:rsid w:val="10AE2435"/>
    <w:rsid w:val="10AE42B7"/>
    <w:rsid w:val="10AF4A06"/>
    <w:rsid w:val="10B1077E"/>
    <w:rsid w:val="10B169D0"/>
    <w:rsid w:val="10B2701E"/>
    <w:rsid w:val="10B4201D"/>
    <w:rsid w:val="10B505C7"/>
    <w:rsid w:val="10B97633"/>
    <w:rsid w:val="10BB1A44"/>
    <w:rsid w:val="10BB784F"/>
    <w:rsid w:val="10BC7123"/>
    <w:rsid w:val="10BE10ED"/>
    <w:rsid w:val="10BE4C49"/>
    <w:rsid w:val="10C1473A"/>
    <w:rsid w:val="10C1728E"/>
    <w:rsid w:val="10C17BB1"/>
    <w:rsid w:val="10C20D74"/>
    <w:rsid w:val="10C34A85"/>
    <w:rsid w:val="10C36704"/>
    <w:rsid w:val="10C85AC8"/>
    <w:rsid w:val="10CA5CE4"/>
    <w:rsid w:val="10CA7A92"/>
    <w:rsid w:val="10CB29C9"/>
    <w:rsid w:val="10CC380A"/>
    <w:rsid w:val="10D34B99"/>
    <w:rsid w:val="10D426BF"/>
    <w:rsid w:val="10D47789"/>
    <w:rsid w:val="10D80401"/>
    <w:rsid w:val="10D821AF"/>
    <w:rsid w:val="10DE52B7"/>
    <w:rsid w:val="10DE626E"/>
    <w:rsid w:val="10E36DA6"/>
    <w:rsid w:val="10E548CC"/>
    <w:rsid w:val="10E70644"/>
    <w:rsid w:val="10E8616A"/>
    <w:rsid w:val="10EA0134"/>
    <w:rsid w:val="10EA3C90"/>
    <w:rsid w:val="10EB0A61"/>
    <w:rsid w:val="10EC17B7"/>
    <w:rsid w:val="10EE19D3"/>
    <w:rsid w:val="10EF1088"/>
    <w:rsid w:val="10F22B45"/>
    <w:rsid w:val="10F36FE9"/>
    <w:rsid w:val="10F468BD"/>
    <w:rsid w:val="10F845FF"/>
    <w:rsid w:val="10F86433"/>
    <w:rsid w:val="10F92125"/>
    <w:rsid w:val="10F96CD3"/>
    <w:rsid w:val="10FC5772"/>
    <w:rsid w:val="10FE598E"/>
    <w:rsid w:val="10FE773C"/>
    <w:rsid w:val="11005262"/>
    <w:rsid w:val="11031AF2"/>
    <w:rsid w:val="11036B00"/>
    <w:rsid w:val="11052B5A"/>
    <w:rsid w:val="11056D1C"/>
    <w:rsid w:val="110662B7"/>
    <w:rsid w:val="11072A94"/>
    <w:rsid w:val="110B5A55"/>
    <w:rsid w:val="110D477C"/>
    <w:rsid w:val="110F27D0"/>
    <w:rsid w:val="110F36F7"/>
    <w:rsid w:val="111125C9"/>
    <w:rsid w:val="11124F95"/>
    <w:rsid w:val="11125B04"/>
    <w:rsid w:val="11131439"/>
    <w:rsid w:val="1113452E"/>
    <w:rsid w:val="11162CD7"/>
    <w:rsid w:val="111863FF"/>
    <w:rsid w:val="11194576"/>
    <w:rsid w:val="111B6D01"/>
    <w:rsid w:val="111D5E14"/>
    <w:rsid w:val="11205904"/>
    <w:rsid w:val="11230728"/>
    <w:rsid w:val="11270A41"/>
    <w:rsid w:val="112847B9"/>
    <w:rsid w:val="112A0531"/>
    <w:rsid w:val="112B7445"/>
    <w:rsid w:val="112D1D65"/>
    <w:rsid w:val="113140BF"/>
    <w:rsid w:val="11323006"/>
    <w:rsid w:val="11335637"/>
    <w:rsid w:val="113B0990"/>
    <w:rsid w:val="113D0264"/>
    <w:rsid w:val="113E3FDC"/>
    <w:rsid w:val="113F222E"/>
    <w:rsid w:val="11423ACC"/>
    <w:rsid w:val="114317C8"/>
    <w:rsid w:val="114F61E9"/>
    <w:rsid w:val="11504EEC"/>
    <w:rsid w:val="11513D10"/>
    <w:rsid w:val="11561326"/>
    <w:rsid w:val="11567578"/>
    <w:rsid w:val="11587DBA"/>
    <w:rsid w:val="115B06EA"/>
    <w:rsid w:val="115C7016"/>
    <w:rsid w:val="115D26B4"/>
    <w:rsid w:val="115F467E"/>
    <w:rsid w:val="116003F7"/>
    <w:rsid w:val="11621A79"/>
    <w:rsid w:val="11625F1D"/>
    <w:rsid w:val="11627CCB"/>
    <w:rsid w:val="116457F1"/>
    <w:rsid w:val="116A4DD1"/>
    <w:rsid w:val="116F23E8"/>
    <w:rsid w:val="11733C86"/>
    <w:rsid w:val="1174766F"/>
    <w:rsid w:val="117874EE"/>
    <w:rsid w:val="11796EDC"/>
    <w:rsid w:val="117A14B8"/>
    <w:rsid w:val="117B2B3A"/>
    <w:rsid w:val="117D2D56"/>
    <w:rsid w:val="117E3EBF"/>
    <w:rsid w:val="118045F5"/>
    <w:rsid w:val="11812847"/>
    <w:rsid w:val="1182036D"/>
    <w:rsid w:val="1182199C"/>
    <w:rsid w:val="1182211B"/>
    <w:rsid w:val="11823EC9"/>
    <w:rsid w:val="11832B5F"/>
    <w:rsid w:val="11851C0B"/>
    <w:rsid w:val="11875983"/>
    <w:rsid w:val="11877731"/>
    <w:rsid w:val="118A0FD0"/>
    <w:rsid w:val="118B5473"/>
    <w:rsid w:val="118B7221"/>
    <w:rsid w:val="118C4749"/>
    <w:rsid w:val="118E0AC0"/>
    <w:rsid w:val="118E1EB1"/>
    <w:rsid w:val="11902A8A"/>
    <w:rsid w:val="119105B0"/>
    <w:rsid w:val="11921F79"/>
    <w:rsid w:val="1193257A"/>
    <w:rsid w:val="119360D6"/>
    <w:rsid w:val="11943BFC"/>
    <w:rsid w:val="11944B11"/>
    <w:rsid w:val="11951A46"/>
    <w:rsid w:val="1198193E"/>
    <w:rsid w:val="119A3908"/>
    <w:rsid w:val="119C290E"/>
    <w:rsid w:val="119D51A7"/>
    <w:rsid w:val="119F2CCD"/>
    <w:rsid w:val="119F4A7B"/>
    <w:rsid w:val="11A16A45"/>
    <w:rsid w:val="11A63895"/>
    <w:rsid w:val="11A958FA"/>
    <w:rsid w:val="11AA0E33"/>
    <w:rsid w:val="11AB1672"/>
    <w:rsid w:val="11AB78C4"/>
    <w:rsid w:val="11AC31FB"/>
    <w:rsid w:val="11AC53EA"/>
    <w:rsid w:val="11AE2F10"/>
    <w:rsid w:val="11B30526"/>
    <w:rsid w:val="11B51C10"/>
    <w:rsid w:val="11B524F0"/>
    <w:rsid w:val="11B5429E"/>
    <w:rsid w:val="11B5604C"/>
    <w:rsid w:val="11B85B3D"/>
    <w:rsid w:val="11BA3663"/>
    <w:rsid w:val="11C10E95"/>
    <w:rsid w:val="11C269BB"/>
    <w:rsid w:val="11C42733"/>
    <w:rsid w:val="11C757FB"/>
    <w:rsid w:val="11CB1D14"/>
    <w:rsid w:val="11CB45E7"/>
    <w:rsid w:val="11CC15E8"/>
    <w:rsid w:val="11D16BFE"/>
    <w:rsid w:val="11D230A2"/>
    <w:rsid w:val="11D37A4F"/>
    <w:rsid w:val="11D465DE"/>
    <w:rsid w:val="11D64F9F"/>
    <w:rsid w:val="11D84431"/>
    <w:rsid w:val="11DB026D"/>
    <w:rsid w:val="11DD1A47"/>
    <w:rsid w:val="11DF30C9"/>
    <w:rsid w:val="11DF756D"/>
    <w:rsid w:val="11E06E41"/>
    <w:rsid w:val="11E21A35"/>
    <w:rsid w:val="11E4475A"/>
    <w:rsid w:val="11E45D4D"/>
    <w:rsid w:val="11E8713C"/>
    <w:rsid w:val="11EC57E6"/>
    <w:rsid w:val="11EE155E"/>
    <w:rsid w:val="11EE4110"/>
    <w:rsid w:val="11EE77B0"/>
    <w:rsid w:val="11F101C0"/>
    <w:rsid w:val="11F34DC7"/>
    <w:rsid w:val="11F35E10"/>
    <w:rsid w:val="11F50B3F"/>
    <w:rsid w:val="11F748B7"/>
    <w:rsid w:val="11FA6155"/>
    <w:rsid w:val="11FE3E97"/>
    <w:rsid w:val="12011292"/>
    <w:rsid w:val="120174E4"/>
    <w:rsid w:val="12057DA5"/>
    <w:rsid w:val="12062D4C"/>
    <w:rsid w:val="12072C0E"/>
    <w:rsid w:val="12086AC4"/>
    <w:rsid w:val="120E39AF"/>
    <w:rsid w:val="12103BCB"/>
    <w:rsid w:val="12107727"/>
    <w:rsid w:val="12133839"/>
    <w:rsid w:val="12164807"/>
    <w:rsid w:val="12174F59"/>
    <w:rsid w:val="121865DB"/>
    <w:rsid w:val="12192C3B"/>
    <w:rsid w:val="121976AB"/>
    <w:rsid w:val="121A05A5"/>
    <w:rsid w:val="121A2353"/>
    <w:rsid w:val="121A2972"/>
    <w:rsid w:val="121A67F7"/>
    <w:rsid w:val="121E003E"/>
    <w:rsid w:val="121E62E8"/>
    <w:rsid w:val="122074D1"/>
    <w:rsid w:val="12215E3D"/>
    <w:rsid w:val="12221CD5"/>
    <w:rsid w:val="122338FE"/>
    <w:rsid w:val="12244F80"/>
    <w:rsid w:val="12260CF8"/>
    <w:rsid w:val="12280080"/>
    <w:rsid w:val="122D02D9"/>
    <w:rsid w:val="12303925"/>
    <w:rsid w:val="123238F4"/>
    <w:rsid w:val="1232769D"/>
    <w:rsid w:val="12371157"/>
    <w:rsid w:val="12392E5A"/>
    <w:rsid w:val="12395554"/>
    <w:rsid w:val="123B48D7"/>
    <w:rsid w:val="123C79C2"/>
    <w:rsid w:val="123D6042"/>
    <w:rsid w:val="12411DD6"/>
    <w:rsid w:val="12413D84"/>
    <w:rsid w:val="12415B32"/>
    <w:rsid w:val="12443874"/>
    <w:rsid w:val="124610BC"/>
    <w:rsid w:val="1246139A"/>
    <w:rsid w:val="12463148"/>
    <w:rsid w:val="124908B1"/>
    <w:rsid w:val="124B075F"/>
    <w:rsid w:val="124E6914"/>
    <w:rsid w:val="124F0EBB"/>
    <w:rsid w:val="124F46F3"/>
    <w:rsid w:val="12502219"/>
    <w:rsid w:val="12505D75"/>
    <w:rsid w:val="125062A9"/>
    <w:rsid w:val="12543AB7"/>
    <w:rsid w:val="125515DD"/>
    <w:rsid w:val="12597320"/>
    <w:rsid w:val="125C0BBE"/>
    <w:rsid w:val="125C296C"/>
    <w:rsid w:val="125D0492"/>
    <w:rsid w:val="125E4936"/>
    <w:rsid w:val="12617F82"/>
    <w:rsid w:val="12633CFA"/>
    <w:rsid w:val="12662D98"/>
    <w:rsid w:val="126637EB"/>
    <w:rsid w:val="12692C28"/>
    <w:rsid w:val="126A32DB"/>
    <w:rsid w:val="126B0E01"/>
    <w:rsid w:val="126B2BAF"/>
    <w:rsid w:val="126D2DCB"/>
    <w:rsid w:val="126F6B43"/>
    <w:rsid w:val="12745F08"/>
    <w:rsid w:val="12751C80"/>
    <w:rsid w:val="127557DC"/>
    <w:rsid w:val="12767ED2"/>
    <w:rsid w:val="127759F8"/>
    <w:rsid w:val="12781EB2"/>
    <w:rsid w:val="12785B7C"/>
    <w:rsid w:val="12791770"/>
    <w:rsid w:val="127C300E"/>
    <w:rsid w:val="127C4DBC"/>
    <w:rsid w:val="12810624"/>
    <w:rsid w:val="128276A4"/>
    <w:rsid w:val="12830AEB"/>
    <w:rsid w:val="12850115"/>
    <w:rsid w:val="128656A0"/>
    <w:rsid w:val="128679E9"/>
    <w:rsid w:val="12871737"/>
    <w:rsid w:val="128819B3"/>
    <w:rsid w:val="128C628C"/>
    <w:rsid w:val="128D0E5D"/>
    <w:rsid w:val="1292638E"/>
    <w:rsid w:val="12940358"/>
    <w:rsid w:val="12950E71"/>
    <w:rsid w:val="12955E7E"/>
    <w:rsid w:val="129B7938"/>
    <w:rsid w:val="12A444E8"/>
    <w:rsid w:val="12A61E39"/>
    <w:rsid w:val="12A65A60"/>
    <w:rsid w:val="12A85BB1"/>
    <w:rsid w:val="12A8795F"/>
    <w:rsid w:val="12AA7B7B"/>
    <w:rsid w:val="12AE2BAB"/>
    <w:rsid w:val="12AF0CEE"/>
    <w:rsid w:val="12B24C82"/>
    <w:rsid w:val="12B44556"/>
    <w:rsid w:val="12B45137"/>
    <w:rsid w:val="12B91B6C"/>
    <w:rsid w:val="12BB58E4"/>
    <w:rsid w:val="12BC158B"/>
    <w:rsid w:val="12BE3627"/>
    <w:rsid w:val="12BF111A"/>
    <w:rsid w:val="12C0114D"/>
    <w:rsid w:val="12C34799"/>
    <w:rsid w:val="12C35C8B"/>
    <w:rsid w:val="12C54F8C"/>
    <w:rsid w:val="12C624DB"/>
    <w:rsid w:val="12C765B7"/>
    <w:rsid w:val="12D22C2E"/>
    <w:rsid w:val="12D335F1"/>
    <w:rsid w:val="12D350B0"/>
    <w:rsid w:val="12D469A6"/>
    <w:rsid w:val="12D60970"/>
    <w:rsid w:val="12D84CD4"/>
    <w:rsid w:val="12DA1AE3"/>
    <w:rsid w:val="12E0534B"/>
    <w:rsid w:val="12E3308D"/>
    <w:rsid w:val="12E60488"/>
    <w:rsid w:val="12EC0194"/>
    <w:rsid w:val="12EC1F42"/>
    <w:rsid w:val="12F41661"/>
    <w:rsid w:val="12F45349"/>
    <w:rsid w:val="12F47048"/>
    <w:rsid w:val="12F51579"/>
    <w:rsid w:val="12F5384D"/>
    <w:rsid w:val="12F62DC0"/>
    <w:rsid w:val="12F708E7"/>
    <w:rsid w:val="12F72695"/>
    <w:rsid w:val="12F9465F"/>
    <w:rsid w:val="12FB7C72"/>
    <w:rsid w:val="12FD414F"/>
    <w:rsid w:val="12FD7CCA"/>
    <w:rsid w:val="12FE1C75"/>
    <w:rsid w:val="13021765"/>
    <w:rsid w:val="13031039"/>
    <w:rsid w:val="13042B7A"/>
    <w:rsid w:val="13054DB2"/>
    <w:rsid w:val="13082AF4"/>
    <w:rsid w:val="130C4392"/>
    <w:rsid w:val="130F79DE"/>
    <w:rsid w:val="13167841"/>
    <w:rsid w:val="1319085D"/>
    <w:rsid w:val="131909C4"/>
    <w:rsid w:val="13192368"/>
    <w:rsid w:val="131B45D5"/>
    <w:rsid w:val="131E7C21"/>
    <w:rsid w:val="131F2662"/>
    <w:rsid w:val="13203999"/>
    <w:rsid w:val="132058E6"/>
    <w:rsid w:val="13207E3D"/>
    <w:rsid w:val="13225964"/>
    <w:rsid w:val="1323348A"/>
    <w:rsid w:val="1324792E"/>
    <w:rsid w:val="13250FB0"/>
    <w:rsid w:val="13255454"/>
    <w:rsid w:val="132900D9"/>
    <w:rsid w:val="13294F44"/>
    <w:rsid w:val="132A0CBC"/>
    <w:rsid w:val="13307FAC"/>
    <w:rsid w:val="13313DF9"/>
    <w:rsid w:val="1336140F"/>
    <w:rsid w:val="13385187"/>
    <w:rsid w:val="13386F35"/>
    <w:rsid w:val="13392CAD"/>
    <w:rsid w:val="13405DEA"/>
    <w:rsid w:val="13421B62"/>
    <w:rsid w:val="13433B2C"/>
    <w:rsid w:val="134358DA"/>
    <w:rsid w:val="134753CA"/>
    <w:rsid w:val="134830F1"/>
    <w:rsid w:val="13497394"/>
    <w:rsid w:val="134C741F"/>
    <w:rsid w:val="134E6759"/>
    <w:rsid w:val="134F6696"/>
    <w:rsid w:val="13516249"/>
    <w:rsid w:val="13533346"/>
    <w:rsid w:val="13533EC6"/>
    <w:rsid w:val="13541895"/>
    <w:rsid w:val="13581385"/>
    <w:rsid w:val="135D400E"/>
    <w:rsid w:val="13604F97"/>
    <w:rsid w:val="13620456"/>
    <w:rsid w:val="136715C8"/>
    <w:rsid w:val="13675A6C"/>
    <w:rsid w:val="13676411"/>
    <w:rsid w:val="13695F20"/>
    <w:rsid w:val="136A2E67"/>
    <w:rsid w:val="136E2957"/>
    <w:rsid w:val="136F66CF"/>
    <w:rsid w:val="137139DD"/>
    <w:rsid w:val="13743CE5"/>
    <w:rsid w:val="13767A5D"/>
    <w:rsid w:val="13781A27"/>
    <w:rsid w:val="13783BD1"/>
    <w:rsid w:val="1379754E"/>
    <w:rsid w:val="137D2B9A"/>
    <w:rsid w:val="13802363"/>
    <w:rsid w:val="13826402"/>
    <w:rsid w:val="138369B1"/>
    <w:rsid w:val="138403CC"/>
    <w:rsid w:val="13871C6A"/>
    <w:rsid w:val="13877EBC"/>
    <w:rsid w:val="138A175B"/>
    <w:rsid w:val="138A52B7"/>
    <w:rsid w:val="138C54D3"/>
    <w:rsid w:val="138C7281"/>
    <w:rsid w:val="138E124B"/>
    <w:rsid w:val="138F0B1F"/>
    <w:rsid w:val="138F28CD"/>
    <w:rsid w:val="13946135"/>
    <w:rsid w:val="139525D9"/>
    <w:rsid w:val="139530F9"/>
    <w:rsid w:val="139541C0"/>
    <w:rsid w:val="13954387"/>
    <w:rsid w:val="1396715A"/>
    <w:rsid w:val="13985C26"/>
    <w:rsid w:val="139A7BF0"/>
    <w:rsid w:val="139B1B3C"/>
    <w:rsid w:val="13A20852"/>
    <w:rsid w:val="13A22600"/>
    <w:rsid w:val="13A4281C"/>
    <w:rsid w:val="13A50343"/>
    <w:rsid w:val="13A66595"/>
    <w:rsid w:val="13A82846"/>
    <w:rsid w:val="13AA1036"/>
    <w:rsid w:val="13AB3BAB"/>
    <w:rsid w:val="13AC7923"/>
    <w:rsid w:val="13AF628E"/>
    <w:rsid w:val="13B47F15"/>
    <w:rsid w:val="13B642FE"/>
    <w:rsid w:val="13B81064"/>
    <w:rsid w:val="13BD743A"/>
    <w:rsid w:val="13BF65A8"/>
    <w:rsid w:val="13C139AF"/>
    <w:rsid w:val="13C22CA3"/>
    <w:rsid w:val="13C702B9"/>
    <w:rsid w:val="13C7650B"/>
    <w:rsid w:val="13C7764A"/>
    <w:rsid w:val="13CA366E"/>
    <w:rsid w:val="13CB7DA9"/>
    <w:rsid w:val="13CC1D73"/>
    <w:rsid w:val="13CC3B21"/>
    <w:rsid w:val="13CD3C97"/>
    <w:rsid w:val="13D1738A"/>
    <w:rsid w:val="13D645ED"/>
    <w:rsid w:val="13D6674E"/>
    <w:rsid w:val="13D749A0"/>
    <w:rsid w:val="13D824C6"/>
    <w:rsid w:val="13D928F9"/>
    <w:rsid w:val="13DA7FEC"/>
    <w:rsid w:val="13DC588E"/>
    <w:rsid w:val="13E0137B"/>
    <w:rsid w:val="13E01C4A"/>
    <w:rsid w:val="13E23345"/>
    <w:rsid w:val="13E250F3"/>
    <w:rsid w:val="13E40E6B"/>
    <w:rsid w:val="13E56991"/>
    <w:rsid w:val="13E9022F"/>
    <w:rsid w:val="13EB2001"/>
    <w:rsid w:val="13EC7D20"/>
    <w:rsid w:val="13F310AE"/>
    <w:rsid w:val="13F76DF0"/>
    <w:rsid w:val="13FC61B5"/>
    <w:rsid w:val="13FD017F"/>
    <w:rsid w:val="14005579"/>
    <w:rsid w:val="14011A1D"/>
    <w:rsid w:val="14011AE1"/>
    <w:rsid w:val="140212F1"/>
    <w:rsid w:val="14025795"/>
    <w:rsid w:val="14027543"/>
    <w:rsid w:val="14065285"/>
    <w:rsid w:val="14101C60"/>
    <w:rsid w:val="14117786"/>
    <w:rsid w:val="141334FE"/>
    <w:rsid w:val="14171E4D"/>
    <w:rsid w:val="141B23B3"/>
    <w:rsid w:val="141F00F5"/>
    <w:rsid w:val="142100DC"/>
    <w:rsid w:val="14237BE5"/>
    <w:rsid w:val="142474B9"/>
    <w:rsid w:val="14264FE0"/>
    <w:rsid w:val="14285425"/>
    <w:rsid w:val="142B0848"/>
    <w:rsid w:val="142E20E6"/>
    <w:rsid w:val="143040B0"/>
    <w:rsid w:val="14305E5E"/>
    <w:rsid w:val="14333776"/>
    <w:rsid w:val="143376FC"/>
    <w:rsid w:val="143A4F2F"/>
    <w:rsid w:val="143A6CDD"/>
    <w:rsid w:val="143C2A65"/>
    <w:rsid w:val="143F2545"/>
    <w:rsid w:val="143F60A1"/>
    <w:rsid w:val="14425B91"/>
    <w:rsid w:val="144638D4"/>
    <w:rsid w:val="14467430"/>
    <w:rsid w:val="14495172"/>
    <w:rsid w:val="144B2C98"/>
    <w:rsid w:val="144B64A6"/>
    <w:rsid w:val="144E16AB"/>
    <w:rsid w:val="144F6715"/>
    <w:rsid w:val="14522A66"/>
    <w:rsid w:val="14546200"/>
    <w:rsid w:val="145A5D58"/>
    <w:rsid w:val="145C30F7"/>
    <w:rsid w:val="145F6743"/>
    <w:rsid w:val="145F6B34"/>
    <w:rsid w:val="146124BC"/>
    <w:rsid w:val="146752C6"/>
    <w:rsid w:val="146C7CA8"/>
    <w:rsid w:val="146F2E2A"/>
    <w:rsid w:val="14700951"/>
    <w:rsid w:val="147246C9"/>
    <w:rsid w:val="14740441"/>
    <w:rsid w:val="14750D5A"/>
    <w:rsid w:val="14757D15"/>
    <w:rsid w:val="14773A8D"/>
    <w:rsid w:val="14787805"/>
    <w:rsid w:val="147A16BB"/>
    <w:rsid w:val="147A17CF"/>
    <w:rsid w:val="147C605C"/>
    <w:rsid w:val="147E12BF"/>
    <w:rsid w:val="147E306D"/>
    <w:rsid w:val="147E4E1C"/>
    <w:rsid w:val="14834787"/>
    <w:rsid w:val="14861F22"/>
    <w:rsid w:val="14883EEC"/>
    <w:rsid w:val="14891A12"/>
    <w:rsid w:val="148B7538"/>
    <w:rsid w:val="14900FF3"/>
    <w:rsid w:val="14904B4F"/>
    <w:rsid w:val="149208C7"/>
    <w:rsid w:val="14922675"/>
    <w:rsid w:val="149363ED"/>
    <w:rsid w:val="149C206F"/>
    <w:rsid w:val="149F6A62"/>
    <w:rsid w:val="14A01236"/>
    <w:rsid w:val="14A30D26"/>
    <w:rsid w:val="14A34882"/>
    <w:rsid w:val="14A405FA"/>
    <w:rsid w:val="14A423A8"/>
    <w:rsid w:val="14A43FF4"/>
    <w:rsid w:val="14A625C4"/>
    <w:rsid w:val="14A64372"/>
    <w:rsid w:val="14AA20B4"/>
    <w:rsid w:val="14AA3E63"/>
    <w:rsid w:val="14AA5797"/>
    <w:rsid w:val="14AB3737"/>
    <w:rsid w:val="14AC29C6"/>
    <w:rsid w:val="14AD3953"/>
    <w:rsid w:val="14AD5701"/>
    <w:rsid w:val="14AE3227"/>
    <w:rsid w:val="14B1493F"/>
    <w:rsid w:val="14B20F69"/>
    <w:rsid w:val="14B4218C"/>
    <w:rsid w:val="14B60A59"/>
    <w:rsid w:val="14BC1DE8"/>
    <w:rsid w:val="14BC5944"/>
    <w:rsid w:val="14BE16BC"/>
    <w:rsid w:val="14C12F5A"/>
    <w:rsid w:val="14C249EE"/>
    <w:rsid w:val="14C615D4"/>
    <w:rsid w:val="14C9266C"/>
    <w:rsid w:val="14CB202B"/>
    <w:rsid w:val="14CF5677"/>
    <w:rsid w:val="14D26E56"/>
    <w:rsid w:val="14D26F15"/>
    <w:rsid w:val="14D52F59"/>
    <w:rsid w:val="14D62EA9"/>
    <w:rsid w:val="14DB226E"/>
    <w:rsid w:val="14DC7D94"/>
    <w:rsid w:val="14DE562A"/>
    <w:rsid w:val="14E530ED"/>
    <w:rsid w:val="14E939B0"/>
    <w:rsid w:val="14EB6229"/>
    <w:rsid w:val="14ED01F3"/>
    <w:rsid w:val="14ED3D4F"/>
    <w:rsid w:val="14EF1875"/>
    <w:rsid w:val="14EF3F6B"/>
    <w:rsid w:val="14EF7AC7"/>
    <w:rsid w:val="14F0383F"/>
    <w:rsid w:val="14F055ED"/>
    <w:rsid w:val="14F90946"/>
    <w:rsid w:val="14FA39C1"/>
    <w:rsid w:val="14FB646C"/>
    <w:rsid w:val="14FE7D0A"/>
    <w:rsid w:val="15015A4D"/>
    <w:rsid w:val="15033573"/>
    <w:rsid w:val="15063063"/>
    <w:rsid w:val="150A2B53"/>
    <w:rsid w:val="150D1907"/>
    <w:rsid w:val="150D2643"/>
    <w:rsid w:val="150F0169"/>
    <w:rsid w:val="150F1F18"/>
    <w:rsid w:val="15107A3E"/>
    <w:rsid w:val="15115C90"/>
    <w:rsid w:val="15121A08"/>
    <w:rsid w:val="1514752E"/>
    <w:rsid w:val="15175270"/>
    <w:rsid w:val="151D2886"/>
    <w:rsid w:val="151D5C6D"/>
    <w:rsid w:val="151E215B"/>
    <w:rsid w:val="15205ED3"/>
    <w:rsid w:val="1525559D"/>
    <w:rsid w:val="15267261"/>
    <w:rsid w:val="15284D87"/>
    <w:rsid w:val="152E4A94"/>
    <w:rsid w:val="152F3A77"/>
    <w:rsid w:val="152F4368"/>
    <w:rsid w:val="152F6116"/>
    <w:rsid w:val="15325C06"/>
    <w:rsid w:val="1534197E"/>
    <w:rsid w:val="1534372C"/>
    <w:rsid w:val="153674A4"/>
    <w:rsid w:val="153876C0"/>
    <w:rsid w:val="15393438"/>
    <w:rsid w:val="153951E6"/>
    <w:rsid w:val="153E0A4F"/>
    <w:rsid w:val="15400323"/>
    <w:rsid w:val="15403BB8"/>
    <w:rsid w:val="154222ED"/>
    <w:rsid w:val="1542409B"/>
    <w:rsid w:val="15453B8B"/>
    <w:rsid w:val="15466837"/>
    <w:rsid w:val="154A73F4"/>
    <w:rsid w:val="154B2D39"/>
    <w:rsid w:val="154D47EE"/>
    <w:rsid w:val="154D743D"/>
    <w:rsid w:val="154F0566"/>
    <w:rsid w:val="15567B46"/>
    <w:rsid w:val="1557566D"/>
    <w:rsid w:val="15581B10"/>
    <w:rsid w:val="155838BF"/>
    <w:rsid w:val="155B33AF"/>
    <w:rsid w:val="155B515D"/>
    <w:rsid w:val="155D0ED5"/>
    <w:rsid w:val="1562699D"/>
    <w:rsid w:val="15632263"/>
    <w:rsid w:val="15634011"/>
    <w:rsid w:val="15667555"/>
    <w:rsid w:val="15673B02"/>
    <w:rsid w:val="15697A03"/>
    <w:rsid w:val="156A35F2"/>
    <w:rsid w:val="156D4E90"/>
    <w:rsid w:val="156E60D3"/>
    <w:rsid w:val="156E7814"/>
    <w:rsid w:val="156F0C08"/>
    <w:rsid w:val="156F30DB"/>
    <w:rsid w:val="1571672E"/>
    <w:rsid w:val="15761F97"/>
    <w:rsid w:val="157846D9"/>
    <w:rsid w:val="15785D0F"/>
    <w:rsid w:val="157D1577"/>
    <w:rsid w:val="157D229A"/>
    <w:rsid w:val="157D50D3"/>
    <w:rsid w:val="157E709D"/>
    <w:rsid w:val="15805CC9"/>
    <w:rsid w:val="15826B8D"/>
    <w:rsid w:val="1583615B"/>
    <w:rsid w:val="1585042C"/>
    <w:rsid w:val="158703BA"/>
    <w:rsid w:val="158D492B"/>
    <w:rsid w:val="1594241D"/>
    <w:rsid w:val="15966195"/>
    <w:rsid w:val="1598497F"/>
    <w:rsid w:val="159A3ED7"/>
    <w:rsid w:val="159E5049"/>
    <w:rsid w:val="15A5287C"/>
    <w:rsid w:val="15A543F6"/>
    <w:rsid w:val="15A9411A"/>
    <w:rsid w:val="15A97268"/>
    <w:rsid w:val="15B11EE6"/>
    <w:rsid w:val="15B66837"/>
    <w:rsid w:val="15C076B6"/>
    <w:rsid w:val="15C2342E"/>
    <w:rsid w:val="15C42D02"/>
    <w:rsid w:val="15C54914"/>
    <w:rsid w:val="15C727F2"/>
    <w:rsid w:val="15C75F11"/>
    <w:rsid w:val="15CA2D3E"/>
    <w:rsid w:val="15CA5E3E"/>
    <w:rsid w:val="15CB1088"/>
    <w:rsid w:val="15CC7E09"/>
    <w:rsid w:val="15CD7F7E"/>
    <w:rsid w:val="15CE3B81"/>
    <w:rsid w:val="15CE592F"/>
    <w:rsid w:val="15CF1DD7"/>
    <w:rsid w:val="15D05B4B"/>
    <w:rsid w:val="15D22C4B"/>
    <w:rsid w:val="15D373E9"/>
    <w:rsid w:val="15D54F0F"/>
    <w:rsid w:val="15D87E6D"/>
    <w:rsid w:val="15D942D4"/>
    <w:rsid w:val="15DA0777"/>
    <w:rsid w:val="15DB004C"/>
    <w:rsid w:val="15DB44F0"/>
    <w:rsid w:val="15DB629E"/>
    <w:rsid w:val="15DD2016"/>
    <w:rsid w:val="15DF1814"/>
    <w:rsid w:val="15E224A7"/>
    <w:rsid w:val="15E46F00"/>
    <w:rsid w:val="15E57946"/>
    <w:rsid w:val="15E92769"/>
    <w:rsid w:val="15EA64E1"/>
    <w:rsid w:val="15EE09F8"/>
    <w:rsid w:val="15EF1E88"/>
    <w:rsid w:val="15EF3AF7"/>
    <w:rsid w:val="15F15AC1"/>
    <w:rsid w:val="15FB5925"/>
    <w:rsid w:val="15FD4466"/>
    <w:rsid w:val="16002E0D"/>
    <w:rsid w:val="16007D4A"/>
    <w:rsid w:val="1602382A"/>
    <w:rsid w:val="160324C7"/>
    <w:rsid w:val="1604435F"/>
    <w:rsid w:val="1606156C"/>
    <w:rsid w:val="16062EAF"/>
    <w:rsid w:val="160A308E"/>
    <w:rsid w:val="160B6B83"/>
    <w:rsid w:val="160C07B5"/>
    <w:rsid w:val="160C2AF1"/>
    <w:rsid w:val="160E0421"/>
    <w:rsid w:val="16150220"/>
    <w:rsid w:val="161672D6"/>
    <w:rsid w:val="161A0B74"/>
    <w:rsid w:val="161A6585"/>
    <w:rsid w:val="161B1156"/>
    <w:rsid w:val="161B7A15"/>
    <w:rsid w:val="161D2412"/>
    <w:rsid w:val="161D68B6"/>
    <w:rsid w:val="161F262E"/>
    <w:rsid w:val="162163A6"/>
    <w:rsid w:val="16225C7A"/>
    <w:rsid w:val="16255382"/>
    <w:rsid w:val="162639BD"/>
    <w:rsid w:val="16294BEA"/>
    <w:rsid w:val="162B3B97"/>
    <w:rsid w:val="16310CCA"/>
    <w:rsid w:val="16314110"/>
    <w:rsid w:val="16351E52"/>
    <w:rsid w:val="16397A1B"/>
    <w:rsid w:val="163A3BCD"/>
    <w:rsid w:val="164342FA"/>
    <w:rsid w:val="16442095"/>
    <w:rsid w:val="16461969"/>
    <w:rsid w:val="16467BBB"/>
    <w:rsid w:val="16473933"/>
    <w:rsid w:val="1647529D"/>
    <w:rsid w:val="16491459"/>
    <w:rsid w:val="164976AB"/>
    <w:rsid w:val="164B6F7F"/>
    <w:rsid w:val="164C2CF7"/>
    <w:rsid w:val="164E646B"/>
    <w:rsid w:val="16504AB9"/>
    <w:rsid w:val="16511225"/>
    <w:rsid w:val="16521C58"/>
    <w:rsid w:val="165247B2"/>
    <w:rsid w:val="165322D8"/>
    <w:rsid w:val="16534086"/>
    <w:rsid w:val="165351E7"/>
    <w:rsid w:val="165770B0"/>
    <w:rsid w:val="165879B7"/>
    <w:rsid w:val="165C118C"/>
    <w:rsid w:val="165D4F05"/>
    <w:rsid w:val="165E095B"/>
    <w:rsid w:val="165E3157"/>
    <w:rsid w:val="16612C47"/>
    <w:rsid w:val="166B3472"/>
    <w:rsid w:val="166E2C6E"/>
    <w:rsid w:val="167209B0"/>
    <w:rsid w:val="1672275E"/>
    <w:rsid w:val="167A7865"/>
    <w:rsid w:val="167C35DD"/>
    <w:rsid w:val="167D7355"/>
    <w:rsid w:val="168067AE"/>
    <w:rsid w:val="168129A1"/>
    <w:rsid w:val="16826356"/>
    <w:rsid w:val="1683791F"/>
    <w:rsid w:val="168406E3"/>
    <w:rsid w:val="16850115"/>
    <w:rsid w:val="168626AD"/>
    <w:rsid w:val="16881F81"/>
    <w:rsid w:val="168868B2"/>
    <w:rsid w:val="168B3820"/>
    <w:rsid w:val="169166B8"/>
    <w:rsid w:val="16921052"/>
    <w:rsid w:val="169721C5"/>
    <w:rsid w:val="1699418F"/>
    <w:rsid w:val="169E17A5"/>
    <w:rsid w:val="16A04D1D"/>
    <w:rsid w:val="16A13043"/>
    <w:rsid w:val="16A22BEB"/>
    <w:rsid w:val="16A3500D"/>
    <w:rsid w:val="16A448E1"/>
    <w:rsid w:val="16A6065A"/>
    <w:rsid w:val="16A62408"/>
    <w:rsid w:val="16A668AC"/>
    <w:rsid w:val="16A804D0"/>
    <w:rsid w:val="16A85F9B"/>
    <w:rsid w:val="16A86180"/>
    <w:rsid w:val="16A9014A"/>
    <w:rsid w:val="16AD19E8"/>
    <w:rsid w:val="16B54D41"/>
    <w:rsid w:val="16B965DF"/>
    <w:rsid w:val="16BC7E7D"/>
    <w:rsid w:val="16BD25D4"/>
    <w:rsid w:val="16BE59A3"/>
    <w:rsid w:val="16C17241"/>
    <w:rsid w:val="16C4058C"/>
    <w:rsid w:val="16C531D6"/>
    <w:rsid w:val="16CB4564"/>
    <w:rsid w:val="16CB6312"/>
    <w:rsid w:val="16CB645F"/>
    <w:rsid w:val="16CE195E"/>
    <w:rsid w:val="16D03928"/>
    <w:rsid w:val="16D2144F"/>
    <w:rsid w:val="16D451C7"/>
    <w:rsid w:val="16D66711"/>
    <w:rsid w:val="16D76A65"/>
    <w:rsid w:val="16DA0303"/>
    <w:rsid w:val="16DB47A7"/>
    <w:rsid w:val="16DC051F"/>
    <w:rsid w:val="16DC22CD"/>
    <w:rsid w:val="16DC407B"/>
    <w:rsid w:val="16DE1BA1"/>
    <w:rsid w:val="16E11B7C"/>
    <w:rsid w:val="16E178E4"/>
    <w:rsid w:val="16E40AD9"/>
    <w:rsid w:val="16E41182"/>
    <w:rsid w:val="16E42F30"/>
    <w:rsid w:val="16E86EC4"/>
    <w:rsid w:val="16ED44DA"/>
    <w:rsid w:val="16F5338F"/>
    <w:rsid w:val="16F643D6"/>
    <w:rsid w:val="16F8414B"/>
    <w:rsid w:val="16FA5561"/>
    <w:rsid w:val="170250D4"/>
    <w:rsid w:val="17045380"/>
    <w:rsid w:val="170535D2"/>
    <w:rsid w:val="1706559C"/>
    <w:rsid w:val="1706734A"/>
    <w:rsid w:val="17092996"/>
    <w:rsid w:val="17120E59"/>
    <w:rsid w:val="17123F41"/>
    <w:rsid w:val="171657DF"/>
    <w:rsid w:val="171750B3"/>
    <w:rsid w:val="171820A2"/>
    <w:rsid w:val="171877C6"/>
    <w:rsid w:val="17190E2C"/>
    <w:rsid w:val="17214184"/>
    <w:rsid w:val="172333F2"/>
    <w:rsid w:val="17233A58"/>
    <w:rsid w:val="17244882"/>
    <w:rsid w:val="17283764"/>
    <w:rsid w:val="17285513"/>
    <w:rsid w:val="172872C1"/>
    <w:rsid w:val="172B6DB1"/>
    <w:rsid w:val="172C07B6"/>
    <w:rsid w:val="172C5003"/>
    <w:rsid w:val="172F68A1"/>
    <w:rsid w:val="17343EB7"/>
    <w:rsid w:val="17375E82"/>
    <w:rsid w:val="17377504"/>
    <w:rsid w:val="173B3498"/>
    <w:rsid w:val="173D4DFB"/>
    <w:rsid w:val="17457E73"/>
    <w:rsid w:val="17484718"/>
    <w:rsid w:val="1749510D"/>
    <w:rsid w:val="174C1201"/>
    <w:rsid w:val="174C7453"/>
    <w:rsid w:val="174F0CF1"/>
    <w:rsid w:val="174F6F43"/>
    <w:rsid w:val="17520AE5"/>
    <w:rsid w:val="17527FA4"/>
    <w:rsid w:val="1753593A"/>
    <w:rsid w:val="17555BDC"/>
    <w:rsid w:val="17571001"/>
    <w:rsid w:val="175722E2"/>
    <w:rsid w:val="1759391E"/>
    <w:rsid w:val="175956CC"/>
    <w:rsid w:val="175D340E"/>
    <w:rsid w:val="17614581"/>
    <w:rsid w:val="17620A24"/>
    <w:rsid w:val="17626C76"/>
    <w:rsid w:val="17647109"/>
    <w:rsid w:val="17650515"/>
    <w:rsid w:val="1767603B"/>
    <w:rsid w:val="17680005"/>
    <w:rsid w:val="176A5B2B"/>
    <w:rsid w:val="176C18A3"/>
    <w:rsid w:val="176E63A8"/>
    <w:rsid w:val="17707BBF"/>
    <w:rsid w:val="17740758"/>
    <w:rsid w:val="177572AC"/>
    <w:rsid w:val="17771FF6"/>
    <w:rsid w:val="17776970"/>
    <w:rsid w:val="177F4A52"/>
    <w:rsid w:val="178070FD"/>
    <w:rsid w:val="17822E75"/>
    <w:rsid w:val="17881110"/>
    <w:rsid w:val="178C0E69"/>
    <w:rsid w:val="178C784F"/>
    <w:rsid w:val="178D1819"/>
    <w:rsid w:val="178D5376"/>
    <w:rsid w:val="178F10EE"/>
    <w:rsid w:val="179121DE"/>
    <w:rsid w:val="17913903"/>
    <w:rsid w:val="17930607"/>
    <w:rsid w:val="17935082"/>
    <w:rsid w:val="179901BE"/>
    <w:rsid w:val="179D7CAF"/>
    <w:rsid w:val="179E3A27"/>
    <w:rsid w:val="179E6119"/>
    <w:rsid w:val="179E7583"/>
    <w:rsid w:val="179F7397"/>
    <w:rsid w:val="17A252C5"/>
    <w:rsid w:val="17A54DB5"/>
    <w:rsid w:val="17A938FF"/>
    <w:rsid w:val="17A96653"/>
    <w:rsid w:val="17AA4179"/>
    <w:rsid w:val="17AD77C6"/>
    <w:rsid w:val="17B943BD"/>
    <w:rsid w:val="17BA1FA3"/>
    <w:rsid w:val="17BB6387"/>
    <w:rsid w:val="17BF5963"/>
    <w:rsid w:val="17BF5E77"/>
    <w:rsid w:val="17C074F9"/>
    <w:rsid w:val="17C36FE9"/>
    <w:rsid w:val="17CA0378"/>
    <w:rsid w:val="17CA08B8"/>
    <w:rsid w:val="17CB05D4"/>
    <w:rsid w:val="17CC0594"/>
    <w:rsid w:val="17CE7E68"/>
    <w:rsid w:val="17CF3BE0"/>
    <w:rsid w:val="17CF598E"/>
    <w:rsid w:val="17CF624F"/>
    <w:rsid w:val="17D06EF9"/>
    <w:rsid w:val="17D11706"/>
    <w:rsid w:val="17D17958"/>
    <w:rsid w:val="17D2722C"/>
    <w:rsid w:val="17D631C0"/>
    <w:rsid w:val="17D64F6F"/>
    <w:rsid w:val="17D80CE7"/>
    <w:rsid w:val="17E01949"/>
    <w:rsid w:val="17E458DD"/>
    <w:rsid w:val="17E808A5"/>
    <w:rsid w:val="17EA0A1A"/>
    <w:rsid w:val="17EB6C6C"/>
    <w:rsid w:val="17EC02EE"/>
    <w:rsid w:val="17EC4792"/>
    <w:rsid w:val="17EE050A"/>
    <w:rsid w:val="17EF7DDE"/>
    <w:rsid w:val="17F11DA8"/>
    <w:rsid w:val="17F17FFA"/>
    <w:rsid w:val="17F35B20"/>
    <w:rsid w:val="17F51899"/>
    <w:rsid w:val="17F65611"/>
    <w:rsid w:val="17F92A0B"/>
    <w:rsid w:val="17FB49D5"/>
    <w:rsid w:val="17FF6273"/>
    <w:rsid w:val="1800023D"/>
    <w:rsid w:val="180026D3"/>
    <w:rsid w:val="18025D64"/>
    <w:rsid w:val="18027B12"/>
    <w:rsid w:val="18047D2E"/>
    <w:rsid w:val="18055854"/>
    <w:rsid w:val="180715CC"/>
    <w:rsid w:val="1807337A"/>
    <w:rsid w:val="180C0990"/>
    <w:rsid w:val="180D3693"/>
    <w:rsid w:val="180E295A"/>
    <w:rsid w:val="180E78A8"/>
    <w:rsid w:val="18100480"/>
    <w:rsid w:val="181066D2"/>
    <w:rsid w:val="181141F9"/>
    <w:rsid w:val="18114AE8"/>
    <w:rsid w:val="181270D8"/>
    <w:rsid w:val="18167A61"/>
    <w:rsid w:val="18185587"/>
    <w:rsid w:val="181A321F"/>
    <w:rsid w:val="181B2107"/>
    <w:rsid w:val="181B2628"/>
    <w:rsid w:val="181C2D6A"/>
    <w:rsid w:val="181D494B"/>
    <w:rsid w:val="181E2472"/>
    <w:rsid w:val="18263688"/>
    <w:rsid w:val="182673CD"/>
    <w:rsid w:val="18267CA4"/>
    <w:rsid w:val="18291542"/>
    <w:rsid w:val="18292D6F"/>
    <w:rsid w:val="18297794"/>
    <w:rsid w:val="182A7068"/>
    <w:rsid w:val="182C1D22"/>
    <w:rsid w:val="182C4B8E"/>
    <w:rsid w:val="183121A5"/>
    <w:rsid w:val="18351C95"/>
    <w:rsid w:val="18357EE7"/>
    <w:rsid w:val="18363C5F"/>
    <w:rsid w:val="18383533"/>
    <w:rsid w:val="18386326"/>
    <w:rsid w:val="183A7AB3"/>
    <w:rsid w:val="183D0B4A"/>
    <w:rsid w:val="183D4FEE"/>
    <w:rsid w:val="183E4127"/>
    <w:rsid w:val="18402742"/>
    <w:rsid w:val="18455C50"/>
    <w:rsid w:val="18493992"/>
    <w:rsid w:val="184B06CD"/>
    <w:rsid w:val="184B14B9"/>
    <w:rsid w:val="184E67CD"/>
    <w:rsid w:val="184E71FB"/>
    <w:rsid w:val="18506ACF"/>
    <w:rsid w:val="18513A2C"/>
    <w:rsid w:val="18561C0B"/>
    <w:rsid w:val="18561DBE"/>
    <w:rsid w:val="18573CCA"/>
    <w:rsid w:val="185A16FC"/>
    <w:rsid w:val="185A794E"/>
    <w:rsid w:val="185C4B83"/>
    <w:rsid w:val="185F5CC0"/>
    <w:rsid w:val="18602A8A"/>
    <w:rsid w:val="18622CA6"/>
    <w:rsid w:val="18624A54"/>
    <w:rsid w:val="1864257A"/>
    <w:rsid w:val="18644328"/>
    <w:rsid w:val="18657C35"/>
    <w:rsid w:val="1867549B"/>
    <w:rsid w:val="18695DE3"/>
    <w:rsid w:val="186D1037"/>
    <w:rsid w:val="186E2BE4"/>
    <w:rsid w:val="18722EE9"/>
    <w:rsid w:val="18736C61"/>
    <w:rsid w:val="187622AE"/>
    <w:rsid w:val="1876405C"/>
    <w:rsid w:val="18770500"/>
    <w:rsid w:val="1878225E"/>
    <w:rsid w:val="18787DD4"/>
    <w:rsid w:val="187C0240"/>
    <w:rsid w:val="1881312C"/>
    <w:rsid w:val="18820C52"/>
    <w:rsid w:val="188E5849"/>
    <w:rsid w:val="188E7B5E"/>
    <w:rsid w:val="1890511D"/>
    <w:rsid w:val="18910E95"/>
    <w:rsid w:val="189270E7"/>
    <w:rsid w:val="189310B2"/>
    <w:rsid w:val="18932E60"/>
    <w:rsid w:val="18933DAC"/>
    <w:rsid w:val="18934C0E"/>
    <w:rsid w:val="1895095F"/>
    <w:rsid w:val="18950986"/>
    <w:rsid w:val="1897503E"/>
    <w:rsid w:val="189866C8"/>
    <w:rsid w:val="189F35B2"/>
    <w:rsid w:val="189F7A56"/>
    <w:rsid w:val="18A137CE"/>
    <w:rsid w:val="18A40BC9"/>
    <w:rsid w:val="18AB01A9"/>
    <w:rsid w:val="18AC5CCF"/>
    <w:rsid w:val="18AF5EEB"/>
    <w:rsid w:val="18B0451A"/>
    <w:rsid w:val="18B21538"/>
    <w:rsid w:val="18B352B0"/>
    <w:rsid w:val="18B41ECD"/>
    <w:rsid w:val="18BC4164"/>
    <w:rsid w:val="18BD1C8B"/>
    <w:rsid w:val="18BF5433"/>
    <w:rsid w:val="18C1177B"/>
    <w:rsid w:val="18C64FE3"/>
    <w:rsid w:val="18C662FD"/>
    <w:rsid w:val="18C80336"/>
    <w:rsid w:val="18C96881"/>
    <w:rsid w:val="18CD45C3"/>
    <w:rsid w:val="18CD6371"/>
    <w:rsid w:val="18CE7660"/>
    <w:rsid w:val="18CF12BC"/>
    <w:rsid w:val="18D05E62"/>
    <w:rsid w:val="18D25736"/>
    <w:rsid w:val="18D314AE"/>
    <w:rsid w:val="18D42D03"/>
    <w:rsid w:val="18D51C09"/>
    <w:rsid w:val="18D62C7B"/>
    <w:rsid w:val="18D70F9E"/>
    <w:rsid w:val="18D94D16"/>
    <w:rsid w:val="18DA6CE0"/>
    <w:rsid w:val="18DE057F"/>
    <w:rsid w:val="18E11E1D"/>
    <w:rsid w:val="18E3457B"/>
    <w:rsid w:val="18E37943"/>
    <w:rsid w:val="18E408BA"/>
    <w:rsid w:val="18E422E4"/>
    <w:rsid w:val="18E86D07"/>
    <w:rsid w:val="18E877E7"/>
    <w:rsid w:val="18E90CD1"/>
    <w:rsid w:val="18EA027A"/>
    <w:rsid w:val="18EA6E45"/>
    <w:rsid w:val="18ED07C2"/>
    <w:rsid w:val="18ED6A14"/>
    <w:rsid w:val="18EE62E8"/>
    <w:rsid w:val="18F27B86"/>
    <w:rsid w:val="18F41B50"/>
    <w:rsid w:val="18F558C8"/>
    <w:rsid w:val="18F733EE"/>
    <w:rsid w:val="18F90F15"/>
    <w:rsid w:val="18FC27B3"/>
    <w:rsid w:val="19006747"/>
    <w:rsid w:val="1900791E"/>
    <w:rsid w:val="19033B41"/>
    <w:rsid w:val="19053D5D"/>
    <w:rsid w:val="19063631"/>
    <w:rsid w:val="19067AD5"/>
    <w:rsid w:val="190860B0"/>
    <w:rsid w:val="19094ED0"/>
    <w:rsid w:val="190B0C48"/>
    <w:rsid w:val="190B6E9A"/>
    <w:rsid w:val="190C0B53"/>
    <w:rsid w:val="190D49C0"/>
    <w:rsid w:val="190E24E6"/>
    <w:rsid w:val="19120228"/>
    <w:rsid w:val="19153875"/>
    <w:rsid w:val="191775ED"/>
    <w:rsid w:val="191F4337"/>
    <w:rsid w:val="19235F91"/>
    <w:rsid w:val="19267830"/>
    <w:rsid w:val="192835A8"/>
    <w:rsid w:val="192922C4"/>
    <w:rsid w:val="192A37C4"/>
    <w:rsid w:val="192B2350"/>
    <w:rsid w:val="192B3098"/>
    <w:rsid w:val="192D7A43"/>
    <w:rsid w:val="193006AE"/>
    <w:rsid w:val="1934019F"/>
    <w:rsid w:val="19362169"/>
    <w:rsid w:val="1936367C"/>
    <w:rsid w:val="19371A3D"/>
    <w:rsid w:val="19375EE1"/>
    <w:rsid w:val="19393A07"/>
    <w:rsid w:val="193E2DCB"/>
    <w:rsid w:val="193F317C"/>
    <w:rsid w:val="19410B0E"/>
    <w:rsid w:val="19445F08"/>
    <w:rsid w:val="194A0351"/>
    <w:rsid w:val="194A5079"/>
    <w:rsid w:val="194D300E"/>
    <w:rsid w:val="194F4FD8"/>
    <w:rsid w:val="195919B3"/>
    <w:rsid w:val="19595E57"/>
    <w:rsid w:val="195A3D7E"/>
    <w:rsid w:val="195C76F5"/>
    <w:rsid w:val="195E6FCA"/>
    <w:rsid w:val="19600F94"/>
    <w:rsid w:val="19602C5A"/>
    <w:rsid w:val="19625FB6"/>
    <w:rsid w:val="196547FC"/>
    <w:rsid w:val="196565AA"/>
    <w:rsid w:val="196A3BC0"/>
    <w:rsid w:val="196D36B1"/>
    <w:rsid w:val="196D545F"/>
    <w:rsid w:val="196E2FB9"/>
    <w:rsid w:val="196F7429"/>
    <w:rsid w:val="19715320"/>
    <w:rsid w:val="19762565"/>
    <w:rsid w:val="19766A09"/>
    <w:rsid w:val="197E141A"/>
    <w:rsid w:val="198253AE"/>
    <w:rsid w:val="19836A30"/>
    <w:rsid w:val="198660B6"/>
    <w:rsid w:val="19875E05"/>
    <w:rsid w:val="198804EA"/>
    <w:rsid w:val="1988673C"/>
    <w:rsid w:val="198D3D53"/>
    <w:rsid w:val="19911600"/>
    <w:rsid w:val="19923117"/>
    <w:rsid w:val="19941D53"/>
    <w:rsid w:val="19962C12"/>
    <w:rsid w:val="199649B5"/>
    <w:rsid w:val="1997072D"/>
    <w:rsid w:val="199A1A85"/>
    <w:rsid w:val="199B1FCC"/>
    <w:rsid w:val="199C02DC"/>
    <w:rsid w:val="199C7AF2"/>
    <w:rsid w:val="199E7D0E"/>
    <w:rsid w:val="19A47EFE"/>
    <w:rsid w:val="19A5109C"/>
    <w:rsid w:val="19A60971"/>
    <w:rsid w:val="19A938B8"/>
    <w:rsid w:val="19A96B9D"/>
    <w:rsid w:val="19AA0461"/>
    <w:rsid w:val="19AA66B3"/>
    <w:rsid w:val="19AB5200"/>
    <w:rsid w:val="19AE3FA6"/>
    <w:rsid w:val="19B117EF"/>
    <w:rsid w:val="19B1359D"/>
    <w:rsid w:val="19B337B9"/>
    <w:rsid w:val="19B412DF"/>
    <w:rsid w:val="19B439B0"/>
    <w:rsid w:val="19B80F45"/>
    <w:rsid w:val="19BC1F42"/>
    <w:rsid w:val="19BE215E"/>
    <w:rsid w:val="19C14043"/>
    <w:rsid w:val="19C257AA"/>
    <w:rsid w:val="19C569FC"/>
    <w:rsid w:val="19C71013"/>
    <w:rsid w:val="19C72DC1"/>
    <w:rsid w:val="19C77265"/>
    <w:rsid w:val="19C90262"/>
    <w:rsid w:val="19C92FDD"/>
    <w:rsid w:val="19CA0B03"/>
    <w:rsid w:val="19CA465F"/>
    <w:rsid w:val="19CC6629"/>
    <w:rsid w:val="19CF2978"/>
    <w:rsid w:val="19D32F7C"/>
    <w:rsid w:val="19D379B8"/>
    <w:rsid w:val="19D46FDD"/>
    <w:rsid w:val="19D76D7C"/>
    <w:rsid w:val="19DA2E4F"/>
    <w:rsid w:val="19DC4392"/>
    <w:rsid w:val="19E219A9"/>
    <w:rsid w:val="19E41BC5"/>
    <w:rsid w:val="19E46AD2"/>
    <w:rsid w:val="19E576EB"/>
    <w:rsid w:val="19E638D4"/>
    <w:rsid w:val="19E724C2"/>
    <w:rsid w:val="19EC5728"/>
    <w:rsid w:val="19F3005A"/>
    <w:rsid w:val="19F422B4"/>
    <w:rsid w:val="19F45B80"/>
    <w:rsid w:val="19F636A6"/>
    <w:rsid w:val="19F65454"/>
    <w:rsid w:val="19FE07AD"/>
    <w:rsid w:val="1A011F79"/>
    <w:rsid w:val="1A0560DE"/>
    <w:rsid w:val="1A07140F"/>
    <w:rsid w:val="1A085187"/>
    <w:rsid w:val="1A09162B"/>
    <w:rsid w:val="1A0928B1"/>
    <w:rsid w:val="1A0A7151"/>
    <w:rsid w:val="1A0C4C78"/>
    <w:rsid w:val="1A0F6516"/>
    <w:rsid w:val="1A117C91"/>
    <w:rsid w:val="1A136006"/>
    <w:rsid w:val="1A163D48"/>
    <w:rsid w:val="1A18186E"/>
    <w:rsid w:val="1A18361C"/>
    <w:rsid w:val="1A184665"/>
    <w:rsid w:val="1A1B4EBB"/>
    <w:rsid w:val="1A1C4EE4"/>
    <w:rsid w:val="1A200723"/>
    <w:rsid w:val="1A206975"/>
    <w:rsid w:val="1A207E41"/>
    <w:rsid w:val="1A2226ED"/>
    <w:rsid w:val="1A241497"/>
    <w:rsid w:val="1A253F8B"/>
    <w:rsid w:val="1A255D39"/>
    <w:rsid w:val="1A27385F"/>
    <w:rsid w:val="1A277D03"/>
    <w:rsid w:val="1A293E44"/>
    <w:rsid w:val="1A2A6467"/>
    <w:rsid w:val="1A2C70C8"/>
    <w:rsid w:val="1A2D0A02"/>
    <w:rsid w:val="1A2F489D"/>
    <w:rsid w:val="1A312930"/>
    <w:rsid w:val="1A3348FA"/>
    <w:rsid w:val="1A3F504D"/>
    <w:rsid w:val="1A402B73"/>
    <w:rsid w:val="1A41348C"/>
    <w:rsid w:val="1A420699"/>
    <w:rsid w:val="1A4454F1"/>
    <w:rsid w:val="1A4563DB"/>
    <w:rsid w:val="1A495ECC"/>
    <w:rsid w:val="1A4A57A0"/>
    <w:rsid w:val="1A4E5290"/>
    <w:rsid w:val="1A501008"/>
    <w:rsid w:val="1A511840"/>
    <w:rsid w:val="1A55498A"/>
    <w:rsid w:val="1A58610F"/>
    <w:rsid w:val="1A5B5BFF"/>
    <w:rsid w:val="1A5D02EB"/>
    <w:rsid w:val="1A5D1977"/>
    <w:rsid w:val="1A5F124B"/>
    <w:rsid w:val="1A622AE9"/>
    <w:rsid w:val="1A642D06"/>
    <w:rsid w:val="1A646862"/>
    <w:rsid w:val="1A654388"/>
    <w:rsid w:val="1A66082C"/>
    <w:rsid w:val="1A707A44"/>
    <w:rsid w:val="1A734CF7"/>
    <w:rsid w:val="1A736AA5"/>
    <w:rsid w:val="1A750A6F"/>
    <w:rsid w:val="1A7A6085"/>
    <w:rsid w:val="1A7D3DC7"/>
    <w:rsid w:val="1A7F369B"/>
    <w:rsid w:val="1A845156"/>
    <w:rsid w:val="1A8707A2"/>
    <w:rsid w:val="1A890B80"/>
    <w:rsid w:val="1A89276C"/>
    <w:rsid w:val="1A8B0292"/>
    <w:rsid w:val="1A8B64E4"/>
    <w:rsid w:val="1A8C400A"/>
    <w:rsid w:val="1A8E2F23"/>
    <w:rsid w:val="1A903AFB"/>
    <w:rsid w:val="1A91517D"/>
    <w:rsid w:val="1A952188"/>
    <w:rsid w:val="1A952EBF"/>
    <w:rsid w:val="1A976C37"/>
    <w:rsid w:val="1A9B01A9"/>
    <w:rsid w:val="1A9C5527"/>
    <w:rsid w:val="1AA43102"/>
    <w:rsid w:val="1AA443DD"/>
    <w:rsid w:val="1AA475A6"/>
    <w:rsid w:val="1AA50C28"/>
    <w:rsid w:val="1AA558FD"/>
    <w:rsid w:val="1AAB26E2"/>
    <w:rsid w:val="1AB07CF9"/>
    <w:rsid w:val="1AB31597"/>
    <w:rsid w:val="1AB33345"/>
    <w:rsid w:val="1AB5530F"/>
    <w:rsid w:val="1AB71087"/>
    <w:rsid w:val="1AB772D9"/>
    <w:rsid w:val="1AB84DFF"/>
    <w:rsid w:val="1ABC48F0"/>
    <w:rsid w:val="1ABD7CE1"/>
    <w:rsid w:val="1AC3684A"/>
    <w:rsid w:val="1AC437A4"/>
    <w:rsid w:val="1AC57F78"/>
    <w:rsid w:val="1AC81973"/>
    <w:rsid w:val="1ACA77FB"/>
    <w:rsid w:val="1ACC02F4"/>
    <w:rsid w:val="1ACC5BF8"/>
    <w:rsid w:val="1AD05CA5"/>
    <w:rsid w:val="1AD14166"/>
    <w:rsid w:val="1AD25EC1"/>
    <w:rsid w:val="1AD52AE7"/>
    <w:rsid w:val="1AD67034"/>
    <w:rsid w:val="1AD774CB"/>
    <w:rsid w:val="1AD80FFE"/>
    <w:rsid w:val="1AD9547C"/>
    <w:rsid w:val="1ADF413A"/>
    <w:rsid w:val="1AE16104"/>
    <w:rsid w:val="1AE23C2A"/>
    <w:rsid w:val="1AE41750"/>
    <w:rsid w:val="1AE6196C"/>
    <w:rsid w:val="1AE87493"/>
    <w:rsid w:val="1AE92FD5"/>
    <w:rsid w:val="1AEC6857"/>
    <w:rsid w:val="1AEE25CF"/>
    <w:rsid w:val="1AF06347"/>
    <w:rsid w:val="1AF31906"/>
    <w:rsid w:val="1AF57E02"/>
    <w:rsid w:val="1AF61E20"/>
    <w:rsid w:val="1AF71484"/>
    <w:rsid w:val="1AF91EE2"/>
    <w:rsid w:val="1AFC5DDA"/>
    <w:rsid w:val="1AFF47DC"/>
    <w:rsid w:val="1B012302"/>
    <w:rsid w:val="1B040045"/>
    <w:rsid w:val="1B063DBD"/>
    <w:rsid w:val="1B0B3181"/>
    <w:rsid w:val="1B0F0EC3"/>
    <w:rsid w:val="1B102388"/>
    <w:rsid w:val="1B102545"/>
    <w:rsid w:val="1B132036"/>
    <w:rsid w:val="1B1464DA"/>
    <w:rsid w:val="1B1B26AB"/>
    <w:rsid w:val="1B1C6A07"/>
    <w:rsid w:val="1B1E67F8"/>
    <w:rsid w:val="1B1F6C2C"/>
    <w:rsid w:val="1B200CF6"/>
    <w:rsid w:val="1B202389"/>
    <w:rsid w:val="1B2129A5"/>
    <w:rsid w:val="1B245FF1"/>
    <w:rsid w:val="1B252495"/>
    <w:rsid w:val="1B281F85"/>
    <w:rsid w:val="1B283D33"/>
    <w:rsid w:val="1B28788F"/>
    <w:rsid w:val="1B2A7529"/>
    <w:rsid w:val="1B2C4AF4"/>
    <w:rsid w:val="1B2E0B21"/>
    <w:rsid w:val="1B2E0C1E"/>
    <w:rsid w:val="1B3214AD"/>
    <w:rsid w:val="1B351FAC"/>
    <w:rsid w:val="1B3660A5"/>
    <w:rsid w:val="1B390BDC"/>
    <w:rsid w:val="1B397CEE"/>
    <w:rsid w:val="1B3A5814"/>
    <w:rsid w:val="1B3A75C2"/>
    <w:rsid w:val="1B3B1CB8"/>
    <w:rsid w:val="1B3C333B"/>
    <w:rsid w:val="1B3C77DE"/>
    <w:rsid w:val="1B3E3557"/>
    <w:rsid w:val="1B3F1AEC"/>
    <w:rsid w:val="1B3F31E7"/>
    <w:rsid w:val="1B4072CF"/>
    <w:rsid w:val="1B43291B"/>
    <w:rsid w:val="1B4944AD"/>
    <w:rsid w:val="1B4A1EFB"/>
    <w:rsid w:val="1B4B17D0"/>
    <w:rsid w:val="1B4D5548"/>
    <w:rsid w:val="1B4E55E8"/>
    <w:rsid w:val="1B55264E"/>
    <w:rsid w:val="1B55540D"/>
    <w:rsid w:val="1B555E20"/>
    <w:rsid w:val="1B5763C6"/>
    <w:rsid w:val="1B5B5EB7"/>
    <w:rsid w:val="1B5D502F"/>
    <w:rsid w:val="1B5E7755"/>
    <w:rsid w:val="1B5F527B"/>
    <w:rsid w:val="1B60171F"/>
    <w:rsid w:val="1B632FBD"/>
    <w:rsid w:val="1B656D35"/>
    <w:rsid w:val="1B6603B7"/>
    <w:rsid w:val="1B666391"/>
    <w:rsid w:val="1B684130"/>
    <w:rsid w:val="1B697EA8"/>
    <w:rsid w:val="1B6A411B"/>
    <w:rsid w:val="1B6B1E72"/>
    <w:rsid w:val="1B6D7998"/>
    <w:rsid w:val="1B721452"/>
    <w:rsid w:val="1B723200"/>
    <w:rsid w:val="1B724934"/>
    <w:rsid w:val="1B725332"/>
    <w:rsid w:val="1B746F78"/>
    <w:rsid w:val="1B770817"/>
    <w:rsid w:val="1B785BC3"/>
    <w:rsid w:val="1B7927E1"/>
    <w:rsid w:val="1B7D1180"/>
    <w:rsid w:val="1B803B6F"/>
    <w:rsid w:val="1B811695"/>
    <w:rsid w:val="1B813443"/>
    <w:rsid w:val="1B830F69"/>
    <w:rsid w:val="1B851185"/>
    <w:rsid w:val="1B860A5A"/>
    <w:rsid w:val="1B882A24"/>
    <w:rsid w:val="1B8942FC"/>
    <w:rsid w:val="1B8C20A0"/>
    <w:rsid w:val="1B8E7170"/>
    <w:rsid w:val="1B903686"/>
    <w:rsid w:val="1B9211AC"/>
    <w:rsid w:val="1B925650"/>
    <w:rsid w:val="1B965141"/>
    <w:rsid w:val="1B9756C7"/>
    <w:rsid w:val="1B9969DF"/>
    <w:rsid w:val="1B9E2247"/>
    <w:rsid w:val="1BA07D6D"/>
    <w:rsid w:val="1BA64C58"/>
    <w:rsid w:val="1BA6520F"/>
    <w:rsid w:val="1BA809D0"/>
    <w:rsid w:val="1BA84E74"/>
    <w:rsid w:val="1BA86C22"/>
    <w:rsid w:val="1BAA42E5"/>
    <w:rsid w:val="1BAA4748"/>
    <w:rsid w:val="1BB074A7"/>
    <w:rsid w:val="1BB12279"/>
    <w:rsid w:val="1BB13D28"/>
    <w:rsid w:val="1BB235FD"/>
    <w:rsid w:val="1BB278B2"/>
    <w:rsid w:val="1BB34C01"/>
    <w:rsid w:val="1BB378F8"/>
    <w:rsid w:val="1BB42A48"/>
    <w:rsid w:val="1BB47375"/>
    <w:rsid w:val="1BBD111D"/>
    <w:rsid w:val="1BBE01F3"/>
    <w:rsid w:val="1BBE1FA1"/>
    <w:rsid w:val="1BBE6445"/>
    <w:rsid w:val="1BC11A92"/>
    <w:rsid w:val="1BC577D4"/>
    <w:rsid w:val="1BCA6B98"/>
    <w:rsid w:val="1BCB46BE"/>
    <w:rsid w:val="1BCF5977"/>
    <w:rsid w:val="1BD143CB"/>
    <w:rsid w:val="1BD17F27"/>
    <w:rsid w:val="1BD47A17"/>
    <w:rsid w:val="1BD6378F"/>
    <w:rsid w:val="1BD712B5"/>
    <w:rsid w:val="1BD87507"/>
    <w:rsid w:val="1BDB2B53"/>
    <w:rsid w:val="1BDC68CC"/>
    <w:rsid w:val="1BE0443F"/>
    <w:rsid w:val="1BE20386"/>
    <w:rsid w:val="1BE51C24"/>
    <w:rsid w:val="1BEA0FE8"/>
    <w:rsid w:val="1BEA2D97"/>
    <w:rsid w:val="1BEA723A"/>
    <w:rsid w:val="1BED2887"/>
    <w:rsid w:val="1BEE6D2B"/>
    <w:rsid w:val="1BF260EF"/>
    <w:rsid w:val="1BF41E67"/>
    <w:rsid w:val="1BF730CC"/>
    <w:rsid w:val="1BF81957"/>
    <w:rsid w:val="1BF9122C"/>
    <w:rsid w:val="1BFA15BA"/>
    <w:rsid w:val="1BFA4BA9"/>
    <w:rsid w:val="1BFC2ACA"/>
    <w:rsid w:val="1BFD51C0"/>
    <w:rsid w:val="1BFE4A94"/>
    <w:rsid w:val="1BFE6842"/>
    <w:rsid w:val="1C00080C"/>
    <w:rsid w:val="1C0302FC"/>
    <w:rsid w:val="1C0320AA"/>
    <w:rsid w:val="1C0B1FD5"/>
    <w:rsid w:val="1C0D4CD7"/>
    <w:rsid w:val="1C0F0A4F"/>
    <w:rsid w:val="1C131164"/>
    <w:rsid w:val="1C164F14"/>
    <w:rsid w:val="1C177904"/>
    <w:rsid w:val="1C1A3D35"/>
    <w:rsid w:val="1C1B73F4"/>
    <w:rsid w:val="1C1D13BE"/>
    <w:rsid w:val="1C1D316C"/>
    <w:rsid w:val="1C1E6EE4"/>
    <w:rsid w:val="1C200EAE"/>
    <w:rsid w:val="1C220782"/>
    <w:rsid w:val="1C2344FA"/>
    <w:rsid w:val="1C250273"/>
    <w:rsid w:val="1C252021"/>
    <w:rsid w:val="1C25688F"/>
    <w:rsid w:val="1C2834AF"/>
    <w:rsid w:val="1C2A5889"/>
    <w:rsid w:val="1C2C33AF"/>
    <w:rsid w:val="1C2F2E9F"/>
    <w:rsid w:val="1C305C28"/>
    <w:rsid w:val="1C316C17"/>
    <w:rsid w:val="1C33298F"/>
    <w:rsid w:val="1C35495A"/>
    <w:rsid w:val="1C381D54"/>
    <w:rsid w:val="1C3861F8"/>
    <w:rsid w:val="1C395ACC"/>
    <w:rsid w:val="1C3D380E"/>
    <w:rsid w:val="1C3E1334"/>
    <w:rsid w:val="1C404676"/>
    <w:rsid w:val="1C4050AC"/>
    <w:rsid w:val="1C420E24"/>
    <w:rsid w:val="1C44369C"/>
    <w:rsid w:val="1C4526C3"/>
    <w:rsid w:val="1C471722"/>
    <w:rsid w:val="1C4A7CD9"/>
    <w:rsid w:val="1C533032"/>
    <w:rsid w:val="1C547A87"/>
    <w:rsid w:val="1C556DAA"/>
    <w:rsid w:val="1C5751EF"/>
    <w:rsid w:val="1C57764B"/>
    <w:rsid w:val="1C5841A4"/>
    <w:rsid w:val="1C5A616E"/>
    <w:rsid w:val="1C5B1EE6"/>
    <w:rsid w:val="1C5C588F"/>
    <w:rsid w:val="1C5D0DEA"/>
    <w:rsid w:val="1C5D5C5E"/>
    <w:rsid w:val="1C5F3784"/>
    <w:rsid w:val="1C6012AB"/>
    <w:rsid w:val="1C624C5C"/>
    <w:rsid w:val="1C64535B"/>
    <w:rsid w:val="1C6A2CCA"/>
    <w:rsid w:val="1C6C40F3"/>
    <w:rsid w:val="1C6C5EA1"/>
    <w:rsid w:val="1C6E1C1A"/>
    <w:rsid w:val="1C730FDE"/>
    <w:rsid w:val="1C744D56"/>
    <w:rsid w:val="1C76287C"/>
    <w:rsid w:val="1C766D20"/>
    <w:rsid w:val="1C7A6810"/>
    <w:rsid w:val="1C8036FB"/>
    <w:rsid w:val="1C8054A9"/>
    <w:rsid w:val="1C817B9F"/>
    <w:rsid w:val="1C827473"/>
    <w:rsid w:val="1C850D11"/>
    <w:rsid w:val="1C857FF6"/>
    <w:rsid w:val="1C8925AF"/>
    <w:rsid w:val="1C8C02F2"/>
    <w:rsid w:val="1C8D7465"/>
    <w:rsid w:val="1C901B90"/>
    <w:rsid w:val="1C907DE2"/>
    <w:rsid w:val="1C913B5A"/>
    <w:rsid w:val="1C961170"/>
    <w:rsid w:val="1C983F97"/>
    <w:rsid w:val="1C99656B"/>
    <w:rsid w:val="1C9B0535"/>
    <w:rsid w:val="1CA13386"/>
    <w:rsid w:val="1CA41E3E"/>
    <w:rsid w:val="1CA4388D"/>
    <w:rsid w:val="1CA473E9"/>
    <w:rsid w:val="1CA54DF3"/>
    <w:rsid w:val="1CA76EDA"/>
    <w:rsid w:val="1CA83390"/>
    <w:rsid w:val="1CA92C52"/>
    <w:rsid w:val="1CA94295"/>
    <w:rsid w:val="1CB02232"/>
    <w:rsid w:val="1CB11B06"/>
    <w:rsid w:val="1CB1569A"/>
    <w:rsid w:val="1CB313F6"/>
    <w:rsid w:val="1CB33AD0"/>
    <w:rsid w:val="1CB80CC2"/>
    <w:rsid w:val="1CB810E7"/>
    <w:rsid w:val="1CBA4E5F"/>
    <w:rsid w:val="1CC16394"/>
    <w:rsid w:val="1CC17F9B"/>
    <w:rsid w:val="1CC57360"/>
    <w:rsid w:val="1CC63804"/>
    <w:rsid w:val="1CC655B2"/>
    <w:rsid w:val="1CCB0E1A"/>
    <w:rsid w:val="1CCC06EE"/>
    <w:rsid w:val="1CCC4B92"/>
    <w:rsid w:val="1CCE50AB"/>
    <w:rsid w:val="1CD75A11"/>
    <w:rsid w:val="1CD777BF"/>
    <w:rsid w:val="1CD81789"/>
    <w:rsid w:val="1CDA105D"/>
    <w:rsid w:val="1CDB6B83"/>
    <w:rsid w:val="1CDF48C5"/>
    <w:rsid w:val="1CE13520"/>
    <w:rsid w:val="1CE343B6"/>
    <w:rsid w:val="1CE912A0"/>
    <w:rsid w:val="1CEC0B38"/>
    <w:rsid w:val="1CEE2D5A"/>
    <w:rsid w:val="1CEF0D6A"/>
    <w:rsid w:val="1CF245F9"/>
    <w:rsid w:val="1CF71C0F"/>
    <w:rsid w:val="1CF87735"/>
    <w:rsid w:val="1CF91450"/>
    <w:rsid w:val="1CFA40C7"/>
    <w:rsid w:val="1CFB6B14"/>
    <w:rsid w:val="1CFC0FD3"/>
    <w:rsid w:val="1CFD4D4B"/>
    <w:rsid w:val="1CFE0ACE"/>
    <w:rsid w:val="1CFE39B3"/>
    <w:rsid w:val="1D013201"/>
    <w:rsid w:val="1D036806"/>
    <w:rsid w:val="1D04257E"/>
    <w:rsid w:val="1D05064B"/>
    <w:rsid w:val="1D063C00"/>
    <w:rsid w:val="1D085BCA"/>
    <w:rsid w:val="1D097B94"/>
    <w:rsid w:val="1D0D31E0"/>
    <w:rsid w:val="1D0E6F59"/>
    <w:rsid w:val="1D104E5D"/>
    <w:rsid w:val="1D13456F"/>
    <w:rsid w:val="1D1463AF"/>
    <w:rsid w:val="1D1502E7"/>
    <w:rsid w:val="1D175E0D"/>
    <w:rsid w:val="1D1D0F4A"/>
    <w:rsid w:val="1D1E3640"/>
    <w:rsid w:val="1D210A3A"/>
    <w:rsid w:val="1D217272"/>
    <w:rsid w:val="1D24052A"/>
    <w:rsid w:val="1D2624F4"/>
    <w:rsid w:val="1D2642A2"/>
    <w:rsid w:val="1D28626C"/>
    <w:rsid w:val="1D2B18B9"/>
    <w:rsid w:val="1D2D3883"/>
    <w:rsid w:val="1D2E3157"/>
    <w:rsid w:val="1D300C7D"/>
    <w:rsid w:val="1D306ECF"/>
    <w:rsid w:val="1D323BEA"/>
    <w:rsid w:val="1D33076D"/>
    <w:rsid w:val="1D3369BF"/>
    <w:rsid w:val="1D344C11"/>
    <w:rsid w:val="1D350989"/>
    <w:rsid w:val="1D37200B"/>
    <w:rsid w:val="1D3A6EB1"/>
    <w:rsid w:val="1D3C45B0"/>
    <w:rsid w:val="1D4028B0"/>
    <w:rsid w:val="1D44297A"/>
    <w:rsid w:val="1D444728"/>
    <w:rsid w:val="1D48246B"/>
    <w:rsid w:val="1D497F91"/>
    <w:rsid w:val="1D4B1F5B"/>
    <w:rsid w:val="1D507571"/>
    <w:rsid w:val="1D510AE8"/>
    <w:rsid w:val="1D594678"/>
    <w:rsid w:val="1D5A3F4C"/>
    <w:rsid w:val="1D5B165F"/>
    <w:rsid w:val="1D5B4390"/>
    <w:rsid w:val="1D61352C"/>
    <w:rsid w:val="1D613CFF"/>
    <w:rsid w:val="1D6272D6"/>
    <w:rsid w:val="1D632E00"/>
    <w:rsid w:val="1D6628F1"/>
    <w:rsid w:val="1D6848BB"/>
    <w:rsid w:val="1D686669"/>
    <w:rsid w:val="1D6E79F7"/>
    <w:rsid w:val="1D6F3E9B"/>
    <w:rsid w:val="1D707746"/>
    <w:rsid w:val="1D7274E7"/>
    <w:rsid w:val="1D74271B"/>
    <w:rsid w:val="1D74500E"/>
    <w:rsid w:val="1D752B34"/>
    <w:rsid w:val="1D792624"/>
    <w:rsid w:val="1D793696"/>
    <w:rsid w:val="1D796AC8"/>
    <w:rsid w:val="1D7C2114"/>
    <w:rsid w:val="1D7E5E8C"/>
    <w:rsid w:val="1D7F39B2"/>
    <w:rsid w:val="1D837852"/>
    <w:rsid w:val="1D87505B"/>
    <w:rsid w:val="1D882867"/>
    <w:rsid w:val="1D8B05A9"/>
    <w:rsid w:val="1D943902"/>
    <w:rsid w:val="1D96212B"/>
    <w:rsid w:val="1D9751A0"/>
    <w:rsid w:val="1D9B6A3E"/>
    <w:rsid w:val="1D9C4564"/>
    <w:rsid w:val="1D9E208B"/>
    <w:rsid w:val="1D9E652E"/>
    <w:rsid w:val="1DA358F3"/>
    <w:rsid w:val="1DA376A1"/>
    <w:rsid w:val="1DA43419"/>
    <w:rsid w:val="1DA63635"/>
    <w:rsid w:val="1DA653E3"/>
    <w:rsid w:val="1DA76CE9"/>
    <w:rsid w:val="1DA90224"/>
    <w:rsid w:val="1DAB47A7"/>
    <w:rsid w:val="1DAF24EA"/>
    <w:rsid w:val="1DB00010"/>
    <w:rsid w:val="1DB16262"/>
    <w:rsid w:val="1DB3431A"/>
    <w:rsid w:val="1DB4365C"/>
    <w:rsid w:val="1DB63878"/>
    <w:rsid w:val="1DBA2C3C"/>
    <w:rsid w:val="1DBB07B3"/>
    <w:rsid w:val="1DBC4C07"/>
    <w:rsid w:val="1DBE44DB"/>
    <w:rsid w:val="1DC1221D"/>
    <w:rsid w:val="1DC15EBD"/>
    <w:rsid w:val="1DC165B1"/>
    <w:rsid w:val="1DC5413E"/>
    <w:rsid w:val="1DC615E1"/>
    <w:rsid w:val="1DC677BF"/>
    <w:rsid w:val="1DC67833"/>
    <w:rsid w:val="1DC75A85"/>
    <w:rsid w:val="1DC87107"/>
    <w:rsid w:val="1DCA6A28"/>
    <w:rsid w:val="1DCB4E4A"/>
    <w:rsid w:val="1DCE0BB5"/>
    <w:rsid w:val="1DCE5DF1"/>
    <w:rsid w:val="1DD106B2"/>
    <w:rsid w:val="1DD41F50"/>
    <w:rsid w:val="1DD45AAC"/>
    <w:rsid w:val="1DD957B9"/>
    <w:rsid w:val="1DD97567"/>
    <w:rsid w:val="1DDA0348"/>
    <w:rsid w:val="1DDA6E3B"/>
    <w:rsid w:val="1DDB1D29"/>
    <w:rsid w:val="1DDD3E82"/>
    <w:rsid w:val="1DDE2DCF"/>
    <w:rsid w:val="1DDF4451"/>
    <w:rsid w:val="1DE21BFC"/>
    <w:rsid w:val="1DE3308C"/>
    <w:rsid w:val="1DE57CB9"/>
    <w:rsid w:val="1DE63A32"/>
    <w:rsid w:val="1DE657E0"/>
    <w:rsid w:val="1DE76C7D"/>
    <w:rsid w:val="1DEB1048"/>
    <w:rsid w:val="1DED3012"/>
    <w:rsid w:val="1DED413E"/>
    <w:rsid w:val="1DEF6D8A"/>
    <w:rsid w:val="1DF24184"/>
    <w:rsid w:val="1DF24CB1"/>
    <w:rsid w:val="1DF3687A"/>
    <w:rsid w:val="1DF428D0"/>
    <w:rsid w:val="1DF61EC7"/>
    <w:rsid w:val="1DF779ED"/>
    <w:rsid w:val="1DF93765"/>
    <w:rsid w:val="1DFB128B"/>
    <w:rsid w:val="1DFD5F2E"/>
    <w:rsid w:val="1E00462C"/>
    <w:rsid w:val="1E016615"/>
    <w:rsid w:val="1E026A6D"/>
    <w:rsid w:val="1E026ABD"/>
    <w:rsid w:val="1E0344C3"/>
    <w:rsid w:val="1E0345E3"/>
    <w:rsid w:val="1E043C8E"/>
    <w:rsid w:val="1E0839A8"/>
    <w:rsid w:val="1E0B5EA4"/>
    <w:rsid w:val="1E0F74D8"/>
    <w:rsid w:val="1E110AAE"/>
    <w:rsid w:val="1E122A78"/>
    <w:rsid w:val="1E193E07"/>
    <w:rsid w:val="1E1B36DB"/>
    <w:rsid w:val="1E1C5E73"/>
    <w:rsid w:val="1E1F6FCD"/>
    <w:rsid w:val="1E206F43"/>
    <w:rsid w:val="1E240E65"/>
    <w:rsid w:val="1E255A10"/>
    <w:rsid w:val="1E28404A"/>
    <w:rsid w:val="1E2F362A"/>
    <w:rsid w:val="1E2F7187"/>
    <w:rsid w:val="1E340C41"/>
    <w:rsid w:val="1E343AA3"/>
    <w:rsid w:val="1E3649B9"/>
    <w:rsid w:val="1E366995"/>
    <w:rsid w:val="1E386263"/>
    <w:rsid w:val="1E396257"/>
    <w:rsid w:val="1E3B5B2B"/>
    <w:rsid w:val="1E3C7C36"/>
    <w:rsid w:val="1E3D5BFF"/>
    <w:rsid w:val="1E3D7AF5"/>
    <w:rsid w:val="1E3F5B0A"/>
    <w:rsid w:val="1E402DD2"/>
    <w:rsid w:val="1E407A47"/>
    <w:rsid w:val="1E42510C"/>
    <w:rsid w:val="1E430E84"/>
    <w:rsid w:val="1E4337F7"/>
    <w:rsid w:val="1E4569AA"/>
    <w:rsid w:val="1E462655"/>
    <w:rsid w:val="1E470974"/>
    <w:rsid w:val="1E480248"/>
    <w:rsid w:val="1E49404C"/>
    <w:rsid w:val="1E4A0464"/>
    <w:rsid w:val="1E4A2212"/>
    <w:rsid w:val="1E4E3AB1"/>
    <w:rsid w:val="1E4F15D7"/>
    <w:rsid w:val="1E5411DB"/>
    <w:rsid w:val="1E592455"/>
    <w:rsid w:val="1E5B585E"/>
    <w:rsid w:val="1E5B61CE"/>
    <w:rsid w:val="1E5B7F7C"/>
    <w:rsid w:val="1E5D1F46"/>
    <w:rsid w:val="1E5E7A6C"/>
    <w:rsid w:val="1E5F5CBE"/>
    <w:rsid w:val="1E601A36"/>
    <w:rsid w:val="1E605592"/>
    <w:rsid w:val="1E62755C"/>
    <w:rsid w:val="1E641526"/>
    <w:rsid w:val="1E642E65"/>
    <w:rsid w:val="1E6432D4"/>
    <w:rsid w:val="1E65704C"/>
    <w:rsid w:val="1E6C3F37"/>
    <w:rsid w:val="1E6E4153"/>
    <w:rsid w:val="1E703E54"/>
    <w:rsid w:val="1E707ECB"/>
    <w:rsid w:val="1E7159F1"/>
    <w:rsid w:val="1E731769"/>
    <w:rsid w:val="1E733517"/>
    <w:rsid w:val="1E7352C5"/>
    <w:rsid w:val="1E763007"/>
    <w:rsid w:val="1E76353D"/>
    <w:rsid w:val="1E7A19C6"/>
    <w:rsid w:val="1E7B6870"/>
    <w:rsid w:val="1E8079E2"/>
    <w:rsid w:val="1E816369"/>
    <w:rsid w:val="1E83385A"/>
    <w:rsid w:val="1E85324A"/>
    <w:rsid w:val="1E892D3B"/>
    <w:rsid w:val="1E8B27F3"/>
    <w:rsid w:val="1E8E0351"/>
    <w:rsid w:val="1E921F13"/>
    <w:rsid w:val="1E9516DF"/>
    <w:rsid w:val="1E9811D0"/>
    <w:rsid w:val="1E996A18"/>
    <w:rsid w:val="1E9B0CC0"/>
    <w:rsid w:val="1E9D67E6"/>
    <w:rsid w:val="1E9F255E"/>
    <w:rsid w:val="1EA0459D"/>
    <w:rsid w:val="1EA25BAA"/>
    <w:rsid w:val="1EA57449"/>
    <w:rsid w:val="1EAC07D7"/>
    <w:rsid w:val="1EAC4C7B"/>
    <w:rsid w:val="1EAD3EF6"/>
    <w:rsid w:val="1EAF2075"/>
    <w:rsid w:val="1EB12291"/>
    <w:rsid w:val="1EB15DEE"/>
    <w:rsid w:val="1EB21D4C"/>
    <w:rsid w:val="1EB54C3E"/>
    <w:rsid w:val="1EB678A8"/>
    <w:rsid w:val="1EB853CE"/>
    <w:rsid w:val="1EB9506A"/>
    <w:rsid w:val="1EBC4EF7"/>
    <w:rsid w:val="1EBD4792"/>
    <w:rsid w:val="1EBF050A"/>
    <w:rsid w:val="1EC10726"/>
    <w:rsid w:val="1EC51899"/>
    <w:rsid w:val="1EC864DF"/>
    <w:rsid w:val="1EC91389"/>
    <w:rsid w:val="1EC91F8E"/>
    <w:rsid w:val="1EC93137"/>
    <w:rsid w:val="1ECB1941"/>
    <w:rsid w:val="1ECB3353"/>
    <w:rsid w:val="1ECC5D06"/>
    <w:rsid w:val="1ECE699F"/>
    <w:rsid w:val="1ED02718"/>
    <w:rsid w:val="1ED16490"/>
    <w:rsid w:val="1ED42809"/>
    <w:rsid w:val="1ED55F80"/>
    <w:rsid w:val="1ED57D2E"/>
    <w:rsid w:val="1ED815CC"/>
    <w:rsid w:val="1EDB183D"/>
    <w:rsid w:val="1EDF0BAD"/>
    <w:rsid w:val="1EE066D3"/>
    <w:rsid w:val="1EE2069D"/>
    <w:rsid w:val="1EE2244B"/>
    <w:rsid w:val="1EE937D9"/>
    <w:rsid w:val="1EEA12FF"/>
    <w:rsid w:val="1EEB57A3"/>
    <w:rsid w:val="1EEB7551"/>
    <w:rsid w:val="1EEE2B9E"/>
    <w:rsid w:val="1EEF0477"/>
    <w:rsid w:val="1EEF32C8"/>
    <w:rsid w:val="1EF26162"/>
    <w:rsid w:val="1EF8106D"/>
    <w:rsid w:val="1EF87EC0"/>
    <w:rsid w:val="1EFA0DBC"/>
    <w:rsid w:val="1EFA1543"/>
    <w:rsid w:val="1EFB350D"/>
    <w:rsid w:val="1F0060BE"/>
    <w:rsid w:val="1F022AED"/>
    <w:rsid w:val="1F02489B"/>
    <w:rsid w:val="1F043C4B"/>
    <w:rsid w:val="1F070103"/>
    <w:rsid w:val="1F073C5F"/>
    <w:rsid w:val="1F093E7B"/>
    <w:rsid w:val="1F0B19A2"/>
    <w:rsid w:val="1F0B4912"/>
    <w:rsid w:val="1F100D66"/>
    <w:rsid w:val="1F120F82"/>
    <w:rsid w:val="1F12334B"/>
    <w:rsid w:val="1F1B770B"/>
    <w:rsid w:val="1F1C1896"/>
    <w:rsid w:val="1F220A99"/>
    <w:rsid w:val="1F242A63"/>
    <w:rsid w:val="1F244811"/>
    <w:rsid w:val="1F2604CF"/>
    <w:rsid w:val="1F29007A"/>
    <w:rsid w:val="1F2C1918"/>
    <w:rsid w:val="1F2D7B6A"/>
    <w:rsid w:val="1F2E743E"/>
    <w:rsid w:val="1F3031B6"/>
    <w:rsid w:val="1F30765A"/>
    <w:rsid w:val="1F3507CD"/>
    <w:rsid w:val="1F3709E9"/>
    <w:rsid w:val="1F3A2287"/>
    <w:rsid w:val="1F3B5112"/>
    <w:rsid w:val="1F3C5FFF"/>
    <w:rsid w:val="1F3D1AEC"/>
    <w:rsid w:val="1F3E1D77"/>
    <w:rsid w:val="1F4159DF"/>
    <w:rsid w:val="1F417171"/>
    <w:rsid w:val="1F41736D"/>
    <w:rsid w:val="1F446C62"/>
    <w:rsid w:val="1F460C2C"/>
    <w:rsid w:val="1F470500"/>
    <w:rsid w:val="1F4721BB"/>
    <w:rsid w:val="1F4924CA"/>
    <w:rsid w:val="1F494278"/>
    <w:rsid w:val="1F4D3D68"/>
    <w:rsid w:val="1F4D697E"/>
    <w:rsid w:val="1F4E796B"/>
    <w:rsid w:val="1F5129C4"/>
    <w:rsid w:val="1F520AA7"/>
    <w:rsid w:val="1F5275D0"/>
    <w:rsid w:val="1F536EA5"/>
    <w:rsid w:val="1F58270D"/>
    <w:rsid w:val="1F5844BB"/>
    <w:rsid w:val="1F5968C1"/>
    <w:rsid w:val="1F5A3986"/>
    <w:rsid w:val="1F5C21FD"/>
    <w:rsid w:val="1F5C3FAB"/>
    <w:rsid w:val="1F62533A"/>
    <w:rsid w:val="1F6410B2"/>
    <w:rsid w:val="1F6457D9"/>
    <w:rsid w:val="1F64740B"/>
    <w:rsid w:val="1F6778D5"/>
    <w:rsid w:val="1F69491A"/>
    <w:rsid w:val="1F6A2B6C"/>
    <w:rsid w:val="1F6A2CF4"/>
    <w:rsid w:val="1F6B41EE"/>
    <w:rsid w:val="1F6B7C4E"/>
    <w:rsid w:val="1F6C46FC"/>
    <w:rsid w:val="1F6F0182"/>
    <w:rsid w:val="1F707A57"/>
    <w:rsid w:val="1F72557D"/>
    <w:rsid w:val="1F7312F5"/>
    <w:rsid w:val="1F751511"/>
    <w:rsid w:val="1F770DE5"/>
    <w:rsid w:val="1F7C289F"/>
    <w:rsid w:val="1F7C464D"/>
    <w:rsid w:val="1F7F5EEC"/>
    <w:rsid w:val="1F813A12"/>
    <w:rsid w:val="1F8B4471"/>
    <w:rsid w:val="1F8D0609"/>
    <w:rsid w:val="1F8D23B7"/>
    <w:rsid w:val="1F8F4381"/>
    <w:rsid w:val="1F9000F9"/>
    <w:rsid w:val="1F923E71"/>
    <w:rsid w:val="1F933745"/>
    <w:rsid w:val="1F9359CA"/>
    <w:rsid w:val="1F957FE9"/>
    <w:rsid w:val="1F973235"/>
    <w:rsid w:val="1F9829F1"/>
    <w:rsid w:val="1F996FAD"/>
    <w:rsid w:val="1F9C4CF0"/>
    <w:rsid w:val="1F9D7414"/>
    <w:rsid w:val="1F9F20EA"/>
    <w:rsid w:val="1F9F2549"/>
    <w:rsid w:val="1FA12306"/>
    <w:rsid w:val="1FA161B8"/>
    <w:rsid w:val="1FA3695C"/>
    <w:rsid w:val="1FA45952"/>
    <w:rsid w:val="1FA83694"/>
    <w:rsid w:val="1FAA740D"/>
    <w:rsid w:val="1FAB0A8F"/>
    <w:rsid w:val="1FB02549"/>
    <w:rsid w:val="1FB042F7"/>
    <w:rsid w:val="1FB21E1D"/>
    <w:rsid w:val="1FB42039"/>
    <w:rsid w:val="1FB43DE7"/>
    <w:rsid w:val="1FB555B5"/>
    <w:rsid w:val="1FB57B5F"/>
    <w:rsid w:val="1FB738D7"/>
    <w:rsid w:val="1FB75686"/>
    <w:rsid w:val="1FB931AC"/>
    <w:rsid w:val="1FB97650"/>
    <w:rsid w:val="1FBC2C9C"/>
    <w:rsid w:val="1FBD7968"/>
    <w:rsid w:val="1FBE07C2"/>
    <w:rsid w:val="1FBE4C66"/>
    <w:rsid w:val="1FBF6080"/>
    <w:rsid w:val="1FC14756"/>
    <w:rsid w:val="1FC50E51"/>
    <w:rsid w:val="1FC57DA2"/>
    <w:rsid w:val="1FC61D6D"/>
    <w:rsid w:val="1FC658C9"/>
    <w:rsid w:val="1FC87893"/>
    <w:rsid w:val="1FC97167"/>
    <w:rsid w:val="1FCA53B9"/>
    <w:rsid w:val="1FCB1131"/>
    <w:rsid w:val="1FCC5382"/>
    <w:rsid w:val="1FCF29CF"/>
    <w:rsid w:val="1FD06747"/>
    <w:rsid w:val="1FD44489"/>
    <w:rsid w:val="1FD55B0C"/>
    <w:rsid w:val="1FD86B10"/>
    <w:rsid w:val="1FD955FC"/>
    <w:rsid w:val="1FDA1374"/>
    <w:rsid w:val="1FDB5818"/>
    <w:rsid w:val="1FDC3F0E"/>
    <w:rsid w:val="1FE12702"/>
    <w:rsid w:val="1FE208E3"/>
    <w:rsid w:val="1FE50445"/>
    <w:rsid w:val="1FE65F6B"/>
    <w:rsid w:val="1FE741BD"/>
    <w:rsid w:val="1FEA15B7"/>
    <w:rsid w:val="1FEB3581"/>
    <w:rsid w:val="1FED554B"/>
    <w:rsid w:val="1FF04F55"/>
    <w:rsid w:val="1FF22B62"/>
    <w:rsid w:val="1FF266BE"/>
    <w:rsid w:val="1FF40688"/>
    <w:rsid w:val="1FF57F5C"/>
    <w:rsid w:val="1FF64400"/>
    <w:rsid w:val="1FF93EF0"/>
    <w:rsid w:val="1FFB1A16"/>
    <w:rsid w:val="1FFC753C"/>
    <w:rsid w:val="1FFD6FC8"/>
    <w:rsid w:val="1FFE1506"/>
    <w:rsid w:val="2000527E"/>
    <w:rsid w:val="200563F1"/>
    <w:rsid w:val="2007660D"/>
    <w:rsid w:val="2009466C"/>
    <w:rsid w:val="200B7CB5"/>
    <w:rsid w:val="200C3C23"/>
    <w:rsid w:val="200C59D1"/>
    <w:rsid w:val="200D799B"/>
    <w:rsid w:val="200F0EA1"/>
    <w:rsid w:val="200F7270"/>
    <w:rsid w:val="20104D96"/>
    <w:rsid w:val="20120B0E"/>
    <w:rsid w:val="201221D2"/>
    <w:rsid w:val="20166850"/>
    <w:rsid w:val="201725C8"/>
    <w:rsid w:val="20184032"/>
    <w:rsid w:val="201900EE"/>
    <w:rsid w:val="20191E9C"/>
    <w:rsid w:val="201B7F11"/>
    <w:rsid w:val="201C198C"/>
    <w:rsid w:val="201C7BDE"/>
    <w:rsid w:val="201E74B3"/>
    <w:rsid w:val="202251F5"/>
    <w:rsid w:val="202279CC"/>
    <w:rsid w:val="202366A3"/>
    <w:rsid w:val="202661BC"/>
    <w:rsid w:val="20270A5D"/>
    <w:rsid w:val="202820DF"/>
    <w:rsid w:val="202A22FB"/>
    <w:rsid w:val="202C5CD5"/>
    <w:rsid w:val="202D1DEC"/>
    <w:rsid w:val="202D3B9A"/>
    <w:rsid w:val="202D76F6"/>
    <w:rsid w:val="202F7912"/>
    <w:rsid w:val="20337402"/>
    <w:rsid w:val="203767C6"/>
    <w:rsid w:val="203B74FB"/>
    <w:rsid w:val="203C5DBA"/>
    <w:rsid w:val="20401B1F"/>
    <w:rsid w:val="2040567B"/>
    <w:rsid w:val="2041079C"/>
    <w:rsid w:val="20441240"/>
    <w:rsid w:val="20441B19"/>
    <w:rsid w:val="204809D3"/>
    <w:rsid w:val="20491AFF"/>
    <w:rsid w:val="204A474C"/>
    <w:rsid w:val="20542ED4"/>
    <w:rsid w:val="20547378"/>
    <w:rsid w:val="20566C4C"/>
    <w:rsid w:val="20580C17"/>
    <w:rsid w:val="20586E69"/>
    <w:rsid w:val="205904EB"/>
    <w:rsid w:val="20596377"/>
    <w:rsid w:val="205A1432"/>
    <w:rsid w:val="205B3F14"/>
    <w:rsid w:val="20623843"/>
    <w:rsid w:val="20631369"/>
    <w:rsid w:val="20663493"/>
    <w:rsid w:val="206770AC"/>
    <w:rsid w:val="2069018D"/>
    <w:rsid w:val="206A124F"/>
    <w:rsid w:val="206A26F8"/>
    <w:rsid w:val="206C46C2"/>
    <w:rsid w:val="206F7D0E"/>
    <w:rsid w:val="20756A8B"/>
    <w:rsid w:val="2076109D"/>
    <w:rsid w:val="20765541"/>
    <w:rsid w:val="2078256A"/>
    <w:rsid w:val="20796DDF"/>
    <w:rsid w:val="207B66B3"/>
    <w:rsid w:val="20814E29"/>
    <w:rsid w:val="20823EE5"/>
    <w:rsid w:val="20827A42"/>
    <w:rsid w:val="20875058"/>
    <w:rsid w:val="20887022"/>
    <w:rsid w:val="208C08C0"/>
    <w:rsid w:val="208C266E"/>
    <w:rsid w:val="208F215E"/>
    <w:rsid w:val="20937EA1"/>
    <w:rsid w:val="209459C7"/>
    <w:rsid w:val="2096173F"/>
    <w:rsid w:val="20992FDD"/>
    <w:rsid w:val="209B0B03"/>
    <w:rsid w:val="209D2ACD"/>
    <w:rsid w:val="20A0219D"/>
    <w:rsid w:val="20A0611A"/>
    <w:rsid w:val="20A21E92"/>
    <w:rsid w:val="20A7394C"/>
    <w:rsid w:val="20AB38D2"/>
    <w:rsid w:val="20B35E4D"/>
    <w:rsid w:val="20B56069"/>
    <w:rsid w:val="20B60991"/>
    <w:rsid w:val="20B63B8F"/>
    <w:rsid w:val="20B87A68"/>
    <w:rsid w:val="20BB779D"/>
    <w:rsid w:val="20BD6CCC"/>
    <w:rsid w:val="20BF0C96"/>
    <w:rsid w:val="20BF45FE"/>
    <w:rsid w:val="20C04A0E"/>
    <w:rsid w:val="20C2264C"/>
    <w:rsid w:val="20C359E2"/>
    <w:rsid w:val="20C475A8"/>
    <w:rsid w:val="20C70459"/>
    <w:rsid w:val="20CE0ED9"/>
    <w:rsid w:val="20CF4C51"/>
    <w:rsid w:val="20D12777"/>
    <w:rsid w:val="20D44015"/>
    <w:rsid w:val="20D504B9"/>
    <w:rsid w:val="20D76A4F"/>
    <w:rsid w:val="20D81D57"/>
    <w:rsid w:val="20DD2ECA"/>
    <w:rsid w:val="20DD55C0"/>
    <w:rsid w:val="20DD736E"/>
    <w:rsid w:val="20DF4E94"/>
    <w:rsid w:val="20E029BA"/>
    <w:rsid w:val="20E57FD0"/>
    <w:rsid w:val="20E6220C"/>
    <w:rsid w:val="20E701EC"/>
    <w:rsid w:val="20E71F9A"/>
    <w:rsid w:val="20E91C39"/>
    <w:rsid w:val="20E93F65"/>
    <w:rsid w:val="20E95D13"/>
    <w:rsid w:val="20E97AC1"/>
    <w:rsid w:val="20EA3839"/>
    <w:rsid w:val="20EF0E4F"/>
    <w:rsid w:val="20F052F3"/>
    <w:rsid w:val="20F14BC7"/>
    <w:rsid w:val="20F52909"/>
    <w:rsid w:val="20F841A8"/>
    <w:rsid w:val="20FA1CCE"/>
    <w:rsid w:val="20FB47F1"/>
    <w:rsid w:val="20FE7F6F"/>
    <w:rsid w:val="2102069D"/>
    <w:rsid w:val="21042B4C"/>
    <w:rsid w:val="21050673"/>
    <w:rsid w:val="21052421"/>
    <w:rsid w:val="210617F6"/>
    <w:rsid w:val="2106288F"/>
    <w:rsid w:val="21082292"/>
    <w:rsid w:val="21093CBF"/>
    <w:rsid w:val="210963B5"/>
    <w:rsid w:val="21101606"/>
    <w:rsid w:val="21112AEB"/>
    <w:rsid w:val="21156B08"/>
    <w:rsid w:val="21162880"/>
    <w:rsid w:val="211663DC"/>
    <w:rsid w:val="211803A6"/>
    <w:rsid w:val="211A411E"/>
    <w:rsid w:val="211D59BC"/>
    <w:rsid w:val="211F34E2"/>
    <w:rsid w:val="211F7986"/>
    <w:rsid w:val="212433D6"/>
    <w:rsid w:val="21246D4B"/>
    <w:rsid w:val="212705E9"/>
    <w:rsid w:val="212B632B"/>
    <w:rsid w:val="212C3511"/>
    <w:rsid w:val="212E3725"/>
    <w:rsid w:val="21303941"/>
    <w:rsid w:val="2130749E"/>
    <w:rsid w:val="21333432"/>
    <w:rsid w:val="21350F58"/>
    <w:rsid w:val="21352D06"/>
    <w:rsid w:val="21354AB4"/>
    <w:rsid w:val="2136082C"/>
    <w:rsid w:val="21380A48"/>
    <w:rsid w:val="213A031C"/>
    <w:rsid w:val="213B4094"/>
    <w:rsid w:val="213C106E"/>
    <w:rsid w:val="21423675"/>
    <w:rsid w:val="214271D1"/>
    <w:rsid w:val="2144119B"/>
    <w:rsid w:val="21472A39"/>
    <w:rsid w:val="215018EE"/>
    <w:rsid w:val="21515666"/>
    <w:rsid w:val="21521B0A"/>
    <w:rsid w:val="215238B8"/>
    <w:rsid w:val="21584C46"/>
    <w:rsid w:val="215A7A6D"/>
    <w:rsid w:val="215C112A"/>
    <w:rsid w:val="215E44A7"/>
    <w:rsid w:val="215F4227"/>
    <w:rsid w:val="215F5FD5"/>
    <w:rsid w:val="216058A9"/>
    <w:rsid w:val="21613AFB"/>
    <w:rsid w:val="21661111"/>
    <w:rsid w:val="2166460A"/>
    <w:rsid w:val="21677702"/>
    <w:rsid w:val="21715E87"/>
    <w:rsid w:val="21747CD2"/>
    <w:rsid w:val="21771570"/>
    <w:rsid w:val="21780E44"/>
    <w:rsid w:val="21791B17"/>
    <w:rsid w:val="218477E9"/>
    <w:rsid w:val="21867A05"/>
    <w:rsid w:val="2188552B"/>
    <w:rsid w:val="218872DA"/>
    <w:rsid w:val="21894E00"/>
    <w:rsid w:val="218B0B78"/>
    <w:rsid w:val="218E68BA"/>
    <w:rsid w:val="218F632D"/>
    <w:rsid w:val="21963C10"/>
    <w:rsid w:val="21966EE6"/>
    <w:rsid w:val="2197576F"/>
    <w:rsid w:val="219858A3"/>
    <w:rsid w:val="219A0DBB"/>
    <w:rsid w:val="219A700D"/>
    <w:rsid w:val="219F018C"/>
    <w:rsid w:val="219F4623"/>
    <w:rsid w:val="21A1648B"/>
    <w:rsid w:val="21A165ED"/>
    <w:rsid w:val="21A954A2"/>
    <w:rsid w:val="21AE2AB8"/>
    <w:rsid w:val="21B005DE"/>
    <w:rsid w:val="21B46321"/>
    <w:rsid w:val="21B73DA1"/>
    <w:rsid w:val="21BA29EC"/>
    <w:rsid w:val="21BA648F"/>
    <w:rsid w:val="21BC51D5"/>
    <w:rsid w:val="21BC592B"/>
    <w:rsid w:val="21BE719F"/>
    <w:rsid w:val="21BF0821"/>
    <w:rsid w:val="21C10A3D"/>
    <w:rsid w:val="21C1459A"/>
    <w:rsid w:val="21C80A64"/>
    <w:rsid w:val="21C9221A"/>
    <w:rsid w:val="21CC489A"/>
    <w:rsid w:val="21D346AB"/>
    <w:rsid w:val="21D50045"/>
    <w:rsid w:val="21DA565B"/>
    <w:rsid w:val="21DF2C72"/>
    <w:rsid w:val="21DF3CBC"/>
    <w:rsid w:val="21E5472C"/>
    <w:rsid w:val="21E8421C"/>
    <w:rsid w:val="21E93AF0"/>
    <w:rsid w:val="21EA7F94"/>
    <w:rsid w:val="21ED1832"/>
    <w:rsid w:val="21ED538F"/>
    <w:rsid w:val="21F229A5"/>
    <w:rsid w:val="21F66939"/>
    <w:rsid w:val="21F93D33"/>
    <w:rsid w:val="21FA7AAB"/>
    <w:rsid w:val="21FD424E"/>
    <w:rsid w:val="21FF50C2"/>
    <w:rsid w:val="2201405F"/>
    <w:rsid w:val="2203477E"/>
    <w:rsid w:val="2205092A"/>
    <w:rsid w:val="220550C4"/>
    <w:rsid w:val="220646A2"/>
    <w:rsid w:val="22081212"/>
    <w:rsid w:val="220E3E9E"/>
    <w:rsid w:val="220F17A9"/>
    <w:rsid w:val="221026C4"/>
    <w:rsid w:val="22146DBF"/>
    <w:rsid w:val="22160B82"/>
    <w:rsid w:val="22160D89"/>
    <w:rsid w:val="22192627"/>
    <w:rsid w:val="2221772E"/>
    <w:rsid w:val="222334A6"/>
    <w:rsid w:val="22235254"/>
    <w:rsid w:val="22255CB0"/>
    <w:rsid w:val="222B4109"/>
    <w:rsid w:val="222F59A7"/>
    <w:rsid w:val="2230171F"/>
    <w:rsid w:val="22317971"/>
    <w:rsid w:val="22347461"/>
    <w:rsid w:val="2235037E"/>
    <w:rsid w:val="22352F4F"/>
    <w:rsid w:val="223631D9"/>
    <w:rsid w:val="22370D00"/>
    <w:rsid w:val="22396826"/>
    <w:rsid w:val="22405E06"/>
    <w:rsid w:val="22407BB4"/>
    <w:rsid w:val="22435553"/>
    <w:rsid w:val="224407AF"/>
    <w:rsid w:val="224A0A33"/>
    <w:rsid w:val="224A3CE5"/>
    <w:rsid w:val="224A5DEE"/>
    <w:rsid w:val="224C47AB"/>
    <w:rsid w:val="224F66C7"/>
    <w:rsid w:val="2254540E"/>
    <w:rsid w:val="22574EFE"/>
    <w:rsid w:val="2258347D"/>
    <w:rsid w:val="22592A24"/>
    <w:rsid w:val="22602004"/>
    <w:rsid w:val="22603DB2"/>
    <w:rsid w:val="22623FCE"/>
    <w:rsid w:val="2267320D"/>
    <w:rsid w:val="22682C67"/>
    <w:rsid w:val="226A2E83"/>
    <w:rsid w:val="227635D6"/>
    <w:rsid w:val="227930C6"/>
    <w:rsid w:val="227B299A"/>
    <w:rsid w:val="22833F45"/>
    <w:rsid w:val="22851A6B"/>
    <w:rsid w:val="22861BB4"/>
    <w:rsid w:val="22873A35"/>
    <w:rsid w:val="2288155B"/>
    <w:rsid w:val="228952D6"/>
    <w:rsid w:val="228A52D3"/>
    <w:rsid w:val="228A7081"/>
    <w:rsid w:val="228C4BA7"/>
    <w:rsid w:val="22910410"/>
    <w:rsid w:val="229323DA"/>
    <w:rsid w:val="22943A5C"/>
    <w:rsid w:val="22965A26"/>
    <w:rsid w:val="2297314D"/>
    <w:rsid w:val="2298179E"/>
    <w:rsid w:val="22995516"/>
    <w:rsid w:val="229C0B63"/>
    <w:rsid w:val="229D6DB5"/>
    <w:rsid w:val="229E0D7F"/>
    <w:rsid w:val="229F23A9"/>
    <w:rsid w:val="22A279E3"/>
    <w:rsid w:val="22A5292D"/>
    <w:rsid w:val="22A6463F"/>
    <w:rsid w:val="22AF4D3A"/>
    <w:rsid w:val="22AF6AE8"/>
    <w:rsid w:val="22B02E93"/>
    <w:rsid w:val="22B20386"/>
    <w:rsid w:val="22B83BEE"/>
    <w:rsid w:val="22B97967"/>
    <w:rsid w:val="22BA2B41"/>
    <w:rsid w:val="22BD7457"/>
    <w:rsid w:val="22BF3958"/>
    <w:rsid w:val="22C00CF5"/>
    <w:rsid w:val="22C32593"/>
    <w:rsid w:val="22C34341"/>
    <w:rsid w:val="22C500B9"/>
    <w:rsid w:val="22C72083"/>
    <w:rsid w:val="22C73E32"/>
    <w:rsid w:val="22C81958"/>
    <w:rsid w:val="22CA1B74"/>
    <w:rsid w:val="22CA3922"/>
    <w:rsid w:val="22CC58EC"/>
    <w:rsid w:val="22CC769A"/>
    <w:rsid w:val="22CD6F6E"/>
    <w:rsid w:val="22CE3DE1"/>
    <w:rsid w:val="22D0247C"/>
    <w:rsid w:val="22D26F9A"/>
    <w:rsid w:val="22D32038"/>
    <w:rsid w:val="22D4654E"/>
    <w:rsid w:val="22D73594"/>
    <w:rsid w:val="22DA1DB7"/>
    <w:rsid w:val="22DB2732"/>
    <w:rsid w:val="22DE117B"/>
    <w:rsid w:val="22E20C6B"/>
    <w:rsid w:val="22E26EBD"/>
    <w:rsid w:val="22E35D19"/>
    <w:rsid w:val="22E56673"/>
    <w:rsid w:val="22EC3898"/>
    <w:rsid w:val="22EE5862"/>
    <w:rsid w:val="22EF5136"/>
    <w:rsid w:val="22F015DA"/>
    <w:rsid w:val="22F10EAE"/>
    <w:rsid w:val="22F64717"/>
    <w:rsid w:val="22F91688"/>
    <w:rsid w:val="22F97D63"/>
    <w:rsid w:val="22FB3ADB"/>
    <w:rsid w:val="22FE5EAE"/>
    <w:rsid w:val="23007343"/>
    <w:rsid w:val="230961F8"/>
    <w:rsid w:val="230B46F7"/>
    <w:rsid w:val="230F7587"/>
    <w:rsid w:val="231177A3"/>
    <w:rsid w:val="2318643B"/>
    <w:rsid w:val="231F3C6E"/>
    <w:rsid w:val="2322375E"/>
    <w:rsid w:val="232272BA"/>
    <w:rsid w:val="23243032"/>
    <w:rsid w:val="232474D6"/>
    <w:rsid w:val="23256DAA"/>
    <w:rsid w:val="23266F64"/>
    <w:rsid w:val="232E2103"/>
    <w:rsid w:val="23333275"/>
    <w:rsid w:val="233410FB"/>
    <w:rsid w:val="23360FB7"/>
    <w:rsid w:val="233A2855"/>
    <w:rsid w:val="233B65CE"/>
    <w:rsid w:val="233C0AA7"/>
    <w:rsid w:val="233C7E85"/>
    <w:rsid w:val="233D0598"/>
    <w:rsid w:val="233F7E6C"/>
    <w:rsid w:val="23400C60"/>
    <w:rsid w:val="23405992"/>
    <w:rsid w:val="23413B6C"/>
    <w:rsid w:val="23424D4C"/>
    <w:rsid w:val="23425BAE"/>
    <w:rsid w:val="23443C2E"/>
    <w:rsid w:val="23470BA1"/>
    <w:rsid w:val="23471B9A"/>
    <w:rsid w:val="23492A98"/>
    <w:rsid w:val="234B4A63"/>
    <w:rsid w:val="234B6811"/>
    <w:rsid w:val="234E2B8D"/>
    <w:rsid w:val="2350373B"/>
    <w:rsid w:val="235356C5"/>
    <w:rsid w:val="235373AD"/>
    <w:rsid w:val="23571659"/>
    <w:rsid w:val="235A2EF8"/>
    <w:rsid w:val="235D02F2"/>
    <w:rsid w:val="235D4796"/>
    <w:rsid w:val="235D6544"/>
    <w:rsid w:val="235F406A"/>
    <w:rsid w:val="23607DE2"/>
    <w:rsid w:val="23645B24"/>
    <w:rsid w:val="236525C6"/>
    <w:rsid w:val="23670458"/>
    <w:rsid w:val="236773C3"/>
    <w:rsid w:val="23694EE9"/>
    <w:rsid w:val="236B2A0F"/>
    <w:rsid w:val="237017BB"/>
    <w:rsid w:val="23720241"/>
    <w:rsid w:val="23733FB9"/>
    <w:rsid w:val="23775858"/>
    <w:rsid w:val="237B2072"/>
    <w:rsid w:val="237C4C1C"/>
    <w:rsid w:val="237D0994"/>
    <w:rsid w:val="237F470C"/>
    <w:rsid w:val="23810484"/>
    <w:rsid w:val="238167DD"/>
    <w:rsid w:val="23827D58"/>
    <w:rsid w:val="23846E83"/>
    <w:rsid w:val="238539F8"/>
    <w:rsid w:val="23867849"/>
    <w:rsid w:val="23874C53"/>
    <w:rsid w:val="238B4E5F"/>
    <w:rsid w:val="238C0BD7"/>
    <w:rsid w:val="238E2BA1"/>
    <w:rsid w:val="23922691"/>
    <w:rsid w:val="23971A56"/>
    <w:rsid w:val="239B0E1A"/>
    <w:rsid w:val="239B54EE"/>
    <w:rsid w:val="239F4DAE"/>
    <w:rsid w:val="239F6B5C"/>
    <w:rsid w:val="23A45F21"/>
    <w:rsid w:val="23A6613D"/>
    <w:rsid w:val="23A81EB5"/>
    <w:rsid w:val="23AC73C6"/>
    <w:rsid w:val="23AD1279"/>
    <w:rsid w:val="23AF69F1"/>
    <w:rsid w:val="23B1063E"/>
    <w:rsid w:val="23B12896"/>
    <w:rsid w:val="23B1699D"/>
    <w:rsid w:val="23B567AE"/>
    <w:rsid w:val="23BA1BE8"/>
    <w:rsid w:val="23BC3AB0"/>
    <w:rsid w:val="23C12F77"/>
    <w:rsid w:val="23C14D25"/>
    <w:rsid w:val="23C16AD3"/>
    <w:rsid w:val="23C44815"/>
    <w:rsid w:val="23C465C3"/>
    <w:rsid w:val="23C6233B"/>
    <w:rsid w:val="23C71C0F"/>
    <w:rsid w:val="23C860B3"/>
    <w:rsid w:val="23C93BD9"/>
    <w:rsid w:val="23C95987"/>
    <w:rsid w:val="23CB0902"/>
    <w:rsid w:val="23CB5BA3"/>
    <w:rsid w:val="23D04F68"/>
    <w:rsid w:val="23D83E1C"/>
    <w:rsid w:val="23D902C0"/>
    <w:rsid w:val="23DA1943"/>
    <w:rsid w:val="23DA5DE6"/>
    <w:rsid w:val="23DE58D7"/>
    <w:rsid w:val="23DE7685"/>
    <w:rsid w:val="23DF33FD"/>
    <w:rsid w:val="23E10F23"/>
    <w:rsid w:val="23E11A3F"/>
    <w:rsid w:val="23EB7FF4"/>
    <w:rsid w:val="23EC49CB"/>
    <w:rsid w:val="23ED5B1A"/>
    <w:rsid w:val="23ED78C8"/>
    <w:rsid w:val="23F23130"/>
    <w:rsid w:val="23F30C56"/>
    <w:rsid w:val="23F316BB"/>
    <w:rsid w:val="23F55382"/>
    <w:rsid w:val="23F964FB"/>
    <w:rsid w:val="23FA1FE5"/>
    <w:rsid w:val="23FB0F42"/>
    <w:rsid w:val="23FF584D"/>
    <w:rsid w:val="240115C5"/>
    <w:rsid w:val="24053736"/>
    <w:rsid w:val="240B5FA0"/>
    <w:rsid w:val="240D03B4"/>
    <w:rsid w:val="24101808"/>
    <w:rsid w:val="24120C2B"/>
    <w:rsid w:val="24125580"/>
    <w:rsid w:val="2412732E"/>
    <w:rsid w:val="24172B97"/>
    <w:rsid w:val="24213A15"/>
    <w:rsid w:val="2423778D"/>
    <w:rsid w:val="24284DA4"/>
    <w:rsid w:val="24286B52"/>
    <w:rsid w:val="24294678"/>
    <w:rsid w:val="242A28CA"/>
    <w:rsid w:val="242D23BA"/>
    <w:rsid w:val="242F6132"/>
    <w:rsid w:val="242F7EE0"/>
    <w:rsid w:val="2432177F"/>
    <w:rsid w:val="243279D1"/>
    <w:rsid w:val="2435126F"/>
    <w:rsid w:val="24390D5F"/>
    <w:rsid w:val="243D6307"/>
    <w:rsid w:val="243E45C7"/>
    <w:rsid w:val="24415E66"/>
    <w:rsid w:val="24447AE2"/>
    <w:rsid w:val="244634F4"/>
    <w:rsid w:val="24470605"/>
    <w:rsid w:val="244871F4"/>
    <w:rsid w:val="244A4A61"/>
    <w:rsid w:val="24507E57"/>
    <w:rsid w:val="24523BCF"/>
    <w:rsid w:val="245331CC"/>
    <w:rsid w:val="245416F5"/>
    <w:rsid w:val="24547947"/>
    <w:rsid w:val="24553E63"/>
    <w:rsid w:val="24594F5D"/>
    <w:rsid w:val="245B6F27"/>
    <w:rsid w:val="246062EC"/>
    <w:rsid w:val="24637B8A"/>
    <w:rsid w:val="24672CC0"/>
    <w:rsid w:val="246A53BC"/>
    <w:rsid w:val="246D0A09"/>
    <w:rsid w:val="246D27B7"/>
    <w:rsid w:val="246D6C5B"/>
    <w:rsid w:val="246F652F"/>
    <w:rsid w:val="247104F9"/>
    <w:rsid w:val="2471674B"/>
    <w:rsid w:val="24763848"/>
    <w:rsid w:val="247A6377"/>
    <w:rsid w:val="247B3126"/>
    <w:rsid w:val="247C12B5"/>
    <w:rsid w:val="247D473D"/>
    <w:rsid w:val="247F48A9"/>
    <w:rsid w:val="24801C84"/>
    <w:rsid w:val="24827E18"/>
    <w:rsid w:val="248875F1"/>
    <w:rsid w:val="248C70E1"/>
    <w:rsid w:val="248D10AB"/>
    <w:rsid w:val="248F4E23"/>
    <w:rsid w:val="24922994"/>
    <w:rsid w:val="249266C1"/>
    <w:rsid w:val="24963225"/>
    <w:rsid w:val="249B7324"/>
    <w:rsid w:val="249E5066"/>
    <w:rsid w:val="249E6E14"/>
    <w:rsid w:val="24A54C36"/>
    <w:rsid w:val="24A65CC9"/>
    <w:rsid w:val="24A87C93"/>
    <w:rsid w:val="24AA57B9"/>
    <w:rsid w:val="24AB32DF"/>
    <w:rsid w:val="24B14D99"/>
    <w:rsid w:val="24B32246"/>
    <w:rsid w:val="24BB1774"/>
    <w:rsid w:val="24BE3012"/>
    <w:rsid w:val="24C148B0"/>
    <w:rsid w:val="24C22B02"/>
    <w:rsid w:val="24C30629"/>
    <w:rsid w:val="24C31569"/>
    <w:rsid w:val="24C52063"/>
    <w:rsid w:val="24C525F3"/>
    <w:rsid w:val="24C543A1"/>
    <w:rsid w:val="24C7636B"/>
    <w:rsid w:val="24C9231F"/>
    <w:rsid w:val="24CA5E5B"/>
    <w:rsid w:val="24D12D46"/>
    <w:rsid w:val="24D272B7"/>
    <w:rsid w:val="24D303C9"/>
    <w:rsid w:val="24D42836"/>
    <w:rsid w:val="24D5291D"/>
    <w:rsid w:val="24D52D8A"/>
    <w:rsid w:val="24D80578"/>
    <w:rsid w:val="24D97E4C"/>
    <w:rsid w:val="24DB3BC4"/>
    <w:rsid w:val="24E011DB"/>
    <w:rsid w:val="24E15127"/>
    <w:rsid w:val="24E366A7"/>
    <w:rsid w:val="24E46F1D"/>
    <w:rsid w:val="24E54A43"/>
    <w:rsid w:val="24E72569"/>
    <w:rsid w:val="24E76A0D"/>
    <w:rsid w:val="24EA2059"/>
    <w:rsid w:val="24EA3E07"/>
    <w:rsid w:val="24EC5DD1"/>
    <w:rsid w:val="24EC7B7F"/>
    <w:rsid w:val="24EE1B49"/>
    <w:rsid w:val="24EF141E"/>
    <w:rsid w:val="24F1163A"/>
    <w:rsid w:val="24F133E8"/>
    <w:rsid w:val="24F15196"/>
    <w:rsid w:val="24F5112A"/>
    <w:rsid w:val="24F66C50"/>
    <w:rsid w:val="24F9229C"/>
    <w:rsid w:val="24FA386E"/>
    <w:rsid w:val="24FD1D8D"/>
    <w:rsid w:val="24FE78B3"/>
    <w:rsid w:val="2500362B"/>
    <w:rsid w:val="250273A3"/>
    <w:rsid w:val="2504136D"/>
    <w:rsid w:val="25056E93"/>
    <w:rsid w:val="25076767"/>
    <w:rsid w:val="250E3F9A"/>
    <w:rsid w:val="251175E6"/>
    <w:rsid w:val="251315B0"/>
    <w:rsid w:val="25134965"/>
    <w:rsid w:val="25145328"/>
    <w:rsid w:val="25170903"/>
    <w:rsid w:val="25184E18"/>
    <w:rsid w:val="251946ED"/>
    <w:rsid w:val="251B2213"/>
    <w:rsid w:val="25253091"/>
    <w:rsid w:val="25292B82"/>
    <w:rsid w:val="252A06A8"/>
    <w:rsid w:val="252A68FA"/>
    <w:rsid w:val="252E63EA"/>
    <w:rsid w:val="25302162"/>
    <w:rsid w:val="25311A36"/>
    <w:rsid w:val="25315EDA"/>
    <w:rsid w:val="25331C52"/>
    <w:rsid w:val="25333A00"/>
    <w:rsid w:val="2536529E"/>
    <w:rsid w:val="2536704D"/>
    <w:rsid w:val="25377C12"/>
    <w:rsid w:val="25382DC5"/>
    <w:rsid w:val="253C3621"/>
    <w:rsid w:val="253D487F"/>
    <w:rsid w:val="253E6F65"/>
    <w:rsid w:val="253F4153"/>
    <w:rsid w:val="25401C79"/>
    <w:rsid w:val="25423C43"/>
    <w:rsid w:val="255319AC"/>
    <w:rsid w:val="25536CD7"/>
    <w:rsid w:val="25551BC9"/>
    <w:rsid w:val="255552F4"/>
    <w:rsid w:val="2556149D"/>
    <w:rsid w:val="255676EF"/>
    <w:rsid w:val="2557082B"/>
    <w:rsid w:val="2559467E"/>
    <w:rsid w:val="255B2F57"/>
    <w:rsid w:val="255C33E9"/>
    <w:rsid w:val="2561056D"/>
    <w:rsid w:val="256242E5"/>
    <w:rsid w:val="25626093"/>
    <w:rsid w:val="2564005E"/>
    <w:rsid w:val="25643BBA"/>
    <w:rsid w:val="256911D0"/>
    <w:rsid w:val="256B319A"/>
    <w:rsid w:val="256C0CC0"/>
    <w:rsid w:val="256E67E6"/>
    <w:rsid w:val="257302A1"/>
    <w:rsid w:val="25733DFD"/>
    <w:rsid w:val="25752CBA"/>
    <w:rsid w:val="25754019"/>
    <w:rsid w:val="25755DC7"/>
    <w:rsid w:val="257751E6"/>
    <w:rsid w:val="257B687D"/>
    <w:rsid w:val="257B7155"/>
    <w:rsid w:val="257C53A7"/>
    <w:rsid w:val="257E52BB"/>
    <w:rsid w:val="258573E7"/>
    <w:rsid w:val="25875BC7"/>
    <w:rsid w:val="258C3110"/>
    <w:rsid w:val="258D3523"/>
    <w:rsid w:val="258E50DA"/>
    <w:rsid w:val="25902E9C"/>
    <w:rsid w:val="259057E9"/>
    <w:rsid w:val="25916979"/>
    <w:rsid w:val="2593624D"/>
    <w:rsid w:val="25951FC5"/>
    <w:rsid w:val="259721E1"/>
    <w:rsid w:val="2599073D"/>
    <w:rsid w:val="259A3A7F"/>
    <w:rsid w:val="259D3570"/>
    <w:rsid w:val="259D70CC"/>
    <w:rsid w:val="259F1096"/>
    <w:rsid w:val="259F2E44"/>
    <w:rsid w:val="25A0096A"/>
    <w:rsid w:val="25A14E0E"/>
    <w:rsid w:val="25A1634B"/>
    <w:rsid w:val="25A1676E"/>
    <w:rsid w:val="25A4045A"/>
    <w:rsid w:val="25A42208"/>
    <w:rsid w:val="25A43B34"/>
    <w:rsid w:val="25A77F4A"/>
    <w:rsid w:val="25AB3597"/>
    <w:rsid w:val="25AC5561"/>
    <w:rsid w:val="25AC730F"/>
    <w:rsid w:val="25B00C6F"/>
    <w:rsid w:val="25B0273C"/>
    <w:rsid w:val="25B05051"/>
    <w:rsid w:val="25B06DFF"/>
    <w:rsid w:val="25B14925"/>
    <w:rsid w:val="25B6018D"/>
    <w:rsid w:val="25B85CB3"/>
    <w:rsid w:val="25BC39F6"/>
    <w:rsid w:val="25BD151C"/>
    <w:rsid w:val="25C44658"/>
    <w:rsid w:val="25C64C69"/>
    <w:rsid w:val="25C66622"/>
    <w:rsid w:val="25C7239A"/>
    <w:rsid w:val="25C91C6F"/>
    <w:rsid w:val="25CB1E8B"/>
    <w:rsid w:val="25CB3C39"/>
    <w:rsid w:val="25CB59E7"/>
    <w:rsid w:val="25CC1E99"/>
    <w:rsid w:val="25CD79B1"/>
    <w:rsid w:val="25CE197B"/>
    <w:rsid w:val="25CE3729"/>
    <w:rsid w:val="25D24FC7"/>
    <w:rsid w:val="25D30D3F"/>
    <w:rsid w:val="25D32AED"/>
    <w:rsid w:val="25D45C3E"/>
    <w:rsid w:val="25D80104"/>
    <w:rsid w:val="25DA20CE"/>
    <w:rsid w:val="25DB02F1"/>
    <w:rsid w:val="25DC295F"/>
    <w:rsid w:val="25DD3DEF"/>
    <w:rsid w:val="25DD61F7"/>
    <w:rsid w:val="25DE670F"/>
    <w:rsid w:val="25E1520A"/>
    <w:rsid w:val="25E216F2"/>
    <w:rsid w:val="25E371D4"/>
    <w:rsid w:val="25E60A73"/>
    <w:rsid w:val="25E66CC5"/>
    <w:rsid w:val="25E81861"/>
    <w:rsid w:val="25E92311"/>
    <w:rsid w:val="25EB6089"/>
    <w:rsid w:val="25EC2492"/>
    <w:rsid w:val="25ED0053"/>
    <w:rsid w:val="25F27417"/>
    <w:rsid w:val="25F30BE6"/>
    <w:rsid w:val="25F74A2E"/>
    <w:rsid w:val="25F807A6"/>
    <w:rsid w:val="25FA451E"/>
    <w:rsid w:val="25FD7B6A"/>
    <w:rsid w:val="25FF38E2"/>
    <w:rsid w:val="260158AC"/>
    <w:rsid w:val="26025181"/>
    <w:rsid w:val="26034EF6"/>
    <w:rsid w:val="26041B6B"/>
    <w:rsid w:val="2604539D"/>
    <w:rsid w:val="26072EA8"/>
    <w:rsid w:val="260B04D9"/>
    <w:rsid w:val="260B672B"/>
    <w:rsid w:val="260E6047"/>
    <w:rsid w:val="26112CDF"/>
    <w:rsid w:val="26127ABA"/>
    <w:rsid w:val="26143832"/>
    <w:rsid w:val="26147F1F"/>
    <w:rsid w:val="26154EB4"/>
    <w:rsid w:val="261750D0"/>
    <w:rsid w:val="261B6962"/>
    <w:rsid w:val="261C4494"/>
    <w:rsid w:val="261C6242"/>
    <w:rsid w:val="261F3F85"/>
    <w:rsid w:val="261F5D33"/>
    <w:rsid w:val="26263565"/>
    <w:rsid w:val="2628108B"/>
    <w:rsid w:val="26282E39"/>
    <w:rsid w:val="262D044F"/>
    <w:rsid w:val="262D3A37"/>
    <w:rsid w:val="262E5F76"/>
    <w:rsid w:val="26312B63"/>
    <w:rsid w:val="26321F0A"/>
    <w:rsid w:val="26323CB8"/>
    <w:rsid w:val="26355556"/>
    <w:rsid w:val="26357163"/>
    <w:rsid w:val="26393298"/>
    <w:rsid w:val="263C5C9B"/>
    <w:rsid w:val="263D5C2C"/>
    <w:rsid w:val="263E318C"/>
    <w:rsid w:val="2641067D"/>
    <w:rsid w:val="26413EFB"/>
    <w:rsid w:val="26446A7D"/>
    <w:rsid w:val="26467763"/>
    <w:rsid w:val="26487037"/>
    <w:rsid w:val="264A4E98"/>
    <w:rsid w:val="264A7253"/>
    <w:rsid w:val="264B6B28"/>
    <w:rsid w:val="264D0AF2"/>
    <w:rsid w:val="264F486A"/>
    <w:rsid w:val="26502390"/>
    <w:rsid w:val="26516A31"/>
    <w:rsid w:val="26531402"/>
    <w:rsid w:val="26555BF8"/>
    <w:rsid w:val="26556842"/>
    <w:rsid w:val="265579A6"/>
    <w:rsid w:val="26585138"/>
    <w:rsid w:val="265B4F57"/>
    <w:rsid w:val="265E4AAD"/>
    <w:rsid w:val="2661459D"/>
    <w:rsid w:val="26630315"/>
    <w:rsid w:val="26630E46"/>
    <w:rsid w:val="26647BE9"/>
    <w:rsid w:val="26660497"/>
    <w:rsid w:val="26661BB3"/>
    <w:rsid w:val="266B71CA"/>
    <w:rsid w:val="266D620A"/>
    <w:rsid w:val="266D6A9E"/>
    <w:rsid w:val="26702B51"/>
    <w:rsid w:val="26712A32"/>
    <w:rsid w:val="267442D0"/>
    <w:rsid w:val="2674607E"/>
    <w:rsid w:val="26751DF6"/>
    <w:rsid w:val="26753BA5"/>
    <w:rsid w:val="267609FD"/>
    <w:rsid w:val="26795443"/>
    <w:rsid w:val="267B1D47"/>
    <w:rsid w:val="267C13D7"/>
    <w:rsid w:val="267E514F"/>
    <w:rsid w:val="26817027"/>
    <w:rsid w:val="2682292E"/>
    <w:rsid w:val="268362C1"/>
    <w:rsid w:val="26844491"/>
    <w:rsid w:val="2685028B"/>
    <w:rsid w:val="26867B60"/>
    <w:rsid w:val="26887D7C"/>
    <w:rsid w:val="268A02B6"/>
    <w:rsid w:val="268C786C"/>
    <w:rsid w:val="268F4C66"/>
    <w:rsid w:val="268F546E"/>
    <w:rsid w:val="26914E82"/>
    <w:rsid w:val="26924756"/>
    <w:rsid w:val="2694227D"/>
    <w:rsid w:val="269A360B"/>
    <w:rsid w:val="269A3CD3"/>
    <w:rsid w:val="269B185D"/>
    <w:rsid w:val="269C7383"/>
    <w:rsid w:val="269E134D"/>
    <w:rsid w:val="26A050C5"/>
    <w:rsid w:val="26A10E3D"/>
    <w:rsid w:val="26A1499A"/>
    <w:rsid w:val="26A24E49"/>
    <w:rsid w:val="26A34BB6"/>
    <w:rsid w:val="26A526DC"/>
    <w:rsid w:val="26A64C5A"/>
    <w:rsid w:val="26A76454"/>
    <w:rsid w:val="26AB5818"/>
    <w:rsid w:val="26AC220D"/>
    <w:rsid w:val="26AD77E2"/>
    <w:rsid w:val="26AF355A"/>
    <w:rsid w:val="26AF716B"/>
    <w:rsid w:val="26B22F74"/>
    <w:rsid w:val="26B24DF9"/>
    <w:rsid w:val="26B50445"/>
    <w:rsid w:val="26B57F3A"/>
    <w:rsid w:val="26B648E9"/>
    <w:rsid w:val="26B741BD"/>
    <w:rsid w:val="26B97F35"/>
    <w:rsid w:val="26BB3CAD"/>
    <w:rsid w:val="26BD5C77"/>
    <w:rsid w:val="26C012C4"/>
    <w:rsid w:val="26C16DEA"/>
    <w:rsid w:val="26C30DB4"/>
    <w:rsid w:val="26C32B62"/>
    <w:rsid w:val="26C46D53"/>
    <w:rsid w:val="26C50688"/>
    <w:rsid w:val="26C568DA"/>
    <w:rsid w:val="26C64400"/>
    <w:rsid w:val="26C863CA"/>
    <w:rsid w:val="26CD1C32"/>
    <w:rsid w:val="26CD39E1"/>
    <w:rsid w:val="26CF59AB"/>
    <w:rsid w:val="26CF7759"/>
    <w:rsid w:val="26D046A2"/>
    <w:rsid w:val="26D24169"/>
    <w:rsid w:val="26D5345C"/>
    <w:rsid w:val="26D905D7"/>
    <w:rsid w:val="26D94133"/>
    <w:rsid w:val="26DA5E46"/>
    <w:rsid w:val="26DB1CE0"/>
    <w:rsid w:val="26DB434F"/>
    <w:rsid w:val="26DB60FD"/>
    <w:rsid w:val="26DE799C"/>
    <w:rsid w:val="26E36D60"/>
    <w:rsid w:val="26E500B1"/>
    <w:rsid w:val="26E825C8"/>
    <w:rsid w:val="26EC030B"/>
    <w:rsid w:val="26EC20B9"/>
    <w:rsid w:val="26EE4B53"/>
    <w:rsid w:val="26F23447"/>
    <w:rsid w:val="26F251F5"/>
    <w:rsid w:val="26F40F6D"/>
    <w:rsid w:val="26F45411"/>
    <w:rsid w:val="26F64CE5"/>
    <w:rsid w:val="26F65116"/>
    <w:rsid w:val="26F7235B"/>
    <w:rsid w:val="26F96584"/>
    <w:rsid w:val="26FE3B9A"/>
    <w:rsid w:val="26FF1804"/>
    <w:rsid w:val="2701268A"/>
    <w:rsid w:val="27054F28"/>
    <w:rsid w:val="27070CA1"/>
    <w:rsid w:val="27082C6B"/>
    <w:rsid w:val="270F7B55"/>
    <w:rsid w:val="27126E5B"/>
    <w:rsid w:val="27127645"/>
    <w:rsid w:val="27133AE9"/>
    <w:rsid w:val="27135897"/>
    <w:rsid w:val="271433BD"/>
    <w:rsid w:val="27157A1E"/>
    <w:rsid w:val="271909D4"/>
    <w:rsid w:val="271B246D"/>
    <w:rsid w:val="271C3ED0"/>
    <w:rsid w:val="271E248E"/>
    <w:rsid w:val="27201D62"/>
    <w:rsid w:val="272A5F01"/>
    <w:rsid w:val="272C0707"/>
    <w:rsid w:val="272E0923"/>
    <w:rsid w:val="272E7452"/>
    <w:rsid w:val="272F01F7"/>
    <w:rsid w:val="273121C1"/>
    <w:rsid w:val="27321A96"/>
    <w:rsid w:val="27343A60"/>
    <w:rsid w:val="27376FFD"/>
    <w:rsid w:val="273870AC"/>
    <w:rsid w:val="273A72C8"/>
    <w:rsid w:val="273B1A56"/>
    <w:rsid w:val="273F48DE"/>
    <w:rsid w:val="27437FDF"/>
    <w:rsid w:val="274517C9"/>
    <w:rsid w:val="27455C6D"/>
    <w:rsid w:val="274912B9"/>
    <w:rsid w:val="274B5777"/>
    <w:rsid w:val="274B6B2A"/>
    <w:rsid w:val="274E2D73"/>
    <w:rsid w:val="274E68CF"/>
    <w:rsid w:val="274F0899"/>
    <w:rsid w:val="274F43F6"/>
    <w:rsid w:val="275027EC"/>
    <w:rsid w:val="27541A0C"/>
    <w:rsid w:val="27545EB0"/>
    <w:rsid w:val="275814FC"/>
    <w:rsid w:val="275B4E31"/>
    <w:rsid w:val="275B4E8B"/>
    <w:rsid w:val="275E288B"/>
    <w:rsid w:val="27602AA7"/>
    <w:rsid w:val="27604855"/>
    <w:rsid w:val="2760669F"/>
    <w:rsid w:val="27624129"/>
    <w:rsid w:val="276460F3"/>
    <w:rsid w:val="276C4FA7"/>
    <w:rsid w:val="276E6F72"/>
    <w:rsid w:val="276E7580"/>
    <w:rsid w:val="276F4A98"/>
    <w:rsid w:val="27767BD4"/>
    <w:rsid w:val="2778394C"/>
    <w:rsid w:val="277976C4"/>
    <w:rsid w:val="27802801"/>
    <w:rsid w:val="27822A1D"/>
    <w:rsid w:val="278422F1"/>
    <w:rsid w:val="27856069"/>
    <w:rsid w:val="27873B8F"/>
    <w:rsid w:val="27895B59"/>
    <w:rsid w:val="278A3680"/>
    <w:rsid w:val="278C564A"/>
    <w:rsid w:val="278D3699"/>
    <w:rsid w:val="27930786"/>
    <w:rsid w:val="27985D9D"/>
    <w:rsid w:val="279C4C1A"/>
    <w:rsid w:val="279E1806"/>
    <w:rsid w:val="279F27E3"/>
    <w:rsid w:val="279F712B"/>
    <w:rsid w:val="27A16033"/>
    <w:rsid w:val="27A91D58"/>
    <w:rsid w:val="27A961FC"/>
    <w:rsid w:val="27A97FAA"/>
    <w:rsid w:val="27AA7EDF"/>
    <w:rsid w:val="27AB1CB6"/>
    <w:rsid w:val="27B01338"/>
    <w:rsid w:val="27B32BD6"/>
    <w:rsid w:val="27B5694E"/>
    <w:rsid w:val="27B64475"/>
    <w:rsid w:val="27B70919"/>
    <w:rsid w:val="27B841B7"/>
    <w:rsid w:val="27B84691"/>
    <w:rsid w:val="27B96E8B"/>
    <w:rsid w:val="27BD3A55"/>
    <w:rsid w:val="27C02A4C"/>
    <w:rsid w:val="27C052F3"/>
    <w:rsid w:val="27C272BD"/>
    <w:rsid w:val="27C40F6B"/>
    <w:rsid w:val="27C43035"/>
    <w:rsid w:val="27CB12A0"/>
    <w:rsid w:val="27CB43C4"/>
    <w:rsid w:val="27D03788"/>
    <w:rsid w:val="27D137CA"/>
    <w:rsid w:val="27D17500"/>
    <w:rsid w:val="27D33279"/>
    <w:rsid w:val="27D42003"/>
    <w:rsid w:val="27D50D9F"/>
    <w:rsid w:val="27D663B3"/>
    <w:rsid w:val="27D668C5"/>
    <w:rsid w:val="27DA0163"/>
    <w:rsid w:val="27DA4607"/>
    <w:rsid w:val="27DA63B5"/>
    <w:rsid w:val="27DC212D"/>
    <w:rsid w:val="27DC6BED"/>
    <w:rsid w:val="27DF1C1D"/>
    <w:rsid w:val="27DF5779"/>
    <w:rsid w:val="27E56B08"/>
    <w:rsid w:val="27E94829"/>
    <w:rsid w:val="27E965F8"/>
    <w:rsid w:val="27ED1A69"/>
    <w:rsid w:val="27ED433A"/>
    <w:rsid w:val="27EE5ACA"/>
    <w:rsid w:val="27F21951"/>
    <w:rsid w:val="27F356C9"/>
    <w:rsid w:val="27F756EC"/>
    <w:rsid w:val="27F86254"/>
    <w:rsid w:val="27FA6A57"/>
    <w:rsid w:val="27FC2C9F"/>
    <w:rsid w:val="2801666D"/>
    <w:rsid w:val="28017DE6"/>
    <w:rsid w:val="28031996"/>
    <w:rsid w:val="28041684"/>
    <w:rsid w:val="28043432"/>
    <w:rsid w:val="28060F58"/>
    <w:rsid w:val="280671AA"/>
    <w:rsid w:val="28073099"/>
    <w:rsid w:val="280B2A12"/>
    <w:rsid w:val="280B7BC3"/>
    <w:rsid w:val="280D678A"/>
    <w:rsid w:val="280E2503"/>
    <w:rsid w:val="28133675"/>
    <w:rsid w:val="281477E5"/>
    <w:rsid w:val="28164F13"/>
    <w:rsid w:val="28177609"/>
    <w:rsid w:val="28180C8B"/>
    <w:rsid w:val="2818512F"/>
    <w:rsid w:val="281C6EFA"/>
    <w:rsid w:val="281E11E4"/>
    <w:rsid w:val="28215D92"/>
    <w:rsid w:val="28226140"/>
    <w:rsid w:val="28270C1E"/>
    <w:rsid w:val="28291CBC"/>
    <w:rsid w:val="282E6701"/>
    <w:rsid w:val="28302479"/>
    <w:rsid w:val="28304227"/>
    <w:rsid w:val="28325F90"/>
    <w:rsid w:val="28335AC5"/>
    <w:rsid w:val="28346DCF"/>
    <w:rsid w:val="283616EF"/>
    <w:rsid w:val="28373807"/>
    <w:rsid w:val="28397580"/>
    <w:rsid w:val="283A32F8"/>
    <w:rsid w:val="283C2BCC"/>
    <w:rsid w:val="283D06F2"/>
    <w:rsid w:val="283E1311"/>
    <w:rsid w:val="28447CD2"/>
    <w:rsid w:val="28485A15"/>
    <w:rsid w:val="284877C3"/>
    <w:rsid w:val="284A7477"/>
    <w:rsid w:val="284B2E0F"/>
    <w:rsid w:val="284D6B87"/>
    <w:rsid w:val="28506677"/>
    <w:rsid w:val="28520641"/>
    <w:rsid w:val="28525EE3"/>
    <w:rsid w:val="285443B9"/>
    <w:rsid w:val="28553C8E"/>
    <w:rsid w:val="285A74F6"/>
    <w:rsid w:val="285C326E"/>
    <w:rsid w:val="28616AD6"/>
    <w:rsid w:val="28623776"/>
    <w:rsid w:val="286363AA"/>
    <w:rsid w:val="28652BC3"/>
    <w:rsid w:val="28687E65"/>
    <w:rsid w:val="286914E7"/>
    <w:rsid w:val="28692272"/>
    <w:rsid w:val="286B1703"/>
    <w:rsid w:val="286B34B1"/>
    <w:rsid w:val="286D0FD7"/>
    <w:rsid w:val="286E4D4F"/>
    <w:rsid w:val="28702875"/>
    <w:rsid w:val="28706183"/>
    <w:rsid w:val="28722A91"/>
    <w:rsid w:val="2874680A"/>
    <w:rsid w:val="28795503"/>
    <w:rsid w:val="287E1436"/>
    <w:rsid w:val="288325A9"/>
    <w:rsid w:val="28836A4D"/>
    <w:rsid w:val="28890F6E"/>
    <w:rsid w:val="288A6488"/>
    <w:rsid w:val="288A7DDB"/>
    <w:rsid w:val="288B5901"/>
    <w:rsid w:val="28904CC6"/>
    <w:rsid w:val="28907C53"/>
    <w:rsid w:val="28942A08"/>
    <w:rsid w:val="289A78F2"/>
    <w:rsid w:val="289B13C8"/>
    <w:rsid w:val="289B3D96"/>
    <w:rsid w:val="289B663B"/>
    <w:rsid w:val="289C114D"/>
    <w:rsid w:val="289C7BC0"/>
    <w:rsid w:val="289D6624"/>
    <w:rsid w:val="289F7984"/>
    <w:rsid w:val="28A07ADA"/>
    <w:rsid w:val="28A60589"/>
    <w:rsid w:val="28A80261"/>
    <w:rsid w:val="28AA222B"/>
    <w:rsid w:val="28AC6949"/>
    <w:rsid w:val="28AD3ACA"/>
    <w:rsid w:val="28AD46AB"/>
    <w:rsid w:val="28AF7842"/>
    <w:rsid w:val="28B05368"/>
    <w:rsid w:val="28B15184"/>
    <w:rsid w:val="28B22E8E"/>
    <w:rsid w:val="28B44E58"/>
    <w:rsid w:val="28B5472C"/>
    <w:rsid w:val="28B92147"/>
    <w:rsid w:val="28BA1D43"/>
    <w:rsid w:val="28BE5CD7"/>
    <w:rsid w:val="28C055AB"/>
    <w:rsid w:val="28C11323"/>
    <w:rsid w:val="28C13CBC"/>
    <w:rsid w:val="28C3509B"/>
    <w:rsid w:val="28C52BC1"/>
    <w:rsid w:val="28C72DDD"/>
    <w:rsid w:val="28C77B6A"/>
    <w:rsid w:val="28CA62CE"/>
    <w:rsid w:val="28CD1A76"/>
    <w:rsid w:val="28CF1C92"/>
    <w:rsid w:val="28D0778C"/>
    <w:rsid w:val="28D23530"/>
    <w:rsid w:val="28D42E04"/>
    <w:rsid w:val="28D728F5"/>
    <w:rsid w:val="28D92B11"/>
    <w:rsid w:val="28DA7AFA"/>
    <w:rsid w:val="28DE1ED5"/>
    <w:rsid w:val="28E05B40"/>
    <w:rsid w:val="28E318D4"/>
    <w:rsid w:val="28E435EB"/>
    <w:rsid w:val="28E62B38"/>
    <w:rsid w:val="28E72E42"/>
    <w:rsid w:val="28E76FDC"/>
    <w:rsid w:val="28EA6ACC"/>
    <w:rsid w:val="28EB4FF4"/>
    <w:rsid w:val="28ED036A"/>
    <w:rsid w:val="28F039B6"/>
    <w:rsid w:val="28F17E5A"/>
    <w:rsid w:val="28F33BD2"/>
    <w:rsid w:val="28F416F8"/>
    <w:rsid w:val="28F4731A"/>
    <w:rsid w:val="28F60FCD"/>
    <w:rsid w:val="28F65471"/>
    <w:rsid w:val="28F9286B"/>
    <w:rsid w:val="28FC05AD"/>
    <w:rsid w:val="28FD4730"/>
    <w:rsid w:val="28FE2577"/>
    <w:rsid w:val="2900009D"/>
    <w:rsid w:val="29030038"/>
    <w:rsid w:val="29051210"/>
    <w:rsid w:val="29053906"/>
    <w:rsid w:val="2907142C"/>
    <w:rsid w:val="290D6692"/>
    <w:rsid w:val="290F02E0"/>
    <w:rsid w:val="290F6532"/>
    <w:rsid w:val="2916341D"/>
    <w:rsid w:val="291678C1"/>
    <w:rsid w:val="2919115F"/>
    <w:rsid w:val="29194CBB"/>
    <w:rsid w:val="291B298F"/>
    <w:rsid w:val="291B6C85"/>
    <w:rsid w:val="291D0C4F"/>
    <w:rsid w:val="29235B3A"/>
    <w:rsid w:val="29253660"/>
    <w:rsid w:val="29257B04"/>
    <w:rsid w:val="2927387C"/>
    <w:rsid w:val="292813A2"/>
    <w:rsid w:val="292A10BB"/>
    <w:rsid w:val="292A511A"/>
    <w:rsid w:val="292A6C56"/>
    <w:rsid w:val="292C2C40"/>
    <w:rsid w:val="292D0766"/>
    <w:rsid w:val="292F2731"/>
    <w:rsid w:val="29361D11"/>
    <w:rsid w:val="293624BD"/>
    <w:rsid w:val="29373393"/>
    <w:rsid w:val="2939710B"/>
    <w:rsid w:val="293B10D5"/>
    <w:rsid w:val="293D309F"/>
    <w:rsid w:val="293E0830"/>
    <w:rsid w:val="293E0BC6"/>
    <w:rsid w:val="293E4722"/>
    <w:rsid w:val="29477A7A"/>
    <w:rsid w:val="294A57BC"/>
    <w:rsid w:val="294C5091"/>
    <w:rsid w:val="294C5C9E"/>
    <w:rsid w:val="294D49C5"/>
    <w:rsid w:val="294F4B81"/>
    <w:rsid w:val="294F692F"/>
    <w:rsid w:val="29507759"/>
    <w:rsid w:val="29534671"/>
    <w:rsid w:val="295349C1"/>
    <w:rsid w:val="2953641F"/>
    <w:rsid w:val="29544E18"/>
    <w:rsid w:val="2959155B"/>
    <w:rsid w:val="295977AD"/>
    <w:rsid w:val="295A08AB"/>
    <w:rsid w:val="295B3285"/>
    <w:rsid w:val="295B3526"/>
    <w:rsid w:val="295E3016"/>
    <w:rsid w:val="29600B3C"/>
    <w:rsid w:val="296231D6"/>
    <w:rsid w:val="296A1CA7"/>
    <w:rsid w:val="296D5007"/>
    <w:rsid w:val="296F0D7F"/>
    <w:rsid w:val="29712D49"/>
    <w:rsid w:val="29714AF7"/>
    <w:rsid w:val="29716592"/>
    <w:rsid w:val="2973028C"/>
    <w:rsid w:val="29736AC1"/>
    <w:rsid w:val="29746395"/>
    <w:rsid w:val="29780591"/>
    <w:rsid w:val="297840D8"/>
    <w:rsid w:val="297B5976"/>
    <w:rsid w:val="297D10CF"/>
    <w:rsid w:val="297E7214"/>
    <w:rsid w:val="297F5466"/>
    <w:rsid w:val="297F67AD"/>
    <w:rsid w:val="29802F8C"/>
    <w:rsid w:val="29820AB2"/>
    <w:rsid w:val="29844C90"/>
    <w:rsid w:val="2987256D"/>
    <w:rsid w:val="2987431B"/>
    <w:rsid w:val="29883BEF"/>
    <w:rsid w:val="29910CF5"/>
    <w:rsid w:val="29986528"/>
    <w:rsid w:val="29995581"/>
    <w:rsid w:val="29995DFC"/>
    <w:rsid w:val="299A404E"/>
    <w:rsid w:val="299D3B3E"/>
    <w:rsid w:val="299D769A"/>
    <w:rsid w:val="29A24CB1"/>
    <w:rsid w:val="29A50C45"/>
    <w:rsid w:val="29A63970"/>
    <w:rsid w:val="29A924E3"/>
    <w:rsid w:val="29AA1DB7"/>
    <w:rsid w:val="29AD1B69"/>
    <w:rsid w:val="29AE7AF9"/>
    <w:rsid w:val="29B175E9"/>
    <w:rsid w:val="29B33362"/>
    <w:rsid w:val="29B35110"/>
    <w:rsid w:val="29B449E4"/>
    <w:rsid w:val="29B616C2"/>
    <w:rsid w:val="29B64C00"/>
    <w:rsid w:val="29B80978"/>
    <w:rsid w:val="29BA0A21"/>
    <w:rsid w:val="29BA46F0"/>
    <w:rsid w:val="29BB2216"/>
    <w:rsid w:val="29BB2399"/>
    <w:rsid w:val="29BC50D2"/>
    <w:rsid w:val="29BD1AEA"/>
    <w:rsid w:val="29BF1D06"/>
    <w:rsid w:val="29BF3AB4"/>
    <w:rsid w:val="29C235A5"/>
    <w:rsid w:val="29C25353"/>
    <w:rsid w:val="29C54E43"/>
    <w:rsid w:val="29C76E0D"/>
    <w:rsid w:val="29C833FB"/>
    <w:rsid w:val="29C9048F"/>
    <w:rsid w:val="29CC1519"/>
    <w:rsid w:val="29CC7F7F"/>
    <w:rsid w:val="29CF181E"/>
    <w:rsid w:val="29D05CC2"/>
    <w:rsid w:val="29D137E8"/>
    <w:rsid w:val="29D15596"/>
    <w:rsid w:val="29D37560"/>
    <w:rsid w:val="29D62BAC"/>
    <w:rsid w:val="29DF4157"/>
    <w:rsid w:val="29E057D9"/>
    <w:rsid w:val="29E21551"/>
    <w:rsid w:val="29E26DED"/>
    <w:rsid w:val="29E277A3"/>
    <w:rsid w:val="29E74DB9"/>
    <w:rsid w:val="29E76B67"/>
    <w:rsid w:val="29E8151E"/>
    <w:rsid w:val="29E96D83"/>
    <w:rsid w:val="29F3375E"/>
    <w:rsid w:val="29F6324E"/>
    <w:rsid w:val="29F81013"/>
    <w:rsid w:val="29F86FC6"/>
    <w:rsid w:val="29FA689B"/>
    <w:rsid w:val="29FE3744"/>
    <w:rsid w:val="29FF2103"/>
    <w:rsid w:val="2A0171CD"/>
    <w:rsid w:val="2A04596B"/>
    <w:rsid w:val="2A047719"/>
    <w:rsid w:val="2A0524AE"/>
    <w:rsid w:val="2A067935"/>
    <w:rsid w:val="2A094D30"/>
    <w:rsid w:val="2A0B0AA8"/>
    <w:rsid w:val="2A0B4F4C"/>
    <w:rsid w:val="2A0C4820"/>
    <w:rsid w:val="2A0E0598"/>
    <w:rsid w:val="2A133E00"/>
    <w:rsid w:val="2A135BAE"/>
    <w:rsid w:val="2A13795C"/>
    <w:rsid w:val="2A157B78"/>
    <w:rsid w:val="2A17569E"/>
    <w:rsid w:val="2A19597B"/>
    <w:rsid w:val="2A1A2F1D"/>
    <w:rsid w:val="2A202079"/>
    <w:rsid w:val="2A2116AE"/>
    <w:rsid w:val="2A23324E"/>
    <w:rsid w:val="2A246B9F"/>
    <w:rsid w:val="2A247DBB"/>
    <w:rsid w:val="2A2869B0"/>
    <w:rsid w:val="2A297180"/>
    <w:rsid w:val="2A2E0C3A"/>
    <w:rsid w:val="2A2E29E8"/>
    <w:rsid w:val="2A2E4796"/>
    <w:rsid w:val="2A32072A"/>
    <w:rsid w:val="2A3224D8"/>
    <w:rsid w:val="2A336250"/>
    <w:rsid w:val="2A351FC9"/>
    <w:rsid w:val="2A377AEF"/>
    <w:rsid w:val="2A387A8D"/>
    <w:rsid w:val="2A3D0E7D"/>
    <w:rsid w:val="2A4346E5"/>
    <w:rsid w:val="2A443FBA"/>
    <w:rsid w:val="2A444A48"/>
    <w:rsid w:val="2A475858"/>
    <w:rsid w:val="2A481CFC"/>
    <w:rsid w:val="2A484859"/>
    <w:rsid w:val="2A4915D0"/>
    <w:rsid w:val="2A4C2E6E"/>
    <w:rsid w:val="2A4E4E38"/>
    <w:rsid w:val="2A4F169D"/>
    <w:rsid w:val="2A50295E"/>
    <w:rsid w:val="2A5561C7"/>
    <w:rsid w:val="2A58434E"/>
    <w:rsid w:val="2A5C57A7"/>
    <w:rsid w:val="2A5C7555"/>
    <w:rsid w:val="2A5D507B"/>
    <w:rsid w:val="2A5D55EF"/>
    <w:rsid w:val="2A5E32CD"/>
    <w:rsid w:val="2A630895"/>
    <w:rsid w:val="2A633760"/>
    <w:rsid w:val="2A636B36"/>
    <w:rsid w:val="2A6603D4"/>
    <w:rsid w:val="2A6B59EA"/>
    <w:rsid w:val="2A6B7798"/>
    <w:rsid w:val="2A6C2D68"/>
    <w:rsid w:val="2A6C52BE"/>
    <w:rsid w:val="2A6E7340"/>
    <w:rsid w:val="2A6F0AFC"/>
    <w:rsid w:val="2A701253"/>
    <w:rsid w:val="2A704DAF"/>
    <w:rsid w:val="2A720B27"/>
    <w:rsid w:val="2A737CF3"/>
    <w:rsid w:val="2A7439F6"/>
    <w:rsid w:val="2A757056"/>
    <w:rsid w:val="2A77613D"/>
    <w:rsid w:val="2A7A79DB"/>
    <w:rsid w:val="2A7C3754"/>
    <w:rsid w:val="2A7F0C3A"/>
    <w:rsid w:val="2A7F3244"/>
    <w:rsid w:val="2A810D6A"/>
    <w:rsid w:val="2A866380"/>
    <w:rsid w:val="2A88034A"/>
    <w:rsid w:val="2A8A2314"/>
    <w:rsid w:val="2A8B1BE9"/>
    <w:rsid w:val="2A8B3997"/>
    <w:rsid w:val="2A8D3BB3"/>
    <w:rsid w:val="2A8E3487"/>
    <w:rsid w:val="2A900FAD"/>
    <w:rsid w:val="2A9036A3"/>
    <w:rsid w:val="2A922F77"/>
    <w:rsid w:val="2A954815"/>
    <w:rsid w:val="2A9735CE"/>
    <w:rsid w:val="2A9767DF"/>
    <w:rsid w:val="2A9A1E2C"/>
    <w:rsid w:val="2A9C5BA4"/>
    <w:rsid w:val="2A9D36CA"/>
    <w:rsid w:val="2A9E36EC"/>
    <w:rsid w:val="2A9E7B6E"/>
    <w:rsid w:val="2AA038D1"/>
    <w:rsid w:val="2AA1765E"/>
    <w:rsid w:val="2AA607D0"/>
    <w:rsid w:val="2AA809EC"/>
    <w:rsid w:val="2AAB67C7"/>
    <w:rsid w:val="2AB4113F"/>
    <w:rsid w:val="2AB54EB7"/>
    <w:rsid w:val="2AB949A8"/>
    <w:rsid w:val="2ABB0720"/>
    <w:rsid w:val="2ABB53C0"/>
    <w:rsid w:val="2AC11AAE"/>
    <w:rsid w:val="2AC31382"/>
    <w:rsid w:val="2AC40DD1"/>
    <w:rsid w:val="2AC5594D"/>
    <w:rsid w:val="2ACA31E0"/>
    <w:rsid w:val="2ACB6489"/>
    <w:rsid w:val="2ACE0C31"/>
    <w:rsid w:val="2ACF41CB"/>
    <w:rsid w:val="2ACF7D27"/>
    <w:rsid w:val="2AD01CF1"/>
    <w:rsid w:val="2AD27817"/>
    <w:rsid w:val="2AD4533E"/>
    <w:rsid w:val="2AD510B6"/>
    <w:rsid w:val="2AD92954"/>
    <w:rsid w:val="2ADA303C"/>
    <w:rsid w:val="2ADA66CC"/>
    <w:rsid w:val="2ADC2444"/>
    <w:rsid w:val="2ADC41F2"/>
    <w:rsid w:val="2ADE3760"/>
    <w:rsid w:val="2AE250AE"/>
    <w:rsid w:val="2AE61515"/>
    <w:rsid w:val="2AE632C3"/>
    <w:rsid w:val="2AE8528D"/>
    <w:rsid w:val="2AEB08D9"/>
    <w:rsid w:val="2AF37B03"/>
    <w:rsid w:val="2AF61758"/>
    <w:rsid w:val="2AF754D0"/>
    <w:rsid w:val="2AF75C96"/>
    <w:rsid w:val="2AF92FF6"/>
    <w:rsid w:val="2AFA79CC"/>
    <w:rsid w:val="2AFB200E"/>
    <w:rsid w:val="2AFB4FC0"/>
    <w:rsid w:val="2AFC4894"/>
    <w:rsid w:val="2AFC606F"/>
    <w:rsid w:val="2AFC6642"/>
    <w:rsid w:val="2AFD4EC5"/>
    <w:rsid w:val="2AFF1738"/>
    <w:rsid w:val="2B0011EB"/>
    <w:rsid w:val="2B0025D7"/>
    <w:rsid w:val="2B004385"/>
    <w:rsid w:val="2B046437"/>
    <w:rsid w:val="2B05199B"/>
    <w:rsid w:val="2B055C91"/>
    <w:rsid w:val="2B057BED"/>
    <w:rsid w:val="2B084FE7"/>
    <w:rsid w:val="2B0A0D5F"/>
    <w:rsid w:val="2B0B72A3"/>
    <w:rsid w:val="2B0D0850"/>
    <w:rsid w:val="2B0D4CF3"/>
    <w:rsid w:val="2B0F45C8"/>
    <w:rsid w:val="2B112C12"/>
    <w:rsid w:val="2B12230A"/>
    <w:rsid w:val="2B141BDE"/>
    <w:rsid w:val="2B14398C"/>
    <w:rsid w:val="2B146082"/>
    <w:rsid w:val="2B163BA8"/>
    <w:rsid w:val="2B165956"/>
    <w:rsid w:val="2B195446"/>
    <w:rsid w:val="2B1A4D1A"/>
    <w:rsid w:val="2B1B420B"/>
    <w:rsid w:val="2B1F3431"/>
    <w:rsid w:val="2B1F5AA5"/>
    <w:rsid w:val="2B200583"/>
    <w:rsid w:val="2B2142FB"/>
    <w:rsid w:val="2B2160A9"/>
    <w:rsid w:val="2B231E21"/>
    <w:rsid w:val="2B25203D"/>
    <w:rsid w:val="2B2C33CC"/>
    <w:rsid w:val="2B2C517A"/>
    <w:rsid w:val="2B2D58A0"/>
    <w:rsid w:val="2B2D7144"/>
    <w:rsid w:val="2B2F07C6"/>
    <w:rsid w:val="2B3109E2"/>
    <w:rsid w:val="2B312790"/>
    <w:rsid w:val="2B3224B5"/>
    <w:rsid w:val="2B326508"/>
    <w:rsid w:val="2B33475A"/>
    <w:rsid w:val="2B376F2C"/>
    <w:rsid w:val="2B400C25"/>
    <w:rsid w:val="2B41674B"/>
    <w:rsid w:val="2B417276"/>
    <w:rsid w:val="2B422282"/>
    <w:rsid w:val="2B430715"/>
    <w:rsid w:val="2B434271"/>
    <w:rsid w:val="2B45623B"/>
    <w:rsid w:val="2B465B0F"/>
    <w:rsid w:val="2B485D2C"/>
    <w:rsid w:val="2B4C1378"/>
    <w:rsid w:val="2B4C581C"/>
    <w:rsid w:val="2B4F7E69"/>
    <w:rsid w:val="2B512E32"/>
    <w:rsid w:val="2B524E00"/>
    <w:rsid w:val="2B563FA5"/>
    <w:rsid w:val="2B577D1D"/>
    <w:rsid w:val="2B5841C1"/>
    <w:rsid w:val="2B591CE7"/>
    <w:rsid w:val="2B5960B7"/>
    <w:rsid w:val="2B5A5895"/>
    <w:rsid w:val="2B5B780D"/>
    <w:rsid w:val="2B5D3585"/>
    <w:rsid w:val="2B5E72FD"/>
    <w:rsid w:val="2B603075"/>
    <w:rsid w:val="2B68108F"/>
    <w:rsid w:val="2B6A5CA2"/>
    <w:rsid w:val="2B6C5576"/>
    <w:rsid w:val="2B717030"/>
    <w:rsid w:val="2B7663F5"/>
    <w:rsid w:val="2B7B3A0B"/>
    <w:rsid w:val="2B7C23F6"/>
    <w:rsid w:val="2B7E051D"/>
    <w:rsid w:val="2B7F799F"/>
    <w:rsid w:val="2B82123D"/>
    <w:rsid w:val="2B830B12"/>
    <w:rsid w:val="2B844FB6"/>
    <w:rsid w:val="2B85488A"/>
    <w:rsid w:val="2B870602"/>
    <w:rsid w:val="2B8B5AF4"/>
    <w:rsid w:val="2B8E7BE2"/>
    <w:rsid w:val="2B8F74B6"/>
    <w:rsid w:val="2B911481"/>
    <w:rsid w:val="2B936FA7"/>
    <w:rsid w:val="2B954A46"/>
    <w:rsid w:val="2B977CDD"/>
    <w:rsid w:val="2B980A61"/>
    <w:rsid w:val="2B98280F"/>
    <w:rsid w:val="2B9845BD"/>
    <w:rsid w:val="2B990335"/>
    <w:rsid w:val="2B9909EE"/>
    <w:rsid w:val="2B9B3F1D"/>
    <w:rsid w:val="2B9D7E25"/>
    <w:rsid w:val="2B9F3B9D"/>
    <w:rsid w:val="2BA51F9A"/>
    <w:rsid w:val="2BA967CA"/>
    <w:rsid w:val="2BAA42F0"/>
    <w:rsid w:val="2BAE2033"/>
    <w:rsid w:val="2BB1567F"/>
    <w:rsid w:val="2BB331A5"/>
    <w:rsid w:val="2BB673E4"/>
    <w:rsid w:val="2BB71E14"/>
    <w:rsid w:val="2BB7459C"/>
    <w:rsid w:val="2BB80F35"/>
    <w:rsid w:val="2BBA09D7"/>
    <w:rsid w:val="2BBB474F"/>
    <w:rsid w:val="2BBE1B4A"/>
    <w:rsid w:val="2BC3447C"/>
    <w:rsid w:val="2BC41856"/>
    <w:rsid w:val="2BC5112A"/>
    <w:rsid w:val="2BC76C50"/>
    <w:rsid w:val="2BC96E6C"/>
    <w:rsid w:val="2BCC070B"/>
    <w:rsid w:val="2BCE6231"/>
    <w:rsid w:val="2BD5034F"/>
    <w:rsid w:val="2BDB094E"/>
    <w:rsid w:val="2BDD6474"/>
    <w:rsid w:val="2BE5357A"/>
    <w:rsid w:val="2BE617CC"/>
    <w:rsid w:val="2BE77953"/>
    <w:rsid w:val="2BEA0B91"/>
    <w:rsid w:val="2BEE242F"/>
    <w:rsid w:val="2BEE68D3"/>
    <w:rsid w:val="2BF043F9"/>
    <w:rsid w:val="2BF13CCD"/>
    <w:rsid w:val="2BF37A45"/>
    <w:rsid w:val="2BF437BD"/>
    <w:rsid w:val="2BF51A0F"/>
    <w:rsid w:val="2BF612E4"/>
    <w:rsid w:val="2BF76EE4"/>
    <w:rsid w:val="2BF832AE"/>
    <w:rsid w:val="2BF87197"/>
    <w:rsid w:val="2BFA5DC9"/>
    <w:rsid w:val="2BFD69FA"/>
    <w:rsid w:val="2BFF288E"/>
    <w:rsid w:val="2C0003B4"/>
    <w:rsid w:val="2C0130CB"/>
    <w:rsid w:val="2C01411F"/>
    <w:rsid w:val="2C016606"/>
    <w:rsid w:val="2C02412C"/>
    <w:rsid w:val="2C043A01"/>
    <w:rsid w:val="2C071743"/>
    <w:rsid w:val="2C0734F1"/>
    <w:rsid w:val="2C077995"/>
    <w:rsid w:val="2C0803CD"/>
    <w:rsid w:val="2C091017"/>
    <w:rsid w:val="2C097269"/>
    <w:rsid w:val="2C0C0B07"/>
    <w:rsid w:val="2C0E487F"/>
    <w:rsid w:val="2C1005F7"/>
    <w:rsid w:val="2C163734"/>
    <w:rsid w:val="2C1752F1"/>
    <w:rsid w:val="2C1955A3"/>
    <w:rsid w:val="2C1A3224"/>
    <w:rsid w:val="2C1B6F9C"/>
    <w:rsid w:val="2C1C3440"/>
    <w:rsid w:val="2C1D0F66"/>
    <w:rsid w:val="2C210A56"/>
    <w:rsid w:val="2C22032B"/>
    <w:rsid w:val="2C26606D"/>
    <w:rsid w:val="2C293467"/>
    <w:rsid w:val="2C2C6087"/>
    <w:rsid w:val="2C302A48"/>
    <w:rsid w:val="2C3167C0"/>
    <w:rsid w:val="2C343229"/>
    <w:rsid w:val="2C35087A"/>
    <w:rsid w:val="2C3562B0"/>
    <w:rsid w:val="2C363DD6"/>
    <w:rsid w:val="2C365B84"/>
    <w:rsid w:val="2C387B4E"/>
    <w:rsid w:val="2C3971FB"/>
    <w:rsid w:val="2C3A5674"/>
    <w:rsid w:val="2C3B319A"/>
    <w:rsid w:val="2C4464F3"/>
    <w:rsid w:val="2C464019"/>
    <w:rsid w:val="2C493B09"/>
    <w:rsid w:val="2C4C53A8"/>
    <w:rsid w:val="2C4E7372"/>
    <w:rsid w:val="2C521F9B"/>
    <w:rsid w:val="2C526E62"/>
    <w:rsid w:val="2C55425C"/>
    <w:rsid w:val="2C574478"/>
    <w:rsid w:val="2C5901D2"/>
    <w:rsid w:val="2C5B55EB"/>
    <w:rsid w:val="2C5D1363"/>
    <w:rsid w:val="2C5F332D"/>
    <w:rsid w:val="2C610E53"/>
    <w:rsid w:val="2C622E1D"/>
    <w:rsid w:val="2C673F8F"/>
    <w:rsid w:val="2C6855B9"/>
    <w:rsid w:val="2C694B99"/>
    <w:rsid w:val="2C695F59"/>
    <w:rsid w:val="2C697D08"/>
    <w:rsid w:val="2C6B7F24"/>
    <w:rsid w:val="2C701096"/>
    <w:rsid w:val="2C701E9B"/>
    <w:rsid w:val="2C765025"/>
    <w:rsid w:val="2C771846"/>
    <w:rsid w:val="2C7C3EDF"/>
    <w:rsid w:val="2C7C5C8D"/>
    <w:rsid w:val="2C7D37B3"/>
    <w:rsid w:val="2C8139BA"/>
    <w:rsid w:val="2C844B41"/>
    <w:rsid w:val="2C852F06"/>
    <w:rsid w:val="2C8B2374"/>
    <w:rsid w:val="2C8E59C0"/>
    <w:rsid w:val="2C8F1485"/>
    <w:rsid w:val="2C8F3C19"/>
    <w:rsid w:val="2C9034E6"/>
    <w:rsid w:val="2C974875"/>
    <w:rsid w:val="2C981CCD"/>
    <w:rsid w:val="2C98683F"/>
    <w:rsid w:val="2C9A25B7"/>
    <w:rsid w:val="2C9C1E8B"/>
    <w:rsid w:val="2C9D5C03"/>
    <w:rsid w:val="2C9E3E55"/>
    <w:rsid w:val="2C9F197B"/>
    <w:rsid w:val="2C9F53AF"/>
    <w:rsid w:val="2CA451E4"/>
    <w:rsid w:val="2CA64AB8"/>
    <w:rsid w:val="2CA7770C"/>
    <w:rsid w:val="2CA90A4C"/>
    <w:rsid w:val="2CAD1C1A"/>
    <w:rsid w:val="2CAD5E46"/>
    <w:rsid w:val="2CB03B88"/>
    <w:rsid w:val="2CB27900"/>
    <w:rsid w:val="2CB35CAF"/>
    <w:rsid w:val="2CB76CC5"/>
    <w:rsid w:val="2CB82A3D"/>
    <w:rsid w:val="2CBA4A07"/>
    <w:rsid w:val="2CBA641B"/>
    <w:rsid w:val="2CBC252D"/>
    <w:rsid w:val="2CBC6272"/>
    <w:rsid w:val="2CBF5B79"/>
    <w:rsid w:val="2CC056E2"/>
    <w:rsid w:val="2CC118F2"/>
    <w:rsid w:val="2CC15D95"/>
    <w:rsid w:val="2CC3566A"/>
    <w:rsid w:val="2CC413E2"/>
    <w:rsid w:val="2CC55886"/>
    <w:rsid w:val="2CC928C5"/>
    <w:rsid w:val="2CCB09C2"/>
    <w:rsid w:val="2CCB2770"/>
    <w:rsid w:val="2CCB451E"/>
    <w:rsid w:val="2CCE400E"/>
    <w:rsid w:val="2CCF04B2"/>
    <w:rsid w:val="2CD05FD9"/>
    <w:rsid w:val="2CD258AD"/>
    <w:rsid w:val="2CDA29B3"/>
    <w:rsid w:val="2CE13D42"/>
    <w:rsid w:val="2CE51A84"/>
    <w:rsid w:val="2CE657FC"/>
    <w:rsid w:val="2CEA709A"/>
    <w:rsid w:val="2CEE1EA1"/>
    <w:rsid w:val="2CEE29B3"/>
    <w:rsid w:val="2CF12C1C"/>
    <w:rsid w:val="2CF33A75"/>
    <w:rsid w:val="2CF55A3F"/>
    <w:rsid w:val="2CF9552F"/>
    <w:rsid w:val="2CFC5935"/>
    <w:rsid w:val="2CFC6AC5"/>
    <w:rsid w:val="2CFE2B46"/>
    <w:rsid w:val="2CFF241A"/>
    <w:rsid w:val="2D0143E4"/>
    <w:rsid w:val="2D040C32"/>
    <w:rsid w:val="2D06766D"/>
    <w:rsid w:val="2D0757A6"/>
    <w:rsid w:val="2D095047"/>
    <w:rsid w:val="2D0A773C"/>
    <w:rsid w:val="2D0B0DBF"/>
    <w:rsid w:val="2D0B5263"/>
    <w:rsid w:val="2D0C2C0A"/>
    <w:rsid w:val="2D142369"/>
    <w:rsid w:val="2D1660E1"/>
    <w:rsid w:val="2D177764"/>
    <w:rsid w:val="2D1C7470"/>
    <w:rsid w:val="2D1E6D44"/>
    <w:rsid w:val="2D1F486A"/>
    <w:rsid w:val="2D214A86"/>
    <w:rsid w:val="2D216834"/>
    <w:rsid w:val="2D2307FE"/>
    <w:rsid w:val="2D241E80"/>
    <w:rsid w:val="2D2500D2"/>
    <w:rsid w:val="2D2A1C9A"/>
    <w:rsid w:val="2D2C76B3"/>
    <w:rsid w:val="2D2D0F0C"/>
    <w:rsid w:val="2D2D51D9"/>
    <w:rsid w:val="2D2F0F51"/>
    <w:rsid w:val="2D2F12F2"/>
    <w:rsid w:val="2D314CC9"/>
    <w:rsid w:val="2D336E93"/>
    <w:rsid w:val="2D337277"/>
    <w:rsid w:val="2D340315"/>
    <w:rsid w:val="2D35408E"/>
    <w:rsid w:val="2D357BF6"/>
    <w:rsid w:val="2D371BB4"/>
    <w:rsid w:val="2D376058"/>
    <w:rsid w:val="2D3B5B48"/>
    <w:rsid w:val="2D3E1194"/>
    <w:rsid w:val="2D412A32"/>
    <w:rsid w:val="2D46629B"/>
    <w:rsid w:val="2D4C5AC3"/>
    <w:rsid w:val="2D4D13D7"/>
    <w:rsid w:val="2D4F6EFD"/>
    <w:rsid w:val="2D4F702B"/>
    <w:rsid w:val="2D5409B8"/>
    <w:rsid w:val="2D546C0A"/>
    <w:rsid w:val="2D55028C"/>
    <w:rsid w:val="2D553536"/>
    <w:rsid w:val="2D553E97"/>
    <w:rsid w:val="2D5B3AF4"/>
    <w:rsid w:val="2D5C161A"/>
    <w:rsid w:val="2D5F0E0D"/>
    <w:rsid w:val="2D614E83"/>
    <w:rsid w:val="2D616C31"/>
    <w:rsid w:val="2D621F11"/>
    <w:rsid w:val="2D630BFB"/>
    <w:rsid w:val="2D654973"/>
    <w:rsid w:val="2D6D3827"/>
    <w:rsid w:val="2D6F57F1"/>
    <w:rsid w:val="2D73231B"/>
    <w:rsid w:val="2D746964"/>
    <w:rsid w:val="2D7626DC"/>
    <w:rsid w:val="2D784353"/>
    <w:rsid w:val="2D79041E"/>
    <w:rsid w:val="2D7A06DF"/>
    <w:rsid w:val="2D7B5F44"/>
    <w:rsid w:val="2D7D717C"/>
    <w:rsid w:val="2D7E2B7A"/>
    <w:rsid w:val="2D7E3CCA"/>
    <w:rsid w:val="2D880661"/>
    <w:rsid w:val="2D8868B3"/>
    <w:rsid w:val="2D8A6187"/>
    <w:rsid w:val="2D8F23BE"/>
    <w:rsid w:val="2D8F379E"/>
    <w:rsid w:val="2D8F7C42"/>
    <w:rsid w:val="2D900DFC"/>
    <w:rsid w:val="2D9139BA"/>
    <w:rsid w:val="2D917516"/>
    <w:rsid w:val="2D9214E0"/>
    <w:rsid w:val="2D947006"/>
    <w:rsid w:val="2D962D7E"/>
    <w:rsid w:val="2D9708A4"/>
    <w:rsid w:val="2D982E0B"/>
    <w:rsid w:val="2D990AC0"/>
    <w:rsid w:val="2D994C40"/>
    <w:rsid w:val="2D9C369B"/>
    <w:rsid w:val="2D9D410D"/>
    <w:rsid w:val="2D9E60D7"/>
    <w:rsid w:val="2DA03BFD"/>
    <w:rsid w:val="2DA21723"/>
    <w:rsid w:val="2DA30834"/>
    <w:rsid w:val="2DA54413"/>
    <w:rsid w:val="2DA55D25"/>
    <w:rsid w:val="2DAC25A2"/>
    <w:rsid w:val="2DAF26D7"/>
    <w:rsid w:val="2DB42C49"/>
    <w:rsid w:val="2DB43204"/>
    <w:rsid w:val="2DB53B3B"/>
    <w:rsid w:val="2DB94CBF"/>
    <w:rsid w:val="2DBA01FC"/>
    <w:rsid w:val="2DBA2F11"/>
    <w:rsid w:val="2DBD655D"/>
    <w:rsid w:val="2DC25921"/>
    <w:rsid w:val="2DC31699"/>
    <w:rsid w:val="2DC72800"/>
    <w:rsid w:val="2DC86CB0"/>
    <w:rsid w:val="2DCB5CD4"/>
    <w:rsid w:val="2DCC44FF"/>
    <w:rsid w:val="2DCF6290"/>
    <w:rsid w:val="2DD12008"/>
    <w:rsid w:val="2DD536C3"/>
    <w:rsid w:val="2DD613CD"/>
    <w:rsid w:val="2DDE64D3"/>
    <w:rsid w:val="2DE03FF9"/>
    <w:rsid w:val="2DE133A7"/>
    <w:rsid w:val="2DE24215"/>
    <w:rsid w:val="2DE33AEA"/>
    <w:rsid w:val="2DE47F8D"/>
    <w:rsid w:val="2DE64648"/>
    <w:rsid w:val="2DE75AD8"/>
    <w:rsid w:val="2DE81100"/>
    <w:rsid w:val="2DE81B39"/>
    <w:rsid w:val="2DE8495E"/>
    <w:rsid w:val="2DE955A4"/>
    <w:rsid w:val="2DEC0BF0"/>
    <w:rsid w:val="2DEC1B44"/>
    <w:rsid w:val="2DEC299E"/>
    <w:rsid w:val="2DEC6E42"/>
    <w:rsid w:val="2DED451B"/>
    <w:rsid w:val="2DEE12A5"/>
    <w:rsid w:val="2DEE4968"/>
    <w:rsid w:val="2DF06932"/>
    <w:rsid w:val="2DF16206"/>
    <w:rsid w:val="2DF236E3"/>
    <w:rsid w:val="2DF36C4C"/>
    <w:rsid w:val="2DF46243"/>
    <w:rsid w:val="2DF53F49"/>
    <w:rsid w:val="2DF66CE0"/>
    <w:rsid w:val="2DFB0321"/>
    <w:rsid w:val="2DFD104F"/>
    <w:rsid w:val="2DFE0923"/>
    <w:rsid w:val="2E00493B"/>
    <w:rsid w:val="2E007DC0"/>
    <w:rsid w:val="2E072654"/>
    <w:rsid w:val="2E0917A2"/>
    <w:rsid w:val="2E0A551A"/>
    <w:rsid w:val="2E0E0B66"/>
    <w:rsid w:val="2E114AFB"/>
    <w:rsid w:val="2E132621"/>
    <w:rsid w:val="2E1343CF"/>
    <w:rsid w:val="2E150147"/>
    <w:rsid w:val="2E1A39AF"/>
    <w:rsid w:val="2E1B14D5"/>
    <w:rsid w:val="2E1B7727"/>
    <w:rsid w:val="2E232138"/>
    <w:rsid w:val="2E24482E"/>
    <w:rsid w:val="2E2465DC"/>
    <w:rsid w:val="2E2C36E3"/>
    <w:rsid w:val="2E2C5491"/>
    <w:rsid w:val="2E2E745B"/>
    <w:rsid w:val="2E310CF9"/>
    <w:rsid w:val="2E344345"/>
    <w:rsid w:val="2E3D32FC"/>
    <w:rsid w:val="2E3F6F72"/>
    <w:rsid w:val="2E440A2C"/>
    <w:rsid w:val="2E456552"/>
    <w:rsid w:val="2E474078"/>
    <w:rsid w:val="2E4B1DBB"/>
    <w:rsid w:val="2E5127ED"/>
    <w:rsid w:val="2E532A1D"/>
    <w:rsid w:val="2E556795"/>
    <w:rsid w:val="2E56075F"/>
    <w:rsid w:val="2E586ACC"/>
    <w:rsid w:val="2E5A1FFE"/>
    <w:rsid w:val="2E5C3FC8"/>
    <w:rsid w:val="2E5D389C"/>
    <w:rsid w:val="2E5E1319"/>
    <w:rsid w:val="2E5F13C2"/>
    <w:rsid w:val="2E60513A"/>
    <w:rsid w:val="2E620B52"/>
    <w:rsid w:val="2E6533D9"/>
    <w:rsid w:val="2E6609A2"/>
    <w:rsid w:val="2E682FCF"/>
    <w:rsid w:val="2E6D7F83"/>
    <w:rsid w:val="2E6E3CFB"/>
    <w:rsid w:val="2E6F38EF"/>
    <w:rsid w:val="2E717347"/>
    <w:rsid w:val="2E73218C"/>
    <w:rsid w:val="2E734E6D"/>
    <w:rsid w:val="2E755089"/>
    <w:rsid w:val="2E76495E"/>
    <w:rsid w:val="2E786928"/>
    <w:rsid w:val="2E7A444E"/>
    <w:rsid w:val="2E7B3D22"/>
    <w:rsid w:val="2E8250B1"/>
    <w:rsid w:val="2E826EF2"/>
    <w:rsid w:val="2E8B4C27"/>
    <w:rsid w:val="2E8C4181"/>
    <w:rsid w:val="2E9077CD"/>
    <w:rsid w:val="2E9500C6"/>
    <w:rsid w:val="2E95347B"/>
    <w:rsid w:val="2E960B5C"/>
    <w:rsid w:val="2E9A689E"/>
    <w:rsid w:val="2E9D1EEA"/>
    <w:rsid w:val="2E9E361C"/>
    <w:rsid w:val="2E9F37A5"/>
    <w:rsid w:val="2EA15E7F"/>
    <w:rsid w:val="2EA43279"/>
    <w:rsid w:val="2EA55C1B"/>
    <w:rsid w:val="2EA66FF1"/>
    <w:rsid w:val="2EA86D20"/>
    <w:rsid w:val="2EA9088F"/>
    <w:rsid w:val="2EAC037F"/>
    <w:rsid w:val="2EAE2349"/>
    <w:rsid w:val="2EB3170E"/>
    <w:rsid w:val="2EB711FE"/>
    <w:rsid w:val="2EB84F76"/>
    <w:rsid w:val="2EBA6F40"/>
    <w:rsid w:val="2EBC4A66"/>
    <w:rsid w:val="2EBC61B0"/>
    <w:rsid w:val="2EBE07DF"/>
    <w:rsid w:val="2EC102CF"/>
    <w:rsid w:val="2EC24EAE"/>
    <w:rsid w:val="2EC27BA3"/>
    <w:rsid w:val="2EC658E5"/>
    <w:rsid w:val="2EC8340B"/>
    <w:rsid w:val="2EC92CDF"/>
    <w:rsid w:val="2ECB2EFB"/>
    <w:rsid w:val="2ECD3937"/>
    <w:rsid w:val="2ED022C0"/>
    <w:rsid w:val="2ED55B28"/>
    <w:rsid w:val="2ED578D6"/>
    <w:rsid w:val="2ED95618"/>
    <w:rsid w:val="2EDA3048"/>
    <w:rsid w:val="2EDE2C2F"/>
    <w:rsid w:val="2EDE2E70"/>
    <w:rsid w:val="2EDE49DD"/>
    <w:rsid w:val="2EDF0755"/>
    <w:rsid w:val="2EE074A9"/>
    <w:rsid w:val="2EE55832"/>
    <w:rsid w:val="2EE56DAF"/>
    <w:rsid w:val="2EE8585B"/>
    <w:rsid w:val="2EEC77D5"/>
    <w:rsid w:val="2EED69CE"/>
    <w:rsid w:val="2EEF27BB"/>
    <w:rsid w:val="2EF20488"/>
    <w:rsid w:val="2EF35FAE"/>
    <w:rsid w:val="2EF57F78"/>
    <w:rsid w:val="2EF75693"/>
    <w:rsid w:val="2EF97A69"/>
    <w:rsid w:val="2EFA0D02"/>
    <w:rsid w:val="2EFA733D"/>
    <w:rsid w:val="2EFC4E63"/>
    <w:rsid w:val="2EFD49EF"/>
    <w:rsid w:val="2F034443"/>
    <w:rsid w:val="2F041F69"/>
    <w:rsid w:val="2F087CAC"/>
    <w:rsid w:val="2F0A3A24"/>
    <w:rsid w:val="2F0F18E4"/>
    <w:rsid w:val="2F146650"/>
    <w:rsid w:val="2F1523C9"/>
    <w:rsid w:val="2F154177"/>
    <w:rsid w:val="2F155F25"/>
    <w:rsid w:val="2F160640"/>
    <w:rsid w:val="2F176958"/>
    <w:rsid w:val="2F1A6BB0"/>
    <w:rsid w:val="2F1C5505"/>
    <w:rsid w:val="2F261EE0"/>
    <w:rsid w:val="2F263355"/>
    <w:rsid w:val="2F2919D0"/>
    <w:rsid w:val="2F2B74F6"/>
    <w:rsid w:val="2F2C2B98"/>
    <w:rsid w:val="2F2D14C0"/>
    <w:rsid w:val="2F300FB0"/>
    <w:rsid w:val="2F307202"/>
    <w:rsid w:val="2F34132A"/>
    <w:rsid w:val="2F391C13"/>
    <w:rsid w:val="2F3A3BDD"/>
    <w:rsid w:val="2F3C5BA7"/>
    <w:rsid w:val="2F3E0BA4"/>
    <w:rsid w:val="2F3F11F4"/>
    <w:rsid w:val="2F414F6C"/>
    <w:rsid w:val="2F432A92"/>
    <w:rsid w:val="2F436F36"/>
    <w:rsid w:val="2F47109C"/>
    <w:rsid w:val="2F4777A0"/>
    <w:rsid w:val="2F4A3E20"/>
    <w:rsid w:val="2F4B2213"/>
    <w:rsid w:val="2F4F7689"/>
    <w:rsid w:val="2F503401"/>
    <w:rsid w:val="2F5051AF"/>
    <w:rsid w:val="2F520F27"/>
    <w:rsid w:val="2F522CD5"/>
    <w:rsid w:val="2F546A4D"/>
    <w:rsid w:val="2F566C69"/>
    <w:rsid w:val="2F5B427F"/>
    <w:rsid w:val="2F5E167A"/>
    <w:rsid w:val="2F5E78CC"/>
    <w:rsid w:val="2F601896"/>
    <w:rsid w:val="2F633134"/>
    <w:rsid w:val="2F652D29"/>
    <w:rsid w:val="2F6F3DDB"/>
    <w:rsid w:val="2F745341"/>
    <w:rsid w:val="2F7467BD"/>
    <w:rsid w:val="2F7470EF"/>
    <w:rsid w:val="2F7516A9"/>
    <w:rsid w:val="2F757F47"/>
    <w:rsid w:val="2F7B66D0"/>
    <w:rsid w:val="2F823605"/>
    <w:rsid w:val="2F8512FC"/>
    <w:rsid w:val="2F8530AA"/>
    <w:rsid w:val="2F860BD0"/>
    <w:rsid w:val="2F866E22"/>
    <w:rsid w:val="2F8801BF"/>
    <w:rsid w:val="2F8868AA"/>
    <w:rsid w:val="2F8A06C1"/>
    <w:rsid w:val="2F8B4DEA"/>
    <w:rsid w:val="2F8B61E7"/>
    <w:rsid w:val="2F8D6403"/>
    <w:rsid w:val="2F8F5CD7"/>
    <w:rsid w:val="2F9075F6"/>
    <w:rsid w:val="2F911A4F"/>
    <w:rsid w:val="2F923A19"/>
    <w:rsid w:val="2F9257C7"/>
    <w:rsid w:val="2F965A58"/>
    <w:rsid w:val="2F9A594D"/>
    <w:rsid w:val="2FA07EE4"/>
    <w:rsid w:val="2FA31782"/>
    <w:rsid w:val="2FA31D65"/>
    <w:rsid w:val="2FA33530"/>
    <w:rsid w:val="2FA554FB"/>
    <w:rsid w:val="2FA71273"/>
    <w:rsid w:val="2FA774C5"/>
    <w:rsid w:val="2FAA0D63"/>
    <w:rsid w:val="2FB15C4D"/>
    <w:rsid w:val="2FB219C5"/>
    <w:rsid w:val="2FB35E69"/>
    <w:rsid w:val="2FB4573E"/>
    <w:rsid w:val="2FB7522E"/>
    <w:rsid w:val="2FB971F8"/>
    <w:rsid w:val="2FBB4D1E"/>
    <w:rsid w:val="2FBD4575"/>
    <w:rsid w:val="2FC02334"/>
    <w:rsid w:val="2FC71915"/>
    <w:rsid w:val="2FC83556"/>
    <w:rsid w:val="2FCA4F61"/>
    <w:rsid w:val="2FCB1ED7"/>
    <w:rsid w:val="2FCC6F2B"/>
    <w:rsid w:val="2FCD1F6D"/>
    <w:rsid w:val="2FCE2CA3"/>
    <w:rsid w:val="2FCF7117"/>
    <w:rsid w:val="2FD44032"/>
    <w:rsid w:val="2FD61B58"/>
    <w:rsid w:val="2FD656B4"/>
    <w:rsid w:val="2FD951A4"/>
    <w:rsid w:val="2FDB4A85"/>
    <w:rsid w:val="2FDC6A42"/>
    <w:rsid w:val="2FDD4C94"/>
    <w:rsid w:val="2FDE0A0C"/>
    <w:rsid w:val="2FE57FED"/>
    <w:rsid w:val="2FE83639"/>
    <w:rsid w:val="2FEA115F"/>
    <w:rsid w:val="2FEA5603"/>
    <w:rsid w:val="2FEC3129"/>
    <w:rsid w:val="2FEE6EA1"/>
    <w:rsid w:val="2FEF49C8"/>
    <w:rsid w:val="2FF10740"/>
    <w:rsid w:val="2FF344B8"/>
    <w:rsid w:val="2FF3519E"/>
    <w:rsid w:val="2FF40230"/>
    <w:rsid w:val="2FF6627C"/>
    <w:rsid w:val="2FF76305"/>
    <w:rsid w:val="2FF975F4"/>
    <w:rsid w:val="2FFB336C"/>
    <w:rsid w:val="2FFD70E5"/>
    <w:rsid w:val="2FFE2E5D"/>
    <w:rsid w:val="30000983"/>
    <w:rsid w:val="300466C5"/>
    <w:rsid w:val="30061DB6"/>
    <w:rsid w:val="30071D11"/>
    <w:rsid w:val="30077F63"/>
    <w:rsid w:val="300A7A53"/>
    <w:rsid w:val="300B64C7"/>
    <w:rsid w:val="300C37CC"/>
    <w:rsid w:val="300E12F2"/>
    <w:rsid w:val="300F506A"/>
    <w:rsid w:val="30110DE2"/>
    <w:rsid w:val="3011493E"/>
    <w:rsid w:val="30136908"/>
    <w:rsid w:val="30137621"/>
    <w:rsid w:val="30143B9D"/>
    <w:rsid w:val="3014442E"/>
    <w:rsid w:val="301618AB"/>
    <w:rsid w:val="301663F8"/>
    <w:rsid w:val="30172B13"/>
    <w:rsid w:val="30185CCC"/>
    <w:rsid w:val="301A5EE8"/>
    <w:rsid w:val="301B57BD"/>
    <w:rsid w:val="301D7787"/>
    <w:rsid w:val="301E705B"/>
    <w:rsid w:val="301F52AD"/>
    <w:rsid w:val="30201025"/>
    <w:rsid w:val="30204B81"/>
    <w:rsid w:val="30237B72"/>
    <w:rsid w:val="30240031"/>
    <w:rsid w:val="302428C3"/>
    <w:rsid w:val="302717F8"/>
    <w:rsid w:val="302A5A00"/>
    <w:rsid w:val="302C5C1C"/>
    <w:rsid w:val="302C79CA"/>
    <w:rsid w:val="302F3016"/>
    <w:rsid w:val="30303517"/>
    <w:rsid w:val="30307BF4"/>
    <w:rsid w:val="303339A4"/>
    <w:rsid w:val="30336FAA"/>
    <w:rsid w:val="303845C1"/>
    <w:rsid w:val="30386386"/>
    <w:rsid w:val="303B5E5F"/>
    <w:rsid w:val="303B7C0D"/>
    <w:rsid w:val="303C36D4"/>
    <w:rsid w:val="303D5733"/>
    <w:rsid w:val="303E078B"/>
    <w:rsid w:val="303F3688"/>
    <w:rsid w:val="30470360"/>
    <w:rsid w:val="304A705A"/>
    <w:rsid w:val="304F5466"/>
    <w:rsid w:val="30517430"/>
    <w:rsid w:val="30534F57"/>
    <w:rsid w:val="30562C99"/>
    <w:rsid w:val="3058256D"/>
    <w:rsid w:val="30586A11"/>
    <w:rsid w:val="305F7D9F"/>
    <w:rsid w:val="30647164"/>
    <w:rsid w:val="30662EDC"/>
    <w:rsid w:val="306727B0"/>
    <w:rsid w:val="30685587"/>
    <w:rsid w:val="306A6644"/>
    <w:rsid w:val="306B40D4"/>
    <w:rsid w:val="306B5E26"/>
    <w:rsid w:val="306C7DC6"/>
    <w:rsid w:val="306E1D90"/>
    <w:rsid w:val="30705B08"/>
    <w:rsid w:val="30711881"/>
    <w:rsid w:val="30712820"/>
    <w:rsid w:val="3071362F"/>
    <w:rsid w:val="30731155"/>
    <w:rsid w:val="30744ECD"/>
    <w:rsid w:val="3075311F"/>
    <w:rsid w:val="307709BB"/>
    <w:rsid w:val="307750E9"/>
    <w:rsid w:val="30784B00"/>
    <w:rsid w:val="307B4A76"/>
    <w:rsid w:val="307D1FD3"/>
    <w:rsid w:val="307F7AFA"/>
    <w:rsid w:val="30803872"/>
    <w:rsid w:val="30806CE9"/>
    <w:rsid w:val="308415B4"/>
    <w:rsid w:val="308570DA"/>
    <w:rsid w:val="308679DC"/>
    <w:rsid w:val="308710A4"/>
    <w:rsid w:val="308E13FA"/>
    <w:rsid w:val="308F6ECF"/>
    <w:rsid w:val="309335A5"/>
    <w:rsid w:val="3095731D"/>
    <w:rsid w:val="30986E0D"/>
    <w:rsid w:val="309D2676"/>
    <w:rsid w:val="309D61D2"/>
    <w:rsid w:val="30A062B6"/>
    <w:rsid w:val="30A457B2"/>
    <w:rsid w:val="30A532D8"/>
    <w:rsid w:val="30A57500"/>
    <w:rsid w:val="30AA08EF"/>
    <w:rsid w:val="30AA3AD7"/>
    <w:rsid w:val="30AC4667"/>
    <w:rsid w:val="30AE4883"/>
    <w:rsid w:val="30B005FB"/>
    <w:rsid w:val="30B04157"/>
    <w:rsid w:val="30B359F5"/>
    <w:rsid w:val="30B5176D"/>
    <w:rsid w:val="30B71989"/>
    <w:rsid w:val="30B8125D"/>
    <w:rsid w:val="30BA4FD6"/>
    <w:rsid w:val="30BC2282"/>
    <w:rsid w:val="30C15534"/>
    <w:rsid w:val="30C23E8A"/>
    <w:rsid w:val="30C61BCC"/>
    <w:rsid w:val="30C6397A"/>
    <w:rsid w:val="30C714A1"/>
    <w:rsid w:val="30C75D7D"/>
    <w:rsid w:val="30CC4D09"/>
    <w:rsid w:val="30CE6CD3"/>
    <w:rsid w:val="30D1189C"/>
    <w:rsid w:val="30D37E45"/>
    <w:rsid w:val="30D50061"/>
    <w:rsid w:val="30D53BBD"/>
    <w:rsid w:val="30D61664"/>
    <w:rsid w:val="30D616E4"/>
    <w:rsid w:val="30D8545C"/>
    <w:rsid w:val="30DA7426"/>
    <w:rsid w:val="30DC319E"/>
    <w:rsid w:val="30DD6F16"/>
    <w:rsid w:val="30DE478F"/>
    <w:rsid w:val="30DE4D6B"/>
    <w:rsid w:val="30E16A06"/>
    <w:rsid w:val="30E24B10"/>
    <w:rsid w:val="30E42053"/>
    <w:rsid w:val="30E5371C"/>
    <w:rsid w:val="30E6401D"/>
    <w:rsid w:val="30E97669"/>
    <w:rsid w:val="30EB1633"/>
    <w:rsid w:val="30EB518F"/>
    <w:rsid w:val="30EE0BEB"/>
    <w:rsid w:val="30F44BED"/>
    <w:rsid w:val="30FA1876"/>
    <w:rsid w:val="30FA5E8E"/>
    <w:rsid w:val="30FA7AC8"/>
    <w:rsid w:val="30FF0C3A"/>
    <w:rsid w:val="310149B3"/>
    <w:rsid w:val="3102072B"/>
    <w:rsid w:val="31061FC9"/>
    <w:rsid w:val="31077AEF"/>
    <w:rsid w:val="31126CE6"/>
    <w:rsid w:val="311566B0"/>
    <w:rsid w:val="31166AF7"/>
    <w:rsid w:val="31175F84"/>
    <w:rsid w:val="31181CFC"/>
    <w:rsid w:val="311A5A74"/>
    <w:rsid w:val="311A6DF9"/>
    <w:rsid w:val="311B14D9"/>
    <w:rsid w:val="311C359A"/>
    <w:rsid w:val="311E4999"/>
    <w:rsid w:val="311F308B"/>
    <w:rsid w:val="311F5819"/>
    <w:rsid w:val="31203FFA"/>
    <w:rsid w:val="312132A7"/>
    <w:rsid w:val="31215055"/>
    <w:rsid w:val="31230DCD"/>
    <w:rsid w:val="312573D2"/>
    <w:rsid w:val="31264419"/>
    <w:rsid w:val="31271F3F"/>
    <w:rsid w:val="312D6566"/>
    <w:rsid w:val="31300A9C"/>
    <w:rsid w:val="313279B0"/>
    <w:rsid w:val="313528AE"/>
    <w:rsid w:val="31352B82"/>
    <w:rsid w:val="31374878"/>
    <w:rsid w:val="31376626"/>
    <w:rsid w:val="313A7EC4"/>
    <w:rsid w:val="313B4368"/>
    <w:rsid w:val="313C3C3D"/>
    <w:rsid w:val="313F54DB"/>
    <w:rsid w:val="31411253"/>
    <w:rsid w:val="31413001"/>
    <w:rsid w:val="3143321D"/>
    <w:rsid w:val="314A1509"/>
    <w:rsid w:val="314E2C27"/>
    <w:rsid w:val="315076E8"/>
    <w:rsid w:val="31524FBC"/>
    <w:rsid w:val="31532D34"/>
    <w:rsid w:val="31540F86"/>
    <w:rsid w:val="31556AAC"/>
    <w:rsid w:val="31562B1E"/>
    <w:rsid w:val="31570A76"/>
    <w:rsid w:val="315A2315"/>
    <w:rsid w:val="315C42DF"/>
    <w:rsid w:val="315E1E05"/>
    <w:rsid w:val="315F792B"/>
    <w:rsid w:val="31605B7D"/>
    <w:rsid w:val="3163741B"/>
    <w:rsid w:val="31644F41"/>
    <w:rsid w:val="31660CB9"/>
    <w:rsid w:val="31695A49"/>
    <w:rsid w:val="3172765E"/>
    <w:rsid w:val="317433D6"/>
    <w:rsid w:val="317452BC"/>
    <w:rsid w:val="31772EC7"/>
    <w:rsid w:val="31785EB2"/>
    <w:rsid w:val="317909ED"/>
    <w:rsid w:val="31797FF5"/>
    <w:rsid w:val="317A6513"/>
    <w:rsid w:val="317F3D7D"/>
    <w:rsid w:val="31813D45"/>
    <w:rsid w:val="31815AF3"/>
    <w:rsid w:val="31826B22"/>
    <w:rsid w:val="31831500"/>
    <w:rsid w:val="318A0E4C"/>
    <w:rsid w:val="318A49A8"/>
    <w:rsid w:val="318B24CE"/>
    <w:rsid w:val="318D26EA"/>
    <w:rsid w:val="318D6246"/>
    <w:rsid w:val="31943A79"/>
    <w:rsid w:val="31960D20"/>
    <w:rsid w:val="31994BEB"/>
    <w:rsid w:val="319A0963"/>
    <w:rsid w:val="319B5DBF"/>
    <w:rsid w:val="319E0453"/>
    <w:rsid w:val="31A16195"/>
    <w:rsid w:val="31A435DE"/>
    <w:rsid w:val="31A517E2"/>
    <w:rsid w:val="31AA6DF8"/>
    <w:rsid w:val="31AC0DC2"/>
    <w:rsid w:val="31AD4B3A"/>
    <w:rsid w:val="31B71515"/>
    <w:rsid w:val="31B83326"/>
    <w:rsid w:val="31B859B9"/>
    <w:rsid w:val="31B90F57"/>
    <w:rsid w:val="31B9528D"/>
    <w:rsid w:val="31BB1005"/>
    <w:rsid w:val="31BC4D7D"/>
    <w:rsid w:val="31BC6B2B"/>
    <w:rsid w:val="31BD752D"/>
    <w:rsid w:val="31BE79F2"/>
    <w:rsid w:val="31C0661C"/>
    <w:rsid w:val="31C559E0"/>
    <w:rsid w:val="31C82E1B"/>
    <w:rsid w:val="31CD0C24"/>
    <w:rsid w:val="31D02A3D"/>
    <w:rsid w:val="31D04385"/>
    <w:rsid w:val="31D2634F"/>
    <w:rsid w:val="31D41389"/>
    <w:rsid w:val="31D75713"/>
    <w:rsid w:val="31DD5420"/>
    <w:rsid w:val="31DD71CE"/>
    <w:rsid w:val="31DE3900"/>
    <w:rsid w:val="31E3055C"/>
    <w:rsid w:val="31E31D8F"/>
    <w:rsid w:val="31E542D4"/>
    <w:rsid w:val="31E71DFA"/>
    <w:rsid w:val="31EA3699"/>
    <w:rsid w:val="31EC4947"/>
    <w:rsid w:val="31EF1103"/>
    <w:rsid w:val="31F0559B"/>
    <w:rsid w:val="31F13EB7"/>
    <w:rsid w:val="31F14A27"/>
    <w:rsid w:val="31F41E38"/>
    <w:rsid w:val="31F44517"/>
    <w:rsid w:val="31F97D80"/>
    <w:rsid w:val="31FB4569"/>
    <w:rsid w:val="31FE5396"/>
    <w:rsid w:val="31FF60CF"/>
    <w:rsid w:val="31FF6C4B"/>
    <w:rsid w:val="3200110E"/>
    <w:rsid w:val="320209E2"/>
    <w:rsid w:val="32056724"/>
    <w:rsid w:val="32075FF9"/>
    <w:rsid w:val="32081D71"/>
    <w:rsid w:val="320A7897"/>
    <w:rsid w:val="320C360F"/>
    <w:rsid w:val="320D7387"/>
    <w:rsid w:val="320F30FF"/>
    <w:rsid w:val="3212787A"/>
    <w:rsid w:val="32140B81"/>
    <w:rsid w:val="32157CE1"/>
    <w:rsid w:val="32180206"/>
    <w:rsid w:val="32195D2C"/>
    <w:rsid w:val="321D581C"/>
    <w:rsid w:val="3220530C"/>
    <w:rsid w:val="32222E32"/>
    <w:rsid w:val="32236BAB"/>
    <w:rsid w:val="32250B75"/>
    <w:rsid w:val="32270449"/>
    <w:rsid w:val="32290665"/>
    <w:rsid w:val="32292413"/>
    <w:rsid w:val="322963D4"/>
    <w:rsid w:val="322E5C7B"/>
    <w:rsid w:val="322F554F"/>
    <w:rsid w:val="32313075"/>
    <w:rsid w:val="32333292"/>
    <w:rsid w:val="323A4620"/>
    <w:rsid w:val="323B0398"/>
    <w:rsid w:val="323D5EBE"/>
    <w:rsid w:val="323E39E4"/>
    <w:rsid w:val="323E5792"/>
    <w:rsid w:val="323F1C36"/>
    <w:rsid w:val="32427031"/>
    <w:rsid w:val="32452FC5"/>
    <w:rsid w:val="32490EF5"/>
    <w:rsid w:val="324A2389"/>
    <w:rsid w:val="324A4137"/>
    <w:rsid w:val="324C6592"/>
    <w:rsid w:val="324E1E79"/>
    <w:rsid w:val="324E528F"/>
    <w:rsid w:val="3251196A"/>
    <w:rsid w:val="32513718"/>
    <w:rsid w:val="3253123E"/>
    <w:rsid w:val="325356E2"/>
    <w:rsid w:val="32562ADC"/>
    <w:rsid w:val="32586854"/>
    <w:rsid w:val="325B00F2"/>
    <w:rsid w:val="32642296"/>
    <w:rsid w:val="3264344B"/>
    <w:rsid w:val="32650F71"/>
    <w:rsid w:val="326571C3"/>
    <w:rsid w:val="32672F3B"/>
    <w:rsid w:val="32690A61"/>
    <w:rsid w:val="326A2A2B"/>
    <w:rsid w:val="326A412A"/>
    <w:rsid w:val="326B085A"/>
    <w:rsid w:val="326B2519"/>
    <w:rsid w:val="326E42CA"/>
    <w:rsid w:val="3273739A"/>
    <w:rsid w:val="3276317E"/>
    <w:rsid w:val="32785148"/>
    <w:rsid w:val="32786EF6"/>
    <w:rsid w:val="327A59FF"/>
    <w:rsid w:val="327B0795"/>
    <w:rsid w:val="327E2C3F"/>
    <w:rsid w:val="328238D1"/>
    <w:rsid w:val="32843AED"/>
    <w:rsid w:val="32854801"/>
    <w:rsid w:val="32856933"/>
    <w:rsid w:val="32867865"/>
    <w:rsid w:val="3287538B"/>
    <w:rsid w:val="32894C60"/>
    <w:rsid w:val="328A3015"/>
    <w:rsid w:val="328C29A2"/>
    <w:rsid w:val="328E671A"/>
    <w:rsid w:val="328F5FEE"/>
    <w:rsid w:val="32902492"/>
    <w:rsid w:val="32951856"/>
    <w:rsid w:val="329B0E37"/>
    <w:rsid w:val="329F26D5"/>
    <w:rsid w:val="32A01606"/>
    <w:rsid w:val="32A221C5"/>
    <w:rsid w:val="32A30F7A"/>
    <w:rsid w:val="32A4096B"/>
    <w:rsid w:val="32A55811"/>
    <w:rsid w:val="32A561B1"/>
    <w:rsid w:val="32A7158A"/>
    <w:rsid w:val="32AC094E"/>
    <w:rsid w:val="32AE0B6A"/>
    <w:rsid w:val="32B12408"/>
    <w:rsid w:val="32B51EF8"/>
    <w:rsid w:val="32B61940"/>
    <w:rsid w:val="32B900B2"/>
    <w:rsid w:val="32BF0681"/>
    <w:rsid w:val="32BF4B25"/>
    <w:rsid w:val="32C043F9"/>
    <w:rsid w:val="32C24615"/>
    <w:rsid w:val="32C4213C"/>
    <w:rsid w:val="32C44B49"/>
    <w:rsid w:val="32C51A10"/>
    <w:rsid w:val="32C65EB4"/>
    <w:rsid w:val="32C94A9C"/>
    <w:rsid w:val="32CB34CA"/>
    <w:rsid w:val="32CB5278"/>
    <w:rsid w:val="32CE4D68"/>
    <w:rsid w:val="32D040EC"/>
    <w:rsid w:val="32D0590C"/>
    <w:rsid w:val="32D103B5"/>
    <w:rsid w:val="32D16607"/>
    <w:rsid w:val="32D54349"/>
    <w:rsid w:val="32D560F7"/>
    <w:rsid w:val="32D57EA5"/>
    <w:rsid w:val="32D61E6F"/>
    <w:rsid w:val="32D700C1"/>
    <w:rsid w:val="32D93D68"/>
    <w:rsid w:val="32DC25E1"/>
    <w:rsid w:val="32DC56D7"/>
    <w:rsid w:val="32DC622C"/>
    <w:rsid w:val="32DD0992"/>
    <w:rsid w:val="32DD4FAB"/>
    <w:rsid w:val="32DF1FDC"/>
    <w:rsid w:val="32E0684A"/>
    <w:rsid w:val="32E120A3"/>
    <w:rsid w:val="32E12CEE"/>
    <w:rsid w:val="32E20814"/>
    <w:rsid w:val="32E75E2A"/>
    <w:rsid w:val="32E91BA2"/>
    <w:rsid w:val="32E9371E"/>
    <w:rsid w:val="32E93950"/>
    <w:rsid w:val="32E97DF4"/>
    <w:rsid w:val="32EB2FB9"/>
    <w:rsid w:val="32EB34DA"/>
    <w:rsid w:val="32EE540A"/>
    <w:rsid w:val="32F04CDF"/>
    <w:rsid w:val="32F10A57"/>
    <w:rsid w:val="32F2545B"/>
    <w:rsid w:val="32F3657D"/>
    <w:rsid w:val="32F742BF"/>
    <w:rsid w:val="32F81DE5"/>
    <w:rsid w:val="32F83B93"/>
    <w:rsid w:val="32F90896"/>
    <w:rsid w:val="32FD564D"/>
    <w:rsid w:val="32FD651D"/>
    <w:rsid w:val="32FF13C6"/>
    <w:rsid w:val="32FF3174"/>
    <w:rsid w:val="32FF51B7"/>
    <w:rsid w:val="32FF69F4"/>
    <w:rsid w:val="33024A12"/>
    <w:rsid w:val="33024F89"/>
    <w:rsid w:val="3304078A"/>
    <w:rsid w:val="33051C5F"/>
    <w:rsid w:val="3307027A"/>
    <w:rsid w:val="33092677"/>
    <w:rsid w:val="33092D4F"/>
    <w:rsid w:val="330E1609"/>
    <w:rsid w:val="330E33B7"/>
    <w:rsid w:val="33122EA7"/>
    <w:rsid w:val="33150BE9"/>
    <w:rsid w:val="33154745"/>
    <w:rsid w:val="33155EF5"/>
    <w:rsid w:val="331839CA"/>
    <w:rsid w:val="33185FE3"/>
    <w:rsid w:val="331A61FF"/>
    <w:rsid w:val="331C222E"/>
    <w:rsid w:val="332008FE"/>
    <w:rsid w:val="33226E62"/>
    <w:rsid w:val="33264BA4"/>
    <w:rsid w:val="332B5D17"/>
    <w:rsid w:val="332C1A8F"/>
    <w:rsid w:val="332D454F"/>
    <w:rsid w:val="3330332D"/>
    <w:rsid w:val="333252F7"/>
    <w:rsid w:val="3333106F"/>
    <w:rsid w:val="33352DD5"/>
    <w:rsid w:val="33354DE7"/>
    <w:rsid w:val="33356B95"/>
    <w:rsid w:val="33364265"/>
    <w:rsid w:val="333D5A4A"/>
    <w:rsid w:val="33411378"/>
    <w:rsid w:val="3341378C"/>
    <w:rsid w:val="334212B2"/>
    <w:rsid w:val="33426DD3"/>
    <w:rsid w:val="3344502A"/>
    <w:rsid w:val="33462B51"/>
    <w:rsid w:val="33490893"/>
    <w:rsid w:val="334E1463"/>
    <w:rsid w:val="334E7C57"/>
    <w:rsid w:val="33521F42"/>
    <w:rsid w:val="335229B5"/>
    <w:rsid w:val="3353526D"/>
    <w:rsid w:val="33557238"/>
    <w:rsid w:val="33576B0C"/>
    <w:rsid w:val="335C4122"/>
    <w:rsid w:val="335C76C1"/>
    <w:rsid w:val="33633703"/>
    <w:rsid w:val="33641229"/>
    <w:rsid w:val="3364747B"/>
    <w:rsid w:val="33666BE1"/>
    <w:rsid w:val="336C3012"/>
    <w:rsid w:val="336D632F"/>
    <w:rsid w:val="336E20A7"/>
    <w:rsid w:val="33704071"/>
    <w:rsid w:val="337201A6"/>
    <w:rsid w:val="33721B98"/>
    <w:rsid w:val="33744FB8"/>
    <w:rsid w:val="33751688"/>
    <w:rsid w:val="33753436"/>
    <w:rsid w:val="33784018"/>
    <w:rsid w:val="337C585D"/>
    <w:rsid w:val="337E22EA"/>
    <w:rsid w:val="338631D6"/>
    <w:rsid w:val="33890C8F"/>
    <w:rsid w:val="338D077F"/>
    <w:rsid w:val="338D69D1"/>
    <w:rsid w:val="338F44F8"/>
    <w:rsid w:val="339165C1"/>
    <w:rsid w:val="33953AD8"/>
    <w:rsid w:val="339935C8"/>
    <w:rsid w:val="33997124"/>
    <w:rsid w:val="339C4E66"/>
    <w:rsid w:val="339E0BDF"/>
    <w:rsid w:val="339E298D"/>
    <w:rsid w:val="339F04B3"/>
    <w:rsid w:val="33A15FD9"/>
    <w:rsid w:val="33A45AC9"/>
    <w:rsid w:val="33A53D1B"/>
    <w:rsid w:val="33A61ECE"/>
    <w:rsid w:val="33A70526"/>
    <w:rsid w:val="33A8380B"/>
    <w:rsid w:val="33A930DF"/>
    <w:rsid w:val="33A954EF"/>
    <w:rsid w:val="33AB50A9"/>
    <w:rsid w:val="33AD497E"/>
    <w:rsid w:val="33AD7074"/>
    <w:rsid w:val="33B65F28"/>
    <w:rsid w:val="33BA709B"/>
    <w:rsid w:val="33BC72B7"/>
    <w:rsid w:val="33BE6B8B"/>
    <w:rsid w:val="33C2686F"/>
    <w:rsid w:val="33C26A29"/>
    <w:rsid w:val="33C365BE"/>
    <w:rsid w:val="33C46C09"/>
    <w:rsid w:val="33C85644"/>
    <w:rsid w:val="33CA19D4"/>
    <w:rsid w:val="33CA3782"/>
    <w:rsid w:val="33CC24F2"/>
    <w:rsid w:val="33CD3146"/>
    <w:rsid w:val="33D0157A"/>
    <w:rsid w:val="33D12D62"/>
    <w:rsid w:val="33D53E1E"/>
    <w:rsid w:val="33D656EA"/>
    <w:rsid w:val="33D75E9F"/>
    <w:rsid w:val="33D939C5"/>
    <w:rsid w:val="33D94AF6"/>
    <w:rsid w:val="33DB598F"/>
    <w:rsid w:val="33DD1D36"/>
    <w:rsid w:val="33DF6B01"/>
    <w:rsid w:val="33E800AC"/>
    <w:rsid w:val="33E83C08"/>
    <w:rsid w:val="33EC194A"/>
    <w:rsid w:val="33EF143A"/>
    <w:rsid w:val="33EF31E8"/>
    <w:rsid w:val="33EF4F96"/>
    <w:rsid w:val="33F46A50"/>
    <w:rsid w:val="33F627C9"/>
    <w:rsid w:val="33F702EF"/>
    <w:rsid w:val="33FC76B3"/>
    <w:rsid w:val="34034EE6"/>
    <w:rsid w:val="340547BA"/>
    <w:rsid w:val="340824FC"/>
    <w:rsid w:val="340901AF"/>
    <w:rsid w:val="340D366E"/>
    <w:rsid w:val="340D7B12"/>
    <w:rsid w:val="340F73E6"/>
    <w:rsid w:val="340F7B58"/>
    <w:rsid w:val="341220B6"/>
    <w:rsid w:val="34155E66"/>
    <w:rsid w:val="341744ED"/>
    <w:rsid w:val="34177D24"/>
    <w:rsid w:val="34190265"/>
    <w:rsid w:val="34192013"/>
    <w:rsid w:val="34196527"/>
    <w:rsid w:val="341B3FDD"/>
    <w:rsid w:val="34207846"/>
    <w:rsid w:val="34264730"/>
    <w:rsid w:val="34266DEB"/>
    <w:rsid w:val="342866FA"/>
    <w:rsid w:val="342A2472"/>
    <w:rsid w:val="342B439E"/>
    <w:rsid w:val="342D3D10"/>
    <w:rsid w:val="3432091D"/>
    <w:rsid w:val="34346E4D"/>
    <w:rsid w:val="34367069"/>
    <w:rsid w:val="34383215"/>
    <w:rsid w:val="34384B8F"/>
    <w:rsid w:val="34394463"/>
    <w:rsid w:val="343B642D"/>
    <w:rsid w:val="34401C96"/>
    <w:rsid w:val="3442156A"/>
    <w:rsid w:val="34425A0E"/>
    <w:rsid w:val="344277BC"/>
    <w:rsid w:val="34433534"/>
    <w:rsid w:val="34452E08"/>
    <w:rsid w:val="344D6161"/>
    <w:rsid w:val="344E50A7"/>
    <w:rsid w:val="344F012B"/>
    <w:rsid w:val="345179FF"/>
    <w:rsid w:val="345319C9"/>
    <w:rsid w:val="345474EF"/>
    <w:rsid w:val="34555ECA"/>
    <w:rsid w:val="345614B9"/>
    <w:rsid w:val="34571F2B"/>
    <w:rsid w:val="345968B4"/>
    <w:rsid w:val="345B262C"/>
    <w:rsid w:val="345E3ECA"/>
    <w:rsid w:val="34614667"/>
    <w:rsid w:val="34636D8D"/>
    <w:rsid w:val="34661D88"/>
    <w:rsid w:val="34692F9B"/>
    <w:rsid w:val="346A0AC1"/>
    <w:rsid w:val="346A286F"/>
    <w:rsid w:val="346E6803"/>
    <w:rsid w:val="346F257B"/>
    <w:rsid w:val="347100A1"/>
    <w:rsid w:val="34733E19"/>
    <w:rsid w:val="34781430"/>
    <w:rsid w:val="347A4163"/>
    <w:rsid w:val="347B0F20"/>
    <w:rsid w:val="34807357"/>
    <w:rsid w:val="34810E85"/>
    <w:rsid w:val="34833930"/>
    <w:rsid w:val="348558FB"/>
    <w:rsid w:val="348778C8"/>
    <w:rsid w:val="348953EB"/>
    <w:rsid w:val="34897199"/>
    <w:rsid w:val="348C4EDB"/>
    <w:rsid w:val="348E3F5F"/>
    <w:rsid w:val="3491429F"/>
    <w:rsid w:val="34962E10"/>
    <w:rsid w:val="349873DC"/>
    <w:rsid w:val="349A4349"/>
    <w:rsid w:val="349D49F2"/>
    <w:rsid w:val="349F4C0E"/>
    <w:rsid w:val="34A02734"/>
    <w:rsid w:val="34A07D70"/>
    <w:rsid w:val="34A22009"/>
    <w:rsid w:val="34A22D8F"/>
    <w:rsid w:val="34A35960"/>
    <w:rsid w:val="34A42225"/>
    <w:rsid w:val="34A9783B"/>
    <w:rsid w:val="34AA710F"/>
    <w:rsid w:val="34AC732B"/>
    <w:rsid w:val="34AE125F"/>
    <w:rsid w:val="34B63D06"/>
    <w:rsid w:val="34B955A4"/>
    <w:rsid w:val="34BB30CA"/>
    <w:rsid w:val="34BD6E42"/>
    <w:rsid w:val="34C12DD7"/>
    <w:rsid w:val="34C41B45"/>
    <w:rsid w:val="34C5786A"/>
    <w:rsid w:val="34C603ED"/>
    <w:rsid w:val="34C74F7D"/>
    <w:rsid w:val="34C93A39"/>
    <w:rsid w:val="34CC342B"/>
    <w:rsid w:val="34D4418C"/>
    <w:rsid w:val="34D523DE"/>
    <w:rsid w:val="34D81ECE"/>
    <w:rsid w:val="34D84426"/>
    <w:rsid w:val="34D85063"/>
    <w:rsid w:val="34DB551B"/>
    <w:rsid w:val="34DF325D"/>
    <w:rsid w:val="34E00D83"/>
    <w:rsid w:val="34E02B31"/>
    <w:rsid w:val="34E16FD5"/>
    <w:rsid w:val="34E268A9"/>
    <w:rsid w:val="34E46AC5"/>
    <w:rsid w:val="34E6283D"/>
    <w:rsid w:val="34E70363"/>
    <w:rsid w:val="34E97C37"/>
    <w:rsid w:val="34EC3BCC"/>
    <w:rsid w:val="34EF16F6"/>
    <w:rsid w:val="34F13CB6"/>
    <w:rsid w:val="34F14D3E"/>
    <w:rsid w:val="34F211E2"/>
    <w:rsid w:val="34F34F5A"/>
    <w:rsid w:val="34F52A80"/>
    <w:rsid w:val="34F82570"/>
    <w:rsid w:val="34FA3BF3"/>
    <w:rsid w:val="34FB5BBD"/>
    <w:rsid w:val="34FF0E8B"/>
    <w:rsid w:val="34FF745B"/>
    <w:rsid w:val="350031D3"/>
    <w:rsid w:val="35020CF9"/>
    <w:rsid w:val="35066A3B"/>
    <w:rsid w:val="350727B3"/>
    <w:rsid w:val="3509652C"/>
    <w:rsid w:val="350B22A4"/>
    <w:rsid w:val="3511368D"/>
    <w:rsid w:val="35132F06"/>
    <w:rsid w:val="35133AD1"/>
    <w:rsid w:val="35134CB4"/>
    <w:rsid w:val="351530B1"/>
    <w:rsid w:val="351647A5"/>
    <w:rsid w:val="3518051D"/>
    <w:rsid w:val="351D1FD7"/>
    <w:rsid w:val="351D3D85"/>
    <w:rsid w:val="352073D1"/>
    <w:rsid w:val="35215623"/>
    <w:rsid w:val="35223149"/>
    <w:rsid w:val="3524722A"/>
    <w:rsid w:val="352548D7"/>
    <w:rsid w:val="35260E8C"/>
    <w:rsid w:val="35270760"/>
    <w:rsid w:val="352944D8"/>
    <w:rsid w:val="352A70A8"/>
    <w:rsid w:val="352B64A2"/>
    <w:rsid w:val="352F6829"/>
    <w:rsid w:val="35303AB8"/>
    <w:rsid w:val="353335A8"/>
    <w:rsid w:val="35373099"/>
    <w:rsid w:val="35380BBF"/>
    <w:rsid w:val="353A0493"/>
    <w:rsid w:val="353C245D"/>
    <w:rsid w:val="353D7F83"/>
    <w:rsid w:val="353E4427"/>
    <w:rsid w:val="353F1F4D"/>
    <w:rsid w:val="353F3CFB"/>
    <w:rsid w:val="3542559A"/>
    <w:rsid w:val="354457B6"/>
    <w:rsid w:val="3546508A"/>
    <w:rsid w:val="35473194"/>
    <w:rsid w:val="35492DCC"/>
    <w:rsid w:val="354D6418"/>
    <w:rsid w:val="354E3F3E"/>
    <w:rsid w:val="355157DD"/>
    <w:rsid w:val="355377A7"/>
    <w:rsid w:val="35571045"/>
    <w:rsid w:val="355754E9"/>
    <w:rsid w:val="35577297"/>
    <w:rsid w:val="35586B6B"/>
    <w:rsid w:val="355A28E3"/>
    <w:rsid w:val="355D23D3"/>
    <w:rsid w:val="355E6877"/>
    <w:rsid w:val="35644FA8"/>
    <w:rsid w:val="35683252"/>
    <w:rsid w:val="35690D78"/>
    <w:rsid w:val="356B04B0"/>
    <w:rsid w:val="356B2D42"/>
    <w:rsid w:val="356D6ABA"/>
    <w:rsid w:val="356E45E1"/>
    <w:rsid w:val="35700359"/>
    <w:rsid w:val="35702107"/>
    <w:rsid w:val="357065AB"/>
    <w:rsid w:val="35747E49"/>
    <w:rsid w:val="357716E7"/>
    <w:rsid w:val="3578720D"/>
    <w:rsid w:val="357F67EE"/>
    <w:rsid w:val="358160C2"/>
    <w:rsid w:val="35843E04"/>
    <w:rsid w:val="35845BB2"/>
    <w:rsid w:val="358636D8"/>
    <w:rsid w:val="358856A2"/>
    <w:rsid w:val="35887450"/>
    <w:rsid w:val="358B6F41"/>
    <w:rsid w:val="358F1924"/>
    <w:rsid w:val="358F286E"/>
    <w:rsid w:val="358F4C83"/>
    <w:rsid w:val="35926521"/>
    <w:rsid w:val="3598340C"/>
    <w:rsid w:val="359A0309"/>
    <w:rsid w:val="359B5E22"/>
    <w:rsid w:val="359C1AAB"/>
    <w:rsid w:val="359C2EFC"/>
    <w:rsid w:val="359E4EC6"/>
    <w:rsid w:val="35A10512"/>
    <w:rsid w:val="35A324DC"/>
    <w:rsid w:val="35A63D95"/>
    <w:rsid w:val="35A65B28"/>
    <w:rsid w:val="35AB1391"/>
    <w:rsid w:val="35AB313F"/>
    <w:rsid w:val="35AB3B2B"/>
    <w:rsid w:val="35AC6A9D"/>
    <w:rsid w:val="35AD335B"/>
    <w:rsid w:val="35AD5109"/>
    <w:rsid w:val="35AF70D3"/>
    <w:rsid w:val="35B11597"/>
    <w:rsid w:val="35B27244"/>
    <w:rsid w:val="35B37A91"/>
    <w:rsid w:val="35B46497"/>
    <w:rsid w:val="35B50461"/>
    <w:rsid w:val="35B5220F"/>
    <w:rsid w:val="35B91D00"/>
    <w:rsid w:val="35BA7826"/>
    <w:rsid w:val="35BC17F0"/>
    <w:rsid w:val="35C07501"/>
    <w:rsid w:val="35C27944"/>
    <w:rsid w:val="35C30488"/>
    <w:rsid w:val="35C506A4"/>
    <w:rsid w:val="35C5388E"/>
    <w:rsid w:val="35C67F79"/>
    <w:rsid w:val="35CF1523"/>
    <w:rsid w:val="35D73F34"/>
    <w:rsid w:val="35D77919"/>
    <w:rsid w:val="35D97CAC"/>
    <w:rsid w:val="35DC59EE"/>
    <w:rsid w:val="35E30B2B"/>
    <w:rsid w:val="35E47D8D"/>
    <w:rsid w:val="35E52AF5"/>
    <w:rsid w:val="35E56C94"/>
    <w:rsid w:val="35E6061B"/>
    <w:rsid w:val="35E623C9"/>
    <w:rsid w:val="35E825E5"/>
    <w:rsid w:val="35EB79DF"/>
    <w:rsid w:val="35EE2580"/>
    <w:rsid w:val="35EF127D"/>
    <w:rsid w:val="35F03248"/>
    <w:rsid w:val="35F17D17"/>
    <w:rsid w:val="35F363F2"/>
    <w:rsid w:val="35FA5E74"/>
    <w:rsid w:val="35FA7C22"/>
    <w:rsid w:val="35FB537C"/>
    <w:rsid w:val="35FE5964"/>
    <w:rsid w:val="360311CD"/>
    <w:rsid w:val="36056CF3"/>
    <w:rsid w:val="36080591"/>
    <w:rsid w:val="360A255B"/>
    <w:rsid w:val="360B3E62"/>
    <w:rsid w:val="360C62D3"/>
    <w:rsid w:val="360D5BA8"/>
    <w:rsid w:val="360D5EF4"/>
    <w:rsid w:val="36145188"/>
    <w:rsid w:val="361C228F"/>
    <w:rsid w:val="361E6007"/>
    <w:rsid w:val="36203B2D"/>
    <w:rsid w:val="36211653"/>
    <w:rsid w:val="36213401"/>
    <w:rsid w:val="3622247E"/>
    <w:rsid w:val="3623361D"/>
    <w:rsid w:val="362829E1"/>
    <w:rsid w:val="3628478F"/>
    <w:rsid w:val="36286772"/>
    <w:rsid w:val="362C0724"/>
    <w:rsid w:val="362C24D2"/>
    <w:rsid w:val="36301896"/>
    <w:rsid w:val="363037C3"/>
    <w:rsid w:val="36343134"/>
    <w:rsid w:val="363475D8"/>
    <w:rsid w:val="36367635"/>
    <w:rsid w:val="36372C24"/>
    <w:rsid w:val="36380975"/>
    <w:rsid w:val="363B44C3"/>
    <w:rsid w:val="36401AD9"/>
    <w:rsid w:val="364049F9"/>
    <w:rsid w:val="36462E68"/>
    <w:rsid w:val="36484E32"/>
    <w:rsid w:val="364970DE"/>
    <w:rsid w:val="364A2958"/>
    <w:rsid w:val="364A4F4A"/>
    <w:rsid w:val="364A6F3B"/>
    <w:rsid w:val="364E1FAC"/>
    <w:rsid w:val="364F7F6E"/>
    <w:rsid w:val="36503AF9"/>
    <w:rsid w:val="36564BBA"/>
    <w:rsid w:val="365679D5"/>
    <w:rsid w:val="365752AD"/>
    <w:rsid w:val="36581519"/>
    <w:rsid w:val="365B1B17"/>
    <w:rsid w:val="365B2DB7"/>
    <w:rsid w:val="365B4B65"/>
    <w:rsid w:val="36631C6B"/>
    <w:rsid w:val="36637A22"/>
    <w:rsid w:val="36653C36"/>
    <w:rsid w:val="36657792"/>
    <w:rsid w:val="36681030"/>
    <w:rsid w:val="366854D4"/>
    <w:rsid w:val="36687282"/>
    <w:rsid w:val="366A4DA8"/>
    <w:rsid w:val="366B28CE"/>
    <w:rsid w:val="366C02C0"/>
    <w:rsid w:val="366C6D72"/>
    <w:rsid w:val="366D4898"/>
    <w:rsid w:val="3674007C"/>
    <w:rsid w:val="36743E79"/>
    <w:rsid w:val="36794FEB"/>
    <w:rsid w:val="367B5207"/>
    <w:rsid w:val="367F29FE"/>
    <w:rsid w:val="367F4CF7"/>
    <w:rsid w:val="36802159"/>
    <w:rsid w:val="368045CB"/>
    <w:rsid w:val="36851BE2"/>
    <w:rsid w:val="36963DEF"/>
    <w:rsid w:val="3699743B"/>
    <w:rsid w:val="369B3F26"/>
    <w:rsid w:val="369D517D"/>
    <w:rsid w:val="36A209E6"/>
    <w:rsid w:val="36A22794"/>
    <w:rsid w:val="36A24542"/>
    <w:rsid w:val="36A52284"/>
    <w:rsid w:val="36AA33F6"/>
    <w:rsid w:val="36AC614E"/>
    <w:rsid w:val="36AF4EB1"/>
    <w:rsid w:val="36B10C29"/>
    <w:rsid w:val="36B10E7F"/>
    <w:rsid w:val="36B14785"/>
    <w:rsid w:val="36B22C95"/>
    <w:rsid w:val="36B6623F"/>
    <w:rsid w:val="36B67FED"/>
    <w:rsid w:val="36BA4A48"/>
    <w:rsid w:val="36BB3856"/>
    <w:rsid w:val="36BD137C"/>
    <w:rsid w:val="36BD5820"/>
    <w:rsid w:val="36BD75CE"/>
    <w:rsid w:val="36C24DA9"/>
    <w:rsid w:val="36C26B8E"/>
    <w:rsid w:val="36C344B8"/>
    <w:rsid w:val="36C50230"/>
    <w:rsid w:val="36C546D4"/>
    <w:rsid w:val="36CA022A"/>
    <w:rsid w:val="36CE17DB"/>
    <w:rsid w:val="36CF13DC"/>
    <w:rsid w:val="36CF7301"/>
    <w:rsid w:val="36D05553"/>
    <w:rsid w:val="36D1134E"/>
    <w:rsid w:val="36D13079"/>
    <w:rsid w:val="36D13AFF"/>
    <w:rsid w:val="36D33957"/>
    <w:rsid w:val="36D36DF1"/>
    <w:rsid w:val="36D668E1"/>
    <w:rsid w:val="36D81DC5"/>
    <w:rsid w:val="36DA0180"/>
    <w:rsid w:val="36DA1F2E"/>
    <w:rsid w:val="36DD37CC"/>
    <w:rsid w:val="36DD557A"/>
    <w:rsid w:val="36DF562B"/>
    <w:rsid w:val="36E0506A"/>
    <w:rsid w:val="36E41E01"/>
    <w:rsid w:val="36E86D78"/>
    <w:rsid w:val="36E96615"/>
    <w:rsid w:val="36EA5EE9"/>
    <w:rsid w:val="36EB60E9"/>
    <w:rsid w:val="36EC1C61"/>
    <w:rsid w:val="36F01751"/>
    <w:rsid w:val="36F154C9"/>
    <w:rsid w:val="36FA5F6A"/>
    <w:rsid w:val="36FA7861"/>
    <w:rsid w:val="36FB00F6"/>
    <w:rsid w:val="36FD5C1C"/>
    <w:rsid w:val="36FF3742"/>
    <w:rsid w:val="36FF7BE6"/>
    <w:rsid w:val="3705460A"/>
    <w:rsid w:val="3708654C"/>
    <w:rsid w:val="370A20E7"/>
    <w:rsid w:val="370C2303"/>
    <w:rsid w:val="370F76FD"/>
    <w:rsid w:val="37104F89"/>
    <w:rsid w:val="3711425A"/>
    <w:rsid w:val="371371EE"/>
    <w:rsid w:val="37147DA6"/>
    <w:rsid w:val="371511B8"/>
    <w:rsid w:val="3716085C"/>
    <w:rsid w:val="37160A8C"/>
    <w:rsid w:val="3716362D"/>
    <w:rsid w:val="37180CA8"/>
    <w:rsid w:val="37182A56"/>
    <w:rsid w:val="37225683"/>
    <w:rsid w:val="372550F8"/>
    <w:rsid w:val="37272C99"/>
    <w:rsid w:val="37296A11"/>
    <w:rsid w:val="372A4537"/>
    <w:rsid w:val="372B2789"/>
    <w:rsid w:val="372C4753"/>
    <w:rsid w:val="372C5D39"/>
    <w:rsid w:val="372E04CB"/>
    <w:rsid w:val="372E351E"/>
    <w:rsid w:val="37313B18"/>
    <w:rsid w:val="37321D6A"/>
    <w:rsid w:val="37323C01"/>
    <w:rsid w:val="3733163E"/>
    <w:rsid w:val="37353608"/>
    <w:rsid w:val="373553B6"/>
    <w:rsid w:val="373C5B22"/>
    <w:rsid w:val="373D24BC"/>
    <w:rsid w:val="373F44A3"/>
    <w:rsid w:val="373F6235"/>
    <w:rsid w:val="37410504"/>
    <w:rsid w:val="37421881"/>
    <w:rsid w:val="37425D25"/>
    <w:rsid w:val="37427AD3"/>
    <w:rsid w:val="3744619F"/>
    <w:rsid w:val="37461371"/>
    <w:rsid w:val="37464376"/>
    <w:rsid w:val="37465815"/>
    <w:rsid w:val="37476E97"/>
    <w:rsid w:val="374A15B6"/>
    <w:rsid w:val="374B4BD9"/>
    <w:rsid w:val="374E03A8"/>
    <w:rsid w:val="37531CE0"/>
    <w:rsid w:val="37563E6B"/>
    <w:rsid w:val="375810A4"/>
    <w:rsid w:val="375D66BB"/>
    <w:rsid w:val="375F48B5"/>
    <w:rsid w:val="37620175"/>
    <w:rsid w:val="37643EED"/>
    <w:rsid w:val="376579E3"/>
    <w:rsid w:val="37670CF2"/>
    <w:rsid w:val="376712E7"/>
    <w:rsid w:val="376B0DD8"/>
    <w:rsid w:val="376B527C"/>
    <w:rsid w:val="376D2DA2"/>
    <w:rsid w:val="376E1D1A"/>
    <w:rsid w:val="376F048F"/>
    <w:rsid w:val="37702892"/>
    <w:rsid w:val="377203B8"/>
    <w:rsid w:val="3776777C"/>
    <w:rsid w:val="37773C20"/>
    <w:rsid w:val="37797AAB"/>
    <w:rsid w:val="377A366D"/>
    <w:rsid w:val="377B3BAC"/>
    <w:rsid w:val="377E4FAF"/>
    <w:rsid w:val="3784633D"/>
    <w:rsid w:val="37895702"/>
    <w:rsid w:val="378D4020"/>
    <w:rsid w:val="378D6FA0"/>
    <w:rsid w:val="379320DC"/>
    <w:rsid w:val="37955E55"/>
    <w:rsid w:val="37965565"/>
    <w:rsid w:val="37991DE9"/>
    <w:rsid w:val="379A790F"/>
    <w:rsid w:val="379C5435"/>
    <w:rsid w:val="379D0E72"/>
    <w:rsid w:val="379E46FE"/>
    <w:rsid w:val="37A147F9"/>
    <w:rsid w:val="37A30D30"/>
    <w:rsid w:val="37A4078E"/>
    <w:rsid w:val="37A662B4"/>
    <w:rsid w:val="37A75B88"/>
    <w:rsid w:val="37A83DDA"/>
    <w:rsid w:val="37AD13F0"/>
    <w:rsid w:val="37AE5168"/>
    <w:rsid w:val="37B26A07"/>
    <w:rsid w:val="37B3452D"/>
    <w:rsid w:val="37B87D95"/>
    <w:rsid w:val="37BA1D5F"/>
    <w:rsid w:val="37BF2ED1"/>
    <w:rsid w:val="37BF7375"/>
    <w:rsid w:val="37C06957"/>
    <w:rsid w:val="37C87FD8"/>
    <w:rsid w:val="37CA34BD"/>
    <w:rsid w:val="37CB7AC8"/>
    <w:rsid w:val="37D03331"/>
    <w:rsid w:val="37D050DF"/>
    <w:rsid w:val="37D20E57"/>
    <w:rsid w:val="37D2523E"/>
    <w:rsid w:val="37D46AC4"/>
    <w:rsid w:val="37D62C29"/>
    <w:rsid w:val="37D7646D"/>
    <w:rsid w:val="37D90437"/>
    <w:rsid w:val="37DA5F5D"/>
    <w:rsid w:val="37DC7264"/>
    <w:rsid w:val="37DE77FC"/>
    <w:rsid w:val="37DF5322"/>
    <w:rsid w:val="37E053DC"/>
    <w:rsid w:val="37E10CD2"/>
    <w:rsid w:val="37E42938"/>
    <w:rsid w:val="37E54763"/>
    <w:rsid w:val="37E62B54"/>
    <w:rsid w:val="37E8067A"/>
    <w:rsid w:val="37EA2644"/>
    <w:rsid w:val="37EF7C5B"/>
    <w:rsid w:val="37F063E3"/>
    <w:rsid w:val="37F30DCD"/>
    <w:rsid w:val="37F47148"/>
    <w:rsid w:val="37F7266B"/>
    <w:rsid w:val="37F76B0F"/>
    <w:rsid w:val="37FC2378"/>
    <w:rsid w:val="37FE1C4C"/>
    <w:rsid w:val="37FF425B"/>
    <w:rsid w:val="37FF59C4"/>
    <w:rsid w:val="38064FA4"/>
    <w:rsid w:val="380755BE"/>
    <w:rsid w:val="38080D1C"/>
    <w:rsid w:val="38084878"/>
    <w:rsid w:val="3809239F"/>
    <w:rsid w:val="380A6843"/>
    <w:rsid w:val="380B25BB"/>
    <w:rsid w:val="380D00E1"/>
    <w:rsid w:val="380F260F"/>
    <w:rsid w:val="380F4BBC"/>
    <w:rsid w:val="38107BD1"/>
    <w:rsid w:val="38172D0E"/>
    <w:rsid w:val="38180993"/>
    <w:rsid w:val="38194CD8"/>
    <w:rsid w:val="381A0E63"/>
    <w:rsid w:val="3821572E"/>
    <w:rsid w:val="3822719A"/>
    <w:rsid w:val="38232590"/>
    <w:rsid w:val="38244D74"/>
    <w:rsid w:val="38284F1B"/>
    <w:rsid w:val="382C4A0B"/>
    <w:rsid w:val="38303DCF"/>
    <w:rsid w:val="38325D99"/>
    <w:rsid w:val="3833314B"/>
    <w:rsid w:val="38342E9A"/>
    <w:rsid w:val="383513E6"/>
    <w:rsid w:val="3837515E"/>
    <w:rsid w:val="38376F0C"/>
    <w:rsid w:val="383C3506"/>
    <w:rsid w:val="384004B6"/>
    <w:rsid w:val="38404012"/>
    <w:rsid w:val="384171BA"/>
    <w:rsid w:val="38417D8A"/>
    <w:rsid w:val="3845787B"/>
    <w:rsid w:val="38471845"/>
    <w:rsid w:val="384A6C3F"/>
    <w:rsid w:val="384B0C09"/>
    <w:rsid w:val="384D2BD3"/>
    <w:rsid w:val="384F4255"/>
    <w:rsid w:val="38521F98"/>
    <w:rsid w:val="38547ABE"/>
    <w:rsid w:val="38583AFF"/>
    <w:rsid w:val="38591578"/>
    <w:rsid w:val="385C4BC4"/>
    <w:rsid w:val="385E6B8E"/>
    <w:rsid w:val="38606463"/>
    <w:rsid w:val="38610E40"/>
    <w:rsid w:val="3866789B"/>
    <w:rsid w:val="38673C95"/>
    <w:rsid w:val="38683E4F"/>
    <w:rsid w:val="386A1501"/>
    <w:rsid w:val="386A5533"/>
    <w:rsid w:val="386A5DEB"/>
    <w:rsid w:val="386C3059"/>
    <w:rsid w:val="386F2B4A"/>
    <w:rsid w:val="38710670"/>
    <w:rsid w:val="38710E3F"/>
    <w:rsid w:val="387168C2"/>
    <w:rsid w:val="38744F5B"/>
    <w:rsid w:val="38746E9D"/>
    <w:rsid w:val="387719FE"/>
    <w:rsid w:val="387819D1"/>
    <w:rsid w:val="388008B3"/>
    <w:rsid w:val="38811CEC"/>
    <w:rsid w:val="38871C41"/>
    <w:rsid w:val="38881374"/>
    <w:rsid w:val="388859B9"/>
    <w:rsid w:val="388A1731"/>
    <w:rsid w:val="388C36FB"/>
    <w:rsid w:val="388D1222"/>
    <w:rsid w:val="388F0AF6"/>
    <w:rsid w:val="388F2F70"/>
    <w:rsid w:val="38912AC0"/>
    <w:rsid w:val="3891486E"/>
    <w:rsid w:val="38923B67"/>
    <w:rsid w:val="38924BDD"/>
    <w:rsid w:val="389425B0"/>
    <w:rsid w:val="3894435E"/>
    <w:rsid w:val="38960E58"/>
    <w:rsid w:val="389649C5"/>
    <w:rsid w:val="389760C5"/>
    <w:rsid w:val="389E1175"/>
    <w:rsid w:val="38A327F3"/>
    <w:rsid w:val="38A439A7"/>
    <w:rsid w:val="38A63653"/>
    <w:rsid w:val="38A65E3F"/>
    <w:rsid w:val="38AA1DD4"/>
    <w:rsid w:val="38AC16A8"/>
    <w:rsid w:val="38AD6696"/>
    <w:rsid w:val="38AE3672"/>
    <w:rsid w:val="38B4055C"/>
    <w:rsid w:val="38B44A00"/>
    <w:rsid w:val="38B60778"/>
    <w:rsid w:val="38B62526"/>
    <w:rsid w:val="38BD1B07"/>
    <w:rsid w:val="38BE762D"/>
    <w:rsid w:val="38C20ECB"/>
    <w:rsid w:val="38C8225A"/>
    <w:rsid w:val="38C904AC"/>
    <w:rsid w:val="38C94550"/>
    <w:rsid w:val="38CC09A1"/>
    <w:rsid w:val="38CC1D4A"/>
    <w:rsid w:val="38CC3AF8"/>
    <w:rsid w:val="38CE286D"/>
    <w:rsid w:val="38CF183A"/>
    <w:rsid w:val="38D330D8"/>
    <w:rsid w:val="38D40BFF"/>
    <w:rsid w:val="38D62924"/>
    <w:rsid w:val="38D76A02"/>
    <w:rsid w:val="38DA5862"/>
    <w:rsid w:val="38DE4A7C"/>
    <w:rsid w:val="38E01351"/>
    <w:rsid w:val="38E075A3"/>
    <w:rsid w:val="38E15F1D"/>
    <w:rsid w:val="38E2156D"/>
    <w:rsid w:val="38E250CA"/>
    <w:rsid w:val="38E4489E"/>
    <w:rsid w:val="38E52E0C"/>
    <w:rsid w:val="38E56968"/>
    <w:rsid w:val="38EA21D0"/>
    <w:rsid w:val="38EA2FB4"/>
    <w:rsid w:val="38EA6674"/>
    <w:rsid w:val="38EC7CF6"/>
    <w:rsid w:val="38F11C08"/>
    <w:rsid w:val="38F31085"/>
    <w:rsid w:val="38F4304F"/>
    <w:rsid w:val="38F512A1"/>
    <w:rsid w:val="38FA68B7"/>
    <w:rsid w:val="38FE5C7B"/>
    <w:rsid w:val="3902751A"/>
    <w:rsid w:val="39033292"/>
    <w:rsid w:val="39047736"/>
    <w:rsid w:val="39074B30"/>
    <w:rsid w:val="390908A8"/>
    <w:rsid w:val="390A63CE"/>
    <w:rsid w:val="390B0AC4"/>
    <w:rsid w:val="390C2146"/>
    <w:rsid w:val="390E2362"/>
    <w:rsid w:val="390F1C37"/>
    <w:rsid w:val="391159AF"/>
    <w:rsid w:val="391361DB"/>
    <w:rsid w:val="3914766B"/>
    <w:rsid w:val="3918653B"/>
    <w:rsid w:val="39186D3D"/>
    <w:rsid w:val="39205BF2"/>
    <w:rsid w:val="3922196A"/>
    <w:rsid w:val="39225E0E"/>
    <w:rsid w:val="39237490"/>
    <w:rsid w:val="39241B86"/>
    <w:rsid w:val="39243934"/>
    <w:rsid w:val="39290F4A"/>
    <w:rsid w:val="392B4CC2"/>
    <w:rsid w:val="392C27E9"/>
    <w:rsid w:val="392F4087"/>
    <w:rsid w:val="39316051"/>
    <w:rsid w:val="39317DFF"/>
    <w:rsid w:val="393A4F06"/>
    <w:rsid w:val="393B0C7E"/>
    <w:rsid w:val="393D67A4"/>
    <w:rsid w:val="394051F8"/>
    <w:rsid w:val="39406294"/>
    <w:rsid w:val="394144E6"/>
    <w:rsid w:val="39442FF8"/>
    <w:rsid w:val="394538AA"/>
    <w:rsid w:val="39464EFD"/>
    <w:rsid w:val="394915ED"/>
    <w:rsid w:val="3950297B"/>
    <w:rsid w:val="3952685B"/>
    <w:rsid w:val="395377FA"/>
    <w:rsid w:val="39537CF4"/>
    <w:rsid w:val="39550B5F"/>
    <w:rsid w:val="39561614"/>
    <w:rsid w:val="39575F46"/>
    <w:rsid w:val="3958538C"/>
    <w:rsid w:val="395A1104"/>
    <w:rsid w:val="395A3541"/>
    <w:rsid w:val="395A7356"/>
    <w:rsid w:val="395F496C"/>
    <w:rsid w:val="39602492"/>
    <w:rsid w:val="39605C72"/>
    <w:rsid w:val="39616936"/>
    <w:rsid w:val="396226AE"/>
    <w:rsid w:val="3962445C"/>
    <w:rsid w:val="3962620A"/>
    <w:rsid w:val="396401D4"/>
    <w:rsid w:val="39671A73"/>
    <w:rsid w:val="39673821"/>
    <w:rsid w:val="39693A3D"/>
    <w:rsid w:val="396C7089"/>
    <w:rsid w:val="39700927"/>
    <w:rsid w:val="3971655D"/>
    <w:rsid w:val="39730417"/>
    <w:rsid w:val="39736669"/>
    <w:rsid w:val="397615D9"/>
    <w:rsid w:val="39763A64"/>
    <w:rsid w:val="39766C71"/>
    <w:rsid w:val="397B72CC"/>
    <w:rsid w:val="397D3044"/>
    <w:rsid w:val="397F0B6A"/>
    <w:rsid w:val="398048E2"/>
    <w:rsid w:val="398055C2"/>
    <w:rsid w:val="3982065B"/>
    <w:rsid w:val="3986639D"/>
    <w:rsid w:val="39873EC3"/>
    <w:rsid w:val="398770B2"/>
    <w:rsid w:val="398919E9"/>
    <w:rsid w:val="398B750F"/>
    <w:rsid w:val="398E34A3"/>
    <w:rsid w:val="398E6CC1"/>
    <w:rsid w:val="39900841"/>
    <w:rsid w:val="39930ABA"/>
    <w:rsid w:val="3995213C"/>
    <w:rsid w:val="399534F3"/>
    <w:rsid w:val="39972053"/>
    <w:rsid w:val="39981C2C"/>
    <w:rsid w:val="399B598B"/>
    <w:rsid w:val="399F120C"/>
    <w:rsid w:val="39A20CFD"/>
    <w:rsid w:val="39A46823"/>
    <w:rsid w:val="39A86313"/>
    <w:rsid w:val="39AB195F"/>
    <w:rsid w:val="39AC16A8"/>
    <w:rsid w:val="39AE2E93"/>
    <w:rsid w:val="39AE31FE"/>
    <w:rsid w:val="39B20F40"/>
    <w:rsid w:val="39B2186B"/>
    <w:rsid w:val="39B5458C"/>
    <w:rsid w:val="39B7532B"/>
    <w:rsid w:val="39B822CE"/>
    <w:rsid w:val="39BA1ADC"/>
    <w:rsid w:val="39BA4298"/>
    <w:rsid w:val="39BA6046"/>
    <w:rsid w:val="39BA6918"/>
    <w:rsid w:val="39BC3B6C"/>
    <w:rsid w:val="39BE5B37"/>
    <w:rsid w:val="39C12F31"/>
    <w:rsid w:val="39C46EC5"/>
    <w:rsid w:val="39C52500"/>
    <w:rsid w:val="39C649EB"/>
    <w:rsid w:val="39C66799"/>
    <w:rsid w:val="39C944DB"/>
    <w:rsid w:val="39C94EE8"/>
    <w:rsid w:val="39CB3DB0"/>
    <w:rsid w:val="39CC60DF"/>
    <w:rsid w:val="39CC68E1"/>
    <w:rsid w:val="39CD3FCC"/>
    <w:rsid w:val="39CD7B28"/>
    <w:rsid w:val="39CE4CF3"/>
    <w:rsid w:val="39D013C6"/>
    <w:rsid w:val="39D07618"/>
    <w:rsid w:val="39D2513E"/>
    <w:rsid w:val="39D32469"/>
    <w:rsid w:val="39D4535A"/>
    <w:rsid w:val="39D52E80"/>
    <w:rsid w:val="39D92970"/>
    <w:rsid w:val="39DA2245"/>
    <w:rsid w:val="39DB4726"/>
    <w:rsid w:val="39DC7540"/>
    <w:rsid w:val="39DD0225"/>
    <w:rsid w:val="39E8452B"/>
    <w:rsid w:val="39F257E0"/>
    <w:rsid w:val="39F40A57"/>
    <w:rsid w:val="39F50E2C"/>
    <w:rsid w:val="39F552D0"/>
    <w:rsid w:val="39F71049"/>
    <w:rsid w:val="39F74718"/>
    <w:rsid w:val="39FC613D"/>
    <w:rsid w:val="39FF7EFD"/>
    <w:rsid w:val="3A0379ED"/>
    <w:rsid w:val="3A0B4AF4"/>
    <w:rsid w:val="3A0B68A2"/>
    <w:rsid w:val="3A0C7167"/>
    <w:rsid w:val="3A0D43C8"/>
    <w:rsid w:val="3A0E3A4A"/>
    <w:rsid w:val="3A0F6392"/>
    <w:rsid w:val="3A105C66"/>
    <w:rsid w:val="3A1219DE"/>
    <w:rsid w:val="3A12378C"/>
    <w:rsid w:val="3A125E82"/>
    <w:rsid w:val="3A1514CF"/>
    <w:rsid w:val="3A190FBF"/>
    <w:rsid w:val="3A1B478A"/>
    <w:rsid w:val="3A1C285D"/>
    <w:rsid w:val="3A1C5E11"/>
    <w:rsid w:val="3A1E0383"/>
    <w:rsid w:val="3A1E4827"/>
    <w:rsid w:val="3A1F40FB"/>
    <w:rsid w:val="3A202970"/>
    <w:rsid w:val="3A231E3E"/>
    <w:rsid w:val="3A241712"/>
    <w:rsid w:val="3A281202"/>
    <w:rsid w:val="3A293B6B"/>
    <w:rsid w:val="3A296D28"/>
    <w:rsid w:val="3A30455A"/>
    <w:rsid w:val="3A325BDD"/>
    <w:rsid w:val="3A345DF9"/>
    <w:rsid w:val="3A347BA7"/>
    <w:rsid w:val="3A3714E2"/>
    <w:rsid w:val="3A374D22"/>
    <w:rsid w:val="3A3C0EF2"/>
    <w:rsid w:val="3A3C2EFF"/>
    <w:rsid w:val="3A3E0A25"/>
    <w:rsid w:val="3A3E1B6E"/>
    <w:rsid w:val="3A3E6C77"/>
    <w:rsid w:val="3A3F0FB4"/>
    <w:rsid w:val="3A430DC5"/>
    <w:rsid w:val="3A43118F"/>
    <w:rsid w:val="3A443B62"/>
    <w:rsid w:val="3A461688"/>
    <w:rsid w:val="3A4678DA"/>
    <w:rsid w:val="3A470901"/>
    <w:rsid w:val="3A4B4EF0"/>
    <w:rsid w:val="3A4D5FCB"/>
    <w:rsid w:val="3A500759"/>
    <w:rsid w:val="3A517056"/>
    <w:rsid w:val="3A52002D"/>
    <w:rsid w:val="3A541FF7"/>
    <w:rsid w:val="3A562BD8"/>
    <w:rsid w:val="3A563FC1"/>
    <w:rsid w:val="3A59760D"/>
    <w:rsid w:val="3A5C0EAC"/>
    <w:rsid w:val="3A5E69D2"/>
    <w:rsid w:val="3A5F1349"/>
    <w:rsid w:val="3A6013A6"/>
    <w:rsid w:val="3A62434D"/>
    <w:rsid w:val="3A652CCE"/>
    <w:rsid w:val="3A661D2A"/>
    <w:rsid w:val="3A685AA2"/>
    <w:rsid w:val="3A6A181A"/>
    <w:rsid w:val="3A6A55FA"/>
    <w:rsid w:val="3A6B0AF2"/>
    <w:rsid w:val="3A706705"/>
    <w:rsid w:val="3A712BA9"/>
    <w:rsid w:val="3A72247D"/>
    <w:rsid w:val="3A726921"/>
    <w:rsid w:val="3A735F50"/>
    <w:rsid w:val="3A773F37"/>
    <w:rsid w:val="3A7A7584"/>
    <w:rsid w:val="3A7B3A28"/>
    <w:rsid w:val="3A7D1855"/>
    <w:rsid w:val="3A7D61D4"/>
    <w:rsid w:val="3A816B64"/>
    <w:rsid w:val="3A8231C1"/>
    <w:rsid w:val="3A8260FB"/>
    <w:rsid w:val="3A830B2E"/>
    <w:rsid w:val="3A8521B0"/>
    <w:rsid w:val="3A853CFC"/>
    <w:rsid w:val="3A8621B7"/>
    <w:rsid w:val="3A887EF3"/>
    <w:rsid w:val="3A89082E"/>
    <w:rsid w:val="3A897546"/>
    <w:rsid w:val="3A8C2406"/>
    <w:rsid w:val="3A8D08BE"/>
    <w:rsid w:val="3A922B1F"/>
    <w:rsid w:val="3A940645"/>
    <w:rsid w:val="3A946897"/>
    <w:rsid w:val="3A992100"/>
    <w:rsid w:val="3A9B5E78"/>
    <w:rsid w:val="3AA217E0"/>
    <w:rsid w:val="3AA54601"/>
    <w:rsid w:val="3AAC3BE1"/>
    <w:rsid w:val="3AAD5BAB"/>
    <w:rsid w:val="3AB17449"/>
    <w:rsid w:val="3AB26D1E"/>
    <w:rsid w:val="3AB27B94"/>
    <w:rsid w:val="3AB31024"/>
    <w:rsid w:val="3AB331C1"/>
    <w:rsid w:val="3AB42A96"/>
    <w:rsid w:val="3AB52927"/>
    <w:rsid w:val="3AB72586"/>
    <w:rsid w:val="3AB74334"/>
    <w:rsid w:val="3AB807D8"/>
    <w:rsid w:val="3AB900AC"/>
    <w:rsid w:val="3ABB334C"/>
    <w:rsid w:val="3ABC7B9C"/>
    <w:rsid w:val="3ABE56C2"/>
    <w:rsid w:val="3AC0143A"/>
    <w:rsid w:val="3AC32CD9"/>
    <w:rsid w:val="3AC46010"/>
    <w:rsid w:val="3AC52EF5"/>
    <w:rsid w:val="3AC727C9"/>
    <w:rsid w:val="3ACA22B9"/>
    <w:rsid w:val="3ACC7DDF"/>
    <w:rsid w:val="3AD03F71"/>
    <w:rsid w:val="3AD13648"/>
    <w:rsid w:val="3AD13F21"/>
    <w:rsid w:val="3AD153F6"/>
    <w:rsid w:val="3AD273C0"/>
    <w:rsid w:val="3AD35612"/>
    <w:rsid w:val="3AD4138A"/>
    <w:rsid w:val="3AD46C94"/>
    <w:rsid w:val="3AD504BC"/>
    <w:rsid w:val="3AD60C5E"/>
    <w:rsid w:val="3AD849D6"/>
    <w:rsid w:val="3AD969A0"/>
    <w:rsid w:val="3ADB0BE6"/>
    <w:rsid w:val="3ADB44C6"/>
    <w:rsid w:val="3AE27603"/>
    <w:rsid w:val="3AE356EC"/>
    <w:rsid w:val="3AE570F3"/>
    <w:rsid w:val="3AE710BD"/>
    <w:rsid w:val="3AE83416"/>
    <w:rsid w:val="3AE84F21"/>
    <w:rsid w:val="3AEC0481"/>
    <w:rsid w:val="3AEC222F"/>
    <w:rsid w:val="3AEE41FA"/>
    <w:rsid w:val="3AEF1277"/>
    <w:rsid w:val="3AEF1D20"/>
    <w:rsid w:val="3AEF5E55"/>
    <w:rsid w:val="3AF15A98"/>
    <w:rsid w:val="3AF31810"/>
    <w:rsid w:val="3AF45588"/>
    <w:rsid w:val="3AF630AE"/>
    <w:rsid w:val="3AF86E26"/>
    <w:rsid w:val="3AFD443D"/>
    <w:rsid w:val="3AFD5BAD"/>
    <w:rsid w:val="3AFF0D6C"/>
    <w:rsid w:val="3B021A53"/>
    <w:rsid w:val="3B023801"/>
    <w:rsid w:val="3B057795"/>
    <w:rsid w:val="3B07350D"/>
    <w:rsid w:val="3B075DBD"/>
    <w:rsid w:val="3B082DE1"/>
    <w:rsid w:val="3B0A6B5A"/>
    <w:rsid w:val="3B133C60"/>
    <w:rsid w:val="3B191EE5"/>
    <w:rsid w:val="3B196D9D"/>
    <w:rsid w:val="3B1B0D67"/>
    <w:rsid w:val="3B1D00A4"/>
    <w:rsid w:val="3B1E1277"/>
    <w:rsid w:val="3B1F0857"/>
    <w:rsid w:val="3B1F2605"/>
    <w:rsid w:val="3B20637D"/>
    <w:rsid w:val="3B212C76"/>
    <w:rsid w:val="3B2229C5"/>
    <w:rsid w:val="3B241639"/>
    <w:rsid w:val="3B273268"/>
    <w:rsid w:val="3B286FE0"/>
    <w:rsid w:val="3B293484"/>
    <w:rsid w:val="3B2958E9"/>
    <w:rsid w:val="3B2A2D58"/>
    <w:rsid w:val="3B2C087E"/>
    <w:rsid w:val="3B2D45F6"/>
    <w:rsid w:val="3B2E2848"/>
    <w:rsid w:val="3B2F036E"/>
    <w:rsid w:val="3B331C0C"/>
    <w:rsid w:val="3B340B10"/>
    <w:rsid w:val="3B3616FD"/>
    <w:rsid w:val="3B381919"/>
    <w:rsid w:val="3B3B31B7"/>
    <w:rsid w:val="3B3B4F65"/>
    <w:rsid w:val="3B3E6803"/>
    <w:rsid w:val="3B40257B"/>
    <w:rsid w:val="3B4342F2"/>
    <w:rsid w:val="3B455DE4"/>
    <w:rsid w:val="3B460044"/>
    <w:rsid w:val="3B48454E"/>
    <w:rsid w:val="3B4A51A8"/>
    <w:rsid w:val="3B4C7172"/>
    <w:rsid w:val="3B514788"/>
    <w:rsid w:val="3B530501"/>
    <w:rsid w:val="3B567FF1"/>
    <w:rsid w:val="3B5D312D"/>
    <w:rsid w:val="3B5D4EDB"/>
    <w:rsid w:val="3B5F50F7"/>
    <w:rsid w:val="3B60677A"/>
    <w:rsid w:val="3B620744"/>
    <w:rsid w:val="3B6224F2"/>
    <w:rsid w:val="3B634586"/>
    <w:rsid w:val="3B646A73"/>
    <w:rsid w:val="3B677B08"/>
    <w:rsid w:val="3B6A1D70"/>
    <w:rsid w:val="3B6C1BBC"/>
    <w:rsid w:val="3B6F4C0F"/>
    <w:rsid w:val="3B7010B2"/>
    <w:rsid w:val="3B705907"/>
    <w:rsid w:val="3B7921C4"/>
    <w:rsid w:val="3B7F12F6"/>
    <w:rsid w:val="3B81506E"/>
    <w:rsid w:val="3B851BC1"/>
    <w:rsid w:val="3B8561E0"/>
    <w:rsid w:val="3B862DEF"/>
    <w:rsid w:val="3B871F58"/>
    <w:rsid w:val="3B8C756F"/>
    <w:rsid w:val="3B903503"/>
    <w:rsid w:val="3B911029"/>
    <w:rsid w:val="3B9528C7"/>
    <w:rsid w:val="3B96663F"/>
    <w:rsid w:val="3B9D177C"/>
    <w:rsid w:val="3B9D352A"/>
    <w:rsid w:val="3BA13047"/>
    <w:rsid w:val="3BA40D5C"/>
    <w:rsid w:val="3BA55E21"/>
    <w:rsid w:val="3BA725FA"/>
    <w:rsid w:val="3BA90120"/>
    <w:rsid w:val="3BAA5C47"/>
    <w:rsid w:val="3BAC54A0"/>
    <w:rsid w:val="3BAC5E63"/>
    <w:rsid w:val="3BAE2281"/>
    <w:rsid w:val="3BB014AF"/>
    <w:rsid w:val="3BB07701"/>
    <w:rsid w:val="3BB15227"/>
    <w:rsid w:val="3BB15CD6"/>
    <w:rsid w:val="3BB37118"/>
    <w:rsid w:val="3BB450D2"/>
    <w:rsid w:val="3BB45E27"/>
    <w:rsid w:val="3BB47700"/>
    <w:rsid w:val="3BB51625"/>
    <w:rsid w:val="3BB52F69"/>
    <w:rsid w:val="3BB83A55"/>
    <w:rsid w:val="3BB86529"/>
    <w:rsid w:val="3BB865B6"/>
    <w:rsid w:val="3BB928B4"/>
    <w:rsid w:val="3BBF7944"/>
    <w:rsid w:val="3BC35686"/>
    <w:rsid w:val="3BC41DC5"/>
    <w:rsid w:val="3BC46D08"/>
    <w:rsid w:val="3BC540CC"/>
    <w:rsid w:val="3BC57EFE"/>
    <w:rsid w:val="3BC62A80"/>
    <w:rsid w:val="3BC65956"/>
    <w:rsid w:val="3BC772B6"/>
    <w:rsid w:val="3BCB5986"/>
    <w:rsid w:val="3BCD02B3"/>
    <w:rsid w:val="3BCE5DD9"/>
    <w:rsid w:val="3BD038FF"/>
    <w:rsid w:val="3BD258C9"/>
    <w:rsid w:val="3BD8333A"/>
    <w:rsid w:val="3BDB4052"/>
    <w:rsid w:val="3BDF3B42"/>
    <w:rsid w:val="3BE253E0"/>
    <w:rsid w:val="3BE33C0D"/>
    <w:rsid w:val="3BE641A5"/>
    <w:rsid w:val="3BE64ED1"/>
    <w:rsid w:val="3BE949C1"/>
    <w:rsid w:val="3BE97A7F"/>
    <w:rsid w:val="3BEB24E7"/>
    <w:rsid w:val="3BED2703"/>
    <w:rsid w:val="3BF03FA1"/>
    <w:rsid w:val="3BF33A92"/>
    <w:rsid w:val="3BF82E56"/>
    <w:rsid w:val="3BF910A8"/>
    <w:rsid w:val="3BFA4E20"/>
    <w:rsid w:val="3BFC3324"/>
    <w:rsid w:val="3BFC6368"/>
    <w:rsid w:val="3BFC64A2"/>
    <w:rsid w:val="3C016259"/>
    <w:rsid w:val="3C047A4D"/>
    <w:rsid w:val="3C05702B"/>
    <w:rsid w:val="3C090BBF"/>
    <w:rsid w:val="3C095063"/>
    <w:rsid w:val="3C0E2679"/>
    <w:rsid w:val="3C110A75"/>
    <w:rsid w:val="3C13686D"/>
    <w:rsid w:val="3C1732DC"/>
    <w:rsid w:val="3C1A101E"/>
    <w:rsid w:val="3C1A7270"/>
    <w:rsid w:val="3C1F6635"/>
    <w:rsid w:val="3C2123AD"/>
    <w:rsid w:val="3C221C81"/>
    <w:rsid w:val="3C237ED3"/>
    <w:rsid w:val="3C2459F9"/>
    <w:rsid w:val="3C2679C3"/>
    <w:rsid w:val="3C282E00"/>
    <w:rsid w:val="3C28373B"/>
    <w:rsid w:val="3C291261"/>
    <w:rsid w:val="3C2B4FD9"/>
    <w:rsid w:val="3C2E0626"/>
    <w:rsid w:val="3C335C3C"/>
    <w:rsid w:val="3C340332"/>
    <w:rsid w:val="3C3420E0"/>
    <w:rsid w:val="3C37397E"/>
    <w:rsid w:val="3C3976F6"/>
    <w:rsid w:val="3C3A6A09"/>
    <w:rsid w:val="3C3D6ABB"/>
    <w:rsid w:val="3C3F6F8B"/>
    <w:rsid w:val="3C406CD7"/>
    <w:rsid w:val="3C410359"/>
    <w:rsid w:val="3C4936B2"/>
    <w:rsid w:val="3C4944FC"/>
    <w:rsid w:val="3C4A1903"/>
    <w:rsid w:val="3C4B567C"/>
    <w:rsid w:val="3C4C173C"/>
    <w:rsid w:val="3C4D6CFE"/>
    <w:rsid w:val="3C502C92"/>
    <w:rsid w:val="3C5207B8"/>
    <w:rsid w:val="3C534D54"/>
    <w:rsid w:val="3C5462DE"/>
    <w:rsid w:val="3C577B7C"/>
    <w:rsid w:val="3C591A57"/>
    <w:rsid w:val="3C5938F5"/>
    <w:rsid w:val="3C597D99"/>
    <w:rsid w:val="3C6127A9"/>
    <w:rsid w:val="3C63209A"/>
    <w:rsid w:val="3C6329C5"/>
    <w:rsid w:val="3C634773"/>
    <w:rsid w:val="3C644CD1"/>
    <w:rsid w:val="3C667DC0"/>
    <w:rsid w:val="3C6A6406"/>
    <w:rsid w:val="3C6B7896"/>
    <w:rsid w:val="3C6B7ACC"/>
    <w:rsid w:val="3C6C3D93"/>
    <w:rsid w:val="3C6D78EB"/>
    <w:rsid w:val="3C6F136A"/>
    <w:rsid w:val="3C70334F"/>
    <w:rsid w:val="3C7050E2"/>
    <w:rsid w:val="3C722C08"/>
    <w:rsid w:val="3C727444"/>
    <w:rsid w:val="3C737085"/>
    <w:rsid w:val="3C74072E"/>
    <w:rsid w:val="3C740A13"/>
    <w:rsid w:val="3C746980"/>
    <w:rsid w:val="3C776471"/>
    <w:rsid w:val="3C795D45"/>
    <w:rsid w:val="3C797D13"/>
    <w:rsid w:val="3C7A2DA6"/>
    <w:rsid w:val="3C7A386B"/>
    <w:rsid w:val="3C7C0DA6"/>
    <w:rsid w:val="3C7F0E81"/>
    <w:rsid w:val="3C806348"/>
    <w:rsid w:val="3C812767"/>
    <w:rsid w:val="3C836BC3"/>
    <w:rsid w:val="3C85293C"/>
    <w:rsid w:val="3C8666B4"/>
    <w:rsid w:val="3C885F88"/>
    <w:rsid w:val="3C8A1D00"/>
    <w:rsid w:val="3C8C1F1C"/>
    <w:rsid w:val="3C8F37BA"/>
    <w:rsid w:val="3C8F5568"/>
    <w:rsid w:val="3C900121"/>
    <w:rsid w:val="3C904B17"/>
    <w:rsid w:val="3C9115B1"/>
    <w:rsid w:val="3C917532"/>
    <w:rsid w:val="3C920BB5"/>
    <w:rsid w:val="3C9506A5"/>
    <w:rsid w:val="3C9B5B15"/>
    <w:rsid w:val="3C9C1A33"/>
    <w:rsid w:val="3CA01523"/>
    <w:rsid w:val="3CA07775"/>
    <w:rsid w:val="3CA1529C"/>
    <w:rsid w:val="3CA339C6"/>
    <w:rsid w:val="3CA54D8C"/>
    <w:rsid w:val="3CA737D7"/>
    <w:rsid w:val="3CAB2158"/>
    <w:rsid w:val="3CAB7EC8"/>
    <w:rsid w:val="3CAC21A2"/>
    <w:rsid w:val="3CAD1E92"/>
    <w:rsid w:val="3CAD3C40"/>
    <w:rsid w:val="3CB44794"/>
    <w:rsid w:val="3CB66F99"/>
    <w:rsid w:val="3CBE19AA"/>
    <w:rsid w:val="3CBE5E4E"/>
    <w:rsid w:val="3CC06DF4"/>
    <w:rsid w:val="3CC1212F"/>
    <w:rsid w:val="3CC42B41"/>
    <w:rsid w:val="3CC61931"/>
    <w:rsid w:val="3CC64D02"/>
    <w:rsid w:val="3CC86CCC"/>
    <w:rsid w:val="3CCA2A44"/>
    <w:rsid w:val="3CCC056A"/>
    <w:rsid w:val="3CCC3715"/>
    <w:rsid w:val="3CCD42E3"/>
    <w:rsid w:val="3CD016DD"/>
    <w:rsid w:val="3CD2615F"/>
    <w:rsid w:val="3CD411CD"/>
    <w:rsid w:val="3CD63197"/>
    <w:rsid w:val="3CD72A6B"/>
    <w:rsid w:val="3CD839E0"/>
    <w:rsid w:val="3CD92C87"/>
    <w:rsid w:val="3CD94A35"/>
    <w:rsid w:val="3CD967E3"/>
    <w:rsid w:val="3CDA3107"/>
    <w:rsid w:val="3CDD2778"/>
    <w:rsid w:val="3CDE029E"/>
    <w:rsid w:val="3CE777DA"/>
    <w:rsid w:val="3CE917DC"/>
    <w:rsid w:val="3CEA09F1"/>
    <w:rsid w:val="3CF03B2D"/>
    <w:rsid w:val="3CF11D7F"/>
    <w:rsid w:val="3CF17FD1"/>
    <w:rsid w:val="3CF25AF7"/>
    <w:rsid w:val="3CF33D49"/>
    <w:rsid w:val="3CF655E7"/>
    <w:rsid w:val="3CFC24D2"/>
    <w:rsid w:val="3CFE26EE"/>
    <w:rsid w:val="3D0777F5"/>
    <w:rsid w:val="3D0A1093"/>
    <w:rsid w:val="3D0A2E41"/>
    <w:rsid w:val="3D0F0457"/>
    <w:rsid w:val="3D0F2205"/>
    <w:rsid w:val="3D11205B"/>
    <w:rsid w:val="3D121CF5"/>
    <w:rsid w:val="3D197528"/>
    <w:rsid w:val="3D1D2B74"/>
    <w:rsid w:val="3D1D5EDD"/>
    <w:rsid w:val="3D1E4B3E"/>
    <w:rsid w:val="3D22462E"/>
    <w:rsid w:val="3D2263DC"/>
    <w:rsid w:val="3D271C45"/>
    <w:rsid w:val="3D2959BD"/>
    <w:rsid w:val="3D2C1009"/>
    <w:rsid w:val="3D2C6068"/>
    <w:rsid w:val="3D2E4D81"/>
    <w:rsid w:val="3D323F8C"/>
    <w:rsid w:val="3D324146"/>
    <w:rsid w:val="3D347EBE"/>
    <w:rsid w:val="3D363C36"/>
    <w:rsid w:val="3D37175C"/>
    <w:rsid w:val="3D3A1978"/>
    <w:rsid w:val="3D3B2FFA"/>
    <w:rsid w:val="3D3D5422"/>
    <w:rsid w:val="3D3D55B3"/>
    <w:rsid w:val="3D3F6F8E"/>
    <w:rsid w:val="3D430101"/>
    <w:rsid w:val="3D4346CC"/>
    <w:rsid w:val="3D446170"/>
    <w:rsid w:val="3D45031D"/>
    <w:rsid w:val="3D472B15"/>
    <w:rsid w:val="3D474095"/>
    <w:rsid w:val="3D485717"/>
    <w:rsid w:val="3D4A76E1"/>
    <w:rsid w:val="3D4B404C"/>
    <w:rsid w:val="3D4D70DB"/>
    <w:rsid w:val="3D50398D"/>
    <w:rsid w:val="3D51281E"/>
    <w:rsid w:val="3D513836"/>
    <w:rsid w:val="3D540560"/>
    <w:rsid w:val="3D5619DA"/>
    <w:rsid w:val="3D581DFE"/>
    <w:rsid w:val="3D5A63BA"/>
    <w:rsid w:val="3D5B6EE5"/>
    <w:rsid w:val="3D5D11C3"/>
    <w:rsid w:val="3D5F19DB"/>
    <w:rsid w:val="3D5F318D"/>
    <w:rsid w:val="3D604ED5"/>
    <w:rsid w:val="3D624A2B"/>
    <w:rsid w:val="3D6267D9"/>
    <w:rsid w:val="3D6469F5"/>
    <w:rsid w:val="3D65276D"/>
    <w:rsid w:val="3D6562C9"/>
    <w:rsid w:val="3D6954E4"/>
    <w:rsid w:val="3D695DB9"/>
    <w:rsid w:val="3D6A1B31"/>
    <w:rsid w:val="3D6A38DF"/>
    <w:rsid w:val="3D6A733F"/>
    <w:rsid w:val="3D6B4BE1"/>
    <w:rsid w:val="3D6F0EF6"/>
    <w:rsid w:val="3D6F7148"/>
    <w:rsid w:val="3D734E8A"/>
    <w:rsid w:val="3D7604D6"/>
    <w:rsid w:val="3D762284"/>
    <w:rsid w:val="3D766728"/>
    <w:rsid w:val="3D793B23"/>
    <w:rsid w:val="3D7D7AB7"/>
    <w:rsid w:val="3D850719"/>
    <w:rsid w:val="3D877FA8"/>
    <w:rsid w:val="3D881B77"/>
    <w:rsid w:val="3D8A3F82"/>
    <w:rsid w:val="3D8A5D30"/>
    <w:rsid w:val="3D8B14FA"/>
    <w:rsid w:val="3D8C14CE"/>
    <w:rsid w:val="3D8F3346"/>
    <w:rsid w:val="3D8F419A"/>
    <w:rsid w:val="3D932E36"/>
    <w:rsid w:val="3D960B78"/>
    <w:rsid w:val="3D98044D"/>
    <w:rsid w:val="3D98669F"/>
    <w:rsid w:val="3D9A3C75"/>
    <w:rsid w:val="3D9A41C5"/>
    <w:rsid w:val="3D9C247F"/>
    <w:rsid w:val="3D9C70C6"/>
    <w:rsid w:val="3DA07301"/>
    <w:rsid w:val="3DA13720"/>
    <w:rsid w:val="3DA212CB"/>
    <w:rsid w:val="3DA6700D"/>
    <w:rsid w:val="3DA908AC"/>
    <w:rsid w:val="3DAB4624"/>
    <w:rsid w:val="3DAC3EF8"/>
    <w:rsid w:val="3DAE1A1E"/>
    <w:rsid w:val="3DAE5790"/>
    <w:rsid w:val="3DAF5796"/>
    <w:rsid w:val="3DB1320E"/>
    <w:rsid w:val="3DB17760"/>
    <w:rsid w:val="3DB27D3F"/>
    <w:rsid w:val="3DB35286"/>
    <w:rsid w:val="3DB42A6A"/>
    <w:rsid w:val="3DB42DAD"/>
    <w:rsid w:val="3DB50FFF"/>
    <w:rsid w:val="3DB8289D"/>
    <w:rsid w:val="3DBA03C3"/>
    <w:rsid w:val="3DBA4867"/>
    <w:rsid w:val="3DBC05DF"/>
    <w:rsid w:val="3DBD7EB3"/>
    <w:rsid w:val="3DC01751"/>
    <w:rsid w:val="3DC4771F"/>
    <w:rsid w:val="3DC71CC3"/>
    <w:rsid w:val="3DC92CFC"/>
    <w:rsid w:val="3DCB0822"/>
    <w:rsid w:val="3DCB25D0"/>
    <w:rsid w:val="3DCC2C1D"/>
    <w:rsid w:val="3DCF679E"/>
    <w:rsid w:val="3DD05E38"/>
    <w:rsid w:val="3DD551FD"/>
    <w:rsid w:val="3DD75419"/>
    <w:rsid w:val="3DDA0A65"/>
    <w:rsid w:val="3DDA2813"/>
    <w:rsid w:val="3DDD295E"/>
    <w:rsid w:val="3DE11DF4"/>
    <w:rsid w:val="3DE25B6C"/>
    <w:rsid w:val="3DE25DB3"/>
    <w:rsid w:val="3DE511B8"/>
    <w:rsid w:val="3DE6565C"/>
    <w:rsid w:val="3DE6670E"/>
    <w:rsid w:val="3DE74A25"/>
    <w:rsid w:val="3DEA67CE"/>
    <w:rsid w:val="3DEB2C72"/>
    <w:rsid w:val="3DEE62BF"/>
    <w:rsid w:val="3DF064DB"/>
    <w:rsid w:val="3DF16F67"/>
    <w:rsid w:val="3DF504B9"/>
    <w:rsid w:val="3DF5589F"/>
    <w:rsid w:val="3DF614A0"/>
    <w:rsid w:val="3DF66D78"/>
    <w:rsid w:val="3DF8538F"/>
    <w:rsid w:val="3DFB09DB"/>
    <w:rsid w:val="3DFC4E77"/>
    <w:rsid w:val="3DFF0861"/>
    <w:rsid w:val="3DFF227A"/>
    <w:rsid w:val="3E003377"/>
    <w:rsid w:val="3E012496"/>
    <w:rsid w:val="3E015FF2"/>
    <w:rsid w:val="3E027559"/>
    <w:rsid w:val="3E067AAC"/>
    <w:rsid w:val="3E09134A"/>
    <w:rsid w:val="3E0B670B"/>
    <w:rsid w:val="3E0C2BE9"/>
    <w:rsid w:val="3E0E070F"/>
    <w:rsid w:val="3E151A9D"/>
    <w:rsid w:val="3E18158D"/>
    <w:rsid w:val="3E1B54E8"/>
    <w:rsid w:val="3E1B64F9"/>
    <w:rsid w:val="3E1C72D0"/>
    <w:rsid w:val="3E2148E6"/>
    <w:rsid w:val="3E214905"/>
    <w:rsid w:val="3E23065E"/>
    <w:rsid w:val="3E230966"/>
    <w:rsid w:val="3E23240C"/>
    <w:rsid w:val="3E274779"/>
    <w:rsid w:val="3E2B7513"/>
    <w:rsid w:val="3E2C6DE7"/>
    <w:rsid w:val="3E2E0DB1"/>
    <w:rsid w:val="3E300685"/>
    <w:rsid w:val="3E304B29"/>
    <w:rsid w:val="3E3208A1"/>
    <w:rsid w:val="3E324277"/>
    <w:rsid w:val="3E352D7B"/>
    <w:rsid w:val="3E353EED"/>
    <w:rsid w:val="3E371A14"/>
    <w:rsid w:val="3E3A7756"/>
    <w:rsid w:val="3E3F2FBE"/>
    <w:rsid w:val="3E3F4D6C"/>
    <w:rsid w:val="3E4203B8"/>
    <w:rsid w:val="3E46434D"/>
    <w:rsid w:val="3E4660FB"/>
    <w:rsid w:val="3E4800C5"/>
    <w:rsid w:val="3E494656"/>
    <w:rsid w:val="3E497999"/>
    <w:rsid w:val="3E4B7B72"/>
    <w:rsid w:val="3E4E3201"/>
    <w:rsid w:val="3E4F1453"/>
    <w:rsid w:val="3E500D27"/>
    <w:rsid w:val="3E50293B"/>
    <w:rsid w:val="3E532479"/>
    <w:rsid w:val="3E5663C6"/>
    <w:rsid w:val="3E576115"/>
    <w:rsid w:val="3E587BDC"/>
    <w:rsid w:val="3E594080"/>
    <w:rsid w:val="3E5B2BC7"/>
    <w:rsid w:val="3E5D51F2"/>
    <w:rsid w:val="3E607478"/>
    <w:rsid w:val="3E620F30"/>
    <w:rsid w:val="3E657DC2"/>
    <w:rsid w:val="3E691DE9"/>
    <w:rsid w:val="3E693B97"/>
    <w:rsid w:val="3E6E11AD"/>
    <w:rsid w:val="3E6E6FED"/>
    <w:rsid w:val="3E6E73FF"/>
    <w:rsid w:val="3E7013C9"/>
    <w:rsid w:val="3E720C9E"/>
    <w:rsid w:val="3E721E5C"/>
    <w:rsid w:val="3E75253C"/>
    <w:rsid w:val="3E7762B4"/>
    <w:rsid w:val="3E7A3FF6"/>
    <w:rsid w:val="3E7A463F"/>
    <w:rsid w:val="3E7C6C03"/>
    <w:rsid w:val="3E7C7D6E"/>
    <w:rsid w:val="3E7F33BB"/>
    <w:rsid w:val="3E8310FD"/>
    <w:rsid w:val="3E862623"/>
    <w:rsid w:val="3E864749"/>
    <w:rsid w:val="3E8A248B"/>
    <w:rsid w:val="3E8D5AD7"/>
    <w:rsid w:val="3E90381A"/>
    <w:rsid w:val="3E925B12"/>
    <w:rsid w:val="3E950E30"/>
    <w:rsid w:val="3E95498C"/>
    <w:rsid w:val="3E990920"/>
    <w:rsid w:val="3E9A1FA2"/>
    <w:rsid w:val="3E9A2ABD"/>
    <w:rsid w:val="3E9A6446"/>
    <w:rsid w:val="3E9C21BE"/>
    <w:rsid w:val="3E9D2293"/>
    <w:rsid w:val="3EA11583"/>
    <w:rsid w:val="3EA572C5"/>
    <w:rsid w:val="3EA80B63"/>
    <w:rsid w:val="3EAA48DB"/>
    <w:rsid w:val="3EB43064"/>
    <w:rsid w:val="3EB5502E"/>
    <w:rsid w:val="3EB56DDC"/>
    <w:rsid w:val="3EB63280"/>
    <w:rsid w:val="3EBA2645"/>
    <w:rsid w:val="3EBC63BD"/>
    <w:rsid w:val="3EBE0387"/>
    <w:rsid w:val="3EC16618"/>
    <w:rsid w:val="3EC32C38"/>
    <w:rsid w:val="3EC51715"/>
    <w:rsid w:val="3EC60FE9"/>
    <w:rsid w:val="3EC7548D"/>
    <w:rsid w:val="3EC82853"/>
    <w:rsid w:val="3EC86B10"/>
    <w:rsid w:val="3ECA0ADA"/>
    <w:rsid w:val="3ECF60F0"/>
    <w:rsid w:val="3ED23E32"/>
    <w:rsid w:val="3ED31D4D"/>
    <w:rsid w:val="3ED71449"/>
    <w:rsid w:val="3EDC080D"/>
    <w:rsid w:val="3EDE4585"/>
    <w:rsid w:val="3EDF3E59"/>
    <w:rsid w:val="3EDF5A5F"/>
    <w:rsid w:val="3EE15E23"/>
    <w:rsid w:val="3EE31B9B"/>
    <w:rsid w:val="3EE33996"/>
    <w:rsid w:val="3EE53B65"/>
    <w:rsid w:val="3EE6343A"/>
    <w:rsid w:val="3EE65D0D"/>
    <w:rsid w:val="3EE80F60"/>
    <w:rsid w:val="3EE85404"/>
    <w:rsid w:val="3EEB0A50"/>
    <w:rsid w:val="3EEB27FE"/>
    <w:rsid w:val="3EEF0540"/>
    <w:rsid w:val="3EF43DA9"/>
    <w:rsid w:val="3EF47905"/>
    <w:rsid w:val="3EF70024"/>
    <w:rsid w:val="3EFB0FE0"/>
    <w:rsid w:val="3EFB5137"/>
    <w:rsid w:val="3EFD0EAF"/>
    <w:rsid w:val="3EFE3BE5"/>
    <w:rsid w:val="3EFE4C27"/>
    <w:rsid w:val="3EFF2DF8"/>
    <w:rsid w:val="3EFF59C5"/>
    <w:rsid w:val="3F0128C7"/>
    <w:rsid w:val="3F03223E"/>
    <w:rsid w:val="3F041198"/>
    <w:rsid w:val="3F087854"/>
    <w:rsid w:val="3F0A35CC"/>
    <w:rsid w:val="3F0B2EA0"/>
    <w:rsid w:val="3F0D4E6A"/>
    <w:rsid w:val="3F0D6C18"/>
    <w:rsid w:val="3F12480E"/>
    <w:rsid w:val="3F15211D"/>
    <w:rsid w:val="3F165ACD"/>
    <w:rsid w:val="3F171845"/>
    <w:rsid w:val="3F1B7587"/>
    <w:rsid w:val="3F1C50AD"/>
    <w:rsid w:val="3F1D32FF"/>
    <w:rsid w:val="3F1D4F4F"/>
    <w:rsid w:val="3F1F1B38"/>
    <w:rsid w:val="3F262A6F"/>
    <w:rsid w:val="3F281CA4"/>
    <w:rsid w:val="3F2D1834"/>
    <w:rsid w:val="3F2F6B8F"/>
    <w:rsid w:val="3F3146B5"/>
    <w:rsid w:val="3F32042D"/>
    <w:rsid w:val="3F3441A5"/>
    <w:rsid w:val="3F373C95"/>
    <w:rsid w:val="3F406FEE"/>
    <w:rsid w:val="3F407CAA"/>
    <w:rsid w:val="3F4168C2"/>
    <w:rsid w:val="3F446ADE"/>
    <w:rsid w:val="3F454604"/>
    <w:rsid w:val="3F47037C"/>
    <w:rsid w:val="3F485EA2"/>
    <w:rsid w:val="3F487C50"/>
    <w:rsid w:val="3F4C5993"/>
    <w:rsid w:val="3F4C7741"/>
    <w:rsid w:val="3F50722A"/>
    <w:rsid w:val="3F516B05"/>
    <w:rsid w:val="3F520ACF"/>
    <w:rsid w:val="3F530FA3"/>
    <w:rsid w:val="3F5605BF"/>
    <w:rsid w:val="3F5672FF"/>
    <w:rsid w:val="3F584337"/>
    <w:rsid w:val="3F5847F0"/>
    <w:rsid w:val="3F591E5E"/>
    <w:rsid w:val="3F60143E"/>
    <w:rsid w:val="3F6031EC"/>
    <w:rsid w:val="3F6046C3"/>
    <w:rsid w:val="3F6371E4"/>
    <w:rsid w:val="3F645D9C"/>
    <w:rsid w:val="3F650802"/>
    <w:rsid w:val="3F6525B0"/>
    <w:rsid w:val="3F65274D"/>
    <w:rsid w:val="3F656A54"/>
    <w:rsid w:val="3F67457A"/>
    <w:rsid w:val="3F6A5E19"/>
    <w:rsid w:val="3F732F1F"/>
    <w:rsid w:val="3F7B2A8C"/>
    <w:rsid w:val="3F7D78FA"/>
    <w:rsid w:val="3F7E18C4"/>
    <w:rsid w:val="3F827A5D"/>
    <w:rsid w:val="3F830C89"/>
    <w:rsid w:val="3F830EED"/>
    <w:rsid w:val="3F8844F1"/>
    <w:rsid w:val="3F892743"/>
    <w:rsid w:val="3F89585D"/>
    <w:rsid w:val="3F8A64BB"/>
    <w:rsid w:val="3F8E1AF4"/>
    <w:rsid w:val="3F8E5FAB"/>
    <w:rsid w:val="3F8F762D"/>
    <w:rsid w:val="3F9115F7"/>
    <w:rsid w:val="3F917849"/>
    <w:rsid w:val="3F977363"/>
    <w:rsid w:val="3F9904AC"/>
    <w:rsid w:val="3F9B2476"/>
    <w:rsid w:val="3FA01B56"/>
    <w:rsid w:val="3FA055C7"/>
    <w:rsid w:val="3FA255B3"/>
    <w:rsid w:val="3FA35235"/>
    <w:rsid w:val="3FA54560"/>
    <w:rsid w:val="3FA66E58"/>
    <w:rsid w:val="3FA96941"/>
    <w:rsid w:val="3FAA4467"/>
    <w:rsid w:val="3FAE3EA9"/>
    <w:rsid w:val="3FAE3F57"/>
    <w:rsid w:val="3FAF1A7E"/>
    <w:rsid w:val="3FB10B8E"/>
    <w:rsid w:val="3FB11C9A"/>
    <w:rsid w:val="3FB13A48"/>
    <w:rsid w:val="3FB3156E"/>
    <w:rsid w:val="3FB35A12"/>
    <w:rsid w:val="3FB47094"/>
    <w:rsid w:val="3FB8126D"/>
    <w:rsid w:val="3FB97136"/>
    <w:rsid w:val="3FBD063E"/>
    <w:rsid w:val="3FC01EDD"/>
    <w:rsid w:val="3FC32284"/>
    <w:rsid w:val="3FC419CD"/>
    <w:rsid w:val="3FCB2B69"/>
    <w:rsid w:val="3FCB2D5B"/>
    <w:rsid w:val="3FCC262F"/>
    <w:rsid w:val="3FCD2063"/>
    <w:rsid w:val="3FCE45FA"/>
    <w:rsid w:val="3FD17C46"/>
    <w:rsid w:val="3FD37E62"/>
    <w:rsid w:val="3FD61C25"/>
    <w:rsid w:val="3FD634AE"/>
    <w:rsid w:val="3FD6525C"/>
    <w:rsid w:val="3FD7172D"/>
    <w:rsid w:val="3FDB0AC5"/>
    <w:rsid w:val="3FDE447A"/>
    <w:rsid w:val="3FDF6807"/>
    <w:rsid w:val="3FE20765"/>
    <w:rsid w:val="3FE21E53"/>
    <w:rsid w:val="3FE71217"/>
    <w:rsid w:val="3FE8413D"/>
    <w:rsid w:val="3FE931E1"/>
    <w:rsid w:val="3FEA0D08"/>
    <w:rsid w:val="3FEB51AC"/>
    <w:rsid w:val="3FEB6D63"/>
    <w:rsid w:val="3FEC558C"/>
    <w:rsid w:val="3FED5A8B"/>
    <w:rsid w:val="3FF322B2"/>
    <w:rsid w:val="3FF43934"/>
    <w:rsid w:val="3FF57DD8"/>
    <w:rsid w:val="3FF676AC"/>
    <w:rsid w:val="3FFA0F4B"/>
    <w:rsid w:val="3FFA719D"/>
    <w:rsid w:val="3FFB4CC3"/>
    <w:rsid w:val="3FFC24DE"/>
    <w:rsid w:val="3FFD4490"/>
    <w:rsid w:val="3FFD4EDF"/>
    <w:rsid w:val="4000052B"/>
    <w:rsid w:val="400224F5"/>
    <w:rsid w:val="40026051"/>
    <w:rsid w:val="40095632"/>
    <w:rsid w:val="400A73D4"/>
    <w:rsid w:val="400B13AA"/>
    <w:rsid w:val="400C0C7E"/>
    <w:rsid w:val="400E2C48"/>
    <w:rsid w:val="401069C0"/>
    <w:rsid w:val="401146D6"/>
    <w:rsid w:val="4012098A"/>
    <w:rsid w:val="401364B0"/>
    <w:rsid w:val="40152228"/>
    <w:rsid w:val="40153FD6"/>
    <w:rsid w:val="40161AFD"/>
    <w:rsid w:val="401B4C09"/>
    <w:rsid w:val="401C5365"/>
    <w:rsid w:val="401F4E55"/>
    <w:rsid w:val="40210BCD"/>
    <w:rsid w:val="4024246B"/>
    <w:rsid w:val="40251D40"/>
    <w:rsid w:val="40267F92"/>
    <w:rsid w:val="40297A82"/>
    <w:rsid w:val="402B37FA"/>
    <w:rsid w:val="402D7572"/>
    <w:rsid w:val="402E6E46"/>
    <w:rsid w:val="402E7F0F"/>
    <w:rsid w:val="40300E10"/>
    <w:rsid w:val="4033445D"/>
    <w:rsid w:val="40354679"/>
    <w:rsid w:val="40381A73"/>
    <w:rsid w:val="40387CC5"/>
    <w:rsid w:val="40397405"/>
    <w:rsid w:val="403D2262"/>
    <w:rsid w:val="403D352D"/>
    <w:rsid w:val="403E4E33"/>
    <w:rsid w:val="403F1053"/>
    <w:rsid w:val="40400538"/>
    <w:rsid w:val="404228F2"/>
    <w:rsid w:val="404266B4"/>
    <w:rsid w:val="40460634"/>
    <w:rsid w:val="40477F08"/>
    <w:rsid w:val="404E1296"/>
    <w:rsid w:val="404E74E8"/>
    <w:rsid w:val="404E7F92"/>
    <w:rsid w:val="40511B68"/>
    <w:rsid w:val="40534AFF"/>
    <w:rsid w:val="40542B45"/>
    <w:rsid w:val="405431EE"/>
    <w:rsid w:val="40547059"/>
    <w:rsid w:val="40550877"/>
    <w:rsid w:val="405A34BE"/>
    <w:rsid w:val="405C0C1E"/>
    <w:rsid w:val="405D772B"/>
    <w:rsid w:val="4061546E"/>
    <w:rsid w:val="40642868"/>
    <w:rsid w:val="40646D0C"/>
    <w:rsid w:val="40650AB8"/>
    <w:rsid w:val="40657D71"/>
    <w:rsid w:val="40662A84"/>
    <w:rsid w:val="40664832"/>
    <w:rsid w:val="406665E0"/>
    <w:rsid w:val="40672358"/>
    <w:rsid w:val="40692574"/>
    <w:rsid w:val="406A3E50"/>
    <w:rsid w:val="406B009A"/>
    <w:rsid w:val="406D2075"/>
    <w:rsid w:val="407351B3"/>
    <w:rsid w:val="407707ED"/>
    <w:rsid w:val="4077259B"/>
    <w:rsid w:val="40774C91"/>
    <w:rsid w:val="40784565"/>
    <w:rsid w:val="407B7E75"/>
    <w:rsid w:val="407C22A8"/>
    <w:rsid w:val="407D392A"/>
    <w:rsid w:val="407E5D49"/>
    <w:rsid w:val="407F58F4"/>
    <w:rsid w:val="408178BE"/>
    <w:rsid w:val="4082652B"/>
    <w:rsid w:val="40833636"/>
    <w:rsid w:val="408353E4"/>
    <w:rsid w:val="40866C82"/>
    <w:rsid w:val="408F1B0A"/>
    <w:rsid w:val="40907B01"/>
    <w:rsid w:val="40935D33"/>
    <w:rsid w:val="409475F1"/>
    <w:rsid w:val="40956EC5"/>
    <w:rsid w:val="409A44DC"/>
    <w:rsid w:val="409C30B9"/>
    <w:rsid w:val="409E221E"/>
    <w:rsid w:val="409F7D44"/>
    <w:rsid w:val="40A11D0E"/>
    <w:rsid w:val="40A27F80"/>
    <w:rsid w:val="40A67324"/>
    <w:rsid w:val="40A73A11"/>
    <w:rsid w:val="40AB493B"/>
    <w:rsid w:val="40B117A2"/>
    <w:rsid w:val="40B41A41"/>
    <w:rsid w:val="40B530C4"/>
    <w:rsid w:val="40B57568"/>
    <w:rsid w:val="40B82BB4"/>
    <w:rsid w:val="40BE01CA"/>
    <w:rsid w:val="40BE641C"/>
    <w:rsid w:val="40C14999"/>
    <w:rsid w:val="40C15F0C"/>
    <w:rsid w:val="40C17CBA"/>
    <w:rsid w:val="40C41559"/>
    <w:rsid w:val="40C41E8A"/>
    <w:rsid w:val="40C6655A"/>
    <w:rsid w:val="40C862F3"/>
    <w:rsid w:val="40CA3013"/>
    <w:rsid w:val="40CD24B8"/>
    <w:rsid w:val="40D23C76"/>
    <w:rsid w:val="40D45C40"/>
    <w:rsid w:val="40D479EE"/>
    <w:rsid w:val="40D50F73"/>
    <w:rsid w:val="40D53766"/>
    <w:rsid w:val="40D914A8"/>
    <w:rsid w:val="40DA6C81"/>
    <w:rsid w:val="40E02836"/>
    <w:rsid w:val="40E1035D"/>
    <w:rsid w:val="40E15C73"/>
    <w:rsid w:val="40E340D5"/>
    <w:rsid w:val="40E5275E"/>
    <w:rsid w:val="40E65973"/>
    <w:rsid w:val="40E765BD"/>
    <w:rsid w:val="40E85247"/>
    <w:rsid w:val="40E8793D"/>
    <w:rsid w:val="40E929B3"/>
    <w:rsid w:val="40EA5463"/>
    <w:rsid w:val="40EB4D37"/>
    <w:rsid w:val="40EB5D96"/>
    <w:rsid w:val="40F167F2"/>
    <w:rsid w:val="40F40090"/>
    <w:rsid w:val="40F462E2"/>
    <w:rsid w:val="40F956A6"/>
    <w:rsid w:val="40FA31CC"/>
    <w:rsid w:val="41067DC3"/>
    <w:rsid w:val="410938E0"/>
    <w:rsid w:val="410B461F"/>
    <w:rsid w:val="410C362B"/>
    <w:rsid w:val="410D4CAE"/>
    <w:rsid w:val="410D6E30"/>
    <w:rsid w:val="410E46E1"/>
    <w:rsid w:val="410E6D58"/>
    <w:rsid w:val="410F0A26"/>
    <w:rsid w:val="410F4ECA"/>
    <w:rsid w:val="410F6C78"/>
    <w:rsid w:val="4110479E"/>
    <w:rsid w:val="41110C42"/>
    <w:rsid w:val="411249BA"/>
    <w:rsid w:val="41126768"/>
    <w:rsid w:val="41151DB4"/>
    <w:rsid w:val="41171FD0"/>
    <w:rsid w:val="411A73CB"/>
    <w:rsid w:val="411B386E"/>
    <w:rsid w:val="411B561D"/>
    <w:rsid w:val="411D31AE"/>
    <w:rsid w:val="411E335F"/>
    <w:rsid w:val="411E510D"/>
    <w:rsid w:val="412070D7"/>
    <w:rsid w:val="412344D1"/>
    <w:rsid w:val="41270BD1"/>
    <w:rsid w:val="412A3BBD"/>
    <w:rsid w:val="412C5A7C"/>
    <w:rsid w:val="412D35A2"/>
    <w:rsid w:val="41326E0A"/>
    <w:rsid w:val="4136184C"/>
    <w:rsid w:val="413621AC"/>
    <w:rsid w:val="413761CE"/>
    <w:rsid w:val="41377F7D"/>
    <w:rsid w:val="41390199"/>
    <w:rsid w:val="41392182"/>
    <w:rsid w:val="41393CF5"/>
    <w:rsid w:val="41395AA3"/>
    <w:rsid w:val="413B181B"/>
    <w:rsid w:val="413B5CBF"/>
    <w:rsid w:val="413D1A37"/>
    <w:rsid w:val="41412351"/>
    <w:rsid w:val="41421F45"/>
    <w:rsid w:val="41432F6C"/>
    <w:rsid w:val="41434B73"/>
    <w:rsid w:val="414508EB"/>
    <w:rsid w:val="41463E5A"/>
    <w:rsid w:val="41466412"/>
    <w:rsid w:val="414803DC"/>
    <w:rsid w:val="41483F38"/>
    <w:rsid w:val="41487860"/>
    <w:rsid w:val="414A4154"/>
    <w:rsid w:val="414A7CB0"/>
    <w:rsid w:val="414C3A28"/>
    <w:rsid w:val="414C5B13"/>
    <w:rsid w:val="414D0551"/>
    <w:rsid w:val="414E6719"/>
    <w:rsid w:val="4153283E"/>
    <w:rsid w:val="415840B6"/>
    <w:rsid w:val="41586871"/>
    <w:rsid w:val="4159263F"/>
    <w:rsid w:val="415B1EBD"/>
    <w:rsid w:val="415B3C6B"/>
    <w:rsid w:val="415D3E87"/>
    <w:rsid w:val="415D5C35"/>
    <w:rsid w:val="41650F8E"/>
    <w:rsid w:val="41662610"/>
    <w:rsid w:val="41673852"/>
    <w:rsid w:val="4168282C"/>
    <w:rsid w:val="41686388"/>
    <w:rsid w:val="416C40CA"/>
    <w:rsid w:val="416C5E78"/>
    <w:rsid w:val="416D4D8C"/>
    <w:rsid w:val="416F3BBA"/>
    <w:rsid w:val="4171348E"/>
    <w:rsid w:val="41764F49"/>
    <w:rsid w:val="41766CF7"/>
    <w:rsid w:val="41770ACF"/>
    <w:rsid w:val="41780CC1"/>
    <w:rsid w:val="417967E7"/>
    <w:rsid w:val="417A46D4"/>
    <w:rsid w:val="417B430D"/>
    <w:rsid w:val="417D6090"/>
    <w:rsid w:val="417D62D7"/>
    <w:rsid w:val="418132C2"/>
    <w:rsid w:val="41831414"/>
    <w:rsid w:val="418331C2"/>
    <w:rsid w:val="41847666"/>
    <w:rsid w:val="41850CE8"/>
    <w:rsid w:val="41856F3A"/>
    <w:rsid w:val="41872CB2"/>
    <w:rsid w:val="418C651A"/>
    <w:rsid w:val="418C6763"/>
    <w:rsid w:val="418F1B67"/>
    <w:rsid w:val="418F600A"/>
    <w:rsid w:val="418F69C2"/>
    <w:rsid w:val="41904DF6"/>
    <w:rsid w:val="41913B31"/>
    <w:rsid w:val="419345E1"/>
    <w:rsid w:val="41940CDA"/>
    <w:rsid w:val="41943621"/>
    <w:rsid w:val="41961147"/>
    <w:rsid w:val="41967399"/>
    <w:rsid w:val="419923BD"/>
    <w:rsid w:val="419B49AF"/>
    <w:rsid w:val="419D4283"/>
    <w:rsid w:val="419E624E"/>
    <w:rsid w:val="41A03D74"/>
    <w:rsid w:val="41A05B22"/>
    <w:rsid w:val="41A2189A"/>
    <w:rsid w:val="41A41AB6"/>
    <w:rsid w:val="41A82C28"/>
    <w:rsid w:val="41AA2509"/>
    <w:rsid w:val="41AC44C7"/>
    <w:rsid w:val="41AF045B"/>
    <w:rsid w:val="41B13830"/>
    <w:rsid w:val="41B16EBC"/>
    <w:rsid w:val="41B30E75"/>
    <w:rsid w:val="41B33AA7"/>
    <w:rsid w:val="41B45A71"/>
    <w:rsid w:val="41B617E9"/>
    <w:rsid w:val="41B65345"/>
    <w:rsid w:val="41B90881"/>
    <w:rsid w:val="41BA318B"/>
    <w:rsid w:val="41BB48E2"/>
    <w:rsid w:val="41BB6E00"/>
    <w:rsid w:val="41BD66D4"/>
    <w:rsid w:val="41C04416"/>
    <w:rsid w:val="41C72E85"/>
    <w:rsid w:val="41C932CA"/>
    <w:rsid w:val="41C95079"/>
    <w:rsid w:val="41CE0D22"/>
    <w:rsid w:val="41CE6B33"/>
    <w:rsid w:val="41CF0BCF"/>
    <w:rsid w:val="41D13F2D"/>
    <w:rsid w:val="41D427C4"/>
    <w:rsid w:val="41D43A1D"/>
    <w:rsid w:val="41DE664A"/>
    <w:rsid w:val="41E04248"/>
    <w:rsid w:val="41E2438C"/>
    <w:rsid w:val="41E466BF"/>
    <w:rsid w:val="41E54C3B"/>
    <w:rsid w:val="41E55C2A"/>
    <w:rsid w:val="41E579D9"/>
    <w:rsid w:val="41E77BF5"/>
    <w:rsid w:val="41E96A54"/>
    <w:rsid w:val="41EA1493"/>
    <w:rsid w:val="41EA3241"/>
    <w:rsid w:val="41EC0D67"/>
    <w:rsid w:val="41EE4ADF"/>
    <w:rsid w:val="41F10CC3"/>
    <w:rsid w:val="41F12821"/>
    <w:rsid w:val="41F145CF"/>
    <w:rsid w:val="41F30347"/>
    <w:rsid w:val="41F8595E"/>
    <w:rsid w:val="41FD11C6"/>
    <w:rsid w:val="41FF6CEC"/>
    <w:rsid w:val="42027AB1"/>
    <w:rsid w:val="42042555"/>
    <w:rsid w:val="42042CCA"/>
    <w:rsid w:val="420C1409"/>
    <w:rsid w:val="420C5560"/>
    <w:rsid w:val="420C765B"/>
    <w:rsid w:val="420E5181"/>
    <w:rsid w:val="420E6F2F"/>
    <w:rsid w:val="420F2CA7"/>
    <w:rsid w:val="421039F2"/>
    <w:rsid w:val="421054D2"/>
    <w:rsid w:val="42114C71"/>
    <w:rsid w:val="42177E0D"/>
    <w:rsid w:val="42181B5C"/>
    <w:rsid w:val="42184FDA"/>
    <w:rsid w:val="421B789E"/>
    <w:rsid w:val="421D3616"/>
    <w:rsid w:val="42204EB5"/>
    <w:rsid w:val="42246753"/>
    <w:rsid w:val="422538A1"/>
    <w:rsid w:val="42254279"/>
    <w:rsid w:val="422624CB"/>
    <w:rsid w:val="42277FF1"/>
    <w:rsid w:val="42291FBB"/>
    <w:rsid w:val="42295B17"/>
    <w:rsid w:val="422A188F"/>
    <w:rsid w:val="422B5D33"/>
    <w:rsid w:val="422C5607"/>
    <w:rsid w:val="422E5823"/>
    <w:rsid w:val="423020F5"/>
    <w:rsid w:val="423038EE"/>
    <w:rsid w:val="42332E3A"/>
    <w:rsid w:val="42334BE8"/>
    <w:rsid w:val="42366486"/>
    <w:rsid w:val="423A41C8"/>
    <w:rsid w:val="423A5F76"/>
    <w:rsid w:val="423E4B5F"/>
    <w:rsid w:val="423F533B"/>
    <w:rsid w:val="424010B3"/>
    <w:rsid w:val="42440BA3"/>
    <w:rsid w:val="42446DF5"/>
    <w:rsid w:val="42462B6D"/>
    <w:rsid w:val="424741EF"/>
    <w:rsid w:val="4249440B"/>
    <w:rsid w:val="424B1F31"/>
    <w:rsid w:val="424B3CDF"/>
    <w:rsid w:val="424E1A22"/>
    <w:rsid w:val="424E37D0"/>
    <w:rsid w:val="42542F76"/>
    <w:rsid w:val="4255690C"/>
    <w:rsid w:val="425616E7"/>
    <w:rsid w:val="42576B28"/>
    <w:rsid w:val="425C413F"/>
    <w:rsid w:val="425F59DD"/>
    <w:rsid w:val="425F778B"/>
    <w:rsid w:val="42602158"/>
    <w:rsid w:val="42611755"/>
    <w:rsid w:val="42660B19"/>
    <w:rsid w:val="42664FBD"/>
    <w:rsid w:val="426B6130"/>
    <w:rsid w:val="42734FE4"/>
    <w:rsid w:val="42764AD5"/>
    <w:rsid w:val="4278084D"/>
    <w:rsid w:val="42786A9F"/>
    <w:rsid w:val="42797CB7"/>
    <w:rsid w:val="427A320B"/>
    <w:rsid w:val="427B20EB"/>
    <w:rsid w:val="427D5E63"/>
    <w:rsid w:val="427E0907"/>
    <w:rsid w:val="427F1BDB"/>
    <w:rsid w:val="42812A86"/>
    <w:rsid w:val="42817701"/>
    <w:rsid w:val="42823479"/>
    <w:rsid w:val="42864D18"/>
    <w:rsid w:val="428E62C2"/>
    <w:rsid w:val="4290203A"/>
    <w:rsid w:val="42935686"/>
    <w:rsid w:val="42980EEF"/>
    <w:rsid w:val="42982C9D"/>
    <w:rsid w:val="42990FD6"/>
    <w:rsid w:val="429F227D"/>
    <w:rsid w:val="429F402B"/>
    <w:rsid w:val="429F4D5E"/>
    <w:rsid w:val="42A17DA3"/>
    <w:rsid w:val="42A26021"/>
    <w:rsid w:val="42A33B1C"/>
    <w:rsid w:val="42A653BA"/>
    <w:rsid w:val="42A87384"/>
    <w:rsid w:val="42AB0C22"/>
    <w:rsid w:val="42B15B0D"/>
    <w:rsid w:val="42B21F0C"/>
    <w:rsid w:val="42B21FB1"/>
    <w:rsid w:val="42B56350"/>
    <w:rsid w:val="42B67BE9"/>
    <w:rsid w:val="42B705DC"/>
    <w:rsid w:val="42B775C7"/>
    <w:rsid w:val="42B850ED"/>
    <w:rsid w:val="42B86E9B"/>
    <w:rsid w:val="42BA4E8C"/>
    <w:rsid w:val="42C121F4"/>
    <w:rsid w:val="42C42BE0"/>
    <w:rsid w:val="42C43A92"/>
    <w:rsid w:val="42C45840"/>
    <w:rsid w:val="42C52AB7"/>
    <w:rsid w:val="42C77866"/>
    <w:rsid w:val="42C817D4"/>
    <w:rsid w:val="42C910A8"/>
    <w:rsid w:val="42CB7EE2"/>
    <w:rsid w:val="42D068DB"/>
    <w:rsid w:val="42D31F27"/>
    <w:rsid w:val="42D53EF1"/>
    <w:rsid w:val="42D55C9F"/>
    <w:rsid w:val="42D956C8"/>
    <w:rsid w:val="42D9753D"/>
    <w:rsid w:val="42DB79D7"/>
    <w:rsid w:val="42DD0AFB"/>
    <w:rsid w:val="42DD6902"/>
    <w:rsid w:val="42DF08CC"/>
    <w:rsid w:val="42E14644"/>
    <w:rsid w:val="42E2191B"/>
    <w:rsid w:val="42E303BC"/>
    <w:rsid w:val="42E317B5"/>
    <w:rsid w:val="42E36169"/>
    <w:rsid w:val="42E44134"/>
    <w:rsid w:val="42E47C90"/>
    <w:rsid w:val="42E61C5A"/>
    <w:rsid w:val="42E67EAC"/>
    <w:rsid w:val="42E83C24"/>
    <w:rsid w:val="42E934F8"/>
    <w:rsid w:val="42ED123B"/>
    <w:rsid w:val="42EE0B0F"/>
    <w:rsid w:val="42F00D2B"/>
    <w:rsid w:val="42F06635"/>
    <w:rsid w:val="42F425C9"/>
    <w:rsid w:val="42F44377"/>
    <w:rsid w:val="42F51E9D"/>
    <w:rsid w:val="42F97BDF"/>
    <w:rsid w:val="42FB00D5"/>
    <w:rsid w:val="43030A5E"/>
    <w:rsid w:val="43040332"/>
    <w:rsid w:val="43065E58"/>
    <w:rsid w:val="43081BD1"/>
    <w:rsid w:val="43087E22"/>
    <w:rsid w:val="430B16C1"/>
    <w:rsid w:val="430F2F83"/>
    <w:rsid w:val="43100A85"/>
    <w:rsid w:val="43104C13"/>
    <w:rsid w:val="43105186"/>
    <w:rsid w:val="43120CA1"/>
    <w:rsid w:val="431517D8"/>
    <w:rsid w:val="43170066"/>
    <w:rsid w:val="43193DDE"/>
    <w:rsid w:val="43195B8C"/>
    <w:rsid w:val="431C38CE"/>
    <w:rsid w:val="431F5794"/>
    <w:rsid w:val="432033BE"/>
    <w:rsid w:val="43252782"/>
    <w:rsid w:val="4326474D"/>
    <w:rsid w:val="43284021"/>
    <w:rsid w:val="43292916"/>
    <w:rsid w:val="432C5504"/>
    <w:rsid w:val="432D7889"/>
    <w:rsid w:val="432F1853"/>
    <w:rsid w:val="432F3601"/>
    <w:rsid w:val="43302ED5"/>
    <w:rsid w:val="4330662F"/>
    <w:rsid w:val="433107D0"/>
    <w:rsid w:val="433173BC"/>
    <w:rsid w:val="43324E9F"/>
    <w:rsid w:val="433504EC"/>
    <w:rsid w:val="43364990"/>
    <w:rsid w:val="43365770"/>
    <w:rsid w:val="43386B55"/>
    <w:rsid w:val="433B01F8"/>
    <w:rsid w:val="433C41A2"/>
    <w:rsid w:val="433F136A"/>
    <w:rsid w:val="434500D6"/>
    <w:rsid w:val="43454BD3"/>
    <w:rsid w:val="43456981"/>
    <w:rsid w:val="43476B9D"/>
    <w:rsid w:val="43482809"/>
    <w:rsid w:val="43486471"/>
    <w:rsid w:val="434A043B"/>
    <w:rsid w:val="434A3F97"/>
    <w:rsid w:val="434D1CD9"/>
    <w:rsid w:val="43525542"/>
    <w:rsid w:val="43544FFA"/>
    <w:rsid w:val="4359242C"/>
    <w:rsid w:val="4359348E"/>
    <w:rsid w:val="435968D0"/>
    <w:rsid w:val="435B61A4"/>
    <w:rsid w:val="435E5C94"/>
    <w:rsid w:val="43601A0D"/>
    <w:rsid w:val="43615785"/>
    <w:rsid w:val="436239D7"/>
    <w:rsid w:val="43635059"/>
    <w:rsid w:val="43650DD1"/>
    <w:rsid w:val="43671FE0"/>
    <w:rsid w:val="4368266F"/>
    <w:rsid w:val="436A4639"/>
    <w:rsid w:val="43727FC7"/>
    <w:rsid w:val="4378667D"/>
    <w:rsid w:val="43790D20"/>
    <w:rsid w:val="43794BD1"/>
    <w:rsid w:val="437A0900"/>
    <w:rsid w:val="437C436D"/>
    <w:rsid w:val="437C437E"/>
    <w:rsid w:val="437E00E5"/>
    <w:rsid w:val="43805C0B"/>
    <w:rsid w:val="438356FB"/>
    <w:rsid w:val="43866F99"/>
    <w:rsid w:val="4389537A"/>
    <w:rsid w:val="438F5E4E"/>
    <w:rsid w:val="439006C3"/>
    <w:rsid w:val="4392593E"/>
    <w:rsid w:val="43934B60"/>
    <w:rsid w:val="439518B3"/>
    <w:rsid w:val="439C056B"/>
    <w:rsid w:val="43A3416B"/>
    <w:rsid w:val="43A35D9D"/>
    <w:rsid w:val="43A37B4B"/>
    <w:rsid w:val="43A63197"/>
    <w:rsid w:val="43A833B4"/>
    <w:rsid w:val="43AE09CA"/>
    <w:rsid w:val="43AF029E"/>
    <w:rsid w:val="43B104BA"/>
    <w:rsid w:val="43B14016"/>
    <w:rsid w:val="43B27D8E"/>
    <w:rsid w:val="43B458B4"/>
    <w:rsid w:val="43B6162D"/>
    <w:rsid w:val="43B64397"/>
    <w:rsid w:val="43B65AD0"/>
    <w:rsid w:val="43B81849"/>
    <w:rsid w:val="43B9111D"/>
    <w:rsid w:val="43BE4985"/>
    <w:rsid w:val="43C006FD"/>
    <w:rsid w:val="43C04259"/>
    <w:rsid w:val="43C27FD1"/>
    <w:rsid w:val="43C31F9B"/>
    <w:rsid w:val="43C55D14"/>
    <w:rsid w:val="43C57AC2"/>
    <w:rsid w:val="43C60BFD"/>
    <w:rsid w:val="43CC0E50"/>
    <w:rsid w:val="43CC2BFE"/>
    <w:rsid w:val="43CD6976"/>
    <w:rsid w:val="43CE2E1A"/>
    <w:rsid w:val="43CF6B92"/>
    <w:rsid w:val="43D83C99"/>
    <w:rsid w:val="43D85A47"/>
    <w:rsid w:val="43D917BF"/>
    <w:rsid w:val="43DD12AF"/>
    <w:rsid w:val="43DD4145"/>
    <w:rsid w:val="43DD4E0B"/>
    <w:rsid w:val="43DF5027"/>
    <w:rsid w:val="43E20674"/>
    <w:rsid w:val="43E53CC0"/>
    <w:rsid w:val="43E81149"/>
    <w:rsid w:val="43E91A02"/>
    <w:rsid w:val="43EC14F2"/>
    <w:rsid w:val="43EC32A0"/>
    <w:rsid w:val="43F6265D"/>
    <w:rsid w:val="43F65ECD"/>
    <w:rsid w:val="43FC40A1"/>
    <w:rsid w:val="43FD725B"/>
    <w:rsid w:val="43FE2FD4"/>
    <w:rsid w:val="43FE4D82"/>
    <w:rsid w:val="43FF1225"/>
    <w:rsid w:val="44000AFA"/>
    <w:rsid w:val="440525B4"/>
    <w:rsid w:val="44055877"/>
    <w:rsid w:val="440700DA"/>
    <w:rsid w:val="44076CE8"/>
    <w:rsid w:val="44086C26"/>
    <w:rsid w:val="440920A4"/>
    <w:rsid w:val="44093E52"/>
    <w:rsid w:val="44103433"/>
    <w:rsid w:val="44112D07"/>
    <w:rsid w:val="4416656F"/>
    <w:rsid w:val="441822E7"/>
    <w:rsid w:val="441F4A5B"/>
    <w:rsid w:val="442347E8"/>
    <w:rsid w:val="442944F4"/>
    <w:rsid w:val="442E1B0B"/>
    <w:rsid w:val="442E38B9"/>
    <w:rsid w:val="44305883"/>
    <w:rsid w:val="44330ECF"/>
    <w:rsid w:val="44334A09"/>
    <w:rsid w:val="443469F5"/>
    <w:rsid w:val="443609BF"/>
    <w:rsid w:val="443A04B0"/>
    <w:rsid w:val="443B00CA"/>
    <w:rsid w:val="443B5FD6"/>
    <w:rsid w:val="443C4228"/>
    <w:rsid w:val="443C7F5E"/>
    <w:rsid w:val="443E13C9"/>
    <w:rsid w:val="44425260"/>
    <w:rsid w:val="444430DC"/>
    <w:rsid w:val="44450C02"/>
    <w:rsid w:val="44466E54"/>
    <w:rsid w:val="44511355"/>
    <w:rsid w:val="4453331F"/>
    <w:rsid w:val="445350CD"/>
    <w:rsid w:val="4456696C"/>
    <w:rsid w:val="44580BC7"/>
    <w:rsid w:val="44586B88"/>
    <w:rsid w:val="445B21D4"/>
    <w:rsid w:val="446472DA"/>
    <w:rsid w:val="446659F8"/>
    <w:rsid w:val="44676DCB"/>
    <w:rsid w:val="44705C7F"/>
    <w:rsid w:val="4470761E"/>
    <w:rsid w:val="44707DED"/>
    <w:rsid w:val="44716B9D"/>
    <w:rsid w:val="4473751E"/>
    <w:rsid w:val="44775260"/>
    <w:rsid w:val="44782D86"/>
    <w:rsid w:val="44783E9F"/>
    <w:rsid w:val="447A08AC"/>
    <w:rsid w:val="447D22C8"/>
    <w:rsid w:val="448160DE"/>
    <w:rsid w:val="44827761"/>
    <w:rsid w:val="448636F5"/>
    <w:rsid w:val="44872FC9"/>
    <w:rsid w:val="44896D41"/>
    <w:rsid w:val="448B4867"/>
    <w:rsid w:val="448C31F9"/>
    <w:rsid w:val="448D75C0"/>
    <w:rsid w:val="448E6105"/>
    <w:rsid w:val="44901E7E"/>
    <w:rsid w:val="4492209A"/>
    <w:rsid w:val="44951FFA"/>
    <w:rsid w:val="44986E8D"/>
    <w:rsid w:val="449B0822"/>
    <w:rsid w:val="449C6A74"/>
    <w:rsid w:val="44A45929"/>
    <w:rsid w:val="44A771C7"/>
    <w:rsid w:val="44A8366B"/>
    <w:rsid w:val="44A92F3F"/>
    <w:rsid w:val="44AA2982"/>
    <w:rsid w:val="44AB4F09"/>
    <w:rsid w:val="44AC2A30"/>
    <w:rsid w:val="44B02520"/>
    <w:rsid w:val="44B10046"/>
    <w:rsid w:val="44B33DBE"/>
    <w:rsid w:val="44B738AE"/>
    <w:rsid w:val="44BC0EC5"/>
    <w:rsid w:val="44BC2C73"/>
    <w:rsid w:val="44BF2763"/>
    <w:rsid w:val="44C06FEF"/>
    <w:rsid w:val="44C075E6"/>
    <w:rsid w:val="44C10289"/>
    <w:rsid w:val="44C164DB"/>
    <w:rsid w:val="44C22253"/>
    <w:rsid w:val="44C24001"/>
    <w:rsid w:val="44C409AF"/>
    <w:rsid w:val="44C4421D"/>
    <w:rsid w:val="44C63AF1"/>
    <w:rsid w:val="44C71617"/>
    <w:rsid w:val="44CB6471"/>
    <w:rsid w:val="44CC6C2E"/>
    <w:rsid w:val="44CD1324"/>
    <w:rsid w:val="44CE6E4A"/>
    <w:rsid w:val="44D426B2"/>
    <w:rsid w:val="44D501D8"/>
    <w:rsid w:val="44D70159"/>
    <w:rsid w:val="44DC3315"/>
    <w:rsid w:val="44DE708D"/>
    <w:rsid w:val="44DF1057"/>
    <w:rsid w:val="44DF4BB3"/>
    <w:rsid w:val="44E01C7E"/>
    <w:rsid w:val="44E1092B"/>
    <w:rsid w:val="44E26451"/>
    <w:rsid w:val="44E4286C"/>
    <w:rsid w:val="44E4666D"/>
    <w:rsid w:val="44E7583F"/>
    <w:rsid w:val="44EE3048"/>
    <w:rsid w:val="44EF3FD1"/>
    <w:rsid w:val="44F00032"/>
    <w:rsid w:val="44F00B6E"/>
    <w:rsid w:val="44F512D3"/>
    <w:rsid w:val="44F92119"/>
    <w:rsid w:val="44FD328B"/>
    <w:rsid w:val="44FF34A7"/>
    <w:rsid w:val="45010FCD"/>
    <w:rsid w:val="45012D7B"/>
    <w:rsid w:val="45014B29"/>
    <w:rsid w:val="4504471C"/>
    <w:rsid w:val="45063999"/>
    <w:rsid w:val="450665E4"/>
    <w:rsid w:val="4508235C"/>
    <w:rsid w:val="45091C30"/>
    <w:rsid w:val="450E2264"/>
    <w:rsid w:val="450E5498"/>
    <w:rsid w:val="45101210"/>
    <w:rsid w:val="45102FBE"/>
    <w:rsid w:val="45120AE5"/>
    <w:rsid w:val="45132AAF"/>
    <w:rsid w:val="451333CC"/>
    <w:rsid w:val="45140D01"/>
    <w:rsid w:val="45156827"/>
    <w:rsid w:val="451948C0"/>
    <w:rsid w:val="451C4154"/>
    <w:rsid w:val="451C5255"/>
    <w:rsid w:val="451C5BBF"/>
    <w:rsid w:val="451C7BB5"/>
    <w:rsid w:val="451F76A5"/>
    <w:rsid w:val="45230F44"/>
    <w:rsid w:val="45246A6A"/>
    <w:rsid w:val="45260A34"/>
    <w:rsid w:val="45263750"/>
    <w:rsid w:val="452847AC"/>
    <w:rsid w:val="452B7DF8"/>
    <w:rsid w:val="45303661"/>
    <w:rsid w:val="45350C77"/>
    <w:rsid w:val="45352A25"/>
    <w:rsid w:val="45372C41"/>
    <w:rsid w:val="4537679D"/>
    <w:rsid w:val="45383E60"/>
    <w:rsid w:val="45390767"/>
    <w:rsid w:val="453942C3"/>
    <w:rsid w:val="453A003B"/>
    <w:rsid w:val="453A628D"/>
    <w:rsid w:val="453C0257"/>
    <w:rsid w:val="453E3FCF"/>
    <w:rsid w:val="453F38A4"/>
    <w:rsid w:val="45440EBA"/>
    <w:rsid w:val="45442C68"/>
    <w:rsid w:val="45486BFC"/>
    <w:rsid w:val="454964D0"/>
    <w:rsid w:val="454A4722"/>
    <w:rsid w:val="454B049A"/>
    <w:rsid w:val="454D293E"/>
    <w:rsid w:val="45521829"/>
    <w:rsid w:val="4555317F"/>
    <w:rsid w:val="455B2EFF"/>
    <w:rsid w:val="455E01CE"/>
    <w:rsid w:val="455F7AA2"/>
    <w:rsid w:val="456019B7"/>
    <w:rsid w:val="45603F46"/>
    <w:rsid w:val="45605CF4"/>
    <w:rsid w:val="456450B8"/>
    <w:rsid w:val="4567448A"/>
    <w:rsid w:val="45684BA8"/>
    <w:rsid w:val="456B6447"/>
    <w:rsid w:val="45723C79"/>
    <w:rsid w:val="4574179F"/>
    <w:rsid w:val="45783CBB"/>
    <w:rsid w:val="45791C6C"/>
    <w:rsid w:val="457C0654"/>
    <w:rsid w:val="457C263C"/>
    <w:rsid w:val="457F63EC"/>
    <w:rsid w:val="45877724"/>
    <w:rsid w:val="45886FF9"/>
    <w:rsid w:val="458A0FC3"/>
    <w:rsid w:val="458B6AE9"/>
    <w:rsid w:val="458D0AB3"/>
    <w:rsid w:val="4594599D"/>
    <w:rsid w:val="45974ABD"/>
    <w:rsid w:val="459A4484"/>
    <w:rsid w:val="459A5BC5"/>
    <w:rsid w:val="459C0CF6"/>
    <w:rsid w:val="459F4E84"/>
    <w:rsid w:val="45A100BA"/>
    <w:rsid w:val="45A51959"/>
    <w:rsid w:val="45A57BAB"/>
    <w:rsid w:val="45A73388"/>
    <w:rsid w:val="45AA6F6F"/>
    <w:rsid w:val="45AB2CE7"/>
    <w:rsid w:val="45AB7567"/>
    <w:rsid w:val="45AD4CB1"/>
    <w:rsid w:val="45B07DEB"/>
    <w:rsid w:val="45B20519"/>
    <w:rsid w:val="45B334A2"/>
    <w:rsid w:val="45B47DEE"/>
    <w:rsid w:val="45B55914"/>
    <w:rsid w:val="45B7168C"/>
    <w:rsid w:val="45B75C70"/>
    <w:rsid w:val="45BB73CE"/>
    <w:rsid w:val="45BC4EF4"/>
    <w:rsid w:val="45BD3146"/>
    <w:rsid w:val="45C02C36"/>
    <w:rsid w:val="45C81AEB"/>
    <w:rsid w:val="45CA7611"/>
    <w:rsid w:val="45CC3389"/>
    <w:rsid w:val="45CE5353"/>
    <w:rsid w:val="45D05F89"/>
    <w:rsid w:val="45D264C6"/>
    <w:rsid w:val="45D40490"/>
    <w:rsid w:val="45DB35CC"/>
    <w:rsid w:val="45DC4237"/>
    <w:rsid w:val="45DE130F"/>
    <w:rsid w:val="45DE30BD"/>
    <w:rsid w:val="45E00BE3"/>
    <w:rsid w:val="45E22BAD"/>
    <w:rsid w:val="45E2495B"/>
    <w:rsid w:val="45E36925"/>
    <w:rsid w:val="45E5444B"/>
    <w:rsid w:val="45E67EBA"/>
    <w:rsid w:val="45E701C3"/>
    <w:rsid w:val="45E83F3B"/>
    <w:rsid w:val="45EA4DEC"/>
    <w:rsid w:val="45ED3300"/>
    <w:rsid w:val="45F823D0"/>
    <w:rsid w:val="45FD1795"/>
    <w:rsid w:val="45FE550D"/>
    <w:rsid w:val="460008CE"/>
    <w:rsid w:val="460074D7"/>
    <w:rsid w:val="46072613"/>
    <w:rsid w:val="460743C1"/>
    <w:rsid w:val="460756E9"/>
    <w:rsid w:val="4607616F"/>
    <w:rsid w:val="460C19D8"/>
    <w:rsid w:val="460F3276"/>
    <w:rsid w:val="46107943"/>
    <w:rsid w:val="46113492"/>
    <w:rsid w:val="4614088C"/>
    <w:rsid w:val="46144D30"/>
    <w:rsid w:val="46162856"/>
    <w:rsid w:val="46192F06"/>
    <w:rsid w:val="461A5B21"/>
    <w:rsid w:val="461F5BAF"/>
    <w:rsid w:val="462036D5"/>
    <w:rsid w:val="46212412"/>
    <w:rsid w:val="46222FA9"/>
    <w:rsid w:val="462430DE"/>
    <w:rsid w:val="46250CEB"/>
    <w:rsid w:val="462601B3"/>
    <w:rsid w:val="462649D9"/>
    <w:rsid w:val="462705C0"/>
    <w:rsid w:val="46276812"/>
    <w:rsid w:val="4629258A"/>
    <w:rsid w:val="462A4554"/>
    <w:rsid w:val="462A6302"/>
    <w:rsid w:val="462C11BE"/>
    <w:rsid w:val="462C207A"/>
    <w:rsid w:val="462C2D8F"/>
    <w:rsid w:val="462C3E28"/>
    <w:rsid w:val="462C5BD6"/>
    <w:rsid w:val="462F1B6A"/>
    <w:rsid w:val="463158E2"/>
    <w:rsid w:val="46335E15"/>
    <w:rsid w:val="46342CDD"/>
    <w:rsid w:val="46364CA7"/>
    <w:rsid w:val="46371A7E"/>
    <w:rsid w:val="46380A1F"/>
    <w:rsid w:val="463A4797"/>
    <w:rsid w:val="463B22BD"/>
    <w:rsid w:val="463D6035"/>
    <w:rsid w:val="463F1DAD"/>
    <w:rsid w:val="46426CF6"/>
    <w:rsid w:val="464508D5"/>
    <w:rsid w:val="464B7318"/>
    <w:rsid w:val="464C0026"/>
    <w:rsid w:val="4656185A"/>
    <w:rsid w:val="4658260D"/>
    <w:rsid w:val="465901DB"/>
    <w:rsid w:val="46592743"/>
    <w:rsid w:val="465A6BE7"/>
    <w:rsid w:val="465E7D59"/>
    <w:rsid w:val="46601D24"/>
    <w:rsid w:val="46623CEE"/>
    <w:rsid w:val="46641814"/>
    <w:rsid w:val="466452EE"/>
    <w:rsid w:val="46647A66"/>
    <w:rsid w:val="46671304"/>
    <w:rsid w:val="466B0DF4"/>
    <w:rsid w:val="466C06C8"/>
    <w:rsid w:val="466E2692"/>
    <w:rsid w:val="466F1F67"/>
    <w:rsid w:val="46733805"/>
    <w:rsid w:val="46761547"/>
    <w:rsid w:val="46767799"/>
    <w:rsid w:val="467707EA"/>
    <w:rsid w:val="467852BF"/>
    <w:rsid w:val="467A27E4"/>
    <w:rsid w:val="467D0B27"/>
    <w:rsid w:val="467D28D5"/>
    <w:rsid w:val="467F03FC"/>
    <w:rsid w:val="467F21AA"/>
    <w:rsid w:val="467F664E"/>
    <w:rsid w:val="46804174"/>
    <w:rsid w:val="46805F22"/>
    <w:rsid w:val="46821C9A"/>
    <w:rsid w:val="46827EEC"/>
    <w:rsid w:val="46892835"/>
    <w:rsid w:val="468A0762"/>
    <w:rsid w:val="468B47AB"/>
    <w:rsid w:val="468B4FF2"/>
    <w:rsid w:val="468D70CB"/>
    <w:rsid w:val="4691012F"/>
    <w:rsid w:val="469320F9"/>
    <w:rsid w:val="46937F95"/>
    <w:rsid w:val="46965745"/>
    <w:rsid w:val="4698770F"/>
    <w:rsid w:val="469D6AD4"/>
    <w:rsid w:val="46A301C2"/>
    <w:rsid w:val="46A47E62"/>
    <w:rsid w:val="46A54CB5"/>
    <w:rsid w:val="46A83331"/>
    <w:rsid w:val="46A952CE"/>
    <w:rsid w:val="46AA2F9F"/>
    <w:rsid w:val="46AC31BB"/>
    <w:rsid w:val="46AC4F69"/>
    <w:rsid w:val="46AF05B5"/>
    <w:rsid w:val="46B00C35"/>
    <w:rsid w:val="46B1257F"/>
    <w:rsid w:val="46B215A3"/>
    <w:rsid w:val="46B24D85"/>
    <w:rsid w:val="46B81848"/>
    <w:rsid w:val="46BD7176"/>
    <w:rsid w:val="46C36755"/>
    <w:rsid w:val="46C47640"/>
    <w:rsid w:val="46C6427C"/>
    <w:rsid w:val="46C92000"/>
    <w:rsid w:val="46CB11D0"/>
    <w:rsid w:val="46CC1167"/>
    <w:rsid w:val="46CD560B"/>
    <w:rsid w:val="46D027AA"/>
    <w:rsid w:val="46D02A05"/>
    <w:rsid w:val="46D06EA9"/>
    <w:rsid w:val="46D1677D"/>
    <w:rsid w:val="46D544C0"/>
    <w:rsid w:val="46D93806"/>
    <w:rsid w:val="46DA3884"/>
    <w:rsid w:val="46DF0E9A"/>
    <w:rsid w:val="46DF533E"/>
    <w:rsid w:val="46E14C12"/>
    <w:rsid w:val="46E22723"/>
    <w:rsid w:val="46E22739"/>
    <w:rsid w:val="46E26BDC"/>
    <w:rsid w:val="46E60C47"/>
    <w:rsid w:val="46E666CD"/>
    <w:rsid w:val="46E82445"/>
    <w:rsid w:val="46EB6657"/>
    <w:rsid w:val="46EC0BEC"/>
    <w:rsid w:val="46EE37D3"/>
    <w:rsid w:val="46F54B62"/>
    <w:rsid w:val="46F67875"/>
    <w:rsid w:val="46F801AE"/>
    <w:rsid w:val="46F96400"/>
    <w:rsid w:val="46FF32EA"/>
    <w:rsid w:val="46FF778E"/>
    <w:rsid w:val="47044DA5"/>
    <w:rsid w:val="47060B1D"/>
    <w:rsid w:val="47061B1E"/>
    <w:rsid w:val="47084895"/>
    <w:rsid w:val="47092F16"/>
    <w:rsid w:val="470D4FF2"/>
    <w:rsid w:val="4710374A"/>
    <w:rsid w:val="4712301E"/>
    <w:rsid w:val="47171A69"/>
    <w:rsid w:val="47190850"/>
    <w:rsid w:val="471A45C8"/>
    <w:rsid w:val="471A6376"/>
    <w:rsid w:val="471F573B"/>
    <w:rsid w:val="472114B3"/>
    <w:rsid w:val="47213261"/>
    <w:rsid w:val="472351FF"/>
    <w:rsid w:val="47242D51"/>
    <w:rsid w:val="47264D1B"/>
    <w:rsid w:val="47290367"/>
    <w:rsid w:val="472965B9"/>
    <w:rsid w:val="472B0583"/>
    <w:rsid w:val="472B2331"/>
    <w:rsid w:val="472B40E0"/>
    <w:rsid w:val="47317771"/>
    <w:rsid w:val="47321912"/>
    <w:rsid w:val="47347438"/>
    <w:rsid w:val="47381C65"/>
    <w:rsid w:val="473833E7"/>
    <w:rsid w:val="47396823"/>
    <w:rsid w:val="473A4323"/>
    <w:rsid w:val="473D6855"/>
    <w:rsid w:val="4740402F"/>
    <w:rsid w:val="474433F3"/>
    <w:rsid w:val="474451A1"/>
    <w:rsid w:val="47460F19"/>
    <w:rsid w:val="474B797A"/>
    <w:rsid w:val="474D22A8"/>
    <w:rsid w:val="47503B46"/>
    <w:rsid w:val="47507FEA"/>
    <w:rsid w:val="47523D62"/>
    <w:rsid w:val="475353E4"/>
    <w:rsid w:val="47543636"/>
    <w:rsid w:val="47574ED5"/>
    <w:rsid w:val="475A2C17"/>
    <w:rsid w:val="475C698F"/>
    <w:rsid w:val="475E522F"/>
    <w:rsid w:val="47611F43"/>
    <w:rsid w:val="47653E41"/>
    <w:rsid w:val="476615BC"/>
    <w:rsid w:val="47683A8C"/>
    <w:rsid w:val="476870E2"/>
    <w:rsid w:val="476D294A"/>
    <w:rsid w:val="476D5EBB"/>
    <w:rsid w:val="476F0470"/>
    <w:rsid w:val="47705F96"/>
    <w:rsid w:val="47711558"/>
    <w:rsid w:val="47721D0E"/>
    <w:rsid w:val="47723768"/>
    <w:rsid w:val="47737835"/>
    <w:rsid w:val="47745A86"/>
    <w:rsid w:val="47767A51"/>
    <w:rsid w:val="477A0BC3"/>
    <w:rsid w:val="477B5067"/>
    <w:rsid w:val="477C0DDF"/>
    <w:rsid w:val="477C2B8D"/>
    <w:rsid w:val="477C493B"/>
    <w:rsid w:val="4780267D"/>
    <w:rsid w:val="4783216D"/>
    <w:rsid w:val="47833F1C"/>
    <w:rsid w:val="47887784"/>
    <w:rsid w:val="478D5BF4"/>
    <w:rsid w:val="478F0B12"/>
    <w:rsid w:val="479003E6"/>
    <w:rsid w:val="47941C85"/>
    <w:rsid w:val="47944EF6"/>
    <w:rsid w:val="47953C4F"/>
    <w:rsid w:val="4797193C"/>
    <w:rsid w:val="479779C7"/>
    <w:rsid w:val="4799373F"/>
    <w:rsid w:val="479954ED"/>
    <w:rsid w:val="4799729B"/>
    <w:rsid w:val="479A3D49"/>
    <w:rsid w:val="479E0D55"/>
    <w:rsid w:val="479E48B1"/>
    <w:rsid w:val="47A112C4"/>
    <w:rsid w:val="47A143A2"/>
    <w:rsid w:val="47A44213"/>
    <w:rsid w:val="47A520E4"/>
    <w:rsid w:val="47A67C0A"/>
    <w:rsid w:val="47A83982"/>
    <w:rsid w:val="47A85730"/>
    <w:rsid w:val="47AB6FCE"/>
    <w:rsid w:val="47AE7F11"/>
    <w:rsid w:val="47AF6ABF"/>
    <w:rsid w:val="47B02837"/>
    <w:rsid w:val="47B24801"/>
    <w:rsid w:val="47B464F3"/>
    <w:rsid w:val="47B642F1"/>
    <w:rsid w:val="47B6609F"/>
    <w:rsid w:val="47B76829"/>
    <w:rsid w:val="47B82F6D"/>
    <w:rsid w:val="47B95B8F"/>
    <w:rsid w:val="47BA1BF2"/>
    <w:rsid w:val="47BC11DC"/>
    <w:rsid w:val="47BC742D"/>
    <w:rsid w:val="47BE4F54"/>
    <w:rsid w:val="47C02A7A"/>
    <w:rsid w:val="47C043CC"/>
    <w:rsid w:val="47C307BC"/>
    <w:rsid w:val="47C3256A"/>
    <w:rsid w:val="47C87B80"/>
    <w:rsid w:val="47CA38F8"/>
    <w:rsid w:val="47D12ED9"/>
    <w:rsid w:val="47D14C87"/>
    <w:rsid w:val="47D42E07"/>
    <w:rsid w:val="47D66266"/>
    <w:rsid w:val="47D86283"/>
    <w:rsid w:val="47D9353C"/>
    <w:rsid w:val="47DC362C"/>
    <w:rsid w:val="47DD66CD"/>
    <w:rsid w:val="47DD756D"/>
    <w:rsid w:val="47E26E94"/>
    <w:rsid w:val="47E2796E"/>
    <w:rsid w:val="47E54F55"/>
    <w:rsid w:val="47E97841"/>
    <w:rsid w:val="47EC382A"/>
    <w:rsid w:val="47ED09A2"/>
    <w:rsid w:val="47ED75E7"/>
    <w:rsid w:val="47F210A1"/>
    <w:rsid w:val="47F40975"/>
    <w:rsid w:val="47F646ED"/>
    <w:rsid w:val="47F941DE"/>
    <w:rsid w:val="47FA3E97"/>
    <w:rsid w:val="47FB1D04"/>
    <w:rsid w:val="47FE17F4"/>
    <w:rsid w:val="47FE50D5"/>
    <w:rsid w:val="47FE7A46"/>
    <w:rsid w:val="47FF0A27"/>
    <w:rsid w:val="4800556C"/>
    <w:rsid w:val="48030BB8"/>
    <w:rsid w:val="4803505C"/>
    <w:rsid w:val="48054931"/>
    <w:rsid w:val="4806542F"/>
    <w:rsid w:val="480706A9"/>
    <w:rsid w:val="480762A7"/>
    <w:rsid w:val="48082673"/>
    <w:rsid w:val="480A1F47"/>
    <w:rsid w:val="480A63EB"/>
    <w:rsid w:val="480C3F11"/>
    <w:rsid w:val="48111527"/>
    <w:rsid w:val="48117779"/>
    <w:rsid w:val="48141018"/>
    <w:rsid w:val="48147269"/>
    <w:rsid w:val="481608EC"/>
    <w:rsid w:val="48162AF3"/>
    <w:rsid w:val="48177CEE"/>
    <w:rsid w:val="481903DC"/>
    <w:rsid w:val="481B05F8"/>
    <w:rsid w:val="481B4154"/>
    <w:rsid w:val="481B6F86"/>
    <w:rsid w:val="481C1C7A"/>
    <w:rsid w:val="481E1E96"/>
    <w:rsid w:val="481E59F2"/>
    <w:rsid w:val="481F6480"/>
    <w:rsid w:val="4820176A"/>
    <w:rsid w:val="482254E2"/>
    <w:rsid w:val="482374AD"/>
    <w:rsid w:val="48291C18"/>
    <w:rsid w:val="482A083B"/>
    <w:rsid w:val="482F7BFF"/>
    <w:rsid w:val="48303FF4"/>
    <w:rsid w:val="48313978"/>
    <w:rsid w:val="483337FA"/>
    <w:rsid w:val="483376F0"/>
    <w:rsid w:val="483506A6"/>
    <w:rsid w:val="48390A7E"/>
    <w:rsid w:val="483B47F6"/>
    <w:rsid w:val="483D056E"/>
    <w:rsid w:val="483E5A6A"/>
    <w:rsid w:val="483E7E42"/>
    <w:rsid w:val="4845350F"/>
    <w:rsid w:val="484713ED"/>
    <w:rsid w:val="48474F49"/>
    <w:rsid w:val="48482A6F"/>
    <w:rsid w:val="484C07B1"/>
    <w:rsid w:val="484C255F"/>
    <w:rsid w:val="484C6E22"/>
    <w:rsid w:val="484F02A2"/>
    <w:rsid w:val="48515DC8"/>
    <w:rsid w:val="485338EE"/>
    <w:rsid w:val="485B27A2"/>
    <w:rsid w:val="485F3794"/>
    <w:rsid w:val="486024AF"/>
    <w:rsid w:val="486414CE"/>
    <w:rsid w:val="48651873"/>
    <w:rsid w:val="48684EBF"/>
    <w:rsid w:val="48691363"/>
    <w:rsid w:val="486A6E89"/>
    <w:rsid w:val="486D5881"/>
    <w:rsid w:val="486E0728"/>
    <w:rsid w:val="48710218"/>
    <w:rsid w:val="48761B9A"/>
    <w:rsid w:val="48767934"/>
    <w:rsid w:val="48783354"/>
    <w:rsid w:val="487A051B"/>
    <w:rsid w:val="487D4E0F"/>
    <w:rsid w:val="487D6BBD"/>
    <w:rsid w:val="48815B25"/>
    <w:rsid w:val="4884619D"/>
    <w:rsid w:val="48847F4B"/>
    <w:rsid w:val="488717E9"/>
    <w:rsid w:val="48872B1F"/>
    <w:rsid w:val="48897310"/>
    <w:rsid w:val="488E0DCA"/>
    <w:rsid w:val="489363E0"/>
    <w:rsid w:val="48961FF5"/>
    <w:rsid w:val="489A151D"/>
    <w:rsid w:val="489A776F"/>
    <w:rsid w:val="489B34E7"/>
    <w:rsid w:val="489F2FD7"/>
    <w:rsid w:val="48A24875"/>
    <w:rsid w:val="48A25DD0"/>
    <w:rsid w:val="48A44149"/>
    <w:rsid w:val="48A6009B"/>
    <w:rsid w:val="48AA54D8"/>
    <w:rsid w:val="48AC2FFE"/>
    <w:rsid w:val="48AC74A2"/>
    <w:rsid w:val="48AE4FC8"/>
    <w:rsid w:val="48AE6D76"/>
    <w:rsid w:val="48B01D2B"/>
    <w:rsid w:val="48B028BF"/>
    <w:rsid w:val="48B14AB8"/>
    <w:rsid w:val="48B3438D"/>
    <w:rsid w:val="48B52FCC"/>
    <w:rsid w:val="48B819A3"/>
    <w:rsid w:val="48B85E47"/>
    <w:rsid w:val="48BE7E69"/>
    <w:rsid w:val="48BF5427"/>
    <w:rsid w:val="48C7608A"/>
    <w:rsid w:val="48C90054"/>
    <w:rsid w:val="48C92B1C"/>
    <w:rsid w:val="48C93BB0"/>
    <w:rsid w:val="48CC544E"/>
    <w:rsid w:val="48CE11C6"/>
    <w:rsid w:val="48D013E2"/>
    <w:rsid w:val="48D32C81"/>
    <w:rsid w:val="48D350D6"/>
    <w:rsid w:val="48D569F9"/>
    <w:rsid w:val="48D60C67"/>
    <w:rsid w:val="48D80297"/>
    <w:rsid w:val="48DB1B35"/>
    <w:rsid w:val="48DB38E3"/>
    <w:rsid w:val="48DC7D87"/>
    <w:rsid w:val="48DD2962"/>
    <w:rsid w:val="48E00EFA"/>
    <w:rsid w:val="48E1539E"/>
    <w:rsid w:val="48E50F34"/>
    <w:rsid w:val="48EB1D78"/>
    <w:rsid w:val="48EB7FCA"/>
    <w:rsid w:val="48EC5C6C"/>
    <w:rsid w:val="48EE1869"/>
    <w:rsid w:val="48EE3617"/>
    <w:rsid w:val="48EE7ABB"/>
    <w:rsid w:val="48EF5006"/>
    <w:rsid w:val="48F21359"/>
    <w:rsid w:val="48F350D1"/>
    <w:rsid w:val="48F74BC1"/>
    <w:rsid w:val="48FC3F85"/>
    <w:rsid w:val="48FD7CFE"/>
    <w:rsid w:val="48FF3A76"/>
    <w:rsid w:val="49070FFA"/>
    <w:rsid w:val="4907292A"/>
    <w:rsid w:val="490746D8"/>
    <w:rsid w:val="491017DF"/>
    <w:rsid w:val="49107A31"/>
    <w:rsid w:val="491237A9"/>
    <w:rsid w:val="491465B8"/>
    <w:rsid w:val="49170DBF"/>
    <w:rsid w:val="491868E5"/>
    <w:rsid w:val="49197859"/>
    <w:rsid w:val="491A08B0"/>
    <w:rsid w:val="491A265E"/>
    <w:rsid w:val="491B6405"/>
    <w:rsid w:val="491C4628"/>
    <w:rsid w:val="491C63D6"/>
    <w:rsid w:val="491F1A22"/>
    <w:rsid w:val="49260D69"/>
    <w:rsid w:val="49290AF3"/>
    <w:rsid w:val="492928A1"/>
    <w:rsid w:val="4929464F"/>
    <w:rsid w:val="492A2614"/>
    <w:rsid w:val="492B4393"/>
    <w:rsid w:val="492C5CCF"/>
    <w:rsid w:val="492E7EB7"/>
    <w:rsid w:val="493014BE"/>
    <w:rsid w:val="49301E81"/>
    <w:rsid w:val="49347D6A"/>
    <w:rsid w:val="493556E9"/>
    <w:rsid w:val="49380D36"/>
    <w:rsid w:val="49382AE4"/>
    <w:rsid w:val="49396F88"/>
    <w:rsid w:val="493A685C"/>
    <w:rsid w:val="493B1870"/>
    <w:rsid w:val="49417BEA"/>
    <w:rsid w:val="49425710"/>
    <w:rsid w:val="49441489"/>
    <w:rsid w:val="494476DB"/>
    <w:rsid w:val="49490BB1"/>
    <w:rsid w:val="494B36B3"/>
    <w:rsid w:val="494B6CBB"/>
    <w:rsid w:val="494F67AB"/>
    <w:rsid w:val="49523BA5"/>
    <w:rsid w:val="49543DC1"/>
    <w:rsid w:val="495518E8"/>
    <w:rsid w:val="4957740E"/>
    <w:rsid w:val="49581B1D"/>
    <w:rsid w:val="495A5150"/>
    <w:rsid w:val="495C2C76"/>
    <w:rsid w:val="495C4298"/>
    <w:rsid w:val="495D0CB3"/>
    <w:rsid w:val="495E69EE"/>
    <w:rsid w:val="495F4514"/>
    <w:rsid w:val="49634005"/>
    <w:rsid w:val="496438D9"/>
    <w:rsid w:val="49663AF5"/>
    <w:rsid w:val="49665E60"/>
    <w:rsid w:val="49675177"/>
    <w:rsid w:val="4968161B"/>
    <w:rsid w:val="49690EEF"/>
    <w:rsid w:val="49692915"/>
    <w:rsid w:val="496A3DE1"/>
    <w:rsid w:val="496D6C31"/>
    <w:rsid w:val="496E6505"/>
    <w:rsid w:val="496F0BFB"/>
    <w:rsid w:val="496F29A9"/>
    <w:rsid w:val="497004D0"/>
    <w:rsid w:val="49755AE6"/>
    <w:rsid w:val="49785E98"/>
    <w:rsid w:val="497908A0"/>
    <w:rsid w:val="49792F60"/>
    <w:rsid w:val="49793828"/>
    <w:rsid w:val="497C50C6"/>
    <w:rsid w:val="497D499A"/>
    <w:rsid w:val="49804BB7"/>
    <w:rsid w:val="498521CD"/>
    <w:rsid w:val="49861AA1"/>
    <w:rsid w:val="49863D09"/>
    <w:rsid w:val="49885819"/>
    <w:rsid w:val="4989217A"/>
    <w:rsid w:val="498B70B7"/>
    <w:rsid w:val="498D1081"/>
    <w:rsid w:val="498E6BA8"/>
    <w:rsid w:val="49900B72"/>
    <w:rsid w:val="49942410"/>
    <w:rsid w:val="49971F00"/>
    <w:rsid w:val="499769D5"/>
    <w:rsid w:val="499917D4"/>
    <w:rsid w:val="49992198"/>
    <w:rsid w:val="499A72FA"/>
    <w:rsid w:val="499E328F"/>
    <w:rsid w:val="499E503D"/>
    <w:rsid w:val="49A07007"/>
    <w:rsid w:val="49A121F2"/>
    <w:rsid w:val="49A24972"/>
    <w:rsid w:val="49A32653"/>
    <w:rsid w:val="49A93150"/>
    <w:rsid w:val="49AB59AC"/>
    <w:rsid w:val="49AB5F02"/>
    <w:rsid w:val="49AB775A"/>
    <w:rsid w:val="49AD6EB4"/>
    <w:rsid w:val="49AE005F"/>
    <w:rsid w:val="49AE2DA6"/>
    <w:rsid w:val="49B1185E"/>
    <w:rsid w:val="49B20AE8"/>
    <w:rsid w:val="49B303BC"/>
    <w:rsid w:val="49B4660E"/>
    <w:rsid w:val="49B74350"/>
    <w:rsid w:val="49BB5BEF"/>
    <w:rsid w:val="49BE2139"/>
    <w:rsid w:val="49BF6D61"/>
    <w:rsid w:val="49C16F7D"/>
    <w:rsid w:val="49C27C4A"/>
    <w:rsid w:val="49C600F0"/>
    <w:rsid w:val="49C64593"/>
    <w:rsid w:val="49C8030C"/>
    <w:rsid w:val="49CA4084"/>
    <w:rsid w:val="49CA5E32"/>
    <w:rsid w:val="49CA7BE0"/>
    <w:rsid w:val="49CB0A20"/>
    <w:rsid w:val="49CB1BAA"/>
    <w:rsid w:val="49CC38CD"/>
    <w:rsid w:val="49CD5922"/>
    <w:rsid w:val="49CE40BD"/>
    <w:rsid w:val="49D071C0"/>
    <w:rsid w:val="49D15412"/>
    <w:rsid w:val="49D651CE"/>
    <w:rsid w:val="49D767A1"/>
    <w:rsid w:val="49DB003F"/>
    <w:rsid w:val="49DE18DD"/>
    <w:rsid w:val="49DE7B2F"/>
    <w:rsid w:val="49E35145"/>
    <w:rsid w:val="49E60786"/>
    <w:rsid w:val="49E712B8"/>
    <w:rsid w:val="49EA2030"/>
    <w:rsid w:val="49ED1B20"/>
    <w:rsid w:val="49ED38CE"/>
    <w:rsid w:val="49ED44FE"/>
    <w:rsid w:val="49ED5F91"/>
    <w:rsid w:val="49ED7D72"/>
    <w:rsid w:val="49F11610"/>
    <w:rsid w:val="49F30518"/>
    <w:rsid w:val="49F44C5D"/>
    <w:rsid w:val="49F66C27"/>
    <w:rsid w:val="49F7299F"/>
    <w:rsid w:val="49F9481C"/>
    <w:rsid w:val="49FA3228"/>
    <w:rsid w:val="49FB2C9D"/>
    <w:rsid w:val="49FE539A"/>
    <w:rsid w:val="4A02617A"/>
    <w:rsid w:val="4A0330F2"/>
    <w:rsid w:val="4A05330E"/>
    <w:rsid w:val="4A0D4DC1"/>
    <w:rsid w:val="4A0F7CE8"/>
    <w:rsid w:val="4A111487"/>
    <w:rsid w:val="4A123335"/>
    <w:rsid w:val="4A177E3E"/>
    <w:rsid w:val="4A183041"/>
    <w:rsid w:val="4A1E7F2C"/>
    <w:rsid w:val="4A201EF6"/>
    <w:rsid w:val="4A225C6E"/>
    <w:rsid w:val="4A235542"/>
    <w:rsid w:val="4A253068"/>
    <w:rsid w:val="4A253878"/>
    <w:rsid w:val="4A2B43F6"/>
    <w:rsid w:val="4A2B6732"/>
    <w:rsid w:val="4A2F3EE7"/>
    <w:rsid w:val="4A301A0D"/>
    <w:rsid w:val="4A315EB1"/>
    <w:rsid w:val="4A325785"/>
    <w:rsid w:val="4A3414FD"/>
    <w:rsid w:val="4A3634C7"/>
    <w:rsid w:val="4A3847B0"/>
    <w:rsid w:val="4A3D12CF"/>
    <w:rsid w:val="4A3D2AA8"/>
    <w:rsid w:val="4A3F772C"/>
    <w:rsid w:val="4A421E6C"/>
    <w:rsid w:val="4A422252"/>
    <w:rsid w:val="4A4431E9"/>
    <w:rsid w:val="4A45195C"/>
    <w:rsid w:val="4A45370A"/>
    <w:rsid w:val="4A492B02"/>
    <w:rsid w:val="4A4B6C9D"/>
    <w:rsid w:val="4A4C6847"/>
    <w:rsid w:val="4A4D0811"/>
    <w:rsid w:val="4A4F6337"/>
    <w:rsid w:val="4A507800"/>
    <w:rsid w:val="4A510301"/>
    <w:rsid w:val="4A534FD8"/>
    <w:rsid w:val="4A557082"/>
    <w:rsid w:val="4A5676C5"/>
    <w:rsid w:val="4A573306"/>
    <w:rsid w:val="4A58343D"/>
    <w:rsid w:val="4A584C12"/>
    <w:rsid w:val="4A5B2F2E"/>
    <w:rsid w:val="4A5D6DF6"/>
    <w:rsid w:val="4A5E2A1E"/>
    <w:rsid w:val="4A5E657A"/>
    <w:rsid w:val="4A606796"/>
    <w:rsid w:val="4A633B90"/>
    <w:rsid w:val="4A655B5A"/>
    <w:rsid w:val="4A657908"/>
    <w:rsid w:val="4A6603DD"/>
    <w:rsid w:val="4A6718D3"/>
    <w:rsid w:val="4A69389D"/>
    <w:rsid w:val="4A6A13C3"/>
    <w:rsid w:val="4A6B73A4"/>
    <w:rsid w:val="4A6C513B"/>
    <w:rsid w:val="4A6E0EB3"/>
    <w:rsid w:val="4A6E7668"/>
    <w:rsid w:val="4A6F4C2B"/>
    <w:rsid w:val="4A725F62"/>
    <w:rsid w:val="4A730277"/>
    <w:rsid w:val="4A783AE0"/>
    <w:rsid w:val="4A78588E"/>
    <w:rsid w:val="4A7A7858"/>
    <w:rsid w:val="4A7B537E"/>
    <w:rsid w:val="4A7D2EA4"/>
    <w:rsid w:val="4A7F4E6E"/>
    <w:rsid w:val="4A803889"/>
    <w:rsid w:val="4A897A9B"/>
    <w:rsid w:val="4A8A55C1"/>
    <w:rsid w:val="4A8F0E29"/>
    <w:rsid w:val="4A970E0D"/>
    <w:rsid w:val="4A987CDE"/>
    <w:rsid w:val="4A9B77CE"/>
    <w:rsid w:val="4AA04DE4"/>
    <w:rsid w:val="4AA541A9"/>
    <w:rsid w:val="4AAB17DF"/>
    <w:rsid w:val="4AAD40FF"/>
    <w:rsid w:val="4AAE7501"/>
    <w:rsid w:val="4AAF6DD6"/>
    <w:rsid w:val="4AB03279"/>
    <w:rsid w:val="4AB07EAF"/>
    <w:rsid w:val="4AB10DA0"/>
    <w:rsid w:val="4AB205CA"/>
    <w:rsid w:val="4AB34B18"/>
    <w:rsid w:val="4ABC719B"/>
    <w:rsid w:val="4AC24D5B"/>
    <w:rsid w:val="4AC42881"/>
    <w:rsid w:val="4AC72371"/>
    <w:rsid w:val="4ACB00B3"/>
    <w:rsid w:val="4ACC5BD9"/>
    <w:rsid w:val="4ACE54AE"/>
    <w:rsid w:val="4AD257EA"/>
    <w:rsid w:val="4AD75C2B"/>
    <w:rsid w:val="4AD8632C"/>
    <w:rsid w:val="4AD93E52"/>
    <w:rsid w:val="4ADF597A"/>
    <w:rsid w:val="4AE178D7"/>
    <w:rsid w:val="4AE20F59"/>
    <w:rsid w:val="4AE271AB"/>
    <w:rsid w:val="4AE9678B"/>
    <w:rsid w:val="4AEB42B2"/>
    <w:rsid w:val="4AEC002A"/>
    <w:rsid w:val="4AF34F14"/>
    <w:rsid w:val="4AF511B4"/>
    <w:rsid w:val="4AF5379C"/>
    <w:rsid w:val="4AF55130"/>
    <w:rsid w:val="4AF75215"/>
    <w:rsid w:val="4AF8077D"/>
    <w:rsid w:val="4AFD3FE5"/>
    <w:rsid w:val="4AFD5D93"/>
    <w:rsid w:val="4AFF1B0B"/>
    <w:rsid w:val="4AFF5FAF"/>
    <w:rsid w:val="4B0233A9"/>
    <w:rsid w:val="4B040E73"/>
    <w:rsid w:val="4B054806"/>
    <w:rsid w:val="4B0B6702"/>
    <w:rsid w:val="4B0D06CC"/>
    <w:rsid w:val="4B0D743B"/>
    <w:rsid w:val="4B0E73A1"/>
    <w:rsid w:val="4B14473D"/>
    <w:rsid w:val="4B1530DD"/>
    <w:rsid w:val="4B157580"/>
    <w:rsid w:val="4B1650A7"/>
    <w:rsid w:val="4B176A2C"/>
    <w:rsid w:val="4B187071"/>
    <w:rsid w:val="4B192D8F"/>
    <w:rsid w:val="4B1B26BD"/>
    <w:rsid w:val="4B1D6435"/>
    <w:rsid w:val="4B1F21AD"/>
    <w:rsid w:val="4B223A4B"/>
    <w:rsid w:val="4B235083"/>
    <w:rsid w:val="4B2477C4"/>
    <w:rsid w:val="4B257098"/>
    <w:rsid w:val="4B280A75"/>
    <w:rsid w:val="4B29302C"/>
    <w:rsid w:val="4B2B6DA4"/>
    <w:rsid w:val="4B2C6678"/>
    <w:rsid w:val="4B2E23F0"/>
    <w:rsid w:val="4B306168"/>
    <w:rsid w:val="4B315A3D"/>
    <w:rsid w:val="4B322741"/>
    <w:rsid w:val="4B323DAD"/>
    <w:rsid w:val="4B3317B5"/>
    <w:rsid w:val="4B3519FA"/>
    <w:rsid w:val="4B35377F"/>
    <w:rsid w:val="4B375749"/>
    <w:rsid w:val="4B3774F7"/>
    <w:rsid w:val="4B3C4B0D"/>
    <w:rsid w:val="4B3D0885"/>
    <w:rsid w:val="4B3D2633"/>
    <w:rsid w:val="4B404E9B"/>
    <w:rsid w:val="4B4237BB"/>
    <w:rsid w:val="4B450535"/>
    <w:rsid w:val="4B45613C"/>
    <w:rsid w:val="4B4614E8"/>
    <w:rsid w:val="4B4B11F4"/>
    <w:rsid w:val="4B4B6AFE"/>
    <w:rsid w:val="4B4D612E"/>
    <w:rsid w:val="4B4E2A92"/>
    <w:rsid w:val="4B524331"/>
    <w:rsid w:val="4B5300A9"/>
    <w:rsid w:val="4B5A1437"/>
    <w:rsid w:val="4B5A31E5"/>
    <w:rsid w:val="4B5F6A4E"/>
    <w:rsid w:val="4B622F4D"/>
    <w:rsid w:val="4B62516E"/>
    <w:rsid w:val="4B645E12"/>
    <w:rsid w:val="4B661B8A"/>
    <w:rsid w:val="4B67567C"/>
    <w:rsid w:val="4B683B54"/>
    <w:rsid w:val="4B6978CC"/>
    <w:rsid w:val="4B6B71A0"/>
    <w:rsid w:val="4B6C0448"/>
    <w:rsid w:val="4B6C3558"/>
    <w:rsid w:val="4B6C64B9"/>
    <w:rsid w:val="4B6E4EE3"/>
    <w:rsid w:val="4B7007A8"/>
    <w:rsid w:val="4B7365E9"/>
    <w:rsid w:val="4B756271"/>
    <w:rsid w:val="4B7818BD"/>
    <w:rsid w:val="4B794E7A"/>
    <w:rsid w:val="4B797B0F"/>
    <w:rsid w:val="4B7A5635"/>
    <w:rsid w:val="4B7A73E4"/>
    <w:rsid w:val="4B7C7600"/>
    <w:rsid w:val="4B810772"/>
    <w:rsid w:val="4B842010"/>
    <w:rsid w:val="4B885FA4"/>
    <w:rsid w:val="4B887D52"/>
    <w:rsid w:val="4B8B339F"/>
    <w:rsid w:val="4B8D35BB"/>
    <w:rsid w:val="4B8D7117"/>
    <w:rsid w:val="4B8E10E1"/>
    <w:rsid w:val="4B906C07"/>
    <w:rsid w:val="4B911AF6"/>
    <w:rsid w:val="4B9153E2"/>
    <w:rsid w:val="4B9404AC"/>
    <w:rsid w:val="4B971D44"/>
    <w:rsid w:val="4B977F95"/>
    <w:rsid w:val="4B983D0E"/>
    <w:rsid w:val="4B985ABC"/>
    <w:rsid w:val="4B992729"/>
    <w:rsid w:val="4B9C03C6"/>
    <w:rsid w:val="4B9C1A50"/>
    <w:rsid w:val="4B9E7576"/>
    <w:rsid w:val="4BA95F1B"/>
    <w:rsid w:val="4BAD1567"/>
    <w:rsid w:val="4BB072A9"/>
    <w:rsid w:val="4BB66672"/>
    <w:rsid w:val="4BB70638"/>
    <w:rsid w:val="4BB8430B"/>
    <w:rsid w:val="4BB9615E"/>
    <w:rsid w:val="4BBE0F5B"/>
    <w:rsid w:val="4BBE3774"/>
    <w:rsid w:val="4BBF129A"/>
    <w:rsid w:val="4BC0573E"/>
    <w:rsid w:val="4BC32003"/>
    <w:rsid w:val="4BC32B39"/>
    <w:rsid w:val="4BC82845"/>
    <w:rsid w:val="4BC84812"/>
    <w:rsid w:val="4BCB40E3"/>
    <w:rsid w:val="4BCE772F"/>
    <w:rsid w:val="4BD016F9"/>
    <w:rsid w:val="4BD25472"/>
    <w:rsid w:val="4BD27836"/>
    <w:rsid w:val="4BD44D46"/>
    <w:rsid w:val="4BD50ABE"/>
    <w:rsid w:val="4BDE3E16"/>
    <w:rsid w:val="4BDE7972"/>
    <w:rsid w:val="4BE3142D"/>
    <w:rsid w:val="4BE35B4B"/>
    <w:rsid w:val="4BE66C5C"/>
    <w:rsid w:val="4BE86A43"/>
    <w:rsid w:val="4BE96317"/>
    <w:rsid w:val="4BEB12ED"/>
    <w:rsid w:val="4BEB6533"/>
    <w:rsid w:val="4BF14CD7"/>
    <w:rsid w:val="4BF14E5C"/>
    <w:rsid w:val="4BF235D4"/>
    <w:rsid w:val="4BF338A9"/>
    <w:rsid w:val="4BF40438"/>
    <w:rsid w:val="4BF442CE"/>
    <w:rsid w:val="4BF54DBF"/>
    <w:rsid w:val="4BF6455A"/>
    <w:rsid w:val="4BF74ED8"/>
    <w:rsid w:val="4BFA22D2"/>
    <w:rsid w:val="4BFC604B"/>
    <w:rsid w:val="4C041E93"/>
    <w:rsid w:val="4C0513A3"/>
    <w:rsid w:val="4C082C41"/>
    <w:rsid w:val="4C0A0767"/>
    <w:rsid w:val="4C0A4C0B"/>
    <w:rsid w:val="4C0B44E0"/>
    <w:rsid w:val="4C143394"/>
    <w:rsid w:val="4C1A4723"/>
    <w:rsid w:val="4C1B2975"/>
    <w:rsid w:val="4C1C049B"/>
    <w:rsid w:val="4C1E06B7"/>
    <w:rsid w:val="4C1E2465"/>
    <w:rsid w:val="4C2061DD"/>
    <w:rsid w:val="4C207F8B"/>
    <w:rsid w:val="4C213D03"/>
    <w:rsid w:val="4C234753"/>
    <w:rsid w:val="4C240ED6"/>
    <w:rsid w:val="4C261319"/>
    <w:rsid w:val="4C2832E3"/>
    <w:rsid w:val="4C286E40"/>
    <w:rsid w:val="4C2C72E7"/>
    <w:rsid w:val="4C303F46"/>
    <w:rsid w:val="4C3C0B3D"/>
    <w:rsid w:val="4C3E6663"/>
    <w:rsid w:val="4C455C43"/>
    <w:rsid w:val="4C4579F1"/>
    <w:rsid w:val="4C46376A"/>
    <w:rsid w:val="4C4D4AF8"/>
    <w:rsid w:val="4C4D68A6"/>
    <w:rsid w:val="4C4F261E"/>
    <w:rsid w:val="4C5145E8"/>
    <w:rsid w:val="4C516396"/>
    <w:rsid w:val="4C52210E"/>
    <w:rsid w:val="4C545E87"/>
    <w:rsid w:val="4C561BFF"/>
    <w:rsid w:val="4C59524B"/>
    <w:rsid w:val="4C5B5467"/>
    <w:rsid w:val="4C5E4F57"/>
    <w:rsid w:val="4C63431C"/>
    <w:rsid w:val="4C6A36A5"/>
    <w:rsid w:val="4C6C1422"/>
    <w:rsid w:val="4C6D0CF6"/>
    <w:rsid w:val="4C6D519A"/>
    <w:rsid w:val="4C6D6F48"/>
    <w:rsid w:val="4C714C8A"/>
    <w:rsid w:val="4C72630D"/>
    <w:rsid w:val="4C7327B1"/>
    <w:rsid w:val="4C7622A1"/>
    <w:rsid w:val="4C78370F"/>
    <w:rsid w:val="4C793B3F"/>
    <w:rsid w:val="4C7B1665"/>
    <w:rsid w:val="4C83676C"/>
    <w:rsid w:val="4C845752"/>
    <w:rsid w:val="4C851DD6"/>
    <w:rsid w:val="4C8524E4"/>
    <w:rsid w:val="4C88625F"/>
    <w:rsid w:val="4C8A18A8"/>
    <w:rsid w:val="4C8C3872"/>
    <w:rsid w:val="4C8C5620"/>
    <w:rsid w:val="4C91592D"/>
    <w:rsid w:val="4C940979"/>
    <w:rsid w:val="4C96024D"/>
    <w:rsid w:val="4C96649F"/>
    <w:rsid w:val="4C997D3D"/>
    <w:rsid w:val="4C9B03A8"/>
    <w:rsid w:val="4C9D5A7F"/>
    <w:rsid w:val="4C9D782D"/>
    <w:rsid w:val="4CA24E44"/>
    <w:rsid w:val="4CA54934"/>
    <w:rsid w:val="4CA566E2"/>
    <w:rsid w:val="4CAA019C"/>
    <w:rsid w:val="4CAA210E"/>
    <w:rsid w:val="4CAC181F"/>
    <w:rsid w:val="4CAE1A3B"/>
    <w:rsid w:val="4CAF130F"/>
    <w:rsid w:val="4CB2203E"/>
    <w:rsid w:val="4CB37051"/>
    <w:rsid w:val="4CB46925"/>
    <w:rsid w:val="4CB5339B"/>
    <w:rsid w:val="4CB6269D"/>
    <w:rsid w:val="4CB86DF3"/>
    <w:rsid w:val="4CBA03DF"/>
    <w:rsid w:val="4CBB0017"/>
    <w:rsid w:val="4CBB4158"/>
    <w:rsid w:val="4CBD57DA"/>
    <w:rsid w:val="4CC0351C"/>
    <w:rsid w:val="4CC34DBA"/>
    <w:rsid w:val="4CC50B32"/>
    <w:rsid w:val="4CC530DC"/>
    <w:rsid w:val="4CCE5C39"/>
    <w:rsid w:val="4CCF375F"/>
    <w:rsid w:val="4CCF550D"/>
    <w:rsid w:val="4CD3324F"/>
    <w:rsid w:val="4CD55219"/>
    <w:rsid w:val="4CDB4880"/>
    <w:rsid w:val="4CDD40CE"/>
    <w:rsid w:val="4CDF7E46"/>
    <w:rsid w:val="4CE23492"/>
    <w:rsid w:val="4CE511D4"/>
    <w:rsid w:val="4CE90CC5"/>
    <w:rsid w:val="4CE92A73"/>
    <w:rsid w:val="4CE94821"/>
    <w:rsid w:val="4CEA2347"/>
    <w:rsid w:val="4CEC4311"/>
    <w:rsid w:val="4CEE22E8"/>
    <w:rsid w:val="4CEF795D"/>
    <w:rsid w:val="4CF136D5"/>
    <w:rsid w:val="4CF3744D"/>
    <w:rsid w:val="4CF51418"/>
    <w:rsid w:val="4CF65190"/>
    <w:rsid w:val="4CFA6A2E"/>
    <w:rsid w:val="4CFB27A6"/>
    <w:rsid w:val="4CFB7873"/>
    <w:rsid w:val="4CFD02CC"/>
    <w:rsid w:val="4CFF46FD"/>
    <w:rsid w:val="4D007DBC"/>
    <w:rsid w:val="4D0257B7"/>
    <w:rsid w:val="4D04165B"/>
    <w:rsid w:val="4D096C71"/>
    <w:rsid w:val="4D0A29E9"/>
    <w:rsid w:val="4D0F1DAD"/>
    <w:rsid w:val="4D106251"/>
    <w:rsid w:val="4D16138E"/>
    <w:rsid w:val="4D162706"/>
    <w:rsid w:val="4D1B0752"/>
    <w:rsid w:val="4D1B4BF6"/>
    <w:rsid w:val="4D1B69A4"/>
    <w:rsid w:val="4D1D096E"/>
    <w:rsid w:val="4D2017B0"/>
    <w:rsid w:val="4D20220D"/>
    <w:rsid w:val="4D221A5E"/>
    <w:rsid w:val="4D2515D1"/>
    <w:rsid w:val="4D264D26"/>
    <w:rsid w:val="4D2717ED"/>
    <w:rsid w:val="4D2770F7"/>
    <w:rsid w:val="4D2910C1"/>
    <w:rsid w:val="4D292E6F"/>
    <w:rsid w:val="4D293D16"/>
    <w:rsid w:val="4D2A6BE7"/>
    <w:rsid w:val="4D2C28F2"/>
    <w:rsid w:val="4D2C5A95"/>
    <w:rsid w:val="4D2F1ADF"/>
    <w:rsid w:val="4D3006A2"/>
    <w:rsid w:val="4D330192"/>
    <w:rsid w:val="4D36739D"/>
    <w:rsid w:val="4D371F6E"/>
    <w:rsid w:val="4D397E04"/>
    <w:rsid w:val="4D3A1520"/>
    <w:rsid w:val="4D3A32CE"/>
    <w:rsid w:val="4D3C69D3"/>
    <w:rsid w:val="4D3D2DBF"/>
    <w:rsid w:val="4D3F08E5"/>
    <w:rsid w:val="4D415BF1"/>
    <w:rsid w:val="4D437B82"/>
    <w:rsid w:val="4D445EFB"/>
    <w:rsid w:val="4D461C73"/>
    <w:rsid w:val="4D467EC5"/>
    <w:rsid w:val="4D4863AE"/>
    <w:rsid w:val="4D4E28D6"/>
    <w:rsid w:val="4D4E3359"/>
    <w:rsid w:val="4D502AF2"/>
    <w:rsid w:val="4D5123C6"/>
    <w:rsid w:val="4D541496"/>
    <w:rsid w:val="4D583754"/>
    <w:rsid w:val="4D587BF8"/>
    <w:rsid w:val="4D5A127B"/>
    <w:rsid w:val="4D5B3007"/>
    <w:rsid w:val="4D5D0D6B"/>
    <w:rsid w:val="4D5F4AE3"/>
    <w:rsid w:val="4D616AAD"/>
    <w:rsid w:val="4D622825"/>
    <w:rsid w:val="4D64034B"/>
    <w:rsid w:val="4D6420F9"/>
    <w:rsid w:val="4D6604E2"/>
    <w:rsid w:val="4D695962"/>
    <w:rsid w:val="4D706CF0"/>
    <w:rsid w:val="4D7134F7"/>
    <w:rsid w:val="4D714816"/>
    <w:rsid w:val="4D720CBA"/>
    <w:rsid w:val="4D724B67"/>
    <w:rsid w:val="4D7A7B6F"/>
    <w:rsid w:val="4D7D65E7"/>
    <w:rsid w:val="4D7E21E3"/>
    <w:rsid w:val="4D7F63B0"/>
    <w:rsid w:val="4D83282D"/>
    <w:rsid w:val="4D850510"/>
    <w:rsid w:val="4D891B60"/>
    <w:rsid w:val="4D8C33FE"/>
    <w:rsid w:val="4D8E53C8"/>
    <w:rsid w:val="4D92310A"/>
    <w:rsid w:val="4D930C30"/>
    <w:rsid w:val="4D970721"/>
    <w:rsid w:val="4D986247"/>
    <w:rsid w:val="4D992CBB"/>
    <w:rsid w:val="4D9A6EA9"/>
    <w:rsid w:val="4D9E1AAF"/>
    <w:rsid w:val="4D9E6636"/>
    <w:rsid w:val="4D9F75D5"/>
    <w:rsid w:val="4DA1334D"/>
    <w:rsid w:val="4DA44BEC"/>
    <w:rsid w:val="4DA60964"/>
    <w:rsid w:val="4DA74D9E"/>
    <w:rsid w:val="4DA76772"/>
    <w:rsid w:val="4DA76E08"/>
    <w:rsid w:val="4DAB41CC"/>
    <w:rsid w:val="4DAB4B73"/>
    <w:rsid w:val="4DAB5F7A"/>
    <w:rsid w:val="4DAB7D28"/>
    <w:rsid w:val="4DAC584E"/>
    <w:rsid w:val="4DB03590"/>
    <w:rsid w:val="4DB12E65"/>
    <w:rsid w:val="4DB210B7"/>
    <w:rsid w:val="4DB52955"/>
    <w:rsid w:val="4DB91463"/>
    <w:rsid w:val="4DBC0187"/>
    <w:rsid w:val="4DBC3CE3"/>
    <w:rsid w:val="4DC1579E"/>
    <w:rsid w:val="4DC16D0B"/>
    <w:rsid w:val="4DC4528E"/>
    <w:rsid w:val="4DC62DB4"/>
    <w:rsid w:val="4DC90E55"/>
    <w:rsid w:val="4DC94652"/>
    <w:rsid w:val="4DC96CA8"/>
    <w:rsid w:val="4DD26CD8"/>
    <w:rsid w:val="4DD70B1D"/>
    <w:rsid w:val="4DD734A1"/>
    <w:rsid w:val="4DDA060D"/>
    <w:rsid w:val="4DDC25D7"/>
    <w:rsid w:val="4DDE1EAC"/>
    <w:rsid w:val="4DDF5C24"/>
    <w:rsid w:val="4DE1374A"/>
    <w:rsid w:val="4DE16570"/>
    <w:rsid w:val="4DE33966"/>
    <w:rsid w:val="4DE65204"/>
    <w:rsid w:val="4DEA5895"/>
    <w:rsid w:val="4DEB45C9"/>
    <w:rsid w:val="4DF0398D"/>
    <w:rsid w:val="4DF3347D"/>
    <w:rsid w:val="4DF55447"/>
    <w:rsid w:val="4DF55CC5"/>
    <w:rsid w:val="4DF711BF"/>
    <w:rsid w:val="4DF93914"/>
    <w:rsid w:val="4DF94F37"/>
    <w:rsid w:val="4DFC67D6"/>
    <w:rsid w:val="4DFE60AA"/>
    <w:rsid w:val="4DFF5C88"/>
    <w:rsid w:val="4E031912"/>
    <w:rsid w:val="4E035DB6"/>
    <w:rsid w:val="4E08517B"/>
    <w:rsid w:val="4E0C137B"/>
    <w:rsid w:val="4E0F02B7"/>
    <w:rsid w:val="4E0F6509"/>
    <w:rsid w:val="4E115646"/>
    <w:rsid w:val="4E1268C2"/>
    <w:rsid w:val="4E127DA7"/>
    <w:rsid w:val="4E143B1F"/>
    <w:rsid w:val="4E1458CD"/>
    <w:rsid w:val="4E157897"/>
    <w:rsid w:val="4E1753BE"/>
    <w:rsid w:val="4E1C6E78"/>
    <w:rsid w:val="4E1F15CD"/>
    <w:rsid w:val="4E222111"/>
    <w:rsid w:val="4E255D2C"/>
    <w:rsid w:val="4E275F83"/>
    <w:rsid w:val="4E2875CB"/>
    <w:rsid w:val="4E2B0E69"/>
    <w:rsid w:val="4E2B70BB"/>
    <w:rsid w:val="4E2D2E33"/>
    <w:rsid w:val="4E2E44B5"/>
    <w:rsid w:val="4E317B5C"/>
    <w:rsid w:val="4E36503C"/>
    <w:rsid w:val="4E37780E"/>
    <w:rsid w:val="4E386936"/>
    <w:rsid w:val="4E386F08"/>
    <w:rsid w:val="4E393586"/>
    <w:rsid w:val="4E395334"/>
    <w:rsid w:val="4E3A10AC"/>
    <w:rsid w:val="4E3B5550"/>
    <w:rsid w:val="4E3B72FE"/>
    <w:rsid w:val="4E3C5889"/>
    <w:rsid w:val="4E4168DE"/>
    <w:rsid w:val="4E434405"/>
    <w:rsid w:val="4E453CD9"/>
    <w:rsid w:val="4E481A1B"/>
    <w:rsid w:val="4E4A12EF"/>
    <w:rsid w:val="4E4A7541"/>
    <w:rsid w:val="4E4B32B9"/>
    <w:rsid w:val="4E4D13DF"/>
    <w:rsid w:val="4E4F4B57"/>
    <w:rsid w:val="4E50267E"/>
    <w:rsid w:val="4E5263F6"/>
    <w:rsid w:val="4E54216E"/>
    <w:rsid w:val="4E564138"/>
    <w:rsid w:val="4E571C5E"/>
    <w:rsid w:val="4E577EB0"/>
    <w:rsid w:val="4E5E2FEC"/>
    <w:rsid w:val="4E612ADD"/>
    <w:rsid w:val="4E61488B"/>
    <w:rsid w:val="4E622175"/>
    <w:rsid w:val="4E630603"/>
    <w:rsid w:val="4E6600F3"/>
    <w:rsid w:val="4E660AF6"/>
    <w:rsid w:val="4E661F86"/>
    <w:rsid w:val="4E663FE6"/>
    <w:rsid w:val="4E676345"/>
    <w:rsid w:val="4E685C19"/>
    <w:rsid w:val="4E6A373F"/>
    <w:rsid w:val="4E6F6FA8"/>
    <w:rsid w:val="4E704ACE"/>
    <w:rsid w:val="4E7D306C"/>
    <w:rsid w:val="4E7E368F"/>
    <w:rsid w:val="4E810A89"/>
    <w:rsid w:val="4E830CA5"/>
    <w:rsid w:val="4E8314AE"/>
    <w:rsid w:val="4E83524B"/>
    <w:rsid w:val="4E8430D7"/>
    <w:rsid w:val="4E850579"/>
    <w:rsid w:val="4E853C5A"/>
    <w:rsid w:val="4E86609F"/>
    <w:rsid w:val="4E870795"/>
    <w:rsid w:val="4E881E17"/>
    <w:rsid w:val="4E8862BB"/>
    <w:rsid w:val="4E8B1908"/>
    <w:rsid w:val="4E8D5680"/>
    <w:rsid w:val="4E8F31A6"/>
    <w:rsid w:val="4E93713A"/>
    <w:rsid w:val="4E9462D8"/>
    <w:rsid w:val="4E946A0E"/>
    <w:rsid w:val="4E947DF5"/>
    <w:rsid w:val="4E9764FE"/>
    <w:rsid w:val="4E984750"/>
    <w:rsid w:val="4E9904C8"/>
    <w:rsid w:val="4E9B5FEF"/>
    <w:rsid w:val="4E9C3B15"/>
    <w:rsid w:val="4EB33338"/>
    <w:rsid w:val="4EB50242"/>
    <w:rsid w:val="4EB6029F"/>
    <w:rsid w:val="4EB60543"/>
    <w:rsid w:val="4EB66985"/>
    <w:rsid w:val="4EBC4081"/>
    <w:rsid w:val="4EBE7F2F"/>
    <w:rsid w:val="4EC86752"/>
    <w:rsid w:val="4ECA2430"/>
    <w:rsid w:val="4ECB6814"/>
    <w:rsid w:val="4ECC43FA"/>
    <w:rsid w:val="4ECC6563"/>
    <w:rsid w:val="4ED02D42"/>
    <w:rsid w:val="4ED10F45"/>
    <w:rsid w:val="4ED11A10"/>
    <w:rsid w:val="4ED35788"/>
    <w:rsid w:val="4ED4505D"/>
    <w:rsid w:val="4ED71C1D"/>
    <w:rsid w:val="4ED80FF1"/>
    <w:rsid w:val="4EDB52E8"/>
    <w:rsid w:val="4EE01C53"/>
    <w:rsid w:val="4EE23C1E"/>
    <w:rsid w:val="4EE259CC"/>
    <w:rsid w:val="4EE2777A"/>
    <w:rsid w:val="4EE36998"/>
    <w:rsid w:val="4EE5084A"/>
    <w:rsid w:val="4EE51018"/>
    <w:rsid w:val="4EE77716"/>
    <w:rsid w:val="4EE94FAC"/>
    <w:rsid w:val="4EE96D5A"/>
    <w:rsid w:val="4EEA0D24"/>
    <w:rsid w:val="4EEA4880"/>
    <w:rsid w:val="4EED611E"/>
    <w:rsid w:val="4EEE046C"/>
    <w:rsid w:val="4EEE4370"/>
    <w:rsid w:val="4EF37BD9"/>
    <w:rsid w:val="4EF456FF"/>
    <w:rsid w:val="4EF86F9D"/>
    <w:rsid w:val="4EFA0F67"/>
    <w:rsid w:val="4EFA4CD5"/>
    <w:rsid w:val="4EFD2805"/>
    <w:rsid w:val="4EFD45B3"/>
    <w:rsid w:val="4F0102B8"/>
    <w:rsid w:val="4F073684"/>
    <w:rsid w:val="4F075432"/>
    <w:rsid w:val="4F080806"/>
    <w:rsid w:val="4F0911AA"/>
    <w:rsid w:val="4F0973FC"/>
    <w:rsid w:val="4F0A2839"/>
    <w:rsid w:val="4F0C3F4E"/>
    <w:rsid w:val="4F0E67C1"/>
    <w:rsid w:val="4F0F42E7"/>
    <w:rsid w:val="4F161B19"/>
    <w:rsid w:val="4F195165"/>
    <w:rsid w:val="4F196F13"/>
    <w:rsid w:val="4F1A33B7"/>
    <w:rsid w:val="4F1B712F"/>
    <w:rsid w:val="4F1C60BB"/>
    <w:rsid w:val="4F1D2EA8"/>
    <w:rsid w:val="4F2006F8"/>
    <w:rsid w:val="4F204746"/>
    <w:rsid w:val="4F22226C"/>
    <w:rsid w:val="4F22401A"/>
    <w:rsid w:val="4F231B40"/>
    <w:rsid w:val="4F253B0A"/>
    <w:rsid w:val="4F2558B8"/>
    <w:rsid w:val="4F271630"/>
    <w:rsid w:val="4F2725BA"/>
    <w:rsid w:val="4F2935FA"/>
    <w:rsid w:val="4F2B07E8"/>
    <w:rsid w:val="4F2C4E99"/>
    <w:rsid w:val="4F2E0C11"/>
    <w:rsid w:val="4F2E29BF"/>
    <w:rsid w:val="4F2E6E63"/>
    <w:rsid w:val="4F302BDB"/>
    <w:rsid w:val="4F3124AF"/>
    <w:rsid w:val="4F316682"/>
    <w:rsid w:val="4F334479"/>
    <w:rsid w:val="4F3479A3"/>
    <w:rsid w:val="4F3501F1"/>
    <w:rsid w:val="4F367AC5"/>
    <w:rsid w:val="4F371833"/>
    <w:rsid w:val="4F377CE8"/>
    <w:rsid w:val="4F3D0E54"/>
    <w:rsid w:val="4F416B96"/>
    <w:rsid w:val="4F42117D"/>
    <w:rsid w:val="4F4246BC"/>
    <w:rsid w:val="4F42646A"/>
    <w:rsid w:val="4F451C00"/>
    <w:rsid w:val="4F4641AC"/>
    <w:rsid w:val="4F471CD3"/>
    <w:rsid w:val="4F48599F"/>
    <w:rsid w:val="4F495A4B"/>
    <w:rsid w:val="4F4D73F6"/>
    <w:rsid w:val="4F4E4E0F"/>
    <w:rsid w:val="4F4F2BC1"/>
    <w:rsid w:val="4F50502B"/>
    <w:rsid w:val="4F5166AD"/>
    <w:rsid w:val="4F5368C9"/>
    <w:rsid w:val="4F541DCE"/>
    <w:rsid w:val="4F5421EB"/>
    <w:rsid w:val="4F560168"/>
    <w:rsid w:val="4F5B752C"/>
    <w:rsid w:val="4F602D94"/>
    <w:rsid w:val="4F604C84"/>
    <w:rsid w:val="4F6208BA"/>
    <w:rsid w:val="4F624D5E"/>
    <w:rsid w:val="4F642884"/>
    <w:rsid w:val="4F6603AB"/>
    <w:rsid w:val="4F672375"/>
    <w:rsid w:val="4F674123"/>
    <w:rsid w:val="4F691C49"/>
    <w:rsid w:val="4F6B59C1"/>
    <w:rsid w:val="4F6E3703"/>
    <w:rsid w:val="4F6E725F"/>
    <w:rsid w:val="4F6F4D85"/>
    <w:rsid w:val="4F734876"/>
    <w:rsid w:val="4F7725B8"/>
    <w:rsid w:val="4F7A0880"/>
    <w:rsid w:val="4F7B710E"/>
    <w:rsid w:val="4F7C7BCE"/>
    <w:rsid w:val="4F7C7F67"/>
    <w:rsid w:val="4F813436"/>
    <w:rsid w:val="4F822D0B"/>
    <w:rsid w:val="4F8545A9"/>
    <w:rsid w:val="4F8627FB"/>
    <w:rsid w:val="4F87507A"/>
    <w:rsid w:val="4F8B1D95"/>
    <w:rsid w:val="4F8D1DDB"/>
    <w:rsid w:val="4F9111A0"/>
    <w:rsid w:val="4F93316A"/>
    <w:rsid w:val="4F934F18"/>
    <w:rsid w:val="4F9667B6"/>
    <w:rsid w:val="4F96706C"/>
    <w:rsid w:val="4F974A08"/>
    <w:rsid w:val="4F9A0054"/>
    <w:rsid w:val="4F9D5D96"/>
    <w:rsid w:val="4F9E6E5A"/>
    <w:rsid w:val="4F9F38BD"/>
    <w:rsid w:val="4FA03191"/>
    <w:rsid w:val="4FA060F5"/>
    <w:rsid w:val="4FA113E3"/>
    <w:rsid w:val="4FA42C81"/>
    <w:rsid w:val="4FA47173"/>
    <w:rsid w:val="4FA62E9D"/>
    <w:rsid w:val="4FA7451F"/>
    <w:rsid w:val="4FA74664"/>
    <w:rsid w:val="4FB01626"/>
    <w:rsid w:val="4FB235F0"/>
    <w:rsid w:val="4FB56C3C"/>
    <w:rsid w:val="4FBA1D77"/>
    <w:rsid w:val="4FBA24A4"/>
    <w:rsid w:val="4FBA49DA"/>
    <w:rsid w:val="4FBC446F"/>
    <w:rsid w:val="4FBE01E7"/>
    <w:rsid w:val="4FBF3F5F"/>
    <w:rsid w:val="4FBF5D0D"/>
    <w:rsid w:val="4FC52FE3"/>
    <w:rsid w:val="4FC6709B"/>
    <w:rsid w:val="4FC7765E"/>
    <w:rsid w:val="4FC915F8"/>
    <w:rsid w:val="4FCB6460"/>
    <w:rsid w:val="4FCD042A"/>
    <w:rsid w:val="4FCD667C"/>
    <w:rsid w:val="4FD23B5F"/>
    <w:rsid w:val="4FD35314"/>
    <w:rsid w:val="4FD55530"/>
    <w:rsid w:val="4FD572DE"/>
    <w:rsid w:val="4FD63062"/>
    <w:rsid w:val="4FD708C1"/>
    <w:rsid w:val="4FD73056"/>
    <w:rsid w:val="4FDC32A3"/>
    <w:rsid w:val="4FE45773"/>
    <w:rsid w:val="4FE4777A"/>
    <w:rsid w:val="4FE70DC0"/>
    <w:rsid w:val="4FE8261E"/>
    <w:rsid w:val="4FE90FDC"/>
    <w:rsid w:val="4FEE03A0"/>
    <w:rsid w:val="4FEE214E"/>
    <w:rsid w:val="4FF04118"/>
    <w:rsid w:val="4FF77255"/>
    <w:rsid w:val="4FF82FCD"/>
    <w:rsid w:val="4FF97471"/>
    <w:rsid w:val="4FFC0D0F"/>
    <w:rsid w:val="4FFD3D1D"/>
    <w:rsid w:val="4FFE503B"/>
    <w:rsid w:val="4FFF2DD7"/>
    <w:rsid w:val="4FFF6109"/>
    <w:rsid w:val="50007069"/>
    <w:rsid w:val="50011E81"/>
    <w:rsid w:val="50025BF9"/>
    <w:rsid w:val="5004101F"/>
    <w:rsid w:val="50041972"/>
    <w:rsid w:val="50066510"/>
    <w:rsid w:val="50081462"/>
    <w:rsid w:val="50083210"/>
    <w:rsid w:val="500951DA"/>
    <w:rsid w:val="500D0826"/>
    <w:rsid w:val="500D6A78"/>
    <w:rsid w:val="5012408F"/>
    <w:rsid w:val="50175B49"/>
    <w:rsid w:val="501871CB"/>
    <w:rsid w:val="501871E4"/>
    <w:rsid w:val="5019366F"/>
    <w:rsid w:val="501A73E7"/>
    <w:rsid w:val="501C6CBB"/>
    <w:rsid w:val="501E6ED7"/>
    <w:rsid w:val="50243DC2"/>
    <w:rsid w:val="502618E8"/>
    <w:rsid w:val="50267B3A"/>
    <w:rsid w:val="50281B04"/>
    <w:rsid w:val="50285660"/>
    <w:rsid w:val="502913D8"/>
    <w:rsid w:val="502A034E"/>
    <w:rsid w:val="502B6EFE"/>
    <w:rsid w:val="502D0EC8"/>
    <w:rsid w:val="50306C0B"/>
    <w:rsid w:val="503451AF"/>
    <w:rsid w:val="5038161B"/>
    <w:rsid w:val="503A1AA8"/>
    <w:rsid w:val="503E4E84"/>
    <w:rsid w:val="50421741"/>
    <w:rsid w:val="50493828"/>
    <w:rsid w:val="504E4277"/>
    <w:rsid w:val="50504BB7"/>
    <w:rsid w:val="50506965"/>
    <w:rsid w:val="505226DD"/>
    <w:rsid w:val="50546455"/>
    <w:rsid w:val="505C17AE"/>
    <w:rsid w:val="50602E08"/>
    <w:rsid w:val="50610F7F"/>
    <w:rsid w:val="506239CC"/>
    <w:rsid w:val="5062469E"/>
    <w:rsid w:val="50630D8E"/>
    <w:rsid w:val="50642410"/>
    <w:rsid w:val="50642C43"/>
    <w:rsid w:val="506450D2"/>
    <w:rsid w:val="50646F2B"/>
    <w:rsid w:val="506643DA"/>
    <w:rsid w:val="50675AED"/>
    <w:rsid w:val="506A211C"/>
    <w:rsid w:val="506B2AEC"/>
    <w:rsid w:val="506B379F"/>
    <w:rsid w:val="506C2F9A"/>
    <w:rsid w:val="506D540C"/>
    <w:rsid w:val="506F3038"/>
    <w:rsid w:val="507408A5"/>
    <w:rsid w:val="5076286F"/>
    <w:rsid w:val="50766543"/>
    <w:rsid w:val="50772144"/>
    <w:rsid w:val="50792360"/>
    <w:rsid w:val="50795EBC"/>
    <w:rsid w:val="507C1E50"/>
    <w:rsid w:val="507C3BFE"/>
    <w:rsid w:val="50827466"/>
    <w:rsid w:val="50874A7C"/>
    <w:rsid w:val="508825A3"/>
    <w:rsid w:val="508B3E41"/>
    <w:rsid w:val="508B5BEF"/>
    <w:rsid w:val="508C4A20"/>
    <w:rsid w:val="508F3931"/>
    <w:rsid w:val="50903205"/>
    <w:rsid w:val="509122BF"/>
    <w:rsid w:val="509176A9"/>
    <w:rsid w:val="50926F7D"/>
    <w:rsid w:val="50942CF5"/>
    <w:rsid w:val="50947199"/>
    <w:rsid w:val="50952DF2"/>
    <w:rsid w:val="50970A38"/>
    <w:rsid w:val="509C1BAA"/>
    <w:rsid w:val="509C7DFC"/>
    <w:rsid w:val="50A32F39"/>
    <w:rsid w:val="50A373DC"/>
    <w:rsid w:val="50A61159"/>
    <w:rsid w:val="50A8054F"/>
    <w:rsid w:val="50A815FE"/>
    <w:rsid w:val="50A867A1"/>
    <w:rsid w:val="50AC1DF5"/>
    <w:rsid w:val="50AC44E3"/>
    <w:rsid w:val="50B11AF9"/>
    <w:rsid w:val="50B138A7"/>
    <w:rsid w:val="50B25872"/>
    <w:rsid w:val="50B769E4"/>
    <w:rsid w:val="50BB2978"/>
    <w:rsid w:val="50BB4726"/>
    <w:rsid w:val="50BC224C"/>
    <w:rsid w:val="50BC3FFA"/>
    <w:rsid w:val="50BF0A14"/>
    <w:rsid w:val="50C10D15"/>
    <w:rsid w:val="50C23D07"/>
    <w:rsid w:val="50C24D76"/>
    <w:rsid w:val="50C35389"/>
    <w:rsid w:val="50C555A5"/>
    <w:rsid w:val="50C730CB"/>
    <w:rsid w:val="50C8299F"/>
    <w:rsid w:val="50C971DB"/>
    <w:rsid w:val="50CA4969"/>
    <w:rsid w:val="50CC41DD"/>
    <w:rsid w:val="50CD633B"/>
    <w:rsid w:val="50CF01D2"/>
    <w:rsid w:val="50CF1F80"/>
    <w:rsid w:val="50D21A70"/>
    <w:rsid w:val="50D43A3A"/>
    <w:rsid w:val="50D6330E"/>
    <w:rsid w:val="50DB3DCF"/>
    <w:rsid w:val="50DB448D"/>
    <w:rsid w:val="50DE21C3"/>
    <w:rsid w:val="50E023DF"/>
    <w:rsid w:val="50E133DE"/>
    <w:rsid w:val="50E377D9"/>
    <w:rsid w:val="50E53551"/>
    <w:rsid w:val="50EA500B"/>
    <w:rsid w:val="50EA74A0"/>
    <w:rsid w:val="50EC0D83"/>
    <w:rsid w:val="50EE2C05"/>
    <w:rsid w:val="50F07683"/>
    <w:rsid w:val="50F11EF6"/>
    <w:rsid w:val="50F22714"/>
    <w:rsid w:val="50F32112"/>
    <w:rsid w:val="50F33EC0"/>
    <w:rsid w:val="50F47C38"/>
    <w:rsid w:val="50F622C8"/>
    <w:rsid w:val="50FC089B"/>
    <w:rsid w:val="50FC37C6"/>
    <w:rsid w:val="50FF2147"/>
    <w:rsid w:val="510501AA"/>
    <w:rsid w:val="5107796B"/>
    <w:rsid w:val="510F05CE"/>
    <w:rsid w:val="510F2848"/>
    <w:rsid w:val="51112598"/>
    <w:rsid w:val="511430D4"/>
    <w:rsid w:val="51166F3E"/>
    <w:rsid w:val="511856D5"/>
    <w:rsid w:val="51194DEA"/>
    <w:rsid w:val="511A58F1"/>
    <w:rsid w:val="511B3417"/>
    <w:rsid w:val="511B51C5"/>
    <w:rsid w:val="511E4CB5"/>
    <w:rsid w:val="51257DF2"/>
    <w:rsid w:val="512623EC"/>
    <w:rsid w:val="51295B34"/>
    <w:rsid w:val="512978E2"/>
    <w:rsid w:val="512A5408"/>
    <w:rsid w:val="512B3E20"/>
    <w:rsid w:val="512B7CD4"/>
    <w:rsid w:val="512C1180"/>
    <w:rsid w:val="512F0C70"/>
    <w:rsid w:val="51316332"/>
    <w:rsid w:val="51316796"/>
    <w:rsid w:val="51327BA7"/>
    <w:rsid w:val="513424C7"/>
    <w:rsid w:val="51363DAD"/>
    <w:rsid w:val="51372589"/>
    <w:rsid w:val="513B13C3"/>
    <w:rsid w:val="513B5867"/>
    <w:rsid w:val="513D15DF"/>
    <w:rsid w:val="513E0EB3"/>
    <w:rsid w:val="513E2539"/>
    <w:rsid w:val="513F7105"/>
    <w:rsid w:val="51475FBA"/>
    <w:rsid w:val="51491D32"/>
    <w:rsid w:val="514A5BAD"/>
    <w:rsid w:val="514A7858"/>
    <w:rsid w:val="514C35D0"/>
    <w:rsid w:val="514C537E"/>
    <w:rsid w:val="514D1BDE"/>
    <w:rsid w:val="514E7348"/>
    <w:rsid w:val="514F70CF"/>
    <w:rsid w:val="515245C0"/>
    <w:rsid w:val="51532BB1"/>
    <w:rsid w:val="515406D7"/>
    <w:rsid w:val="51595CED"/>
    <w:rsid w:val="515D3A2F"/>
    <w:rsid w:val="515D57DD"/>
    <w:rsid w:val="516052CE"/>
    <w:rsid w:val="51644DBE"/>
    <w:rsid w:val="51646B6C"/>
    <w:rsid w:val="51656440"/>
    <w:rsid w:val="5167040A"/>
    <w:rsid w:val="5167665C"/>
    <w:rsid w:val="516923D4"/>
    <w:rsid w:val="516C3C72"/>
    <w:rsid w:val="516C70A1"/>
    <w:rsid w:val="51714DE5"/>
    <w:rsid w:val="517174DB"/>
    <w:rsid w:val="5172503A"/>
    <w:rsid w:val="51735001"/>
    <w:rsid w:val="51736DAF"/>
    <w:rsid w:val="517843C5"/>
    <w:rsid w:val="51791EEB"/>
    <w:rsid w:val="517D4C1A"/>
    <w:rsid w:val="517D7C2E"/>
    <w:rsid w:val="5180763E"/>
    <w:rsid w:val="5181771E"/>
    <w:rsid w:val="51825244"/>
    <w:rsid w:val="51836A8D"/>
    <w:rsid w:val="5187285A"/>
    <w:rsid w:val="51894260"/>
    <w:rsid w:val="518C60C3"/>
    <w:rsid w:val="518E5997"/>
    <w:rsid w:val="519136D9"/>
    <w:rsid w:val="51962A9D"/>
    <w:rsid w:val="51986815"/>
    <w:rsid w:val="519B6306"/>
    <w:rsid w:val="519D5BDA"/>
    <w:rsid w:val="51A056CA"/>
    <w:rsid w:val="51A21548"/>
    <w:rsid w:val="51A258E6"/>
    <w:rsid w:val="51A4340C"/>
    <w:rsid w:val="51A61359"/>
    <w:rsid w:val="51A82756"/>
    <w:rsid w:val="51B03B5F"/>
    <w:rsid w:val="51B11685"/>
    <w:rsid w:val="51B16972"/>
    <w:rsid w:val="51B318A1"/>
    <w:rsid w:val="51B51175"/>
    <w:rsid w:val="51B55619"/>
    <w:rsid w:val="51B560A0"/>
    <w:rsid w:val="51B80C66"/>
    <w:rsid w:val="51BA2C30"/>
    <w:rsid w:val="51BA49DE"/>
    <w:rsid w:val="51BA678C"/>
    <w:rsid w:val="51BC0756"/>
    <w:rsid w:val="51BF1FF4"/>
    <w:rsid w:val="51BF3641"/>
    <w:rsid w:val="51BF3DA2"/>
    <w:rsid w:val="51C21AE4"/>
    <w:rsid w:val="51C21DA4"/>
    <w:rsid w:val="51C27D36"/>
    <w:rsid w:val="51C63383"/>
    <w:rsid w:val="51C70EA9"/>
    <w:rsid w:val="51C969CF"/>
    <w:rsid w:val="51CC4711"/>
    <w:rsid w:val="51CC5C45"/>
    <w:rsid w:val="51CD386F"/>
    <w:rsid w:val="51CE0489"/>
    <w:rsid w:val="51D05FAF"/>
    <w:rsid w:val="51D57A6A"/>
    <w:rsid w:val="51D6733E"/>
    <w:rsid w:val="51DA038A"/>
    <w:rsid w:val="51DC0DF8"/>
    <w:rsid w:val="51DD06CC"/>
    <w:rsid w:val="51E101BC"/>
    <w:rsid w:val="51E11F6A"/>
    <w:rsid w:val="51E43809"/>
    <w:rsid w:val="51E8779D"/>
    <w:rsid w:val="51E952C3"/>
    <w:rsid w:val="51EB4B97"/>
    <w:rsid w:val="51EB7A38"/>
    <w:rsid w:val="51ED6B61"/>
    <w:rsid w:val="51EF3262"/>
    <w:rsid w:val="51F06651"/>
    <w:rsid w:val="51F42B99"/>
    <w:rsid w:val="51F577C4"/>
    <w:rsid w:val="51F6353C"/>
    <w:rsid w:val="51F7602F"/>
    <w:rsid w:val="51F83758"/>
    <w:rsid w:val="51F872B4"/>
    <w:rsid w:val="51FB0B52"/>
    <w:rsid w:val="51FB3D6F"/>
    <w:rsid w:val="51FC4FF6"/>
    <w:rsid w:val="51FC6DA4"/>
    <w:rsid w:val="51FF6894"/>
    <w:rsid w:val="52020133"/>
    <w:rsid w:val="52047FCC"/>
    <w:rsid w:val="520619D1"/>
    <w:rsid w:val="52065DD5"/>
    <w:rsid w:val="520774F7"/>
    <w:rsid w:val="520B2BCB"/>
    <w:rsid w:val="520D0FB1"/>
    <w:rsid w:val="52100AA2"/>
    <w:rsid w:val="52140592"/>
    <w:rsid w:val="521560B8"/>
    <w:rsid w:val="52173BDE"/>
    <w:rsid w:val="52181704"/>
    <w:rsid w:val="52194B41"/>
    <w:rsid w:val="52195BA8"/>
    <w:rsid w:val="521A547C"/>
    <w:rsid w:val="521C7446"/>
    <w:rsid w:val="521D6D1B"/>
    <w:rsid w:val="521E31BF"/>
    <w:rsid w:val="521F6F37"/>
    <w:rsid w:val="522400A9"/>
    <w:rsid w:val="5224454D"/>
    <w:rsid w:val="522462FB"/>
    <w:rsid w:val="52293911"/>
    <w:rsid w:val="522A45EE"/>
    <w:rsid w:val="52302EF2"/>
    <w:rsid w:val="52372CD0"/>
    <w:rsid w:val="52374280"/>
    <w:rsid w:val="5237602E"/>
    <w:rsid w:val="52383B54"/>
    <w:rsid w:val="523875ED"/>
    <w:rsid w:val="523C1897"/>
    <w:rsid w:val="523C53F3"/>
    <w:rsid w:val="523E560F"/>
    <w:rsid w:val="523E73BD"/>
    <w:rsid w:val="524073F6"/>
    <w:rsid w:val="52410C5B"/>
    <w:rsid w:val="52426781"/>
    <w:rsid w:val="524349D3"/>
    <w:rsid w:val="52446492"/>
    <w:rsid w:val="52450697"/>
    <w:rsid w:val="52457280"/>
    <w:rsid w:val="524856FF"/>
    <w:rsid w:val="524D5852"/>
    <w:rsid w:val="52500E9E"/>
    <w:rsid w:val="52505342"/>
    <w:rsid w:val="52516C3A"/>
    <w:rsid w:val="5252180B"/>
    <w:rsid w:val="5255018C"/>
    <w:rsid w:val="52552958"/>
    <w:rsid w:val="5257222D"/>
    <w:rsid w:val="525766D1"/>
    <w:rsid w:val="525941F7"/>
    <w:rsid w:val="52595FA5"/>
    <w:rsid w:val="525A7F6F"/>
    <w:rsid w:val="525B3A47"/>
    <w:rsid w:val="525B4429"/>
    <w:rsid w:val="525E0C81"/>
    <w:rsid w:val="525E35BB"/>
    <w:rsid w:val="525E7A5F"/>
    <w:rsid w:val="525F10E1"/>
    <w:rsid w:val="526130AB"/>
    <w:rsid w:val="52631DBC"/>
    <w:rsid w:val="52635075"/>
    <w:rsid w:val="52662470"/>
    <w:rsid w:val="52666914"/>
    <w:rsid w:val="526826F8"/>
    <w:rsid w:val="526861E8"/>
    <w:rsid w:val="527032EE"/>
    <w:rsid w:val="527279DC"/>
    <w:rsid w:val="52736AD7"/>
    <w:rsid w:val="52756B57"/>
    <w:rsid w:val="52770B21"/>
    <w:rsid w:val="527821A3"/>
    <w:rsid w:val="527A2FDA"/>
    <w:rsid w:val="527B72D6"/>
    <w:rsid w:val="527C1C93"/>
    <w:rsid w:val="527C7EE5"/>
    <w:rsid w:val="527F1783"/>
    <w:rsid w:val="527F70E7"/>
    <w:rsid w:val="5281374D"/>
    <w:rsid w:val="52833022"/>
    <w:rsid w:val="5288688A"/>
    <w:rsid w:val="528A2602"/>
    <w:rsid w:val="528D3EA0"/>
    <w:rsid w:val="528E32B1"/>
    <w:rsid w:val="528F19C6"/>
    <w:rsid w:val="52911BE2"/>
    <w:rsid w:val="52943481"/>
    <w:rsid w:val="52950FA7"/>
    <w:rsid w:val="52974D1F"/>
    <w:rsid w:val="52976ACD"/>
    <w:rsid w:val="52992845"/>
    <w:rsid w:val="529A65BD"/>
    <w:rsid w:val="529E42FF"/>
    <w:rsid w:val="52A31916"/>
    <w:rsid w:val="52A35472"/>
    <w:rsid w:val="52A631B4"/>
    <w:rsid w:val="52A82A88"/>
    <w:rsid w:val="52A95361"/>
    <w:rsid w:val="52AD009F"/>
    <w:rsid w:val="52AF2069"/>
    <w:rsid w:val="52C11D9C"/>
    <w:rsid w:val="52C37826"/>
    <w:rsid w:val="52C479AA"/>
    <w:rsid w:val="52CA50F4"/>
    <w:rsid w:val="52CF270B"/>
    <w:rsid w:val="52D03D8D"/>
    <w:rsid w:val="52D25D57"/>
    <w:rsid w:val="52D710DE"/>
    <w:rsid w:val="52D715BF"/>
    <w:rsid w:val="52D7511B"/>
    <w:rsid w:val="52DB10B0"/>
    <w:rsid w:val="52E02222"/>
    <w:rsid w:val="52E07BC5"/>
    <w:rsid w:val="52E127FD"/>
    <w:rsid w:val="52E141EC"/>
    <w:rsid w:val="52E33AC0"/>
    <w:rsid w:val="52E361B6"/>
    <w:rsid w:val="52E55A8A"/>
    <w:rsid w:val="52E635B0"/>
    <w:rsid w:val="52E73786"/>
    <w:rsid w:val="52EC506B"/>
    <w:rsid w:val="52EF33EC"/>
    <w:rsid w:val="52EF4B5B"/>
    <w:rsid w:val="52EF6909"/>
    <w:rsid w:val="52F061DD"/>
    <w:rsid w:val="52F12681"/>
    <w:rsid w:val="52F1442F"/>
    <w:rsid w:val="52F61A46"/>
    <w:rsid w:val="52F91536"/>
    <w:rsid w:val="52FB705C"/>
    <w:rsid w:val="53000B16"/>
    <w:rsid w:val="5302247A"/>
    <w:rsid w:val="53051C89"/>
    <w:rsid w:val="53071EA5"/>
    <w:rsid w:val="53072D70"/>
    <w:rsid w:val="53073C53"/>
    <w:rsid w:val="53081779"/>
    <w:rsid w:val="530C1269"/>
    <w:rsid w:val="53114AD1"/>
    <w:rsid w:val="531225F7"/>
    <w:rsid w:val="53155374"/>
    <w:rsid w:val="53163E96"/>
    <w:rsid w:val="53165C44"/>
    <w:rsid w:val="53185E60"/>
    <w:rsid w:val="53195734"/>
    <w:rsid w:val="531C6FD2"/>
    <w:rsid w:val="531D3476"/>
    <w:rsid w:val="53230E08"/>
    <w:rsid w:val="532365B3"/>
    <w:rsid w:val="53273CEB"/>
    <w:rsid w:val="532753A2"/>
    <w:rsid w:val="532A5B93"/>
    <w:rsid w:val="532C36B9"/>
    <w:rsid w:val="532E5683"/>
    <w:rsid w:val="532E7431"/>
    <w:rsid w:val="53315390"/>
    <w:rsid w:val="53316F22"/>
    <w:rsid w:val="533407C0"/>
    <w:rsid w:val="53341D8D"/>
    <w:rsid w:val="53363328"/>
    <w:rsid w:val="53364538"/>
    <w:rsid w:val="533662E6"/>
    <w:rsid w:val="53395F60"/>
    <w:rsid w:val="533A5121"/>
    <w:rsid w:val="533B1B4E"/>
    <w:rsid w:val="533B69CD"/>
    <w:rsid w:val="533B6A27"/>
    <w:rsid w:val="533F163E"/>
    <w:rsid w:val="53400F13"/>
    <w:rsid w:val="534053B7"/>
    <w:rsid w:val="53407165"/>
    <w:rsid w:val="53425BB0"/>
    <w:rsid w:val="53456529"/>
    <w:rsid w:val="53487DC7"/>
    <w:rsid w:val="534A56F4"/>
    <w:rsid w:val="534B0C47"/>
    <w:rsid w:val="534F1156"/>
    <w:rsid w:val="53511372"/>
    <w:rsid w:val="53514ECE"/>
    <w:rsid w:val="53536E98"/>
    <w:rsid w:val="535449BE"/>
    <w:rsid w:val="535E583D"/>
    <w:rsid w:val="5360776D"/>
    <w:rsid w:val="53665056"/>
    <w:rsid w:val="5369210C"/>
    <w:rsid w:val="536C1D08"/>
    <w:rsid w:val="536C4488"/>
    <w:rsid w:val="53715570"/>
    <w:rsid w:val="537261AA"/>
    <w:rsid w:val="5373753A"/>
    <w:rsid w:val="53740BBC"/>
    <w:rsid w:val="53764934"/>
    <w:rsid w:val="537A08C9"/>
    <w:rsid w:val="537B1F4B"/>
    <w:rsid w:val="537E06BD"/>
    <w:rsid w:val="537F53F8"/>
    <w:rsid w:val="538057B3"/>
    <w:rsid w:val="538378C5"/>
    <w:rsid w:val="538B4884"/>
    <w:rsid w:val="538C23AA"/>
    <w:rsid w:val="538E1C7E"/>
    <w:rsid w:val="538F6867"/>
    <w:rsid w:val="53937294"/>
    <w:rsid w:val="53964FD7"/>
    <w:rsid w:val="53986FA1"/>
    <w:rsid w:val="539B25ED"/>
    <w:rsid w:val="539D45B7"/>
    <w:rsid w:val="539E2439"/>
    <w:rsid w:val="53A414A2"/>
    <w:rsid w:val="53A42E43"/>
    <w:rsid w:val="53A616BE"/>
    <w:rsid w:val="53A71EEB"/>
    <w:rsid w:val="53A72D40"/>
    <w:rsid w:val="53A96AB8"/>
    <w:rsid w:val="53B11368"/>
    <w:rsid w:val="53B11E10"/>
    <w:rsid w:val="53B13BBE"/>
    <w:rsid w:val="53B37737"/>
    <w:rsid w:val="53B84F4D"/>
    <w:rsid w:val="53B86CFB"/>
    <w:rsid w:val="53BA0CC5"/>
    <w:rsid w:val="53BC6F28"/>
    <w:rsid w:val="53BD6A07"/>
    <w:rsid w:val="53BF0089"/>
    <w:rsid w:val="53C25DCC"/>
    <w:rsid w:val="53C41B44"/>
    <w:rsid w:val="53C47D96"/>
    <w:rsid w:val="53C5091A"/>
    <w:rsid w:val="53C71634"/>
    <w:rsid w:val="53C83DD0"/>
    <w:rsid w:val="53C92264"/>
    <w:rsid w:val="53CE29C2"/>
    <w:rsid w:val="53CE4770"/>
    <w:rsid w:val="53D33B35"/>
    <w:rsid w:val="53D878B8"/>
    <w:rsid w:val="53DC50DF"/>
    <w:rsid w:val="53DE6035"/>
    <w:rsid w:val="53DE7AC9"/>
    <w:rsid w:val="53DF24DA"/>
    <w:rsid w:val="53E21FCA"/>
    <w:rsid w:val="53E411F3"/>
    <w:rsid w:val="53E421E6"/>
    <w:rsid w:val="53EA0E7E"/>
    <w:rsid w:val="53EC4BF7"/>
    <w:rsid w:val="53F1220D"/>
    <w:rsid w:val="53F341D7"/>
    <w:rsid w:val="53F73CC7"/>
    <w:rsid w:val="53FA7313"/>
    <w:rsid w:val="53FA753D"/>
    <w:rsid w:val="53FC12DE"/>
    <w:rsid w:val="53FD32A8"/>
    <w:rsid w:val="540208BE"/>
    <w:rsid w:val="540255D9"/>
    <w:rsid w:val="54031D7A"/>
    <w:rsid w:val="54041F40"/>
    <w:rsid w:val="540C5D72"/>
    <w:rsid w:val="541303D5"/>
    <w:rsid w:val="54134879"/>
    <w:rsid w:val="54136627"/>
    <w:rsid w:val="541923D0"/>
    <w:rsid w:val="541F321E"/>
    <w:rsid w:val="54212AF2"/>
    <w:rsid w:val="54260108"/>
    <w:rsid w:val="54273E81"/>
    <w:rsid w:val="54280325"/>
    <w:rsid w:val="542B571F"/>
    <w:rsid w:val="542C12AC"/>
    <w:rsid w:val="542D593B"/>
    <w:rsid w:val="54316AAD"/>
    <w:rsid w:val="54350468"/>
    <w:rsid w:val="54370568"/>
    <w:rsid w:val="54372316"/>
    <w:rsid w:val="543842E0"/>
    <w:rsid w:val="543A1E06"/>
    <w:rsid w:val="543A2E4A"/>
    <w:rsid w:val="543A5126"/>
    <w:rsid w:val="543D5452"/>
    <w:rsid w:val="54414F42"/>
    <w:rsid w:val="54442C85"/>
    <w:rsid w:val="544467E1"/>
    <w:rsid w:val="54452097"/>
    <w:rsid w:val="54455CD4"/>
    <w:rsid w:val="544762D1"/>
    <w:rsid w:val="54482775"/>
    <w:rsid w:val="54484523"/>
    <w:rsid w:val="544B4013"/>
    <w:rsid w:val="544C2EF8"/>
    <w:rsid w:val="544D59FD"/>
    <w:rsid w:val="544E765F"/>
    <w:rsid w:val="54501629"/>
    <w:rsid w:val="5452714F"/>
    <w:rsid w:val="5454111A"/>
    <w:rsid w:val="545509EE"/>
    <w:rsid w:val="545729B8"/>
    <w:rsid w:val="545804DE"/>
    <w:rsid w:val="54596730"/>
    <w:rsid w:val="545A7810"/>
    <w:rsid w:val="545C3613"/>
    <w:rsid w:val="54616660"/>
    <w:rsid w:val="54642090"/>
    <w:rsid w:val="546450D5"/>
    <w:rsid w:val="54662BFB"/>
    <w:rsid w:val="54664A59"/>
    <w:rsid w:val="546A6B00"/>
    <w:rsid w:val="546C379C"/>
    <w:rsid w:val="546C5152"/>
    <w:rsid w:val="546D5D37"/>
    <w:rsid w:val="547075D6"/>
    <w:rsid w:val="5472334E"/>
    <w:rsid w:val="5474356A"/>
    <w:rsid w:val="54774E08"/>
    <w:rsid w:val="547C241E"/>
    <w:rsid w:val="547D1CF3"/>
    <w:rsid w:val="547F3CBD"/>
    <w:rsid w:val="54815C87"/>
    <w:rsid w:val="548337AD"/>
    <w:rsid w:val="548A4B3B"/>
    <w:rsid w:val="548B2661"/>
    <w:rsid w:val="548B440F"/>
    <w:rsid w:val="548E5CAE"/>
    <w:rsid w:val="54905ECA"/>
    <w:rsid w:val="54907C78"/>
    <w:rsid w:val="54931516"/>
    <w:rsid w:val="549459BA"/>
    <w:rsid w:val="549534E0"/>
    <w:rsid w:val="54971006"/>
    <w:rsid w:val="54992FD0"/>
    <w:rsid w:val="549C661D"/>
    <w:rsid w:val="549D4B07"/>
    <w:rsid w:val="549E05E7"/>
    <w:rsid w:val="549F7EBB"/>
    <w:rsid w:val="54A067F2"/>
    <w:rsid w:val="54A07538"/>
    <w:rsid w:val="54AA6F8B"/>
    <w:rsid w:val="54AD25D8"/>
    <w:rsid w:val="54AD6A7C"/>
    <w:rsid w:val="54AF6350"/>
    <w:rsid w:val="54B03E76"/>
    <w:rsid w:val="54B10B69"/>
    <w:rsid w:val="54B5148C"/>
    <w:rsid w:val="54B5164D"/>
    <w:rsid w:val="54B73456"/>
    <w:rsid w:val="54C47921"/>
    <w:rsid w:val="54C546A4"/>
    <w:rsid w:val="54C94F38"/>
    <w:rsid w:val="54CA13DC"/>
    <w:rsid w:val="54CC5154"/>
    <w:rsid w:val="54D04518"/>
    <w:rsid w:val="54D1276A"/>
    <w:rsid w:val="54D30127"/>
    <w:rsid w:val="54D357A1"/>
    <w:rsid w:val="54D63807"/>
    <w:rsid w:val="54D81E62"/>
    <w:rsid w:val="54D9161F"/>
    <w:rsid w:val="54D933CD"/>
    <w:rsid w:val="54D97871"/>
    <w:rsid w:val="54DC2EBD"/>
    <w:rsid w:val="54E029AD"/>
    <w:rsid w:val="54E67898"/>
    <w:rsid w:val="54E81862"/>
    <w:rsid w:val="54ED50CA"/>
    <w:rsid w:val="54F16968"/>
    <w:rsid w:val="54F226E1"/>
    <w:rsid w:val="54F40207"/>
    <w:rsid w:val="54F75F49"/>
    <w:rsid w:val="54F77CF7"/>
    <w:rsid w:val="54FB1595"/>
    <w:rsid w:val="54FE79E1"/>
    <w:rsid w:val="550146D2"/>
    <w:rsid w:val="550310E3"/>
    <w:rsid w:val="550479F9"/>
    <w:rsid w:val="55061CE8"/>
    <w:rsid w:val="550739C3"/>
    <w:rsid w:val="55081F04"/>
    <w:rsid w:val="55085A60"/>
    <w:rsid w:val="550A7A2A"/>
    <w:rsid w:val="550B5550"/>
    <w:rsid w:val="550C37A2"/>
    <w:rsid w:val="550D3076"/>
    <w:rsid w:val="550F3292"/>
    <w:rsid w:val="550F5041"/>
    <w:rsid w:val="55110DB9"/>
    <w:rsid w:val="55164621"/>
    <w:rsid w:val="55175CA3"/>
    <w:rsid w:val="55180399"/>
    <w:rsid w:val="55191A1B"/>
    <w:rsid w:val="55197C6D"/>
    <w:rsid w:val="551C150B"/>
    <w:rsid w:val="551F5DD8"/>
    <w:rsid w:val="55222FC6"/>
    <w:rsid w:val="55230AEC"/>
    <w:rsid w:val="55264138"/>
    <w:rsid w:val="5527238A"/>
    <w:rsid w:val="552C79A0"/>
    <w:rsid w:val="5531145B"/>
    <w:rsid w:val="55314FB7"/>
    <w:rsid w:val="55326F81"/>
    <w:rsid w:val="553625CD"/>
    <w:rsid w:val="55393E6B"/>
    <w:rsid w:val="553C57C6"/>
    <w:rsid w:val="553D7E00"/>
    <w:rsid w:val="553E52D5"/>
    <w:rsid w:val="553E76D4"/>
    <w:rsid w:val="554054D5"/>
    <w:rsid w:val="55410F72"/>
    <w:rsid w:val="5543118E"/>
    <w:rsid w:val="554650C9"/>
    <w:rsid w:val="55472B6C"/>
    <w:rsid w:val="554967A4"/>
    <w:rsid w:val="554A6079"/>
    <w:rsid w:val="554B78CD"/>
    <w:rsid w:val="554D7917"/>
    <w:rsid w:val="554F368F"/>
    <w:rsid w:val="5551092C"/>
    <w:rsid w:val="55515FDB"/>
    <w:rsid w:val="55545149"/>
    <w:rsid w:val="5555355C"/>
    <w:rsid w:val="55572544"/>
    <w:rsid w:val="555D3FFE"/>
    <w:rsid w:val="55621614"/>
    <w:rsid w:val="556233C2"/>
    <w:rsid w:val="55627866"/>
    <w:rsid w:val="55630EE8"/>
    <w:rsid w:val="5565242B"/>
    <w:rsid w:val="55654C60"/>
    <w:rsid w:val="556709D9"/>
    <w:rsid w:val="55684751"/>
    <w:rsid w:val="556F5ADF"/>
    <w:rsid w:val="557430F6"/>
    <w:rsid w:val="55760C1C"/>
    <w:rsid w:val="557903BA"/>
    <w:rsid w:val="557914C7"/>
    <w:rsid w:val="55805F3E"/>
    <w:rsid w:val="55821CB6"/>
    <w:rsid w:val="558275C0"/>
    <w:rsid w:val="55834138"/>
    <w:rsid w:val="55853555"/>
    <w:rsid w:val="558A2919"/>
    <w:rsid w:val="558B0EF2"/>
    <w:rsid w:val="558C1CB9"/>
    <w:rsid w:val="558C48E3"/>
    <w:rsid w:val="558D0DCD"/>
    <w:rsid w:val="558D768C"/>
    <w:rsid w:val="55904B7D"/>
    <w:rsid w:val="55913CA7"/>
    <w:rsid w:val="55937A20"/>
    <w:rsid w:val="5596306C"/>
    <w:rsid w:val="55986DE4"/>
    <w:rsid w:val="55990DAE"/>
    <w:rsid w:val="55991528"/>
    <w:rsid w:val="559B0682"/>
    <w:rsid w:val="559D264C"/>
    <w:rsid w:val="559E0172"/>
    <w:rsid w:val="55A0038E"/>
    <w:rsid w:val="55A21A11"/>
    <w:rsid w:val="55A51501"/>
    <w:rsid w:val="55A663B8"/>
    <w:rsid w:val="55AA2FBB"/>
    <w:rsid w:val="55B313A7"/>
    <w:rsid w:val="55B33C1E"/>
    <w:rsid w:val="55B41744"/>
    <w:rsid w:val="55B94FAC"/>
    <w:rsid w:val="55BB2AD2"/>
    <w:rsid w:val="55BD3186"/>
    <w:rsid w:val="55BD684B"/>
    <w:rsid w:val="55C027DF"/>
    <w:rsid w:val="55C0458D"/>
    <w:rsid w:val="55C20305"/>
    <w:rsid w:val="55C23E61"/>
    <w:rsid w:val="55C51BA3"/>
    <w:rsid w:val="55C73B6D"/>
    <w:rsid w:val="55C94D0E"/>
    <w:rsid w:val="55CA71B9"/>
    <w:rsid w:val="55CC1183"/>
    <w:rsid w:val="55D02A22"/>
    <w:rsid w:val="55D122F6"/>
    <w:rsid w:val="55D81C32"/>
    <w:rsid w:val="55D83684"/>
    <w:rsid w:val="55DA2224"/>
    <w:rsid w:val="55DB1CF4"/>
    <w:rsid w:val="55DF0EB7"/>
    <w:rsid w:val="55DF2C65"/>
    <w:rsid w:val="55E01B05"/>
    <w:rsid w:val="55E21F54"/>
    <w:rsid w:val="55E24F3A"/>
    <w:rsid w:val="55E71B19"/>
    <w:rsid w:val="55E95892"/>
    <w:rsid w:val="55EA33B8"/>
    <w:rsid w:val="55EB160A"/>
    <w:rsid w:val="55EC7130"/>
    <w:rsid w:val="55EF0D20"/>
    <w:rsid w:val="55F14746"/>
    <w:rsid w:val="55F36710"/>
    <w:rsid w:val="55FA5247"/>
    <w:rsid w:val="55FA7D1B"/>
    <w:rsid w:val="55FB02E9"/>
    <w:rsid w:val="56044479"/>
    <w:rsid w:val="56091A90"/>
    <w:rsid w:val="560A3631"/>
    <w:rsid w:val="560B1CAC"/>
    <w:rsid w:val="560C332E"/>
    <w:rsid w:val="56105181"/>
    <w:rsid w:val="56105EF9"/>
    <w:rsid w:val="56195DC5"/>
    <w:rsid w:val="561D1AA7"/>
    <w:rsid w:val="561E498D"/>
    <w:rsid w:val="56205935"/>
    <w:rsid w:val="56206DD9"/>
    <w:rsid w:val="56262642"/>
    <w:rsid w:val="5627572A"/>
    <w:rsid w:val="56280330"/>
    <w:rsid w:val="56290384"/>
    <w:rsid w:val="562A2C1B"/>
    <w:rsid w:val="562C0F0B"/>
    <w:rsid w:val="562C277F"/>
    <w:rsid w:val="562C39D0"/>
    <w:rsid w:val="562C577E"/>
    <w:rsid w:val="562E599A"/>
    <w:rsid w:val="562E7748"/>
    <w:rsid w:val="56350AD7"/>
    <w:rsid w:val="5637484F"/>
    <w:rsid w:val="563A60ED"/>
    <w:rsid w:val="563C00B7"/>
    <w:rsid w:val="563C12E8"/>
    <w:rsid w:val="563C1E65"/>
    <w:rsid w:val="563D0F57"/>
    <w:rsid w:val="563D3E2F"/>
    <w:rsid w:val="563F54B2"/>
    <w:rsid w:val="564231F4"/>
    <w:rsid w:val="564927D4"/>
    <w:rsid w:val="565031F4"/>
    <w:rsid w:val="565151E5"/>
    <w:rsid w:val="56521E26"/>
    <w:rsid w:val="56530F5D"/>
    <w:rsid w:val="565371AF"/>
    <w:rsid w:val="56551179"/>
    <w:rsid w:val="565730C7"/>
    <w:rsid w:val="565A053D"/>
    <w:rsid w:val="565A22EB"/>
    <w:rsid w:val="565A678F"/>
    <w:rsid w:val="565D1DDC"/>
    <w:rsid w:val="56625644"/>
    <w:rsid w:val="5664316A"/>
    <w:rsid w:val="56666EE2"/>
    <w:rsid w:val="566969D2"/>
    <w:rsid w:val="566B62A7"/>
    <w:rsid w:val="566D0271"/>
    <w:rsid w:val="566E223B"/>
    <w:rsid w:val="56713C6E"/>
    <w:rsid w:val="5671771B"/>
    <w:rsid w:val="56737851"/>
    <w:rsid w:val="567809C3"/>
    <w:rsid w:val="567966F2"/>
    <w:rsid w:val="567A473C"/>
    <w:rsid w:val="567F61F6"/>
    <w:rsid w:val="56803629"/>
    <w:rsid w:val="56847368"/>
    <w:rsid w:val="56861332"/>
    <w:rsid w:val="56876E58"/>
    <w:rsid w:val="568850AA"/>
    <w:rsid w:val="5689497F"/>
    <w:rsid w:val="568D26C1"/>
    <w:rsid w:val="568F468B"/>
    <w:rsid w:val="56903F5F"/>
    <w:rsid w:val="56925F29"/>
    <w:rsid w:val="56927CD7"/>
    <w:rsid w:val="56930749"/>
    <w:rsid w:val="569752EE"/>
    <w:rsid w:val="56975989"/>
    <w:rsid w:val="5697709C"/>
    <w:rsid w:val="56983E3A"/>
    <w:rsid w:val="5699516F"/>
    <w:rsid w:val="569A4DDE"/>
    <w:rsid w:val="569C6DA8"/>
    <w:rsid w:val="569E48CE"/>
    <w:rsid w:val="569F41A2"/>
    <w:rsid w:val="569F5204"/>
    <w:rsid w:val="56A40F80"/>
    <w:rsid w:val="56A73C13"/>
    <w:rsid w:val="56A909B6"/>
    <w:rsid w:val="56AD4B11"/>
    <w:rsid w:val="56B063AF"/>
    <w:rsid w:val="56B23ED5"/>
    <w:rsid w:val="56B539C6"/>
    <w:rsid w:val="56B7773E"/>
    <w:rsid w:val="56BA0FDC"/>
    <w:rsid w:val="56BD287A"/>
    <w:rsid w:val="56BF65F2"/>
    <w:rsid w:val="56C1680E"/>
    <w:rsid w:val="56C34335"/>
    <w:rsid w:val="56C43C09"/>
    <w:rsid w:val="56C449A6"/>
    <w:rsid w:val="56C635D8"/>
    <w:rsid w:val="56C8194B"/>
    <w:rsid w:val="56CC3C4A"/>
    <w:rsid w:val="56CD0D0F"/>
    <w:rsid w:val="56CD6F61"/>
    <w:rsid w:val="56D007FF"/>
    <w:rsid w:val="56D06A51"/>
    <w:rsid w:val="56D16FAA"/>
    <w:rsid w:val="56D206C2"/>
    <w:rsid w:val="56D227CA"/>
    <w:rsid w:val="56D46542"/>
    <w:rsid w:val="56DA167E"/>
    <w:rsid w:val="56DA342C"/>
    <w:rsid w:val="56DB78D0"/>
    <w:rsid w:val="56DE4CCA"/>
    <w:rsid w:val="56DF0A43"/>
    <w:rsid w:val="56DF15AE"/>
    <w:rsid w:val="56DF6C95"/>
    <w:rsid w:val="56E10C5F"/>
    <w:rsid w:val="56E12A0D"/>
    <w:rsid w:val="56E30A23"/>
    <w:rsid w:val="56E524FD"/>
    <w:rsid w:val="56E5704A"/>
    <w:rsid w:val="56E878F7"/>
    <w:rsid w:val="56EB388B"/>
    <w:rsid w:val="56EB5639"/>
    <w:rsid w:val="56EC5EB2"/>
    <w:rsid w:val="56ED13B1"/>
    <w:rsid w:val="56ED315F"/>
    <w:rsid w:val="56F64651"/>
    <w:rsid w:val="56F72230"/>
    <w:rsid w:val="56F805D3"/>
    <w:rsid w:val="56F9482C"/>
    <w:rsid w:val="56F95FA8"/>
    <w:rsid w:val="56FA587C"/>
    <w:rsid w:val="56FA762A"/>
    <w:rsid w:val="56FB1D20"/>
    <w:rsid w:val="56FC15F5"/>
    <w:rsid w:val="56FC36A7"/>
    <w:rsid w:val="56FE35BF"/>
    <w:rsid w:val="57030BD5"/>
    <w:rsid w:val="570A1F63"/>
    <w:rsid w:val="570A3D11"/>
    <w:rsid w:val="570D3802"/>
    <w:rsid w:val="57120E18"/>
    <w:rsid w:val="57122BC6"/>
    <w:rsid w:val="571433BA"/>
    <w:rsid w:val="57144B90"/>
    <w:rsid w:val="5714693E"/>
    <w:rsid w:val="571903F8"/>
    <w:rsid w:val="57193F55"/>
    <w:rsid w:val="571C6F03"/>
    <w:rsid w:val="5721105B"/>
    <w:rsid w:val="57212E09"/>
    <w:rsid w:val="572648C3"/>
    <w:rsid w:val="572B3C88"/>
    <w:rsid w:val="572F2122"/>
    <w:rsid w:val="572F3778"/>
    <w:rsid w:val="573174F0"/>
    <w:rsid w:val="5732282D"/>
    <w:rsid w:val="57362D58"/>
    <w:rsid w:val="57372245"/>
    <w:rsid w:val="57376AD1"/>
    <w:rsid w:val="57392849"/>
    <w:rsid w:val="573B036F"/>
    <w:rsid w:val="574014E1"/>
    <w:rsid w:val="57435475"/>
    <w:rsid w:val="57451B41"/>
    <w:rsid w:val="574C432A"/>
    <w:rsid w:val="574F3E1A"/>
    <w:rsid w:val="574F7976"/>
    <w:rsid w:val="57511940"/>
    <w:rsid w:val="575136EE"/>
    <w:rsid w:val="57513E3C"/>
    <w:rsid w:val="575256B8"/>
    <w:rsid w:val="57541431"/>
    <w:rsid w:val="57575742"/>
    <w:rsid w:val="575907F5"/>
    <w:rsid w:val="575925A3"/>
    <w:rsid w:val="575B631B"/>
    <w:rsid w:val="575C0124"/>
    <w:rsid w:val="575E405D"/>
    <w:rsid w:val="575E4CB3"/>
    <w:rsid w:val="575E5615"/>
    <w:rsid w:val="575E71D1"/>
    <w:rsid w:val="57631674"/>
    <w:rsid w:val="57633422"/>
    <w:rsid w:val="57656AAF"/>
    <w:rsid w:val="57662666"/>
    <w:rsid w:val="57671164"/>
    <w:rsid w:val="57685C5F"/>
    <w:rsid w:val="576C0528"/>
    <w:rsid w:val="576D24F2"/>
    <w:rsid w:val="57711FE2"/>
    <w:rsid w:val="5773022F"/>
    <w:rsid w:val="577613A7"/>
    <w:rsid w:val="57776ECD"/>
    <w:rsid w:val="57780285"/>
    <w:rsid w:val="577E025B"/>
    <w:rsid w:val="57835872"/>
    <w:rsid w:val="578515EA"/>
    <w:rsid w:val="57895841"/>
    <w:rsid w:val="578A6C00"/>
    <w:rsid w:val="578E4942"/>
    <w:rsid w:val="579161E1"/>
    <w:rsid w:val="57931F59"/>
    <w:rsid w:val="579546BB"/>
    <w:rsid w:val="57961A49"/>
    <w:rsid w:val="579B4127"/>
    <w:rsid w:val="579D2DD8"/>
    <w:rsid w:val="579E08FE"/>
    <w:rsid w:val="579E26AC"/>
    <w:rsid w:val="57A16858"/>
    <w:rsid w:val="57A51C8C"/>
    <w:rsid w:val="57A8352A"/>
    <w:rsid w:val="57AA1051"/>
    <w:rsid w:val="57AA30DF"/>
    <w:rsid w:val="57AC301B"/>
    <w:rsid w:val="57AE79CC"/>
    <w:rsid w:val="57B343A9"/>
    <w:rsid w:val="57B36157"/>
    <w:rsid w:val="57B40121"/>
    <w:rsid w:val="57B7551B"/>
    <w:rsid w:val="57BB14B0"/>
    <w:rsid w:val="57BC345F"/>
    <w:rsid w:val="57BC762A"/>
    <w:rsid w:val="57BD2FDD"/>
    <w:rsid w:val="57BE4AFC"/>
    <w:rsid w:val="57C01474"/>
    <w:rsid w:val="57C2283E"/>
    <w:rsid w:val="57C245EC"/>
    <w:rsid w:val="57C33332"/>
    <w:rsid w:val="57CB7122"/>
    <w:rsid w:val="57CF6D09"/>
    <w:rsid w:val="57D00194"/>
    <w:rsid w:val="57D305A7"/>
    <w:rsid w:val="57D4431F"/>
    <w:rsid w:val="57D63BF4"/>
    <w:rsid w:val="57D936E4"/>
    <w:rsid w:val="57DA5E22"/>
    <w:rsid w:val="57DA7B88"/>
    <w:rsid w:val="57DE0CFA"/>
    <w:rsid w:val="57DF519E"/>
    <w:rsid w:val="57E006C6"/>
    <w:rsid w:val="57E04A72"/>
    <w:rsid w:val="57EA58F1"/>
    <w:rsid w:val="57EC1669"/>
    <w:rsid w:val="57EC78BB"/>
    <w:rsid w:val="57EC7EFD"/>
    <w:rsid w:val="57ED63C8"/>
    <w:rsid w:val="57F56770"/>
    <w:rsid w:val="57F66044"/>
    <w:rsid w:val="57F8000E"/>
    <w:rsid w:val="57F81DBC"/>
    <w:rsid w:val="57F977E9"/>
    <w:rsid w:val="57FB73D1"/>
    <w:rsid w:val="57FB7AFE"/>
    <w:rsid w:val="57FF75EE"/>
    <w:rsid w:val="58005114"/>
    <w:rsid w:val="580206F4"/>
    <w:rsid w:val="58020E8D"/>
    <w:rsid w:val="58044C05"/>
    <w:rsid w:val="580544D9"/>
    <w:rsid w:val="58054E60"/>
    <w:rsid w:val="580764A3"/>
    <w:rsid w:val="58086E95"/>
    <w:rsid w:val="5809221B"/>
    <w:rsid w:val="580935CD"/>
    <w:rsid w:val="58093FC9"/>
    <w:rsid w:val="580A7D41"/>
    <w:rsid w:val="580D1877"/>
    <w:rsid w:val="580E7831"/>
    <w:rsid w:val="580F4197"/>
    <w:rsid w:val="580F49BF"/>
    <w:rsid w:val="580F725F"/>
    <w:rsid w:val="581001F8"/>
    <w:rsid w:val="58101D5C"/>
    <w:rsid w:val="581110D0"/>
    <w:rsid w:val="58133FA8"/>
    <w:rsid w:val="58152B58"/>
    <w:rsid w:val="581666E6"/>
    <w:rsid w:val="58172929"/>
    <w:rsid w:val="58197E1A"/>
    <w:rsid w:val="581A61D6"/>
    <w:rsid w:val="581B530B"/>
    <w:rsid w:val="581B5AAA"/>
    <w:rsid w:val="581C7EDC"/>
    <w:rsid w:val="581E3DE2"/>
    <w:rsid w:val="581F69C6"/>
    <w:rsid w:val="58201313"/>
    <w:rsid w:val="582157B7"/>
    <w:rsid w:val="58254B7B"/>
    <w:rsid w:val="58256929"/>
    <w:rsid w:val="5827444F"/>
    <w:rsid w:val="58276B45"/>
    <w:rsid w:val="582A3F3F"/>
    <w:rsid w:val="582B2191"/>
    <w:rsid w:val="58366D88"/>
    <w:rsid w:val="583A0626"/>
    <w:rsid w:val="583B7EFB"/>
    <w:rsid w:val="583D3C73"/>
    <w:rsid w:val="583E32AB"/>
    <w:rsid w:val="583F2D3C"/>
    <w:rsid w:val="583F79EB"/>
    <w:rsid w:val="58403763"/>
    <w:rsid w:val="58417C07"/>
    <w:rsid w:val="58443253"/>
    <w:rsid w:val="584B076B"/>
    <w:rsid w:val="584B2834"/>
    <w:rsid w:val="584D2181"/>
    <w:rsid w:val="584E7C2E"/>
    <w:rsid w:val="5853793A"/>
    <w:rsid w:val="58564D34"/>
    <w:rsid w:val="58577DBC"/>
    <w:rsid w:val="58584F50"/>
    <w:rsid w:val="585C67EF"/>
    <w:rsid w:val="5866766D"/>
    <w:rsid w:val="58676F42"/>
    <w:rsid w:val="58692CBA"/>
    <w:rsid w:val="586965E3"/>
    <w:rsid w:val="586B4C84"/>
    <w:rsid w:val="58713534"/>
    <w:rsid w:val="587578B0"/>
    <w:rsid w:val="58767185"/>
    <w:rsid w:val="5878114F"/>
    <w:rsid w:val="587873A1"/>
    <w:rsid w:val="587A3143"/>
    <w:rsid w:val="587D116A"/>
    <w:rsid w:val="587F072F"/>
    <w:rsid w:val="587F24DD"/>
    <w:rsid w:val="58801DB1"/>
    <w:rsid w:val="58816255"/>
    <w:rsid w:val="58832DC3"/>
    <w:rsid w:val="58855A0B"/>
    <w:rsid w:val="5886386C"/>
    <w:rsid w:val="58871392"/>
    <w:rsid w:val="5889335C"/>
    <w:rsid w:val="588C69A8"/>
    <w:rsid w:val="588D419D"/>
    <w:rsid w:val="588E44CE"/>
    <w:rsid w:val="58906498"/>
    <w:rsid w:val="58922210"/>
    <w:rsid w:val="58975A79"/>
    <w:rsid w:val="5898534D"/>
    <w:rsid w:val="589870FB"/>
    <w:rsid w:val="589917F1"/>
    <w:rsid w:val="589A29EE"/>
    <w:rsid w:val="589A7317"/>
    <w:rsid w:val="589C308F"/>
    <w:rsid w:val="589E6E07"/>
    <w:rsid w:val="589F0865"/>
    <w:rsid w:val="589F66DB"/>
    <w:rsid w:val="58A14202"/>
    <w:rsid w:val="58A23367"/>
    <w:rsid w:val="58A27F7A"/>
    <w:rsid w:val="58A35B06"/>
    <w:rsid w:val="58A75590"/>
    <w:rsid w:val="58AB32D2"/>
    <w:rsid w:val="58AB6E2E"/>
    <w:rsid w:val="58AD2F33"/>
    <w:rsid w:val="58AD704A"/>
    <w:rsid w:val="58B54151"/>
    <w:rsid w:val="58B605B7"/>
    <w:rsid w:val="58B64839"/>
    <w:rsid w:val="58B8779D"/>
    <w:rsid w:val="58B959EF"/>
    <w:rsid w:val="58B97A16"/>
    <w:rsid w:val="58BB51AE"/>
    <w:rsid w:val="58BC103B"/>
    <w:rsid w:val="58BC2ED3"/>
    <w:rsid w:val="58C12AF6"/>
    <w:rsid w:val="58C46142"/>
    <w:rsid w:val="58C47EF0"/>
    <w:rsid w:val="58C67724"/>
    <w:rsid w:val="58C919AA"/>
    <w:rsid w:val="58CD149A"/>
    <w:rsid w:val="58CE59D8"/>
    <w:rsid w:val="58CF5213"/>
    <w:rsid w:val="58D02D39"/>
    <w:rsid w:val="58D2085F"/>
    <w:rsid w:val="58D472A5"/>
    <w:rsid w:val="58D72319"/>
    <w:rsid w:val="58D75E75"/>
    <w:rsid w:val="58DC348C"/>
    <w:rsid w:val="58DC7930"/>
    <w:rsid w:val="58DE7204"/>
    <w:rsid w:val="58E42340"/>
    <w:rsid w:val="58E467E4"/>
    <w:rsid w:val="58E6255C"/>
    <w:rsid w:val="58E97957"/>
    <w:rsid w:val="58EA35C5"/>
    <w:rsid w:val="58ED1663"/>
    <w:rsid w:val="58F24A5D"/>
    <w:rsid w:val="58F74373"/>
    <w:rsid w:val="58FE1654"/>
    <w:rsid w:val="58FF53CC"/>
    <w:rsid w:val="59002D7E"/>
    <w:rsid w:val="5903310E"/>
    <w:rsid w:val="59041EDF"/>
    <w:rsid w:val="59050C34"/>
    <w:rsid w:val="5906536C"/>
    <w:rsid w:val="590B1FC3"/>
    <w:rsid w:val="591013D6"/>
    <w:rsid w:val="5911403B"/>
    <w:rsid w:val="59123351"/>
    <w:rsid w:val="59126EAD"/>
    <w:rsid w:val="59172716"/>
    <w:rsid w:val="591946E0"/>
    <w:rsid w:val="591C5F7E"/>
    <w:rsid w:val="591E3AA4"/>
    <w:rsid w:val="591E7A48"/>
    <w:rsid w:val="59282B75"/>
    <w:rsid w:val="592866D1"/>
    <w:rsid w:val="59291EAC"/>
    <w:rsid w:val="592B2BC8"/>
    <w:rsid w:val="592B5579"/>
    <w:rsid w:val="592B7F6F"/>
    <w:rsid w:val="592D018B"/>
    <w:rsid w:val="592D3CE7"/>
    <w:rsid w:val="593029DB"/>
    <w:rsid w:val="593037D7"/>
    <w:rsid w:val="59305585"/>
    <w:rsid w:val="5932697F"/>
    <w:rsid w:val="593432C8"/>
    <w:rsid w:val="593A6404"/>
    <w:rsid w:val="593B28A8"/>
    <w:rsid w:val="593C03CE"/>
    <w:rsid w:val="593C3F2A"/>
    <w:rsid w:val="593D7234"/>
    <w:rsid w:val="593E58F0"/>
    <w:rsid w:val="59411541"/>
    <w:rsid w:val="5943350B"/>
    <w:rsid w:val="594352B9"/>
    <w:rsid w:val="59441031"/>
    <w:rsid w:val="594430F4"/>
    <w:rsid w:val="5945570A"/>
    <w:rsid w:val="59457283"/>
    <w:rsid w:val="594714CC"/>
    <w:rsid w:val="594828CF"/>
    <w:rsid w:val="594A2AEB"/>
    <w:rsid w:val="594D25DB"/>
    <w:rsid w:val="594F1EAF"/>
    <w:rsid w:val="59513E7A"/>
    <w:rsid w:val="59536F6B"/>
    <w:rsid w:val="5954396A"/>
    <w:rsid w:val="59594ADC"/>
    <w:rsid w:val="595C45CC"/>
    <w:rsid w:val="595D1779"/>
    <w:rsid w:val="5960230F"/>
    <w:rsid w:val="596671F9"/>
    <w:rsid w:val="59692E21"/>
    <w:rsid w:val="596A4F3B"/>
    <w:rsid w:val="596B480F"/>
    <w:rsid w:val="596D67DA"/>
    <w:rsid w:val="596F60AE"/>
    <w:rsid w:val="59701E26"/>
    <w:rsid w:val="597162CA"/>
    <w:rsid w:val="59741916"/>
    <w:rsid w:val="5974452F"/>
    <w:rsid w:val="59745DBA"/>
    <w:rsid w:val="59747B68"/>
    <w:rsid w:val="59757D84"/>
    <w:rsid w:val="597746E4"/>
    <w:rsid w:val="59777658"/>
    <w:rsid w:val="59793D78"/>
    <w:rsid w:val="5979517E"/>
    <w:rsid w:val="59796F2C"/>
    <w:rsid w:val="597A1703"/>
    <w:rsid w:val="597C6A1D"/>
    <w:rsid w:val="598002BB"/>
    <w:rsid w:val="59837DAB"/>
    <w:rsid w:val="59843CBF"/>
    <w:rsid w:val="59851D75"/>
    <w:rsid w:val="59853B23"/>
    <w:rsid w:val="598853C1"/>
    <w:rsid w:val="598A1022"/>
    <w:rsid w:val="598B6C60"/>
    <w:rsid w:val="598C3104"/>
    <w:rsid w:val="598C4EB2"/>
    <w:rsid w:val="598D671F"/>
    <w:rsid w:val="59914276"/>
    <w:rsid w:val="59926DE3"/>
    <w:rsid w:val="59967ADE"/>
    <w:rsid w:val="59973856"/>
    <w:rsid w:val="59981AA8"/>
    <w:rsid w:val="5999312B"/>
    <w:rsid w:val="59994DBA"/>
    <w:rsid w:val="599975CF"/>
    <w:rsid w:val="599C0E6D"/>
    <w:rsid w:val="599E2E37"/>
    <w:rsid w:val="59A55F73"/>
    <w:rsid w:val="59A65AA5"/>
    <w:rsid w:val="59A71CEC"/>
    <w:rsid w:val="59A85A64"/>
    <w:rsid w:val="59AA358A"/>
    <w:rsid w:val="59AC5554"/>
    <w:rsid w:val="59B166C6"/>
    <w:rsid w:val="59B30690"/>
    <w:rsid w:val="59B44E5D"/>
    <w:rsid w:val="59B461B6"/>
    <w:rsid w:val="59B62CC0"/>
    <w:rsid w:val="59B77A55"/>
    <w:rsid w:val="59B83EF9"/>
    <w:rsid w:val="59B8766C"/>
    <w:rsid w:val="59B93578"/>
    <w:rsid w:val="59B937CD"/>
    <w:rsid w:val="59B9557B"/>
    <w:rsid w:val="59BA3E3C"/>
    <w:rsid w:val="59BB7545"/>
    <w:rsid w:val="59BC506B"/>
    <w:rsid w:val="59BE7035"/>
    <w:rsid w:val="59C26B25"/>
    <w:rsid w:val="59C3464B"/>
    <w:rsid w:val="59C363FA"/>
    <w:rsid w:val="59C414B7"/>
    <w:rsid w:val="59C52172"/>
    <w:rsid w:val="59C56616"/>
    <w:rsid w:val="59C60319"/>
    <w:rsid w:val="59C75EEA"/>
    <w:rsid w:val="59C83A10"/>
    <w:rsid w:val="59CA3C2C"/>
    <w:rsid w:val="59CC3500"/>
    <w:rsid w:val="59CC52AE"/>
    <w:rsid w:val="59D03C49"/>
    <w:rsid w:val="59D16D68"/>
    <w:rsid w:val="59D32AE1"/>
    <w:rsid w:val="59D56097"/>
    <w:rsid w:val="59D6649D"/>
    <w:rsid w:val="59D71B43"/>
    <w:rsid w:val="59D95C1D"/>
    <w:rsid w:val="59D979CB"/>
    <w:rsid w:val="59E00D5A"/>
    <w:rsid w:val="59E3084A"/>
    <w:rsid w:val="59E47360"/>
    <w:rsid w:val="59E52814"/>
    <w:rsid w:val="59E56370"/>
    <w:rsid w:val="59EC5950"/>
    <w:rsid w:val="59EE16C8"/>
    <w:rsid w:val="59EE791A"/>
    <w:rsid w:val="59F111B9"/>
    <w:rsid w:val="59F12F67"/>
    <w:rsid w:val="59F82547"/>
    <w:rsid w:val="59FC59A6"/>
    <w:rsid w:val="59FD7B5D"/>
    <w:rsid w:val="5A0013FC"/>
    <w:rsid w:val="5A00764E"/>
    <w:rsid w:val="5A011459"/>
    <w:rsid w:val="5A037D60"/>
    <w:rsid w:val="5A04713E"/>
    <w:rsid w:val="5A054C64"/>
    <w:rsid w:val="5A0927BC"/>
    <w:rsid w:val="5A0A5DD6"/>
    <w:rsid w:val="5A0A7C1A"/>
    <w:rsid w:val="5A0C49E5"/>
    <w:rsid w:val="5A0C56D2"/>
    <w:rsid w:val="5A111D2D"/>
    <w:rsid w:val="5A132EDD"/>
    <w:rsid w:val="5A1478CF"/>
    <w:rsid w:val="5A16081F"/>
    <w:rsid w:val="5A166E71"/>
    <w:rsid w:val="5A17367F"/>
    <w:rsid w:val="5A1D0200"/>
    <w:rsid w:val="5A1D3D5C"/>
    <w:rsid w:val="5A1D5B0A"/>
    <w:rsid w:val="5A20384C"/>
    <w:rsid w:val="5A217302"/>
    <w:rsid w:val="5A235F34"/>
    <w:rsid w:val="5A2450EA"/>
    <w:rsid w:val="5A252C10"/>
    <w:rsid w:val="5A274BDA"/>
    <w:rsid w:val="5A276988"/>
    <w:rsid w:val="5A2F1CE1"/>
    <w:rsid w:val="5A3115B5"/>
    <w:rsid w:val="5A317807"/>
    <w:rsid w:val="5A33357F"/>
    <w:rsid w:val="5A355549"/>
    <w:rsid w:val="5A3572F7"/>
    <w:rsid w:val="5A395589"/>
    <w:rsid w:val="5A3B68D8"/>
    <w:rsid w:val="5A3C61F5"/>
    <w:rsid w:val="5A3D7F5A"/>
    <w:rsid w:val="5A47275E"/>
    <w:rsid w:val="5A47527D"/>
    <w:rsid w:val="5A4968FF"/>
    <w:rsid w:val="5A4A27BF"/>
    <w:rsid w:val="5A4A7AA9"/>
    <w:rsid w:val="5A4C2893"/>
    <w:rsid w:val="5A4C4641"/>
    <w:rsid w:val="5A4E03B9"/>
    <w:rsid w:val="5A504131"/>
    <w:rsid w:val="5A560DC3"/>
    <w:rsid w:val="5A5654C0"/>
    <w:rsid w:val="5A581238"/>
    <w:rsid w:val="5A592901"/>
    <w:rsid w:val="5A5A6D5E"/>
    <w:rsid w:val="5A5D05FC"/>
    <w:rsid w:val="5A5E43C5"/>
    <w:rsid w:val="5A60180A"/>
    <w:rsid w:val="5A601E9A"/>
    <w:rsid w:val="5A604A46"/>
    <w:rsid w:val="5A621513"/>
    <w:rsid w:val="5A623E64"/>
    <w:rsid w:val="5A636A25"/>
    <w:rsid w:val="5A64198B"/>
    <w:rsid w:val="5A647BDD"/>
    <w:rsid w:val="5A663955"/>
    <w:rsid w:val="5A67147B"/>
    <w:rsid w:val="5A673229"/>
    <w:rsid w:val="5A6F20DD"/>
    <w:rsid w:val="5A706581"/>
    <w:rsid w:val="5A7302EB"/>
    <w:rsid w:val="5A7476F4"/>
    <w:rsid w:val="5A755946"/>
    <w:rsid w:val="5A795462"/>
    <w:rsid w:val="5A8028EF"/>
    <w:rsid w:val="5A81253D"/>
    <w:rsid w:val="5A8262B5"/>
    <w:rsid w:val="5A840347"/>
    <w:rsid w:val="5A841C9E"/>
    <w:rsid w:val="5A871B1D"/>
    <w:rsid w:val="5A875679"/>
    <w:rsid w:val="5A877BF1"/>
    <w:rsid w:val="5A89319F"/>
    <w:rsid w:val="5A8D7133"/>
    <w:rsid w:val="5A8F4E63"/>
    <w:rsid w:val="5A9102A6"/>
    <w:rsid w:val="5A9304C2"/>
    <w:rsid w:val="5A963B0E"/>
    <w:rsid w:val="5A9B1124"/>
    <w:rsid w:val="5AA1498D"/>
    <w:rsid w:val="5AA224B3"/>
    <w:rsid w:val="5AA26B58"/>
    <w:rsid w:val="5AA601F5"/>
    <w:rsid w:val="5AAB441A"/>
    <w:rsid w:val="5AAE4C4B"/>
    <w:rsid w:val="5AB02E22"/>
    <w:rsid w:val="5AB04BD0"/>
    <w:rsid w:val="5AB3646E"/>
    <w:rsid w:val="5AC24903"/>
    <w:rsid w:val="5AC661A1"/>
    <w:rsid w:val="5AC97A40"/>
    <w:rsid w:val="5ACB37B8"/>
    <w:rsid w:val="5ACC12DE"/>
    <w:rsid w:val="5AD20FEA"/>
    <w:rsid w:val="5AD32D47"/>
    <w:rsid w:val="5AD54636"/>
    <w:rsid w:val="5AD563E4"/>
    <w:rsid w:val="5ADA1C4D"/>
    <w:rsid w:val="5ADA39FB"/>
    <w:rsid w:val="5ADC3C17"/>
    <w:rsid w:val="5ADF1011"/>
    <w:rsid w:val="5ADF3707"/>
    <w:rsid w:val="5AE0479A"/>
    <w:rsid w:val="5AE20B01"/>
    <w:rsid w:val="5AE34FA5"/>
    <w:rsid w:val="5AE623A0"/>
    <w:rsid w:val="5AE66844"/>
    <w:rsid w:val="5AE91E90"/>
    <w:rsid w:val="5AEB5C08"/>
    <w:rsid w:val="5AEC326D"/>
    <w:rsid w:val="5AED32BE"/>
    <w:rsid w:val="5AEE56F8"/>
    <w:rsid w:val="5AEE7702"/>
    <w:rsid w:val="5AF56A87"/>
    <w:rsid w:val="5AF727FF"/>
    <w:rsid w:val="5AFA409D"/>
    <w:rsid w:val="5AFA5E4B"/>
    <w:rsid w:val="5AFC131F"/>
    <w:rsid w:val="5B022F52"/>
    <w:rsid w:val="5B04316E"/>
    <w:rsid w:val="5B046CCA"/>
    <w:rsid w:val="5B0B62AA"/>
    <w:rsid w:val="5B0E18F6"/>
    <w:rsid w:val="5B0F5D9A"/>
    <w:rsid w:val="5B1038C0"/>
    <w:rsid w:val="5B10566E"/>
    <w:rsid w:val="5B13515F"/>
    <w:rsid w:val="5B136F0D"/>
    <w:rsid w:val="5B157129"/>
    <w:rsid w:val="5B1A029B"/>
    <w:rsid w:val="5B1A473F"/>
    <w:rsid w:val="5B1C3014"/>
    <w:rsid w:val="5B21787C"/>
    <w:rsid w:val="5B24111A"/>
    <w:rsid w:val="5B24736C"/>
    <w:rsid w:val="5B2630E4"/>
    <w:rsid w:val="5B296730"/>
    <w:rsid w:val="5B2D6220"/>
    <w:rsid w:val="5B2D7FCE"/>
    <w:rsid w:val="5B311173"/>
    <w:rsid w:val="5B311471"/>
    <w:rsid w:val="5B314B9C"/>
    <w:rsid w:val="5B3255E5"/>
    <w:rsid w:val="5B345801"/>
    <w:rsid w:val="5B351579"/>
    <w:rsid w:val="5B3550D5"/>
    <w:rsid w:val="5B370E4D"/>
    <w:rsid w:val="5B381344"/>
    <w:rsid w:val="5B383A43"/>
    <w:rsid w:val="5B392E17"/>
    <w:rsid w:val="5B3A042A"/>
    <w:rsid w:val="5B3D3F8A"/>
    <w:rsid w:val="5B4041A6"/>
    <w:rsid w:val="5B413A7A"/>
    <w:rsid w:val="5B427539"/>
    <w:rsid w:val="5B441028"/>
    <w:rsid w:val="5B445318"/>
    <w:rsid w:val="5B4517BC"/>
    <w:rsid w:val="5B4C58AA"/>
    <w:rsid w:val="5B4F39A0"/>
    <w:rsid w:val="5B4F5494"/>
    <w:rsid w:val="5B5163B3"/>
    <w:rsid w:val="5B5267B9"/>
    <w:rsid w:val="5B5B0FE0"/>
    <w:rsid w:val="5B5B5948"/>
    <w:rsid w:val="5B5C4D58"/>
    <w:rsid w:val="5B5F034D"/>
    <w:rsid w:val="5B5F1393"/>
    <w:rsid w:val="5B6051E4"/>
    <w:rsid w:val="5B612BB3"/>
    <w:rsid w:val="5B637E94"/>
    <w:rsid w:val="5B64318C"/>
    <w:rsid w:val="5B6854AA"/>
    <w:rsid w:val="5B6A1223"/>
    <w:rsid w:val="5B7025B1"/>
    <w:rsid w:val="5B7420A1"/>
    <w:rsid w:val="5B745BFD"/>
    <w:rsid w:val="5B755624"/>
    <w:rsid w:val="5B791466"/>
    <w:rsid w:val="5B7A1DA3"/>
    <w:rsid w:val="5B7A2A80"/>
    <w:rsid w:val="5B7A6F8C"/>
    <w:rsid w:val="5B7D7A78"/>
    <w:rsid w:val="5B807B3A"/>
    <w:rsid w:val="5B834092"/>
    <w:rsid w:val="5B85794B"/>
    <w:rsid w:val="5B8B5F03"/>
    <w:rsid w:val="5B8D4F11"/>
    <w:rsid w:val="5B8F0C89"/>
    <w:rsid w:val="5B9067AF"/>
    <w:rsid w:val="5B9242D5"/>
    <w:rsid w:val="5B955B74"/>
    <w:rsid w:val="5B970ABB"/>
    <w:rsid w:val="5B991BDA"/>
    <w:rsid w:val="5B9E5C51"/>
    <w:rsid w:val="5B9F2091"/>
    <w:rsid w:val="5BA37100"/>
    <w:rsid w:val="5BA45BC9"/>
    <w:rsid w:val="5BA504AD"/>
    <w:rsid w:val="5BA5225B"/>
    <w:rsid w:val="5BA67D81"/>
    <w:rsid w:val="5BA81D4B"/>
    <w:rsid w:val="5BA858A7"/>
    <w:rsid w:val="5BAA161F"/>
    <w:rsid w:val="5BAC35E9"/>
    <w:rsid w:val="5BAF30D9"/>
    <w:rsid w:val="5BAF6C35"/>
    <w:rsid w:val="5BB5157D"/>
    <w:rsid w:val="5BB73D3C"/>
    <w:rsid w:val="5BB75372"/>
    <w:rsid w:val="5BB97AB4"/>
    <w:rsid w:val="5BBB7CD0"/>
    <w:rsid w:val="5BBC2A60"/>
    <w:rsid w:val="5BC05588"/>
    <w:rsid w:val="5BC30933"/>
    <w:rsid w:val="5BC326E1"/>
    <w:rsid w:val="5BC36B85"/>
    <w:rsid w:val="5BC40BAB"/>
    <w:rsid w:val="5BC528FD"/>
    <w:rsid w:val="5BC85F49"/>
    <w:rsid w:val="5BCF552A"/>
    <w:rsid w:val="5BD112A2"/>
    <w:rsid w:val="5BD26DC8"/>
    <w:rsid w:val="5BD424E2"/>
    <w:rsid w:val="5BD42E24"/>
    <w:rsid w:val="5BD4669C"/>
    <w:rsid w:val="5BD668B8"/>
    <w:rsid w:val="5BD7618C"/>
    <w:rsid w:val="5BD82630"/>
    <w:rsid w:val="5BD90156"/>
    <w:rsid w:val="5BE002A5"/>
    <w:rsid w:val="5BE21F66"/>
    <w:rsid w:val="5BE2525D"/>
    <w:rsid w:val="5BE2700B"/>
    <w:rsid w:val="5BE34B31"/>
    <w:rsid w:val="5BE56AFB"/>
    <w:rsid w:val="5BE82147"/>
    <w:rsid w:val="5BEC1C38"/>
    <w:rsid w:val="5BEC7E8A"/>
    <w:rsid w:val="5BED775E"/>
    <w:rsid w:val="5BF03A18"/>
    <w:rsid w:val="5BF105C4"/>
    <w:rsid w:val="5BF226BA"/>
    <w:rsid w:val="5BF22FC6"/>
    <w:rsid w:val="5BF3746A"/>
    <w:rsid w:val="5BF46D3E"/>
    <w:rsid w:val="5BF62AB6"/>
    <w:rsid w:val="5BFB37A6"/>
    <w:rsid w:val="5BFB631F"/>
    <w:rsid w:val="5BFC5BF3"/>
    <w:rsid w:val="5BFD6D94"/>
    <w:rsid w:val="5C001B87"/>
    <w:rsid w:val="5C0056E3"/>
    <w:rsid w:val="5C013209"/>
    <w:rsid w:val="5C050B30"/>
    <w:rsid w:val="5C076A71"/>
    <w:rsid w:val="5C0A47B4"/>
    <w:rsid w:val="5C0D1BAE"/>
    <w:rsid w:val="5C11169E"/>
    <w:rsid w:val="5C1271C4"/>
    <w:rsid w:val="5C136B67"/>
    <w:rsid w:val="5C164335"/>
    <w:rsid w:val="5C1833D1"/>
    <w:rsid w:val="5C1967A5"/>
    <w:rsid w:val="5C1B076F"/>
    <w:rsid w:val="5C207B33"/>
    <w:rsid w:val="5C221667"/>
    <w:rsid w:val="5C2238AB"/>
    <w:rsid w:val="5C237623"/>
    <w:rsid w:val="5C240C7B"/>
    <w:rsid w:val="5C272C70"/>
    <w:rsid w:val="5C292E8C"/>
    <w:rsid w:val="5C294C3A"/>
    <w:rsid w:val="5C2A2760"/>
    <w:rsid w:val="5C317F92"/>
    <w:rsid w:val="5C3435DF"/>
    <w:rsid w:val="5C34538D"/>
    <w:rsid w:val="5C361105"/>
    <w:rsid w:val="5C367357"/>
    <w:rsid w:val="5C384E7D"/>
    <w:rsid w:val="5C3A0EAF"/>
    <w:rsid w:val="5C3D6937"/>
    <w:rsid w:val="5C4001D5"/>
    <w:rsid w:val="5C433822"/>
    <w:rsid w:val="5C480E38"/>
    <w:rsid w:val="5C4E28F2"/>
    <w:rsid w:val="5C4F5194"/>
    <w:rsid w:val="5C531CB7"/>
    <w:rsid w:val="5C594DF3"/>
    <w:rsid w:val="5C5A1297"/>
    <w:rsid w:val="5C5F065B"/>
    <w:rsid w:val="5C600994"/>
    <w:rsid w:val="5C602626"/>
    <w:rsid w:val="5C606182"/>
    <w:rsid w:val="5C621EFA"/>
    <w:rsid w:val="5C675762"/>
    <w:rsid w:val="5C677510"/>
    <w:rsid w:val="5C6914DA"/>
    <w:rsid w:val="5C6B7CDD"/>
    <w:rsid w:val="5C6C2D78"/>
    <w:rsid w:val="5C6E6AF1"/>
    <w:rsid w:val="5C6F4617"/>
    <w:rsid w:val="5C7027FB"/>
    <w:rsid w:val="5C712EAE"/>
    <w:rsid w:val="5C7156EC"/>
    <w:rsid w:val="5C7165E1"/>
    <w:rsid w:val="5C723888"/>
    <w:rsid w:val="5C734107"/>
    <w:rsid w:val="5C737BB0"/>
    <w:rsid w:val="5C7A36E7"/>
    <w:rsid w:val="5C7D6D34"/>
    <w:rsid w:val="5C806824"/>
    <w:rsid w:val="5C844566"/>
    <w:rsid w:val="5C870797"/>
    <w:rsid w:val="5C8779B0"/>
    <w:rsid w:val="5C891453"/>
    <w:rsid w:val="5C8A31FF"/>
    <w:rsid w:val="5C8D51F6"/>
    <w:rsid w:val="5C8E7193"/>
    <w:rsid w:val="5C8F6A67"/>
    <w:rsid w:val="5C902F0B"/>
    <w:rsid w:val="5C904CB9"/>
    <w:rsid w:val="5C9127DF"/>
    <w:rsid w:val="5C91458D"/>
    <w:rsid w:val="5C971DE3"/>
    <w:rsid w:val="5C974299"/>
    <w:rsid w:val="5C981DBF"/>
    <w:rsid w:val="5C9A5B38"/>
    <w:rsid w:val="5C9B365E"/>
    <w:rsid w:val="5C9F4EFC"/>
    <w:rsid w:val="5CA00C74"/>
    <w:rsid w:val="5CA223D5"/>
    <w:rsid w:val="5CA52AF5"/>
    <w:rsid w:val="5CAE3391"/>
    <w:rsid w:val="5CAE513F"/>
    <w:rsid w:val="5CAF2C65"/>
    <w:rsid w:val="5CAF4A20"/>
    <w:rsid w:val="5CAF66C2"/>
    <w:rsid w:val="5CB00EB7"/>
    <w:rsid w:val="5CB27C53"/>
    <w:rsid w:val="5CB55241"/>
    <w:rsid w:val="5CB564CD"/>
    <w:rsid w:val="5CB63FF4"/>
    <w:rsid w:val="5CB963A2"/>
    <w:rsid w:val="5CBB785C"/>
    <w:rsid w:val="5CBD1826"/>
    <w:rsid w:val="5CBF10FA"/>
    <w:rsid w:val="5CC41C0D"/>
    <w:rsid w:val="5CC47F34"/>
    <w:rsid w:val="5CC52489"/>
    <w:rsid w:val="5CC606DB"/>
    <w:rsid w:val="5CC777D1"/>
    <w:rsid w:val="5CC901CB"/>
    <w:rsid w:val="5CCC1A69"/>
    <w:rsid w:val="5CCD6007"/>
    <w:rsid w:val="5CCD7CBB"/>
    <w:rsid w:val="5CCE1A7B"/>
    <w:rsid w:val="5CD059FB"/>
    <w:rsid w:val="5CD54DC2"/>
    <w:rsid w:val="5CD56B70"/>
    <w:rsid w:val="5CD64696"/>
    <w:rsid w:val="5CD728E8"/>
    <w:rsid w:val="5CD8040E"/>
    <w:rsid w:val="5CD90867"/>
    <w:rsid w:val="5CDD5A24"/>
    <w:rsid w:val="5CDD77D2"/>
    <w:rsid w:val="5CE2303B"/>
    <w:rsid w:val="5CE42D12"/>
    <w:rsid w:val="5CE46DB3"/>
    <w:rsid w:val="5CE62B2B"/>
    <w:rsid w:val="5CEB6393"/>
    <w:rsid w:val="5CEE19DF"/>
    <w:rsid w:val="5CEE5E83"/>
    <w:rsid w:val="5CEE7C31"/>
    <w:rsid w:val="5CF1327E"/>
    <w:rsid w:val="5CF27722"/>
    <w:rsid w:val="5CF455D7"/>
    <w:rsid w:val="5CF50FC0"/>
    <w:rsid w:val="5CF60894"/>
    <w:rsid w:val="5CF74D38"/>
    <w:rsid w:val="5CF76AE6"/>
    <w:rsid w:val="5CF8460C"/>
    <w:rsid w:val="5CF9604C"/>
    <w:rsid w:val="5CFA0384"/>
    <w:rsid w:val="5D014EC7"/>
    <w:rsid w:val="5D017965"/>
    <w:rsid w:val="5D041D1C"/>
    <w:rsid w:val="5D042FB1"/>
    <w:rsid w:val="5D072AA1"/>
    <w:rsid w:val="5D07484F"/>
    <w:rsid w:val="5D0E5BDE"/>
    <w:rsid w:val="5D105DFA"/>
    <w:rsid w:val="5D123258"/>
    <w:rsid w:val="5D1256CE"/>
    <w:rsid w:val="5D131446"/>
    <w:rsid w:val="5D151AF9"/>
    <w:rsid w:val="5D1D4073"/>
    <w:rsid w:val="5D1F6693"/>
    <w:rsid w:val="5D2006AE"/>
    <w:rsid w:val="5D235B2D"/>
    <w:rsid w:val="5D245401"/>
    <w:rsid w:val="5D290C69"/>
    <w:rsid w:val="5D2B2C34"/>
    <w:rsid w:val="5D2E44D2"/>
    <w:rsid w:val="5D344975"/>
    <w:rsid w:val="5D3715D8"/>
    <w:rsid w:val="5D373386"/>
    <w:rsid w:val="5D396C06"/>
    <w:rsid w:val="5D445AA3"/>
    <w:rsid w:val="5D487342"/>
    <w:rsid w:val="5D4B0BE0"/>
    <w:rsid w:val="5D4B6E32"/>
    <w:rsid w:val="5D535812"/>
    <w:rsid w:val="5D537A94"/>
    <w:rsid w:val="5D543F38"/>
    <w:rsid w:val="5D551A5E"/>
    <w:rsid w:val="5D573A29"/>
    <w:rsid w:val="5D575623"/>
    <w:rsid w:val="5D5850AB"/>
    <w:rsid w:val="5D5A52C7"/>
    <w:rsid w:val="5D5C4B9B"/>
    <w:rsid w:val="5D5D7AEC"/>
    <w:rsid w:val="5D610403"/>
    <w:rsid w:val="5D6121B1"/>
    <w:rsid w:val="5D6323CD"/>
    <w:rsid w:val="5D6B4750"/>
    <w:rsid w:val="5D6D2A3E"/>
    <w:rsid w:val="5D6D4FFA"/>
    <w:rsid w:val="5D7243BE"/>
    <w:rsid w:val="5D72616D"/>
    <w:rsid w:val="5D727F27"/>
    <w:rsid w:val="5D752101"/>
    <w:rsid w:val="5D753EAF"/>
    <w:rsid w:val="5D7719D5"/>
    <w:rsid w:val="5D79574D"/>
    <w:rsid w:val="5D7F6ADB"/>
    <w:rsid w:val="5D804FF9"/>
    <w:rsid w:val="5D814602"/>
    <w:rsid w:val="5D855AD0"/>
    <w:rsid w:val="5D883BE2"/>
    <w:rsid w:val="5D883ECE"/>
    <w:rsid w:val="5D885990"/>
    <w:rsid w:val="5D89245E"/>
    <w:rsid w:val="5D8B36D2"/>
    <w:rsid w:val="5D8B5480"/>
    <w:rsid w:val="5D8C2DD2"/>
    <w:rsid w:val="5D8D11F8"/>
    <w:rsid w:val="5D8E02C3"/>
    <w:rsid w:val="5D900CE9"/>
    <w:rsid w:val="5D92680F"/>
    <w:rsid w:val="5D9407D9"/>
    <w:rsid w:val="5D9562FF"/>
    <w:rsid w:val="5D9B1436"/>
    <w:rsid w:val="5D9C42A4"/>
    <w:rsid w:val="5D9C7FF6"/>
    <w:rsid w:val="5D9E1657"/>
    <w:rsid w:val="5D9E3405"/>
    <w:rsid w:val="5DA14CA4"/>
    <w:rsid w:val="5DA30A1C"/>
    <w:rsid w:val="5DA43C29"/>
    <w:rsid w:val="5DA86418"/>
    <w:rsid w:val="5DAA3B58"/>
    <w:rsid w:val="5DAB167E"/>
    <w:rsid w:val="5DAB5B22"/>
    <w:rsid w:val="5DAB78D0"/>
    <w:rsid w:val="5DAD3649"/>
    <w:rsid w:val="5DB07B64"/>
    <w:rsid w:val="5DB30B4D"/>
    <w:rsid w:val="5DB524FD"/>
    <w:rsid w:val="5DB6074F"/>
    <w:rsid w:val="5DBA7B13"/>
    <w:rsid w:val="5DBB1EB0"/>
    <w:rsid w:val="5DBB3FB7"/>
    <w:rsid w:val="5DBC1ADE"/>
    <w:rsid w:val="5DBC388C"/>
    <w:rsid w:val="5DC310BE"/>
    <w:rsid w:val="5DC664B8"/>
    <w:rsid w:val="5DCA7C19"/>
    <w:rsid w:val="5DCA7D57"/>
    <w:rsid w:val="5DCD5A99"/>
    <w:rsid w:val="5DD047B2"/>
    <w:rsid w:val="5DD23127"/>
    <w:rsid w:val="5DD40BD5"/>
    <w:rsid w:val="5DD45079"/>
    <w:rsid w:val="5DD46E27"/>
    <w:rsid w:val="5DD92690"/>
    <w:rsid w:val="5DDB6408"/>
    <w:rsid w:val="5DDC3F2E"/>
    <w:rsid w:val="5DDE2965"/>
    <w:rsid w:val="5DDE3802"/>
    <w:rsid w:val="5DE352BC"/>
    <w:rsid w:val="5DE3706A"/>
    <w:rsid w:val="5DE51034"/>
    <w:rsid w:val="5DE55D4F"/>
    <w:rsid w:val="5DE74DAC"/>
    <w:rsid w:val="5DE77A3D"/>
    <w:rsid w:val="5DE8221D"/>
    <w:rsid w:val="5DF24AA1"/>
    <w:rsid w:val="5DF24F34"/>
    <w:rsid w:val="5DF50B4C"/>
    <w:rsid w:val="5DF634D1"/>
    <w:rsid w:val="5DFE20F6"/>
    <w:rsid w:val="5DFE5C52"/>
    <w:rsid w:val="5E021BE6"/>
    <w:rsid w:val="5E03770C"/>
    <w:rsid w:val="5E084D23"/>
    <w:rsid w:val="5E0A68BE"/>
    <w:rsid w:val="5E0B635A"/>
    <w:rsid w:val="5E0C65C1"/>
    <w:rsid w:val="5E115985"/>
    <w:rsid w:val="5E1216FE"/>
    <w:rsid w:val="5E1436C8"/>
    <w:rsid w:val="5E197CFB"/>
    <w:rsid w:val="5E1B2CA8"/>
    <w:rsid w:val="5E1B6804"/>
    <w:rsid w:val="5E1E26DD"/>
    <w:rsid w:val="5E1F1A63"/>
    <w:rsid w:val="5E1F79F5"/>
    <w:rsid w:val="5E227B93"/>
    <w:rsid w:val="5E2558D5"/>
    <w:rsid w:val="5E282CCF"/>
    <w:rsid w:val="5E294CEB"/>
    <w:rsid w:val="5E2A2EEB"/>
    <w:rsid w:val="5E2C27BF"/>
    <w:rsid w:val="5E2C6C63"/>
    <w:rsid w:val="5E2D4789"/>
    <w:rsid w:val="5E2D6537"/>
    <w:rsid w:val="5E317DD6"/>
    <w:rsid w:val="5E343D6A"/>
    <w:rsid w:val="5E3653EC"/>
    <w:rsid w:val="5E385608"/>
    <w:rsid w:val="5E435D5B"/>
    <w:rsid w:val="5E443FAD"/>
    <w:rsid w:val="5E457D25"/>
    <w:rsid w:val="5E4636DE"/>
    <w:rsid w:val="5E4656D1"/>
    <w:rsid w:val="5E4C4C10"/>
    <w:rsid w:val="5E4E693A"/>
    <w:rsid w:val="5E4E6BDA"/>
    <w:rsid w:val="5E4F4700"/>
    <w:rsid w:val="5E512226"/>
    <w:rsid w:val="5E513054"/>
    <w:rsid w:val="5E5166CA"/>
    <w:rsid w:val="5E547F68"/>
    <w:rsid w:val="5E5835B4"/>
    <w:rsid w:val="5E587A58"/>
    <w:rsid w:val="5E5947D1"/>
    <w:rsid w:val="5E5A37D0"/>
    <w:rsid w:val="5E5B7AAE"/>
    <w:rsid w:val="5E5D506F"/>
    <w:rsid w:val="5E6006BB"/>
    <w:rsid w:val="5E622685"/>
    <w:rsid w:val="5E655CD1"/>
    <w:rsid w:val="5E671A49"/>
    <w:rsid w:val="5E6737F7"/>
    <w:rsid w:val="5E68756F"/>
    <w:rsid w:val="5E6D53E8"/>
    <w:rsid w:val="5E734C2C"/>
    <w:rsid w:val="5E767D7A"/>
    <w:rsid w:val="5E7F3237"/>
    <w:rsid w:val="5E811536"/>
    <w:rsid w:val="5E83582A"/>
    <w:rsid w:val="5E850121"/>
    <w:rsid w:val="5E856631"/>
    <w:rsid w:val="5E8819C0"/>
    <w:rsid w:val="5E8A5738"/>
    <w:rsid w:val="5E8E5228"/>
    <w:rsid w:val="5E8F0FA0"/>
    <w:rsid w:val="5E9B7945"/>
    <w:rsid w:val="5E9D487A"/>
    <w:rsid w:val="5E9F5687"/>
    <w:rsid w:val="5EA06D09"/>
    <w:rsid w:val="5EA11D24"/>
    <w:rsid w:val="5EA22A81"/>
    <w:rsid w:val="5EA26F25"/>
    <w:rsid w:val="5EA467FA"/>
    <w:rsid w:val="5EA63795"/>
    <w:rsid w:val="5EA902B4"/>
    <w:rsid w:val="5EA97545"/>
    <w:rsid w:val="5EAA5DDA"/>
    <w:rsid w:val="5EAA7B88"/>
    <w:rsid w:val="5EAB2513"/>
    <w:rsid w:val="5EAB402C"/>
    <w:rsid w:val="5EAE1426"/>
    <w:rsid w:val="5EB153BA"/>
    <w:rsid w:val="5EB427B5"/>
    <w:rsid w:val="5EB455C7"/>
    <w:rsid w:val="5EB56C59"/>
    <w:rsid w:val="5EB629D1"/>
    <w:rsid w:val="5EB6477F"/>
    <w:rsid w:val="5EB86749"/>
    <w:rsid w:val="5EBB1D95"/>
    <w:rsid w:val="5EBD5B0D"/>
    <w:rsid w:val="5EBF3633"/>
    <w:rsid w:val="5EC073AC"/>
    <w:rsid w:val="5EC40C4A"/>
    <w:rsid w:val="5EC46E9C"/>
    <w:rsid w:val="5ECA1FD8"/>
    <w:rsid w:val="5ECC09D7"/>
    <w:rsid w:val="5ED02091"/>
    <w:rsid w:val="5ED02A30"/>
    <w:rsid w:val="5ED05841"/>
    <w:rsid w:val="5ED115B9"/>
    <w:rsid w:val="5ED6097D"/>
    <w:rsid w:val="5EDD61AF"/>
    <w:rsid w:val="5EDD7F5D"/>
    <w:rsid w:val="5EE035AA"/>
    <w:rsid w:val="5EE412EC"/>
    <w:rsid w:val="5EE4309A"/>
    <w:rsid w:val="5EE4753E"/>
    <w:rsid w:val="5EE50BC0"/>
    <w:rsid w:val="5EE72497"/>
    <w:rsid w:val="5EE74938"/>
    <w:rsid w:val="5EE94B54"/>
    <w:rsid w:val="5EE96902"/>
    <w:rsid w:val="5EEB267A"/>
    <w:rsid w:val="5EEC1F4F"/>
    <w:rsid w:val="5EF01A3F"/>
    <w:rsid w:val="5EF157B7"/>
    <w:rsid w:val="5EF15CDB"/>
    <w:rsid w:val="5EF4181F"/>
    <w:rsid w:val="5EF54261"/>
    <w:rsid w:val="5EF66F80"/>
    <w:rsid w:val="5EF84D97"/>
    <w:rsid w:val="5EFA28BD"/>
    <w:rsid w:val="5EFC4888"/>
    <w:rsid w:val="5EFD3DCB"/>
    <w:rsid w:val="5EFF6126"/>
    <w:rsid w:val="5EFF7ED4"/>
    <w:rsid w:val="5F0059FA"/>
    <w:rsid w:val="5F025C16"/>
    <w:rsid w:val="5F0279C4"/>
    <w:rsid w:val="5F035B5C"/>
    <w:rsid w:val="5F0707E8"/>
    <w:rsid w:val="5F092B01"/>
    <w:rsid w:val="5F0B6653"/>
    <w:rsid w:val="5F102754"/>
    <w:rsid w:val="5F107B83"/>
    <w:rsid w:val="5F13572D"/>
    <w:rsid w:val="5F150ACF"/>
    <w:rsid w:val="5F166FCB"/>
    <w:rsid w:val="5F17346F"/>
    <w:rsid w:val="5F1A4D0E"/>
    <w:rsid w:val="5F1D47FE"/>
    <w:rsid w:val="5F1F2324"/>
    <w:rsid w:val="5F204C6D"/>
    <w:rsid w:val="5F2105ED"/>
    <w:rsid w:val="5F223BC2"/>
    <w:rsid w:val="5F230BC9"/>
    <w:rsid w:val="5F2639E3"/>
    <w:rsid w:val="5F265461"/>
    <w:rsid w:val="5F2711D9"/>
    <w:rsid w:val="5F310398"/>
    <w:rsid w:val="5F3202A9"/>
    <w:rsid w:val="5F323D85"/>
    <w:rsid w:val="5F334021"/>
    <w:rsid w:val="5F357D99"/>
    <w:rsid w:val="5F3758C0"/>
    <w:rsid w:val="5F3758FE"/>
    <w:rsid w:val="5F3804CF"/>
    <w:rsid w:val="5F381638"/>
    <w:rsid w:val="5F386D8E"/>
    <w:rsid w:val="5F3A0F0C"/>
    <w:rsid w:val="5F3C7BB1"/>
    <w:rsid w:val="5F3F4774"/>
    <w:rsid w:val="5F41673E"/>
    <w:rsid w:val="5F451392"/>
    <w:rsid w:val="5F455CBD"/>
    <w:rsid w:val="5F4955F3"/>
    <w:rsid w:val="5F4973A1"/>
    <w:rsid w:val="5F4F0E5B"/>
    <w:rsid w:val="5F4F6756"/>
    <w:rsid w:val="5F5226F9"/>
    <w:rsid w:val="5F533996"/>
    <w:rsid w:val="5F586378"/>
    <w:rsid w:val="5F5875E4"/>
    <w:rsid w:val="5F5919A6"/>
    <w:rsid w:val="5F5C134F"/>
    <w:rsid w:val="5F5D4BFA"/>
    <w:rsid w:val="5F6146EB"/>
    <w:rsid w:val="5F6441DB"/>
    <w:rsid w:val="5F6661A5"/>
    <w:rsid w:val="5F677827"/>
    <w:rsid w:val="5F6917F1"/>
    <w:rsid w:val="5F6A486B"/>
    <w:rsid w:val="5F6B30AD"/>
    <w:rsid w:val="5F6D7533"/>
    <w:rsid w:val="5F6E0BB6"/>
    <w:rsid w:val="5F7206A6"/>
    <w:rsid w:val="5F742670"/>
    <w:rsid w:val="5F773F0E"/>
    <w:rsid w:val="5F7C1524"/>
    <w:rsid w:val="5F7C7776"/>
    <w:rsid w:val="5F7F7267"/>
    <w:rsid w:val="5F82440E"/>
    <w:rsid w:val="5F830B05"/>
    <w:rsid w:val="5F842E4E"/>
    <w:rsid w:val="5F8605F5"/>
    <w:rsid w:val="5F895057"/>
    <w:rsid w:val="5F8C7F54"/>
    <w:rsid w:val="5F8F74AA"/>
    <w:rsid w:val="5F904FD0"/>
    <w:rsid w:val="5F940A3E"/>
    <w:rsid w:val="5F9A19AB"/>
    <w:rsid w:val="5F9A612B"/>
    <w:rsid w:val="5F9D49E2"/>
    <w:rsid w:val="5F9E76ED"/>
    <w:rsid w:val="5F9F3465"/>
    <w:rsid w:val="5FA016B7"/>
    <w:rsid w:val="5FA32F55"/>
    <w:rsid w:val="5FA36AB1"/>
    <w:rsid w:val="5FA40A7B"/>
    <w:rsid w:val="5FA42829"/>
    <w:rsid w:val="5FA840C8"/>
    <w:rsid w:val="5FAB005C"/>
    <w:rsid w:val="5FAE5A31"/>
    <w:rsid w:val="5FB011CE"/>
    <w:rsid w:val="5FB07420"/>
    <w:rsid w:val="5FB52C88"/>
    <w:rsid w:val="5FB54A36"/>
    <w:rsid w:val="5FB567E4"/>
    <w:rsid w:val="5FB92779"/>
    <w:rsid w:val="5FB94527"/>
    <w:rsid w:val="5FBA3DFB"/>
    <w:rsid w:val="5FBA4A30"/>
    <w:rsid w:val="5FBC5DC5"/>
    <w:rsid w:val="5FBE36D4"/>
    <w:rsid w:val="5FC1162D"/>
    <w:rsid w:val="5FC133DB"/>
    <w:rsid w:val="5FC37153"/>
    <w:rsid w:val="5FC5111D"/>
    <w:rsid w:val="5FC627A0"/>
    <w:rsid w:val="5FCD1D80"/>
    <w:rsid w:val="5FD27EAC"/>
    <w:rsid w:val="5FD41360"/>
    <w:rsid w:val="5FD749AD"/>
    <w:rsid w:val="5FDA449D"/>
    <w:rsid w:val="5FE01AB3"/>
    <w:rsid w:val="5FE13A7D"/>
    <w:rsid w:val="5FE175D9"/>
    <w:rsid w:val="5FE408D5"/>
    <w:rsid w:val="5FE570CA"/>
    <w:rsid w:val="5FEA0B84"/>
    <w:rsid w:val="5FED5F7E"/>
    <w:rsid w:val="5FF057E4"/>
    <w:rsid w:val="5FF05A6E"/>
    <w:rsid w:val="5FFB7136"/>
    <w:rsid w:val="5FFC654F"/>
    <w:rsid w:val="5FFE1F39"/>
    <w:rsid w:val="5FFE462F"/>
    <w:rsid w:val="5FFE63DD"/>
    <w:rsid w:val="5FFF3E49"/>
    <w:rsid w:val="60002155"/>
    <w:rsid w:val="600532C8"/>
    <w:rsid w:val="600A12FC"/>
    <w:rsid w:val="600A4D82"/>
    <w:rsid w:val="600B4656"/>
    <w:rsid w:val="600D03CE"/>
    <w:rsid w:val="600E201D"/>
    <w:rsid w:val="601259E5"/>
    <w:rsid w:val="6014175D"/>
    <w:rsid w:val="6014775B"/>
    <w:rsid w:val="60163727"/>
    <w:rsid w:val="601654D5"/>
    <w:rsid w:val="60194FC5"/>
    <w:rsid w:val="60196D73"/>
    <w:rsid w:val="601B2AEB"/>
    <w:rsid w:val="601D2D07"/>
    <w:rsid w:val="601E082E"/>
    <w:rsid w:val="60210B27"/>
    <w:rsid w:val="6022031E"/>
    <w:rsid w:val="60232B39"/>
    <w:rsid w:val="60237BF2"/>
    <w:rsid w:val="6025396A"/>
    <w:rsid w:val="6028345A"/>
    <w:rsid w:val="602907AC"/>
    <w:rsid w:val="602A5424"/>
    <w:rsid w:val="602D36AE"/>
    <w:rsid w:val="602F17E7"/>
    <w:rsid w:val="603040BD"/>
    <w:rsid w:val="6031230F"/>
    <w:rsid w:val="60326EE6"/>
    <w:rsid w:val="60340051"/>
    <w:rsid w:val="60341DFF"/>
    <w:rsid w:val="60344390"/>
    <w:rsid w:val="603911C4"/>
    <w:rsid w:val="60395667"/>
    <w:rsid w:val="603B3912"/>
    <w:rsid w:val="603B4555"/>
    <w:rsid w:val="603C0211"/>
    <w:rsid w:val="603C552C"/>
    <w:rsid w:val="603D5158"/>
    <w:rsid w:val="603E670B"/>
    <w:rsid w:val="604007A4"/>
    <w:rsid w:val="604069F6"/>
    <w:rsid w:val="6045400C"/>
    <w:rsid w:val="60455DBA"/>
    <w:rsid w:val="60480146"/>
    <w:rsid w:val="604858AA"/>
    <w:rsid w:val="604C7149"/>
    <w:rsid w:val="605C661D"/>
    <w:rsid w:val="605D3104"/>
    <w:rsid w:val="605E0C2A"/>
    <w:rsid w:val="60603856"/>
    <w:rsid w:val="6062071A"/>
    <w:rsid w:val="6062696C"/>
    <w:rsid w:val="60636240"/>
    <w:rsid w:val="60651FB9"/>
    <w:rsid w:val="606808D9"/>
    <w:rsid w:val="60694549"/>
    <w:rsid w:val="606F72DB"/>
    <w:rsid w:val="60716BAF"/>
    <w:rsid w:val="60791F08"/>
    <w:rsid w:val="607E307A"/>
    <w:rsid w:val="60824919"/>
    <w:rsid w:val="60864E22"/>
    <w:rsid w:val="60870181"/>
    <w:rsid w:val="60874625"/>
    <w:rsid w:val="608763D3"/>
    <w:rsid w:val="608877C5"/>
    <w:rsid w:val="608F34D9"/>
    <w:rsid w:val="60913EE6"/>
    <w:rsid w:val="60992FAF"/>
    <w:rsid w:val="60996106"/>
    <w:rsid w:val="60997EB4"/>
    <w:rsid w:val="609A4358"/>
    <w:rsid w:val="609F196E"/>
    <w:rsid w:val="60A07495"/>
    <w:rsid w:val="60A50489"/>
    <w:rsid w:val="60A70823"/>
    <w:rsid w:val="60A725D1"/>
    <w:rsid w:val="60A9459B"/>
    <w:rsid w:val="60AC5E39"/>
    <w:rsid w:val="60AF76D8"/>
    <w:rsid w:val="60B30F76"/>
    <w:rsid w:val="60B3541A"/>
    <w:rsid w:val="60B42F40"/>
    <w:rsid w:val="60B62814"/>
    <w:rsid w:val="60B66CB8"/>
    <w:rsid w:val="60BB7E2A"/>
    <w:rsid w:val="60BC4D2B"/>
    <w:rsid w:val="60BC5280"/>
    <w:rsid w:val="60C018E5"/>
    <w:rsid w:val="60C03693"/>
    <w:rsid w:val="60C07B37"/>
    <w:rsid w:val="60C2565D"/>
    <w:rsid w:val="60C50CA9"/>
    <w:rsid w:val="60C53E14"/>
    <w:rsid w:val="60C90799"/>
    <w:rsid w:val="60CC64DC"/>
    <w:rsid w:val="60CE5DB0"/>
    <w:rsid w:val="60CF1B28"/>
    <w:rsid w:val="60D25F36"/>
    <w:rsid w:val="60D61108"/>
    <w:rsid w:val="60D64C64"/>
    <w:rsid w:val="60D847A8"/>
    <w:rsid w:val="60D86C2E"/>
    <w:rsid w:val="60DA0BF8"/>
    <w:rsid w:val="60DA29A7"/>
    <w:rsid w:val="60DB227B"/>
    <w:rsid w:val="60DD4245"/>
    <w:rsid w:val="60DD7592"/>
    <w:rsid w:val="60E27AAD"/>
    <w:rsid w:val="60ED23E1"/>
    <w:rsid w:val="60EE1D70"/>
    <w:rsid w:val="60F31CBA"/>
    <w:rsid w:val="60F33A68"/>
    <w:rsid w:val="60F375C4"/>
    <w:rsid w:val="60F668A1"/>
    <w:rsid w:val="60FA4DF7"/>
    <w:rsid w:val="60FF065F"/>
    <w:rsid w:val="61023CAB"/>
    <w:rsid w:val="61025A59"/>
    <w:rsid w:val="610572F8"/>
    <w:rsid w:val="61064C55"/>
    <w:rsid w:val="610712C2"/>
    <w:rsid w:val="61077514"/>
    <w:rsid w:val="610A2B60"/>
    <w:rsid w:val="610B3038"/>
    <w:rsid w:val="610C68D8"/>
    <w:rsid w:val="610F0176"/>
    <w:rsid w:val="6110461A"/>
    <w:rsid w:val="6111681F"/>
    <w:rsid w:val="6112665C"/>
    <w:rsid w:val="611539DF"/>
    <w:rsid w:val="6115578D"/>
    <w:rsid w:val="6116474A"/>
    <w:rsid w:val="61167757"/>
    <w:rsid w:val="611807AB"/>
    <w:rsid w:val="6118761D"/>
    <w:rsid w:val="611C2FBF"/>
    <w:rsid w:val="611D0AE5"/>
    <w:rsid w:val="611F03B9"/>
    <w:rsid w:val="61241E74"/>
    <w:rsid w:val="61243C22"/>
    <w:rsid w:val="61271964"/>
    <w:rsid w:val="61292712"/>
    <w:rsid w:val="6129748A"/>
    <w:rsid w:val="612B4FB0"/>
    <w:rsid w:val="612C6F7A"/>
    <w:rsid w:val="613100ED"/>
    <w:rsid w:val="613320B7"/>
    <w:rsid w:val="61377DF9"/>
    <w:rsid w:val="6138591F"/>
    <w:rsid w:val="613A70AE"/>
    <w:rsid w:val="613D1187"/>
    <w:rsid w:val="613D507E"/>
    <w:rsid w:val="613F280A"/>
    <w:rsid w:val="6142679E"/>
    <w:rsid w:val="61446072"/>
    <w:rsid w:val="61473CD1"/>
    <w:rsid w:val="61493688"/>
    <w:rsid w:val="614A45EB"/>
    <w:rsid w:val="61511BEB"/>
    <w:rsid w:val="615269E1"/>
    <w:rsid w:val="61534507"/>
    <w:rsid w:val="615362B5"/>
    <w:rsid w:val="6155202D"/>
    <w:rsid w:val="6157463B"/>
    <w:rsid w:val="615A3AE7"/>
    <w:rsid w:val="615A7643"/>
    <w:rsid w:val="615C160D"/>
    <w:rsid w:val="616109D2"/>
    <w:rsid w:val="6166423A"/>
    <w:rsid w:val="61671D60"/>
    <w:rsid w:val="61677FB2"/>
    <w:rsid w:val="616B1851"/>
    <w:rsid w:val="616B35FF"/>
    <w:rsid w:val="616E2A35"/>
    <w:rsid w:val="6170330B"/>
    <w:rsid w:val="61730705"/>
    <w:rsid w:val="61737036"/>
    <w:rsid w:val="61757D37"/>
    <w:rsid w:val="617821BF"/>
    <w:rsid w:val="617D1584"/>
    <w:rsid w:val="617E4947"/>
    <w:rsid w:val="61874052"/>
    <w:rsid w:val="61882403"/>
    <w:rsid w:val="6189617B"/>
    <w:rsid w:val="618A64DA"/>
    <w:rsid w:val="618B1EF3"/>
    <w:rsid w:val="618C3680"/>
    <w:rsid w:val="618F6FE9"/>
    <w:rsid w:val="619157A0"/>
    <w:rsid w:val="6192502F"/>
    <w:rsid w:val="61954B1F"/>
    <w:rsid w:val="619673D6"/>
    <w:rsid w:val="61972646"/>
    <w:rsid w:val="619959F1"/>
    <w:rsid w:val="619A3EE4"/>
    <w:rsid w:val="619C4100"/>
    <w:rsid w:val="619F069C"/>
    <w:rsid w:val="619F599E"/>
    <w:rsid w:val="61A11716"/>
    <w:rsid w:val="61A42FB4"/>
    <w:rsid w:val="61A82AA5"/>
    <w:rsid w:val="61A905CB"/>
    <w:rsid w:val="61AB1547"/>
    <w:rsid w:val="61AC1296"/>
    <w:rsid w:val="61AD00BB"/>
    <w:rsid w:val="61AD3C17"/>
    <w:rsid w:val="61AD7FAC"/>
    <w:rsid w:val="61AE798F"/>
    <w:rsid w:val="61B01959"/>
    <w:rsid w:val="61B03707"/>
    <w:rsid w:val="61B52ACC"/>
    <w:rsid w:val="61B72CE8"/>
    <w:rsid w:val="61B74A96"/>
    <w:rsid w:val="61B8296D"/>
    <w:rsid w:val="61B9082C"/>
    <w:rsid w:val="61BE5E24"/>
    <w:rsid w:val="61BE6511"/>
    <w:rsid w:val="61C022DD"/>
    <w:rsid w:val="61C13B66"/>
    <w:rsid w:val="61C15914"/>
    <w:rsid w:val="61C40F61"/>
    <w:rsid w:val="61C4751D"/>
    <w:rsid w:val="61C56BBB"/>
    <w:rsid w:val="61C76931"/>
    <w:rsid w:val="61C80A51"/>
    <w:rsid w:val="61C8341A"/>
    <w:rsid w:val="61CA2A1B"/>
    <w:rsid w:val="61CB6793"/>
    <w:rsid w:val="61D03DA9"/>
    <w:rsid w:val="61D07906"/>
    <w:rsid w:val="61D513C0"/>
    <w:rsid w:val="61D64503"/>
    <w:rsid w:val="61D95505"/>
    <w:rsid w:val="61DB4C28"/>
    <w:rsid w:val="61DC62AA"/>
    <w:rsid w:val="61DE2022"/>
    <w:rsid w:val="61E11B13"/>
    <w:rsid w:val="61E33ADD"/>
    <w:rsid w:val="61E416D8"/>
    <w:rsid w:val="61E433B1"/>
    <w:rsid w:val="61E81904"/>
    <w:rsid w:val="61E84C4F"/>
    <w:rsid w:val="61EA4E6B"/>
    <w:rsid w:val="61EA6C19"/>
    <w:rsid w:val="61EB1FBC"/>
    <w:rsid w:val="61EB30E0"/>
    <w:rsid w:val="61EB473F"/>
    <w:rsid w:val="61ED6709"/>
    <w:rsid w:val="61F050AA"/>
    <w:rsid w:val="61F7383C"/>
    <w:rsid w:val="61FA2BD4"/>
    <w:rsid w:val="61FB0E26"/>
    <w:rsid w:val="61FB7C8A"/>
    <w:rsid w:val="61FC06FB"/>
    <w:rsid w:val="61FE227F"/>
    <w:rsid w:val="61FF370F"/>
    <w:rsid w:val="62001726"/>
    <w:rsid w:val="620039AE"/>
    <w:rsid w:val="62012E19"/>
    <w:rsid w:val="62045801"/>
    <w:rsid w:val="62051CA5"/>
    <w:rsid w:val="62061579"/>
    <w:rsid w:val="62065A1D"/>
    <w:rsid w:val="62083543"/>
    <w:rsid w:val="6208709F"/>
    <w:rsid w:val="620C4DF8"/>
    <w:rsid w:val="620D0B5A"/>
    <w:rsid w:val="620D46B6"/>
    <w:rsid w:val="621023F8"/>
    <w:rsid w:val="62110AC2"/>
    <w:rsid w:val="62122920"/>
    <w:rsid w:val="62173786"/>
    <w:rsid w:val="62195750"/>
    <w:rsid w:val="621B3277"/>
    <w:rsid w:val="621C0D9D"/>
    <w:rsid w:val="621C2B4B"/>
    <w:rsid w:val="621C616D"/>
    <w:rsid w:val="621E4B15"/>
    <w:rsid w:val="62206ADF"/>
    <w:rsid w:val="62237F14"/>
    <w:rsid w:val="62257C51"/>
    <w:rsid w:val="62285994"/>
    <w:rsid w:val="622A5268"/>
    <w:rsid w:val="622B0FE0"/>
    <w:rsid w:val="622C5121"/>
    <w:rsid w:val="622C5484"/>
    <w:rsid w:val="622D4D58"/>
    <w:rsid w:val="622E40FC"/>
    <w:rsid w:val="62316037"/>
    <w:rsid w:val="623161EC"/>
    <w:rsid w:val="623205C0"/>
    <w:rsid w:val="62375BD7"/>
    <w:rsid w:val="623954AB"/>
    <w:rsid w:val="623A1223"/>
    <w:rsid w:val="623A229A"/>
    <w:rsid w:val="623C31ED"/>
    <w:rsid w:val="623E0D13"/>
    <w:rsid w:val="623E51B7"/>
    <w:rsid w:val="62402CDD"/>
    <w:rsid w:val="6243457B"/>
    <w:rsid w:val="624520A2"/>
    <w:rsid w:val="62481B92"/>
    <w:rsid w:val="624B51DE"/>
    <w:rsid w:val="624C1682"/>
    <w:rsid w:val="624C22EE"/>
    <w:rsid w:val="624D0F56"/>
    <w:rsid w:val="624F2F20"/>
    <w:rsid w:val="62514446"/>
    <w:rsid w:val="62514EEA"/>
    <w:rsid w:val="6252656D"/>
    <w:rsid w:val="62552691"/>
    <w:rsid w:val="625E13B5"/>
    <w:rsid w:val="62600C89"/>
    <w:rsid w:val="62606EDB"/>
    <w:rsid w:val="62614A02"/>
    <w:rsid w:val="6263414D"/>
    <w:rsid w:val="62662018"/>
    <w:rsid w:val="62685D90"/>
    <w:rsid w:val="626A7D5A"/>
    <w:rsid w:val="626B762E"/>
    <w:rsid w:val="626C3AD2"/>
    <w:rsid w:val="626F5370"/>
    <w:rsid w:val="627110E9"/>
    <w:rsid w:val="62724E61"/>
    <w:rsid w:val="62726C0F"/>
    <w:rsid w:val="62764951"/>
    <w:rsid w:val="62797F3D"/>
    <w:rsid w:val="627E55B4"/>
    <w:rsid w:val="628232F6"/>
    <w:rsid w:val="628506F0"/>
    <w:rsid w:val="62857C15"/>
    <w:rsid w:val="62864468"/>
    <w:rsid w:val="628801E0"/>
    <w:rsid w:val="628A21AA"/>
    <w:rsid w:val="628A3F58"/>
    <w:rsid w:val="62913539"/>
    <w:rsid w:val="62922E0D"/>
    <w:rsid w:val="62960B4F"/>
    <w:rsid w:val="62966DA1"/>
    <w:rsid w:val="629B6165"/>
    <w:rsid w:val="629C639F"/>
    <w:rsid w:val="62A34BBD"/>
    <w:rsid w:val="62A3501A"/>
    <w:rsid w:val="62A36DC8"/>
    <w:rsid w:val="62A72841"/>
    <w:rsid w:val="62A74B0A"/>
    <w:rsid w:val="62A80882"/>
    <w:rsid w:val="62A82630"/>
    <w:rsid w:val="62AE3E52"/>
    <w:rsid w:val="62AE40EB"/>
    <w:rsid w:val="62AE5E99"/>
    <w:rsid w:val="62B17576"/>
    <w:rsid w:val="62B45479"/>
    <w:rsid w:val="62B50778"/>
    <w:rsid w:val="62B579C2"/>
    <w:rsid w:val="62B64D4D"/>
    <w:rsid w:val="62B72874"/>
    <w:rsid w:val="62BC31A0"/>
    <w:rsid w:val="62BE1E54"/>
    <w:rsid w:val="62C3746A"/>
    <w:rsid w:val="62C70D09"/>
    <w:rsid w:val="62C730E9"/>
    <w:rsid w:val="62C777E9"/>
    <w:rsid w:val="62CC0D93"/>
    <w:rsid w:val="62D14F8C"/>
    <w:rsid w:val="62D227EB"/>
    <w:rsid w:val="62D578C9"/>
    <w:rsid w:val="62D77FFB"/>
    <w:rsid w:val="62DA698E"/>
    <w:rsid w:val="62DB7DE3"/>
    <w:rsid w:val="62DD052C"/>
    <w:rsid w:val="62E278F0"/>
    <w:rsid w:val="62E55633"/>
    <w:rsid w:val="62E713AB"/>
    <w:rsid w:val="62E82A3A"/>
    <w:rsid w:val="62E96ED1"/>
    <w:rsid w:val="62EE2739"/>
    <w:rsid w:val="62F06D62"/>
    <w:rsid w:val="62F15D85"/>
    <w:rsid w:val="62F31AFE"/>
    <w:rsid w:val="62F6339C"/>
    <w:rsid w:val="62FA10DE"/>
    <w:rsid w:val="62FB09B2"/>
    <w:rsid w:val="62FD0BCE"/>
    <w:rsid w:val="62FD472A"/>
    <w:rsid w:val="62FE72D8"/>
    <w:rsid w:val="630261E5"/>
    <w:rsid w:val="63043D0B"/>
    <w:rsid w:val="63055C5C"/>
    <w:rsid w:val="63092E9C"/>
    <w:rsid w:val="630F26B0"/>
    <w:rsid w:val="63161C90"/>
    <w:rsid w:val="63201DD6"/>
    <w:rsid w:val="63206B41"/>
    <w:rsid w:val="63220635"/>
    <w:rsid w:val="63224191"/>
    <w:rsid w:val="632259C4"/>
    <w:rsid w:val="63263D0D"/>
    <w:rsid w:val="63273E9D"/>
    <w:rsid w:val="6329551F"/>
    <w:rsid w:val="632B3A10"/>
    <w:rsid w:val="632D2297"/>
    <w:rsid w:val="632F62F8"/>
    <w:rsid w:val="6332277A"/>
    <w:rsid w:val="6333639E"/>
    <w:rsid w:val="63387E58"/>
    <w:rsid w:val="633914DA"/>
    <w:rsid w:val="633B5253"/>
    <w:rsid w:val="633D0FCB"/>
    <w:rsid w:val="63400ABB"/>
    <w:rsid w:val="63402869"/>
    <w:rsid w:val="634376A1"/>
    <w:rsid w:val="634467FD"/>
    <w:rsid w:val="63493E13"/>
    <w:rsid w:val="63497970"/>
    <w:rsid w:val="634B193A"/>
    <w:rsid w:val="634B7B8C"/>
    <w:rsid w:val="634C3904"/>
    <w:rsid w:val="634D2D5C"/>
    <w:rsid w:val="63584057"/>
    <w:rsid w:val="635D166D"/>
    <w:rsid w:val="63607CF7"/>
    <w:rsid w:val="63620A31"/>
    <w:rsid w:val="63624ED5"/>
    <w:rsid w:val="63632B45"/>
    <w:rsid w:val="63653261"/>
    <w:rsid w:val="63657B08"/>
    <w:rsid w:val="63676048"/>
    <w:rsid w:val="636B1FDC"/>
    <w:rsid w:val="636B3D8A"/>
    <w:rsid w:val="636E73D6"/>
    <w:rsid w:val="637075F2"/>
    <w:rsid w:val="63725459"/>
    <w:rsid w:val="6373260F"/>
    <w:rsid w:val="637349EC"/>
    <w:rsid w:val="63754C08"/>
    <w:rsid w:val="637569B7"/>
    <w:rsid w:val="63781D20"/>
    <w:rsid w:val="63844E4C"/>
    <w:rsid w:val="63856413"/>
    <w:rsid w:val="63864720"/>
    <w:rsid w:val="63881760"/>
    <w:rsid w:val="638A0392"/>
    <w:rsid w:val="638B7F88"/>
    <w:rsid w:val="638D1F52"/>
    <w:rsid w:val="638E62D2"/>
    <w:rsid w:val="63901A42"/>
    <w:rsid w:val="639050EC"/>
    <w:rsid w:val="63911317"/>
    <w:rsid w:val="639523FA"/>
    <w:rsid w:val="63960BC7"/>
    <w:rsid w:val="6397544C"/>
    <w:rsid w:val="639A01CB"/>
    <w:rsid w:val="639C2195"/>
    <w:rsid w:val="639D7CBB"/>
    <w:rsid w:val="639E69FC"/>
    <w:rsid w:val="63A4104A"/>
    <w:rsid w:val="63A61A6C"/>
    <w:rsid w:val="63A66B70"/>
    <w:rsid w:val="63A948B2"/>
    <w:rsid w:val="63AD54D7"/>
    <w:rsid w:val="63AE1EC8"/>
    <w:rsid w:val="63B05F61"/>
    <w:rsid w:val="63B1353D"/>
    <w:rsid w:val="63B629CE"/>
    <w:rsid w:val="63B75C6E"/>
    <w:rsid w:val="63BA6ABF"/>
    <w:rsid w:val="63BC6393"/>
    <w:rsid w:val="63BC73E8"/>
    <w:rsid w:val="63BD210C"/>
    <w:rsid w:val="63BD3EBA"/>
    <w:rsid w:val="63BF40D6"/>
    <w:rsid w:val="63C11BFC"/>
    <w:rsid w:val="63C24F56"/>
    <w:rsid w:val="63C67212"/>
    <w:rsid w:val="63C92CB3"/>
    <w:rsid w:val="63C94F54"/>
    <w:rsid w:val="63CD05A1"/>
    <w:rsid w:val="63CE60C7"/>
    <w:rsid w:val="63D201A3"/>
    <w:rsid w:val="63D336DD"/>
    <w:rsid w:val="63D47B81"/>
    <w:rsid w:val="63D731CD"/>
    <w:rsid w:val="63D80CF3"/>
    <w:rsid w:val="63DB5069"/>
    <w:rsid w:val="63DD630A"/>
    <w:rsid w:val="63DE39EA"/>
    <w:rsid w:val="63DF2082"/>
    <w:rsid w:val="63DF6D3D"/>
    <w:rsid w:val="63E1404C"/>
    <w:rsid w:val="63E15DFA"/>
    <w:rsid w:val="63E31B72"/>
    <w:rsid w:val="63E36016"/>
    <w:rsid w:val="63EA73A4"/>
    <w:rsid w:val="63EA74BF"/>
    <w:rsid w:val="63EB7331"/>
    <w:rsid w:val="63ED0C43"/>
    <w:rsid w:val="63EE6769"/>
    <w:rsid w:val="63F21E60"/>
    <w:rsid w:val="63F47351"/>
    <w:rsid w:val="63F83144"/>
    <w:rsid w:val="63F90629"/>
    <w:rsid w:val="63F91396"/>
    <w:rsid w:val="63FE69AC"/>
    <w:rsid w:val="64003D27"/>
    <w:rsid w:val="640146EE"/>
    <w:rsid w:val="64055F8C"/>
    <w:rsid w:val="640B2E77"/>
    <w:rsid w:val="640C770B"/>
    <w:rsid w:val="640D6BEF"/>
    <w:rsid w:val="640E3E73"/>
    <w:rsid w:val="64122457"/>
    <w:rsid w:val="641461CF"/>
    <w:rsid w:val="64153CF6"/>
    <w:rsid w:val="6416019A"/>
    <w:rsid w:val="64191A38"/>
    <w:rsid w:val="641937E6"/>
    <w:rsid w:val="641F4B74"/>
    <w:rsid w:val="64202DC6"/>
    <w:rsid w:val="642108EC"/>
    <w:rsid w:val="6421269A"/>
    <w:rsid w:val="64230C8E"/>
    <w:rsid w:val="64243F39"/>
    <w:rsid w:val="642503DD"/>
    <w:rsid w:val="64281C7B"/>
    <w:rsid w:val="64283A29"/>
    <w:rsid w:val="642857C4"/>
    <w:rsid w:val="642D54E3"/>
    <w:rsid w:val="642F4DB7"/>
    <w:rsid w:val="64326656"/>
    <w:rsid w:val="64340620"/>
    <w:rsid w:val="64356146"/>
    <w:rsid w:val="64357EF4"/>
    <w:rsid w:val="64370110"/>
    <w:rsid w:val="64373C6C"/>
    <w:rsid w:val="64395A85"/>
    <w:rsid w:val="643F0D73"/>
    <w:rsid w:val="64430863"/>
    <w:rsid w:val="64432611"/>
    <w:rsid w:val="644665A5"/>
    <w:rsid w:val="644763D7"/>
    <w:rsid w:val="64487C27"/>
    <w:rsid w:val="6449399F"/>
    <w:rsid w:val="644A7E43"/>
    <w:rsid w:val="644B7717"/>
    <w:rsid w:val="644D317A"/>
    <w:rsid w:val="644F7208"/>
    <w:rsid w:val="64505A3F"/>
    <w:rsid w:val="645111A5"/>
    <w:rsid w:val="64520AA6"/>
    <w:rsid w:val="645411FD"/>
    <w:rsid w:val="64542A70"/>
    <w:rsid w:val="64572366"/>
    <w:rsid w:val="6457430E"/>
    <w:rsid w:val="645B2050"/>
    <w:rsid w:val="645E569D"/>
    <w:rsid w:val="64601415"/>
    <w:rsid w:val="64621799"/>
    <w:rsid w:val="64634A61"/>
    <w:rsid w:val="64644DAD"/>
    <w:rsid w:val="64656A2B"/>
    <w:rsid w:val="646B456F"/>
    <w:rsid w:val="646D768E"/>
    <w:rsid w:val="646E04C5"/>
    <w:rsid w:val="64714523"/>
    <w:rsid w:val="6472739A"/>
    <w:rsid w:val="64754794"/>
    <w:rsid w:val="64760C38"/>
    <w:rsid w:val="6477050C"/>
    <w:rsid w:val="64794284"/>
    <w:rsid w:val="647C5B23"/>
    <w:rsid w:val="6481138B"/>
    <w:rsid w:val="64833CFC"/>
    <w:rsid w:val="6488096B"/>
    <w:rsid w:val="649015CE"/>
    <w:rsid w:val="649548FB"/>
    <w:rsid w:val="64986E00"/>
    <w:rsid w:val="64990483"/>
    <w:rsid w:val="649C4F17"/>
    <w:rsid w:val="649C61C5"/>
    <w:rsid w:val="649F37A3"/>
    <w:rsid w:val="64A01811"/>
    <w:rsid w:val="64A05CB5"/>
    <w:rsid w:val="64A07A63"/>
    <w:rsid w:val="64A82DBC"/>
    <w:rsid w:val="64AA08E2"/>
    <w:rsid w:val="64AD388C"/>
    <w:rsid w:val="64AF7CA6"/>
    <w:rsid w:val="64B17EC2"/>
    <w:rsid w:val="64B41760"/>
    <w:rsid w:val="64B60830"/>
    <w:rsid w:val="64B61035"/>
    <w:rsid w:val="64B654D9"/>
    <w:rsid w:val="64B67287"/>
    <w:rsid w:val="64B81251"/>
    <w:rsid w:val="64B82FFF"/>
    <w:rsid w:val="64BD6867"/>
    <w:rsid w:val="64BE438D"/>
    <w:rsid w:val="64C16B3D"/>
    <w:rsid w:val="64C2170E"/>
    <w:rsid w:val="64C25C2B"/>
    <w:rsid w:val="64C33752"/>
    <w:rsid w:val="64C5571C"/>
    <w:rsid w:val="64C6694E"/>
    <w:rsid w:val="64C71494"/>
    <w:rsid w:val="64CA2D32"/>
    <w:rsid w:val="64CC26CC"/>
    <w:rsid w:val="64CE2822"/>
    <w:rsid w:val="64CF659A"/>
    <w:rsid w:val="64D4770D"/>
    <w:rsid w:val="64D81CF5"/>
    <w:rsid w:val="64D94D23"/>
    <w:rsid w:val="64DB0A9B"/>
    <w:rsid w:val="64DF396B"/>
    <w:rsid w:val="64E04304"/>
    <w:rsid w:val="64E060B2"/>
    <w:rsid w:val="64E20939"/>
    <w:rsid w:val="64E262CE"/>
    <w:rsid w:val="64E275B7"/>
    <w:rsid w:val="64E41216"/>
    <w:rsid w:val="64E42046"/>
    <w:rsid w:val="64E57B6C"/>
    <w:rsid w:val="64E70858"/>
    <w:rsid w:val="64E77440"/>
    <w:rsid w:val="64EA33D4"/>
    <w:rsid w:val="64EA6F30"/>
    <w:rsid w:val="64EB1DAA"/>
    <w:rsid w:val="64EC170C"/>
    <w:rsid w:val="64EC2CA8"/>
    <w:rsid w:val="64F1206D"/>
    <w:rsid w:val="64F16511"/>
    <w:rsid w:val="64F25DE5"/>
    <w:rsid w:val="64F32289"/>
    <w:rsid w:val="64F47DAF"/>
    <w:rsid w:val="64F97173"/>
    <w:rsid w:val="64FB113D"/>
    <w:rsid w:val="64FC5F3B"/>
    <w:rsid w:val="65006754"/>
    <w:rsid w:val="65045E61"/>
    <w:rsid w:val="65051FBC"/>
    <w:rsid w:val="65085608"/>
    <w:rsid w:val="65096601"/>
    <w:rsid w:val="650A1380"/>
    <w:rsid w:val="650E1799"/>
    <w:rsid w:val="650F4BE9"/>
    <w:rsid w:val="6511270F"/>
    <w:rsid w:val="65150451"/>
    <w:rsid w:val="65167D25"/>
    <w:rsid w:val="65181CEF"/>
    <w:rsid w:val="651915C4"/>
    <w:rsid w:val="651A14C4"/>
    <w:rsid w:val="651B617E"/>
    <w:rsid w:val="651D2E62"/>
    <w:rsid w:val="651E4E2C"/>
    <w:rsid w:val="652266CA"/>
    <w:rsid w:val="652341F0"/>
    <w:rsid w:val="6525440C"/>
    <w:rsid w:val="652A1A23"/>
    <w:rsid w:val="652B466B"/>
    <w:rsid w:val="652B723C"/>
    <w:rsid w:val="652C2E08"/>
    <w:rsid w:val="652C579B"/>
    <w:rsid w:val="652F2B95"/>
    <w:rsid w:val="652F7039"/>
    <w:rsid w:val="6531690D"/>
    <w:rsid w:val="653603C7"/>
    <w:rsid w:val="65366619"/>
    <w:rsid w:val="65387C9C"/>
    <w:rsid w:val="653A1C66"/>
    <w:rsid w:val="65420BAE"/>
    <w:rsid w:val="654354C3"/>
    <w:rsid w:val="65436640"/>
    <w:rsid w:val="654505C8"/>
    <w:rsid w:val="65472703"/>
    <w:rsid w:val="65474383"/>
    <w:rsid w:val="65485FA6"/>
    <w:rsid w:val="6549634D"/>
    <w:rsid w:val="654A79CF"/>
    <w:rsid w:val="654B6057"/>
    <w:rsid w:val="654C7BEB"/>
    <w:rsid w:val="654E0E95"/>
    <w:rsid w:val="654E3963"/>
    <w:rsid w:val="654E5711"/>
    <w:rsid w:val="65520C3E"/>
    <w:rsid w:val="655B7E2E"/>
    <w:rsid w:val="655D5954"/>
    <w:rsid w:val="655F347A"/>
    <w:rsid w:val="655F791E"/>
    <w:rsid w:val="6561406F"/>
    <w:rsid w:val="656211BC"/>
    <w:rsid w:val="65640326"/>
    <w:rsid w:val="6564665F"/>
    <w:rsid w:val="6567728C"/>
    <w:rsid w:val="656B62C3"/>
    <w:rsid w:val="656C455D"/>
    <w:rsid w:val="656E7B61"/>
    <w:rsid w:val="657038D9"/>
    <w:rsid w:val="65711400"/>
    <w:rsid w:val="65742AAC"/>
    <w:rsid w:val="65757142"/>
    <w:rsid w:val="657607C4"/>
    <w:rsid w:val="657A6506"/>
    <w:rsid w:val="657D5FF6"/>
    <w:rsid w:val="65817895"/>
    <w:rsid w:val="65827169"/>
    <w:rsid w:val="65863C10"/>
    <w:rsid w:val="65870C23"/>
    <w:rsid w:val="65875559"/>
    <w:rsid w:val="65876E75"/>
    <w:rsid w:val="65886BC7"/>
    <w:rsid w:val="658904F7"/>
    <w:rsid w:val="6589499B"/>
    <w:rsid w:val="658B10E8"/>
    <w:rsid w:val="658C6239"/>
    <w:rsid w:val="658D448B"/>
    <w:rsid w:val="65907AD8"/>
    <w:rsid w:val="659155FE"/>
    <w:rsid w:val="65931376"/>
    <w:rsid w:val="659424CF"/>
    <w:rsid w:val="65960E66"/>
    <w:rsid w:val="659770B8"/>
    <w:rsid w:val="65982F48"/>
    <w:rsid w:val="65984BDE"/>
    <w:rsid w:val="6599280F"/>
    <w:rsid w:val="659A6BA8"/>
    <w:rsid w:val="659B206D"/>
    <w:rsid w:val="659D0447"/>
    <w:rsid w:val="659D4F21"/>
    <w:rsid w:val="65A45561"/>
    <w:rsid w:val="65A610A9"/>
    <w:rsid w:val="65A67180"/>
    <w:rsid w:val="65A76BCF"/>
    <w:rsid w:val="65A90B99"/>
    <w:rsid w:val="65AA5A64"/>
    <w:rsid w:val="65AC2FF2"/>
    <w:rsid w:val="65AE61B0"/>
    <w:rsid w:val="65B00232"/>
    <w:rsid w:val="65B01F28"/>
    <w:rsid w:val="65B17A4E"/>
    <w:rsid w:val="65B512EC"/>
    <w:rsid w:val="65B5538A"/>
    <w:rsid w:val="65B5753E"/>
    <w:rsid w:val="65B65064"/>
    <w:rsid w:val="65B71508"/>
    <w:rsid w:val="65B85280"/>
    <w:rsid w:val="65C07C91"/>
    <w:rsid w:val="65C43C25"/>
    <w:rsid w:val="65C77271"/>
    <w:rsid w:val="65C92FEA"/>
    <w:rsid w:val="65CB0B10"/>
    <w:rsid w:val="65D200F0"/>
    <w:rsid w:val="65D22501"/>
    <w:rsid w:val="65D363F6"/>
    <w:rsid w:val="65D379C4"/>
    <w:rsid w:val="65D57BE0"/>
    <w:rsid w:val="65D90E46"/>
    <w:rsid w:val="65D977AA"/>
    <w:rsid w:val="65DA0D53"/>
    <w:rsid w:val="65E120E1"/>
    <w:rsid w:val="65E16585"/>
    <w:rsid w:val="65E21C31"/>
    <w:rsid w:val="65E30E63"/>
    <w:rsid w:val="65EB2F60"/>
    <w:rsid w:val="65EC7A59"/>
    <w:rsid w:val="65EE47FE"/>
    <w:rsid w:val="65F04A1A"/>
    <w:rsid w:val="65F30067"/>
    <w:rsid w:val="65F31E15"/>
    <w:rsid w:val="65F35338"/>
    <w:rsid w:val="65F52031"/>
    <w:rsid w:val="65F53DDF"/>
    <w:rsid w:val="65FC6F1B"/>
    <w:rsid w:val="66012783"/>
    <w:rsid w:val="6601664A"/>
    <w:rsid w:val="660672FC"/>
    <w:rsid w:val="660B1854"/>
    <w:rsid w:val="660B3602"/>
    <w:rsid w:val="660E0C4E"/>
    <w:rsid w:val="660E4EA0"/>
    <w:rsid w:val="660E6C4E"/>
    <w:rsid w:val="661029C7"/>
    <w:rsid w:val="661324B7"/>
    <w:rsid w:val="66133630"/>
    <w:rsid w:val="66154481"/>
    <w:rsid w:val="66183FF8"/>
    <w:rsid w:val="6618760C"/>
    <w:rsid w:val="661F2C0A"/>
    <w:rsid w:val="661F70AE"/>
    <w:rsid w:val="66206561"/>
    <w:rsid w:val="662144F3"/>
    <w:rsid w:val="662611F2"/>
    <w:rsid w:val="662841B4"/>
    <w:rsid w:val="662B4062"/>
    <w:rsid w:val="662D4103"/>
    <w:rsid w:val="662D5327"/>
    <w:rsid w:val="662F5543"/>
    <w:rsid w:val="66303069"/>
    <w:rsid w:val="663126B9"/>
    <w:rsid w:val="6632293D"/>
    <w:rsid w:val="66324275"/>
    <w:rsid w:val="66337FE9"/>
    <w:rsid w:val="66342B59"/>
    <w:rsid w:val="6635628F"/>
    <w:rsid w:val="66360BD7"/>
    <w:rsid w:val="66377F53"/>
    <w:rsid w:val="663A3EE7"/>
    <w:rsid w:val="663A5C95"/>
    <w:rsid w:val="663C7C5F"/>
    <w:rsid w:val="663E7534"/>
    <w:rsid w:val="66410DD2"/>
    <w:rsid w:val="664663E8"/>
    <w:rsid w:val="664D2080"/>
    <w:rsid w:val="664D7777"/>
    <w:rsid w:val="664F1741"/>
    <w:rsid w:val="665054B9"/>
    <w:rsid w:val="66514481"/>
    <w:rsid w:val="66540B05"/>
    <w:rsid w:val="66575D03"/>
    <w:rsid w:val="66576847"/>
    <w:rsid w:val="66582833"/>
    <w:rsid w:val="665A1E94"/>
    <w:rsid w:val="665C09F7"/>
    <w:rsid w:val="665F74AA"/>
    <w:rsid w:val="66630D48"/>
    <w:rsid w:val="6663343E"/>
    <w:rsid w:val="66650F64"/>
    <w:rsid w:val="66666A8A"/>
    <w:rsid w:val="666920D7"/>
    <w:rsid w:val="666A657B"/>
    <w:rsid w:val="666D606B"/>
    <w:rsid w:val="666E0D5E"/>
    <w:rsid w:val="666F3B91"/>
    <w:rsid w:val="666F593F"/>
    <w:rsid w:val="667271DD"/>
    <w:rsid w:val="66754F1F"/>
    <w:rsid w:val="667557A4"/>
    <w:rsid w:val="6679056C"/>
    <w:rsid w:val="667A42E4"/>
    <w:rsid w:val="667C4500"/>
    <w:rsid w:val="667D115E"/>
    <w:rsid w:val="66811B16"/>
    <w:rsid w:val="668223FF"/>
    <w:rsid w:val="66882EA5"/>
    <w:rsid w:val="66884C53"/>
    <w:rsid w:val="668855C0"/>
    <w:rsid w:val="668B029F"/>
    <w:rsid w:val="668D4017"/>
    <w:rsid w:val="669929BC"/>
    <w:rsid w:val="669971ED"/>
    <w:rsid w:val="669C224C"/>
    <w:rsid w:val="669E4476"/>
    <w:rsid w:val="669E6224"/>
    <w:rsid w:val="669F5C50"/>
    <w:rsid w:val="66A82BFF"/>
    <w:rsid w:val="66A852F5"/>
    <w:rsid w:val="66AD24F1"/>
    <w:rsid w:val="66AF3F8D"/>
    <w:rsid w:val="66B07D06"/>
    <w:rsid w:val="66B27D9D"/>
    <w:rsid w:val="66B27F22"/>
    <w:rsid w:val="66B71094"/>
    <w:rsid w:val="66BB0B84"/>
    <w:rsid w:val="66BB5028"/>
    <w:rsid w:val="66BB6DD6"/>
    <w:rsid w:val="66BE0674"/>
    <w:rsid w:val="66BE2423"/>
    <w:rsid w:val="66C51A03"/>
    <w:rsid w:val="66C66E69"/>
    <w:rsid w:val="66CA7019"/>
    <w:rsid w:val="66CB25C9"/>
    <w:rsid w:val="66CC0FE3"/>
    <w:rsid w:val="66CF2882"/>
    <w:rsid w:val="66D41C46"/>
    <w:rsid w:val="66D439F4"/>
    <w:rsid w:val="66D47E98"/>
    <w:rsid w:val="66D659BE"/>
    <w:rsid w:val="66D93700"/>
    <w:rsid w:val="66D9725C"/>
    <w:rsid w:val="66DC3975"/>
    <w:rsid w:val="66DE4873"/>
    <w:rsid w:val="66E31E89"/>
    <w:rsid w:val="66E520A5"/>
    <w:rsid w:val="66E77BCB"/>
    <w:rsid w:val="66E9246C"/>
    <w:rsid w:val="66EA76BB"/>
    <w:rsid w:val="66EB64CB"/>
    <w:rsid w:val="66ED2D08"/>
    <w:rsid w:val="66ED4AB6"/>
    <w:rsid w:val="66F10A4A"/>
    <w:rsid w:val="66F145A6"/>
    <w:rsid w:val="66F2031E"/>
    <w:rsid w:val="66F26570"/>
    <w:rsid w:val="66F44096"/>
    <w:rsid w:val="66F61BBC"/>
    <w:rsid w:val="66F67E0E"/>
    <w:rsid w:val="66F81DD8"/>
    <w:rsid w:val="66F866E2"/>
    <w:rsid w:val="66FC2F4B"/>
    <w:rsid w:val="66FD119D"/>
    <w:rsid w:val="66FD2343"/>
    <w:rsid w:val="66FD3A84"/>
    <w:rsid w:val="67000C8D"/>
    <w:rsid w:val="670047E9"/>
    <w:rsid w:val="67095D94"/>
    <w:rsid w:val="670A1B0C"/>
    <w:rsid w:val="670A5668"/>
    <w:rsid w:val="670C09A8"/>
    <w:rsid w:val="670D669E"/>
    <w:rsid w:val="670E33AA"/>
    <w:rsid w:val="67121C73"/>
    <w:rsid w:val="671309C0"/>
    <w:rsid w:val="67141D0B"/>
    <w:rsid w:val="671771FC"/>
    <w:rsid w:val="671F55B7"/>
    <w:rsid w:val="672030DD"/>
    <w:rsid w:val="67206C39"/>
    <w:rsid w:val="67234DAF"/>
    <w:rsid w:val="672524A2"/>
    <w:rsid w:val="67256946"/>
    <w:rsid w:val="672755B0"/>
    <w:rsid w:val="67281F92"/>
    <w:rsid w:val="67291611"/>
    <w:rsid w:val="672E15F2"/>
    <w:rsid w:val="672E57FA"/>
    <w:rsid w:val="672F3320"/>
    <w:rsid w:val="67317098"/>
    <w:rsid w:val="67340937"/>
    <w:rsid w:val="67362901"/>
    <w:rsid w:val="67386679"/>
    <w:rsid w:val="67397CFB"/>
    <w:rsid w:val="673D3AD3"/>
    <w:rsid w:val="673F7A07"/>
    <w:rsid w:val="6740552D"/>
    <w:rsid w:val="67420B36"/>
    <w:rsid w:val="674212A6"/>
    <w:rsid w:val="67423054"/>
    <w:rsid w:val="674535E3"/>
    <w:rsid w:val="674548F2"/>
    <w:rsid w:val="674718C7"/>
    <w:rsid w:val="6747611A"/>
    <w:rsid w:val="67486190"/>
    <w:rsid w:val="674A015A"/>
    <w:rsid w:val="674C7A2E"/>
    <w:rsid w:val="674F6B10"/>
    <w:rsid w:val="674F751F"/>
    <w:rsid w:val="67513297"/>
    <w:rsid w:val="67545C2D"/>
    <w:rsid w:val="67564D51"/>
    <w:rsid w:val="67584625"/>
    <w:rsid w:val="675A65EF"/>
    <w:rsid w:val="676236F6"/>
    <w:rsid w:val="67656D42"/>
    <w:rsid w:val="676A4358"/>
    <w:rsid w:val="676A6106"/>
    <w:rsid w:val="676C00D0"/>
    <w:rsid w:val="676E209B"/>
    <w:rsid w:val="676E3F85"/>
    <w:rsid w:val="676E5BF7"/>
    <w:rsid w:val="67705E13"/>
    <w:rsid w:val="6772249D"/>
    <w:rsid w:val="6773320D"/>
    <w:rsid w:val="67746F85"/>
    <w:rsid w:val="67753429"/>
    <w:rsid w:val="67760F4F"/>
    <w:rsid w:val="677A27ED"/>
    <w:rsid w:val="677B0314"/>
    <w:rsid w:val="677D22DE"/>
    <w:rsid w:val="677E1BB2"/>
    <w:rsid w:val="677F6056"/>
    <w:rsid w:val="677F7E04"/>
    <w:rsid w:val="6784366C"/>
    <w:rsid w:val="67852F40"/>
    <w:rsid w:val="678637E0"/>
    <w:rsid w:val="678673E4"/>
    <w:rsid w:val="6787315C"/>
    <w:rsid w:val="678A0557"/>
    <w:rsid w:val="678E0047"/>
    <w:rsid w:val="678E44EB"/>
    <w:rsid w:val="678F3DBF"/>
    <w:rsid w:val="67902011"/>
    <w:rsid w:val="6793247A"/>
    <w:rsid w:val="67955879"/>
    <w:rsid w:val="67955C4B"/>
    <w:rsid w:val="67966EFB"/>
    <w:rsid w:val="679A5D0C"/>
    <w:rsid w:val="679B09B6"/>
    <w:rsid w:val="679B2B45"/>
    <w:rsid w:val="679D326A"/>
    <w:rsid w:val="679F2254"/>
    <w:rsid w:val="67A02BD4"/>
    <w:rsid w:val="67A27F96"/>
    <w:rsid w:val="67A4786A"/>
    <w:rsid w:val="67A51B7A"/>
    <w:rsid w:val="67A930D3"/>
    <w:rsid w:val="67AA791C"/>
    <w:rsid w:val="67B37BBA"/>
    <w:rsid w:val="67B51A77"/>
    <w:rsid w:val="67B657F0"/>
    <w:rsid w:val="67B6759E"/>
    <w:rsid w:val="67B76287"/>
    <w:rsid w:val="67B83316"/>
    <w:rsid w:val="67B83777"/>
    <w:rsid w:val="67BA0E3C"/>
    <w:rsid w:val="67BC1058"/>
    <w:rsid w:val="67BC2E06"/>
    <w:rsid w:val="67BF28F6"/>
    <w:rsid w:val="67C24194"/>
    <w:rsid w:val="67C25F42"/>
    <w:rsid w:val="67C27CF0"/>
    <w:rsid w:val="67C41CBB"/>
    <w:rsid w:val="67C779FD"/>
    <w:rsid w:val="67C9107F"/>
    <w:rsid w:val="67CD0862"/>
    <w:rsid w:val="67CF5C52"/>
    <w:rsid w:val="67D059A1"/>
    <w:rsid w:val="67D643E4"/>
    <w:rsid w:val="67DB7004"/>
    <w:rsid w:val="67DE2B76"/>
    <w:rsid w:val="67DF08A2"/>
    <w:rsid w:val="67E4235D"/>
    <w:rsid w:val="67E61C31"/>
    <w:rsid w:val="67E660D5"/>
    <w:rsid w:val="67EB5499"/>
    <w:rsid w:val="67EC2FBF"/>
    <w:rsid w:val="67ED7463"/>
    <w:rsid w:val="67EE31DB"/>
    <w:rsid w:val="67EE6D37"/>
    <w:rsid w:val="67EF1607"/>
    <w:rsid w:val="67F00D02"/>
    <w:rsid w:val="67F307F2"/>
    <w:rsid w:val="67F65BEC"/>
    <w:rsid w:val="67F81964"/>
    <w:rsid w:val="67FC76A6"/>
    <w:rsid w:val="67FD51CC"/>
    <w:rsid w:val="67FF0F45"/>
    <w:rsid w:val="67FF7197"/>
    <w:rsid w:val="68014CBD"/>
    <w:rsid w:val="680622D3"/>
    <w:rsid w:val="68077DF9"/>
    <w:rsid w:val="6808604B"/>
    <w:rsid w:val="68093B71"/>
    <w:rsid w:val="680E59A9"/>
    <w:rsid w:val="68104F00"/>
    <w:rsid w:val="68112A26"/>
    <w:rsid w:val="681253D0"/>
    <w:rsid w:val="681C38A5"/>
    <w:rsid w:val="681D761D"/>
    <w:rsid w:val="681E61CA"/>
    <w:rsid w:val="682409AB"/>
    <w:rsid w:val="68243E7A"/>
    <w:rsid w:val="68246BFD"/>
    <w:rsid w:val="68251F38"/>
    <w:rsid w:val="68262975"/>
    <w:rsid w:val="68282249"/>
    <w:rsid w:val="68295FC1"/>
    <w:rsid w:val="682B1D3A"/>
    <w:rsid w:val="682E35D8"/>
    <w:rsid w:val="682E5386"/>
    <w:rsid w:val="6837248C"/>
    <w:rsid w:val="68376930"/>
    <w:rsid w:val="683926A8"/>
    <w:rsid w:val="683A2195"/>
    <w:rsid w:val="683F3A37"/>
    <w:rsid w:val="6841155D"/>
    <w:rsid w:val="6841330B"/>
    <w:rsid w:val="684150B9"/>
    <w:rsid w:val="68420814"/>
    <w:rsid w:val="68442DFB"/>
    <w:rsid w:val="68444BA9"/>
    <w:rsid w:val="68460921"/>
    <w:rsid w:val="68464F3B"/>
    <w:rsid w:val="684728B7"/>
    <w:rsid w:val="684A64D9"/>
    <w:rsid w:val="684B418A"/>
    <w:rsid w:val="684E5A28"/>
    <w:rsid w:val="684F3C7A"/>
    <w:rsid w:val="6850354E"/>
    <w:rsid w:val="685272C6"/>
    <w:rsid w:val="68556DB7"/>
    <w:rsid w:val="68580655"/>
    <w:rsid w:val="685968A7"/>
    <w:rsid w:val="685A6D95"/>
    <w:rsid w:val="685C1EF3"/>
    <w:rsid w:val="685C6397"/>
    <w:rsid w:val="685F3791"/>
    <w:rsid w:val="6861575B"/>
    <w:rsid w:val="68617509"/>
    <w:rsid w:val="686314D3"/>
    <w:rsid w:val="68633281"/>
    <w:rsid w:val="68647BCC"/>
    <w:rsid w:val="68686AEA"/>
    <w:rsid w:val="68692862"/>
    <w:rsid w:val="686C635E"/>
    <w:rsid w:val="68715A7D"/>
    <w:rsid w:val="68730A19"/>
    <w:rsid w:val="687436E1"/>
    <w:rsid w:val="68750B51"/>
    <w:rsid w:val="68757459"/>
    <w:rsid w:val="6877057E"/>
    <w:rsid w:val="687A4A6F"/>
    <w:rsid w:val="687C07E7"/>
    <w:rsid w:val="688073A5"/>
    <w:rsid w:val="68833924"/>
    <w:rsid w:val="688431F8"/>
    <w:rsid w:val="688651C2"/>
    <w:rsid w:val="688B27D8"/>
    <w:rsid w:val="688C3685"/>
    <w:rsid w:val="688D6550"/>
    <w:rsid w:val="68907DEF"/>
    <w:rsid w:val="68915745"/>
    <w:rsid w:val="68921DB9"/>
    <w:rsid w:val="68930B04"/>
    <w:rsid w:val="689618A9"/>
    <w:rsid w:val="689A0C6D"/>
    <w:rsid w:val="689B44E8"/>
    <w:rsid w:val="689B6EBF"/>
    <w:rsid w:val="689C529D"/>
    <w:rsid w:val="68A044D6"/>
    <w:rsid w:val="68A2273F"/>
    <w:rsid w:val="68A32F09"/>
    <w:rsid w:val="68A35D74"/>
    <w:rsid w:val="68A51AEC"/>
    <w:rsid w:val="68A613C0"/>
    <w:rsid w:val="68A84561"/>
    <w:rsid w:val="68AA7102"/>
    <w:rsid w:val="68AD09A1"/>
    <w:rsid w:val="68B008A5"/>
    <w:rsid w:val="68B05785"/>
    <w:rsid w:val="68B47F81"/>
    <w:rsid w:val="68B7181F"/>
    <w:rsid w:val="68B7537B"/>
    <w:rsid w:val="68B76D78"/>
    <w:rsid w:val="68B94F59"/>
    <w:rsid w:val="68BB30BE"/>
    <w:rsid w:val="68BB700A"/>
    <w:rsid w:val="68BE2BAE"/>
    <w:rsid w:val="68BE495C"/>
    <w:rsid w:val="68C0194D"/>
    <w:rsid w:val="68C31F72"/>
    <w:rsid w:val="68C65D6E"/>
    <w:rsid w:val="68C73DDA"/>
    <w:rsid w:val="68C857DA"/>
    <w:rsid w:val="68C87588"/>
    <w:rsid w:val="68CA3301"/>
    <w:rsid w:val="68CA50AF"/>
    <w:rsid w:val="68CA77A4"/>
    <w:rsid w:val="68CC52CB"/>
    <w:rsid w:val="68D0643D"/>
    <w:rsid w:val="68D128E1"/>
    <w:rsid w:val="68D1740F"/>
    <w:rsid w:val="68D45F2D"/>
    <w:rsid w:val="68DA5ADD"/>
    <w:rsid w:val="68DC1A4F"/>
    <w:rsid w:val="68DE6DAC"/>
    <w:rsid w:val="68E048D2"/>
    <w:rsid w:val="68E1064A"/>
    <w:rsid w:val="68E424F2"/>
    <w:rsid w:val="68E503E3"/>
    <w:rsid w:val="68E72104"/>
    <w:rsid w:val="68E91861"/>
    <w:rsid w:val="68EB3277"/>
    <w:rsid w:val="68EC0C84"/>
    <w:rsid w:val="68EC14C9"/>
    <w:rsid w:val="68ED4CE5"/>
    <w:rsid w:val="68ED7661"/>
    <w:rsid w:val="68EF2D67"/>
    <w:rsid w:val="68F0088D"/>
    <w:rsid w:val="68F16ADF"/>
    <w:rsid w:val="68F24605"/>
    <w:rsid w:val="68F2680E"/>
    <w:rsid w:val="68F465CF"/>
    <w:rsid w:val="68F77E6E"/>
    <w:rsid w:val="68FB5BB0"/>
    <w:rsid w:val="68FB795E"/>
    <w:rsid w:val="68FC5484"/>
    <w:rsid w:val="69020CEC"/>
    <w:rsid w:val="69034A64"/>
    <w:rsid w:val="690600B1"/>
    <w:rsid w:val="690A194F"/>
    <w:rsid w:val="690B56C7"/>
    <w:rsid w:val="690B6DDE"/>
    <w:rsid w:val="690F24D3"/>
    <w:rsid w:val="690F3409"/>
    <w:rsid w:val="690F6F65"/>
    <w:rsid w:val="69107A14"/>
    <w:rsid w:val="69117181"/>
    <w:rsid w:val="69132EFA"/>
    <w:rsid w:val="69140A20"/>
    <w:rsid w:val="691D2341"/>
    <w:rsid w:val="692073C4"/>
    <w:rsid w:val="69224EEB"/>
    <w:rsid w:val="69232A11"/>
    <w:rsid w:val="6924250F"/>
    <w:rsid w:val="692435FB"/>
    <w:rsid w:val="692530A3"/>
    <w:rsid w:val="69271690"/>
    <w:rsid w:val="69280027"/>
    <w:rsid w:val="692A1FF1"/>
    <w:rsid w:val="692C7B17"/>
    <w:rsid w:val="692F13B6"/>
    <w:rsid w:val="69313380"/>
    <w:rsid w:val="69344C1E"/>
    <w:rsid w:val="69392234"/>
    <w:rsid w:val="693B7577"/>
    <w:rsid w:val="693B7D5A"/>
    <w:rsid w:val="693C3AD3"/>
    <w:rsid w:val="693E784B"/>
    <w:rsid w:val="6942558D"/>
    <w:rsid w:val="694330B3"/>
    <w:rsid w:val="69477567"/>
    <w:rsid w:val="694959E5"/>
    <w:rsid w:val="694A61EF"/>
    <w:rsid w:val="694C0E55"/>
    <w:rsid w:val="694C1F68"/>
    <w:rsid w:val="694E3F32"/>
    <w:rsid w:val="695218B2"/>
    <w:rsid w:val="695232F6"/>
    <w:rsid w:val="69561384"/>
    <w:rsid w:val="69580D63"/>
    <w:rsid w:val="69595134"/>
    <w:rsid w:val="6959691A"/>
    <w:rsid w:val="695A0B28"/>
    <w:rsid w:val="695C079C"/>
    <w:rsid w:val="695D5F23"/>
    <w:rsid w:val="695E1C9B"/>
    <w:rsid w:val="696033A5"/>
    <w:rsid w:val="696533DD"/>
    <w:rsid w:val="696973C3"/>
    <w:rsid w:val="696E6382"/>
    <w:rsid w:val="696F027E"/>
    <w:rsid w:val="69733998"/>
    <w:rsid w:val="69765236"/>
    <w:rsid w:val="6976722C"/>
    <w:rsid w:val="697A2F79"/>
    <w:rsid w:val="697D65C5"/>
    <w:rsid w:val="69821839"/>
    <w:rsid w:val="69865137"/>
    <w:rsid w:val="69872FA0"/>
    <w:rsid w:val="69877444"/>
    <w:rsid w:val="69894212"/>
    <w:rsid w:val="69894F6A"/>
    <w:rsid w:val="698A6F34"/>
    <w:rsid w:val="698C4A5A"/>
    <w:rsid w:val="698E432E"/>
    <w:rsid w:val="698E4AF7"/>
    <w:rsid w:val="69913E34"/>
    <w:rsid w:val="69951B60"/>
    <w:rsid w:val="699742D5"/>
    <w:rsid w:val="699851AD"/>
    <w:rsid w:val="69990F25"/>
    <w:rsid w:val="699A7177"/>
    <w:rsid w:val="699B6A4B"/>
    <w:rsid w:val="699E02E9"/>
    <w:rsid w:val="699F653B"/>
    <w:rsid w:val="69A13929"/>
    <w:rsid w:val="69A16F46"/>
    <w:rsid w:val="69A819FA"/>
    <w:rsid w:val="69B02460"/>
    <w:rsid w:val="69B450FC"/>
    <w:rsid w:val="69B53187"/>
    <w:rsid w:val="69B53FB1"/>
    <w:rsid w:val="69B8584F"/>
    <w:rsid w:val="69BA3375"/>
    <w:rsid w:val="69BA58D9"/>
    <w:rsid w:val="69BB533F"/>
    <w:rsid w:val="69C02956"/>
    <w:rsid w:val="69C117D2"/>
    <w:rsid w:val="69C42446"/>
    <w:rsid w:val="69C55233"/>
    <w:rsid w:val="69C9180A"/>
    <w:rsid w:val="69C97A5C"/>
    <w:rsid w:val="69CA10DE"/>
    <w:rsid w:val="69CB5582"/>
    <w:rsid w:val="69CC4E56"/>
    <w:rsid w:val="69D00DEB"/>
    <w:rsid w:val="69D16911"/>
    <w:rsid w:val="69D501AF"/>
    <w:rsid w:val="69D63F27"/>
    <w:rsid w:val="69D65CD5"/>
    <w:rsid w:val="69DA3A17"/>
    <w:rsid w:val="69DC08C3"/>
    <w:rsid w:val="69E55F18"/>
    <w:rsid w:val="69EB0D20"/>
    <w:rsid w:val="69EC72A7"/>
    <w:rsid w:val="69F30635"/>
    <w:rsid w:val="69F34AD9"/>
    <w:rsid w:val="69F46C64"/>
    <w:rsid w:val="69F525FF"/>
    <w:rsid w:val="69F61ED3"/>
    <w:rsid w:val="69F820EF"/>
    <w:rsid w:val="69F83E9D"/>
    <w:rsid w:val="69F97043"/>
    <w:rsid w:val="69FA7C16"/>
    <w:rsid w:val="69FB573C"/>
    <w:rsid w:val="69FC1BE0"/>
    <w:rsid w:val="69FD6E54"/>
    <w:rsid w:val="69FF3DA6"/>
    <w:rsid w:val="6A021836"/>
    <w:rsid w:val="6A042842"/>
    <w:rsid w:val="6A072332"/>
    <w:rsid w:val="6A072AB4"/>
    <w:rsid w:val="6A077C46"/>
    <w:rsid w:val="6A136F29"/>
    <w:rsid w:val="6A164324"/>
    <w:rsid w:val="6A1A02B8"/>
    <w:rsid w:val="6A1D1B56"/>
    <w:rsid w:val="6A2353BE"/>
    <w:rsid w:val="6A246A40"/>
    <w:rsid w:val="6A2829D5"/>
    <w:rsid w:val="6A294057"/>
    <w:rsid w:val="6A2B4273"/>
    <w:rsid w:val="6A2B7DCF"/>
    <w:rsid w:val="6A2D34F8"/>
    <w:rsid w:val="6A301889"/>
    <w:rsid w:val="6A303637"/>
    <w:rsid w:val="6A3053E5"/>
    <w:rsid w:val="6A314603"/>
    <w:rsid w:val="6A3273AF"/>
    <w:rsid w:val="6A3461E5"/>
    <w:rsid w:val="6A350C4E"/>
    <w:rsid w:val="6A356EA0"/>
    <w:rsid w:val="6A366774"/>
    <w:rsid w:val="6A38073E"/>
    <w:rsid w:val="6A38108B"/>
    <w:rsid w:val="6A384D26"/>
    <w:rsid w:val="6A3D5D54"/>
    <w:rsid w:val="6A3F1ACC"/>
    <w:rsid w:val="6A3F387A"/>
    <w:rsid w:val="6A4175F2"/>
    <w:rsid w:val="6A4415E9"/>
    <w:rsid w:val="6A441A93"/>
    <w:rsid w:val="6A445335"/>
    <w:rsid w:val="6A486316"/>
    <w:rsid w:val="6A486BD3"/>
    <w:rsid w:val="6A4D0118"/>
    <w:rsid w:val="6A4E3ABD"/>
    <w:rsid w:val="6A4E7F61"/>
    <w:rsid w:val="6A5135AE"/>
    <w:rsid w:val="6A5639FE"/>
    <w:rsid w:val="6A576E16"/>
    <w:rsid w:val="6A5C61DA"/>
    <w:rsid w:val="6A5D1F52"/>
    <w:rsid w:val="6A5D7FC0"/>
    <w:rsid w:val="6A611A43"/>
    <w:rsid w:val="6A623431"/>
    <w:rsid w:val="6A624D6D"/>
    <w:rsid w:val="6A6257BB"/>
    <w:rsid w:val="6A6340FC"/>
    <w:rsid w:val="6A641533"/>
    <w:rsid w:val="6A662825"/>
    <w:rsid w:val="6A671FA1"/>
    <w:rsid w:val="6A6908F7"/>
    <w:rsid w:val="6A701C86"/>
    <w:rsid w:val="6A710606"/>
    <w:rsid w:val="6A75729C"/>
    <w:rsid w:val="6A772D37"/>
    <w:rsid w:val="6A794FDE"/>
    <w:rsid w:val="6A7A0D56"/>
    <w:rsid w:val="6A7A6FA8"/>
    <w:rsid w:val="6A7D43A3"/>
    <w:rsid w:val="6A7E0847"/>
    <w:rsid w:val="6A7E25F5"/>
    <w:rsid w:val="6A7F636D"/>
    <w:rsid w:val="6A883473"/>
    <w:rsid w:val="6A8B6AC0"/>
    <w:rsid w:val="6A8C667E"/>
    <w:rsid w:val="6A8D6CDC"/>
    <w:rsid w:val="6A8F2AA1"/>
    <w:rsid w:val="6A8F4802"/>
    <w:rsid w:val="6A90057A"/>
    <w:rsid w:val="6A9040D6"/>
    <w:rsid w:val="6A922510"/>
    <w:rsid w:val="6A932B4B"/>
    <w:rsid w:val="6A9736B6"/>
    <w:rsid w:val="6A977597"/>
    <w:rsid w:val="6A9844C1"/>
    <w:rsid w:val="6A99742E"/>
    <w:rsid w:val="6A9C2A7B"/>
    <w:rsid w:val="6A9E0AB3"/>
    <w:rsid w:val="6A9E4A45"/>
    <w:rsid w:val="6A9E67F3"/>
    <w:rsid w:val="6AA61B4B"/>
    <w:rsid w:val="6AA87672"/>
    <w:rsid w:val="6AA95198"/>
    <w:rsid w:val="6AAD2EDA"/>
    <w:rsid w:val="6AAD6304"/>
    <w:rsid w:val="6AAF3179"/>
    <w:rsid w:val="6AB029CA"/>
    <w:rsid w:val="6AB204F0"/>
    <w:rsid w:val="6AB73D58"/>
    <w:rsid w:val="6ABC136F"/>
    <w:rsid w:val="6ABC311D"/>
    <w:rsid w:val="6ABE50E7"/>
    <w:rsid w:val="6ABF49BB"/>
    <w:rsid w:val="6AC124E1"/>
    <w:rsid w:val="6AC3133E"/>
    <w:rsid w:val="6AC638FF"/>
    <w:rsid w:val="6AC87D14"/>
    <w:rsid w:val="6ACB7AD0"/>
    <w:rsid w:val="6ACE4BFE"/>
    <w:rsid w:val="6ACF10A2"/>
    <w:rsid w:val="6ACF170E"/>
    <w:rsid w:val="6AD16513"/>
    <w:rsid w:val="6AD2037A"/>
    <w:rsid w:val="6AD62431"/>
    <w:rsid w:val="6AD77F57"/>
    <w:rsid w:val="6AD93CCF"/>
    <w:rsid w:val="6ADC37BF"/>
    <w:rsid w:val="6ADC556D"/>
    <w:rsid w:val="6ADE3093"/>
    <w:rsid w:val="6AE12B83"/>
    <w:rsid w:val="6AE306AA"/>
    <w:rsid w:val="6AE461D0"/>
    <w:rsid w:val="6AE508C6"/>
    <w:rsid w:val="6AE6019A"/>
    <w:rsid w:val="6AE61F48"/>
    <w:rsid w:val="6AE866A8"/>
    <w:rsid w:val="6AED1528"/>
    <w:rsid w:val="6AED32D6"/>
    <w:rsid w:val="6AF02DC7"/>
    <w:rsid w:val="6AF428B7"/>
    <w:rsid w:val="6AF619D0"/>
    <w:rsid w:val="6AF63CB2"/>
    <w:rsid w:val="6AF9611F"/>
    <w:rsid w:val="6AFB3C45"/>
    <w:rsid w:val="6AFC176B"/>
    <w:rsid w:val="6AFD409F"/>
    <w:rsid w:val="6AFE3DEE"/>
    <w:rsid w:val="6B00125C"/>
    <w:rsid w:val="6B0146A4"/>
    <w:rsid w:val="6B036F9E"/>
    <w:rsid w:val="6B051D29"/>
    <w:rsid w:val="6B0625EA"/>
    <w:rsid w:val="6B087F5F"/>
    <w:rsid w:val="6B0B19AE"/>
    <w:rsid w:val="6B0C5E52"/>
    <w:rsid w:val="6B0F149F"/>
    <w:rsid w:val="6B113469"/>
    <w:rsid w:val="6B122D3D"/>
    <w:rsid w:val="6B146AB5"/>
    <w:rsid w:val="6B170353"/>
    <w:rsid w:val="6B1747F7"/>
    <w:rsid w:val="6B19056F"/>
    <w:rsid w:val="6B192137"/>
    <w:rsid w:val="6B1B4A57"/>
    <w:rsid w:val="6B1C1E0E"/>
    <w:rsid w:val="6B1D7377"/>
    <w:rsid w:val="6B1E16E2"/>
    <w:rsid w:val="6B1E7934"/>
    <w:rsid w:val="6B2036AC"/>
    <w:rsid w:val="6B234F4A"/>
    <w:rsid w:val="6B264A3A"/>
    <w:rsid w:val="6B2667E8"/>
    <w:rsid w:val="6B2A452A"/>
    <w:rsid w:val="6B2F7D93"/>
    <w:rsid w:val="6B317667"/>
    <w:rsid w:val="6B376C47"/>
    <w:rsid w:val="6B4057AD"/>
    <w:rsid w:val="6B431148"/>
    <w:rsid w:val="6B43383E"/>
    <w:rsid w:val="6B451364"/>
    <w:rsid w:val="6B460C38"/>
    <w:rsid w:val="6B480E55"/>
    <w:rsid w:val="6B4849B1"/>
    <w:rsid w:val="6B4A0729"/>
    <w:rsid w:val="6B4A24D7"/>
    <w:rsid w:val="6B4B7FE5"/>
    <w:rsid w:val="6B4C44A1"/>
    <w:rsid w:val="6B4E5802"/>
    <w:rsid w:val="6B4E646B"/>
    <w:rsid w:val="6B4F5D3F"/>
    <w:rsid w:val="6B517D09"/>
    <w:rsid w:val="6B563571"/>
    <w:rsid w:val="6B574BF4"/>
    <w:rsid w:val="6B596F8E"/>
    <w:rsid w:val="6B5A2486"/>
    <w:rsid w:val="6B5B2936"/>
    <w:rsid w:val="6B5B46E4"/>
    <w:rsid w:val="6B5E2426"/>
    <w:rsid w:val="6B5E5F82"/>
    <w:rsid w:val="6B5F4324"/>
    <w:rsid w:val="6B601CFA"/>
    <w:rsid w:val="6B60619E"/>
    <w:rsid w:val="6B616B6D"/>
    <w:rsid w:val="6B621F16"/>
    <w:rsid w:val="6B625A72"/>
    <w:rsid w:val="6B666FFD"/>
    <w:rsid w:val="6B676306"/>
    <w:rsid w:val="6B67752D"/>
    <w:rsid w:val="6B686E01"/>
    <w:rsid w:val="6B6A2B79"/>
    <w:rsid w:val="6B6D6E99"/>
    <w:rsid w:val="6B6D718E"/>
    <w:rsid w:val="6B7009C9"/>
    <w:rsid w:val="6B711AB5"/>
    <w:rsid w:val="6B711B7A"/>
    <w:rsid w:val="6B7441D2"/>
    <w:rsid w:val="6B75499D"/>
    <w:rsid w:val="6B7834E8"/>
    <w:rsid w:val="6B792DBC"/>
    <w:rsid w:val="6B7D7CB3"/>
    <w:rsid w:val="6B7E03D2"/>
    <w:rsid w:val="6B83149A"/>
    <w:rsid w:val="6B841E8D"/>
    <w:rsid w:val="6B851761"/>
    <w:rsid w:val="6B871757"/>
    <w:rsid w:val="6B87197D"/>
    <w:rsid w:val="6B8974A3"/>
    <w:rsid w:val="6B8A3827"/>
    <w:rsid w:val="6B8A6D77"/>
    <w:rsid w:val="6B8C0D41"/>
    <w:rsid w:val="6B8D6867"/>
    <w:rsid w:val="6B8F438D"/>
    <w:rsid w:val="6B961BC0"/>
    <w:rsid w:val="6B985938"/>
    <w:rsid w:val="6B9876E6"/>
    <w:rsid w:val="6B9B0F84"/>
    <w:rsid w:val="6B9B2D32"/>
    <w:rsid w:val="6B9B3943"/>
    <w:rsid w:val="6B9E2823"/>
    <w:rsid w:val="6BA2108B"/>
    <w:rsid w:val="6BA22313"/>
    <w:rsid w:val="6BA50055"/>
    <w:rsid w:val="6BA70860"/>
    <w:rsid w:val="6BA8544F"/>
    <w:rsid w:val="6BAE515B"/>
    <w:rsid w:val="6BAF2C82"/>
    <w:rsid w:val="6BAF40B2"/>
    <w:rsid w:val="6BB05477"/>
    <w:rsid w:val="6BB107A8"/>
    <w:rsid w:val="6BB32772"/>
    <w:rsid w:val="6BB436C5"/>
    <w:rsid w:val="6BB535D3"/>
    <w:rsid w:val="6BB65DBE"/>
    <w:rsid w:val="6BB87D88"/>
    <w:rsid w:val="6BBE2717"/>
    <w:rsid w:val="6BBF2EC5"/>
    <w:rsid w:val="6BC009EB"/>
    <w:rsid w:val="6BC02799"/>
    <w:rsid w:val="6BC06C3D"/>
    <w:rsid w:val="6BC078BC"/>
    <w:rsid w:val="6BC26511"/>
    <w:rsid w:val="6BC404DB"/>
    <w:rsid w:val="6BC6157A"/>
    <w:rsid w:val="6BC8556D"/>
    <w:rsid w:val="6BCA3618"/>
    <w:rsid w:val="6BCC55E2"/>
    <w:rsid w:val="6BCE3108"/>
    <w:rsid w:val="6BCF0C2E"/>
    <w:rsid w:val="6BD050D2"/>
    <w:rsid w:val="6BD30E55"/>
    <w:rsid w:val="6BD36970"/>
    <w:rsid w:val="6BD43669"/>
    <w:rsid w:val="6BD46244"/>
    <w:rsid w:val="6BD821D8"/>
    <w:rsid w:val="6BDA3CCF"/>
    <w:rsid w:val="6BDB75D3"/>
    <w:rsid w:val="6BDC5CA0"/>
    <w:rsid w:val="6BE0108D"/>
    <w:rsid w:val="6BE24E05"/>
    <w:rsid w:val="6BE446D9"/>
    <w:rsid w:val="6BE61923"/>
    <w:rsid w:val="6BE648F5"/>
    <w:rsid w:val="6BE8725E"/>
    <w:rsid w:val="6BE97F42"/>
    <w:rsid w:val="6BEB1F0C"/>
    <w:rsid w:val="6BEE7306"/>
    <w:rsid w:val="6BF1329A"/>
    <w:rsid w:val="6BF608B1"/>
    <w:rsid w:val="6BF61909"/>
    <w:rsid w:val="6BFA3EFD"/>
    <w:rsid w:val="6BFB7933"/>
    <w:rsid w:val="6BFD1C3F"/>
    <w:rsid w:val="6BFF1513"/>
    <w:rsid w:val="6BFF4103"/>
    <w:rsid w:val="6C007039"/>
    <w:rsid w:val="6C046B2A"/>
    <w:rsid w:val="6C092392"/>
    <w:rsid w:val="6C0C1E82"/>
    <w:rsid w:val="6C0C3C30"/>
    <w:rsid w:val="6C0E5BFA"/>
    <w:rsid w:val="6C0F54CE"/>
    <w:rsid w:val="6C1256EA"/>
    <w:rsid w:val="6C136D6D"/>
    <w:rsid w:val="6C152647"/>
    <w:rsid w:val="6C156D2D"/>
    <w:rsid w:val="6C156F89"/>
    <w:rsid w:val="6C1825D5"/>
    <w:rsid w:val="6C184383"/>
    <w:rsid w:val="6C187585"/>
    <w:rsid w:val="6C1A634D"/>
    <w:rsid w:val="6C1F2DC1"/>
    <w:rsid w:val="6C1F5711"/>
    <w:rsid w:val="6C21592D"/>
    <w:rsid w:val="6C255D33"/>
    <w:rsid w:val="6C256AA0"/>
    <w:rsid w:val="6C296590"/>
    <w:rsid w:val="6C2C42D2"/>
    <w:rsid w:val="6C2F6077"/>
    <w:rsid w:val="6C315445"/>
    <w:rsid w:val="6C327B3B"/>
    <w:rsid w:val="6C3311BD"/>
    <w:rsid w:val="6C3345BF"/>
    <w:rsid w:val="6C335661"/>
    <w:rsid w:val="6C3367E9"/>
    <w:rsid w:val="6C3513D9"/>
    <w:rsid w:val="6C375151"/>
    <w:rsid w:val="6C376EFF"/>
    <w:rsid w:val="6C382C77"/>
    <w:rsid w:val="6C3D5490"/>
    <w:rsid w:val="6C417D7E"/>
    <w:rsid w:val="6C44161C"/>
    <w:rsid w:val="6C445178"/>
    <w:rsid w:val="6C44786E"/>
    <w:rsid w:val="6C465394"/>
    <w:rsid w:val="6C47110C"/>
    <w:rsid w:val="6C4B0D0B"/>
    <w:rsid w:val="6C4B29AA"/>
    <w:rsid w:val="6C4D6722"/>
    <w:rsid w:val="6C5008E1"/>
    <w:rsid w:val="6C506213"/>
    <w:rsid w:val="6C532FFB"/>
    <w:rsid w:val="6C5630FD"/>
    <w:rsid w:val="6C582842"/>
    <w:rsid w:val="6C586E75"/>
    <w:rsid w:val="6C5A0E3F"/>
    <w:rsid w:val="6C5C6966"/>
    <w:rsid w:val="6C5D623A"/>
    <w:rsid w:val="6C5E25FF"/>
    <w:rsid w:val="6C604695"/>
    <w:rsid w:val="6C643A6C"/>
    <w:rsid w:val="6C6475C8"/>
    <w:rsid w:val="6C6608D6"/>
    <w:rsid w:val="6C661592"/>
    <w:rsid w:val="6C67530A"/>
    <w:rsid w:val="6C684A1E"/>
    <w:rsid w:val="6C6E48EB"/>
    <w:rsid w:val="6C6E6699"/>
    <w:rsid w:val="6C705F6D"/>
    <w:rsid w:val="6C71678A"/>
    <w:rsid w:val="6C727F37"/>
    <w:rsid w:val="6C733CAF"/>
    <w:rsid w:val="6C7D068A"/>
    <w:rsid w:val="6C7D5484"/>
    <w:rsid w:val="6C7D68DC"/>
    <w:rsid w:val="6C7F4402"/>
    <w:rsid w:val="6C81461E"/>
    <w:rsid w:val="6C871509"/>
    <w:rsid w:val="6C89702F"/>
    <w:rsid w:val="6C8975E2"/>
    <w:rsid w:val="6C8B724B"/>
    <w:rsid w:val="6C8B7FE0"/>
    <w:rsid w:val="6C8E0AE9"/>
    <w:rsid w:val="6C8E6D3B"/>
    <w:rsid w:val="6C92223D"/>
    <w:rsid w:val="6C944351"/>
    <w:rsid w:val="6C975BF0"/>
    <w:rsid w:val="6C9852E5"/>
    <w:rsid w:val="6C992705"/>
    <w:rsid w:val="6C9F14BC"/>
    <w:rsid w:val="6CA125CA"/>
    <w:rsid w:val="6CA20189"/>
    <w:rsid w:val="6CA34594"/>
    <w:rsid w:val="6CA64085"/>
    <w:rsid w:val="6CA92135"/>
    <w:rsid w:val="6CAB51F7"/>
    <w:rsid w:val="6CAF3ECE"/>
    <w:rsid w:val="6CB13256"/>
    <w:rsid w:val="6CB247D7"/>
    <w:rsid w:val="6CB56076"/>
    <w:rsid w:val="6CB71DEE"/>
    <w:rsid w:val="6CB87914"/>
    <w:rsid w:val="6CBC6B37"/>
    <w:rsid w:val="6CBE670D"/>
    <w:rsid w:val="6CBF0CA2"/>
    <w:rsid w:val="6CBF6EF4"/>
    <w:rsid w:val="6CC10EBE"/>
    <w:rsid w:val="6CC12C6C"/>
    <w:rsid w:val="6CC14A1B"/>
    <w:rsid w:val="6CC3531E"/>
    <w:rsid w:val="6CC91B21"/>
    <w:rsid w:val="6CC938CF"/>
    <w:rsid w:val="6CD02EB0"/>
    <w:rsid w:val="6CD209D6"/>
    <w:rsid w:val="6CD24E7A"/>
    <w:rsid w:val="6CD40BF2"/>
    <w:rsid w:val="6CD504C6"/>
    <w:rsid w:val="6CD56718"/>
    <w:rsid w:val="6CD7423E"/>
    <w:rsid w:val="6CD858AC"/>
    <w:rsid w:val="6CDE737B"/>
    <w:rsid w:val="6CDF1345"/>
    <w:rsid w:val="6CDF30F3"/>
    <w:rsid w:val="6CE1330F"/>
    <w:rsid w:val="6CE30E35"/>
    <w:rsid w:val="6CE32BE3"/>
    <w:rsid w:val="6CE40787"/>
    <w:rsid w:val="6CE72933"/>
    <w:rsid w:val="6CE931BD"/>
    <w:rsid w:val="6CEA21C3"/>
    <w:rsid w:val="6CED5810"/>
    <w:rsid w:val="6CF22E26"/>
    <w:rsid w:val="6CF3094C"/>
    <w:rsid w:val="6CF50B68"/>
    <w:rsid w:val="6CF66663"/>
    <w:rsid w:val="6CF941B4"/>
    <w:rsid w:val="6CFA7D7F"/>
    <w:rsid w:val="6CFC3CA5"/>
    <w:rsid w:val="6CFE17CB"/>
    <w:rsid w:val="6CFF5543"/>
    <w:rsid w:val="6D002FBE"/>
    <w:rsid w:val="6D050DAB"/>
    <w:rsid w:val="6D062D75"/>
    <w:rsid w:val="6D064B23"/>
    <w:rsid w:val="6D0668D1"/>
    <w:rsid w:val="6D08089B"/>
    <w:rsid w:val="6D0843F7"/>
    <w:rsid w:val="6D090170"/>
    <w:rsid w:val="6D0B038C"/>
    <w:rsid w:val="6D107530"/>
    <w:rsid w:val="6D133395"/>
    <w:rsid w:val="6D140FEE"/>
    <w:rsid w:val="6D14106D"/>
    <w:rsid w:val="6D147240"/>
    <w:rsid w:val="6D176D30"/>
    <w:rsid w:val="6D1A412B"/>
    <w:rsid w:val="6D1B05CF"/>
    <w:rsid w:val="6D1C4347"/>
    <w:rsid w:val="6D1F1741"/>
    <w:rsid w:val="6D1F7993"/>
    <w:rsid w:val="6D21370B"/>
    <w:rsid w:val="6D2141CF"/>
    <w:rsid w:val="6D2154B9"/>
    <w:rsid w:val="6D260D22"/>
    <w:rsid w:val="6D2C27DC"/>
    <w:rsid w:val="6D2F5E28"/>
    <w:rsid w:val="6D2F7BD6"/>
    <w:rsid w:val="6D30394E"/>
    <w:rsid w:val="6D317DF2"/>
    <w:rsid w:val="6D342007"/>
    <w:rsid w:val="6D342FA5"/>
    <w:rsid w:val="6D365409"/>
    <w:rsid w:val="6D372F2F"/>
    <w:rsid w:val="6D386416"/>
    <w:rsid w:val="6D392803"/>
    <w:rsid w:val="6D3B47CD"/>
    <w:rsid w:val="6D3E42BD"/>
    <w:rsid w:val="6D401DE3"/>
    <w:rsid w:val="6D415B5B"/>
    <w:rsid w:val="6D434F9D"/>
    <w:rsid w:val="6D45389E"/>
    <w:rsid w:val="6D4564C2"/>
    <w:rsid w:val="6D463172"/>
    <w:rsid w:val="6D4672D9"/>
    <w:rsid w:val="6D4A0EB4"/>
    <w:rsid w:val="6D4A5320"/>
    <w:rsid w:val="6D4C5D1C"/>
    <w:rsid w:val="6D4D62AE"/>
    <w:rsid w:val="6D4F2026"/>
    <w:rsid w:val="6D521B17"/>
    <w:rsid w:val="6D567859"/>
    <w:rsid w:val="6D57537F"/>
    <w:rsid w:val="6D57712D"/>
    <w:rsid w:val="6D5835D1"/>
    <w:rsid w:val="6D591835"/>
    <w:rsid w:val="6D5C2995"/>
    <w:rsid w:val="6D5E1357"/>
    <w:rsid w:val="6D5E4882"/>
    <w:rsid w:val="6D632B13"/>
    <w:rsid w:val="6D66521C"/>
    <w:rsid w:val="6D6830E8"/>
    <w:rsid w:val="6D68758C"/>
    <w:rsid w:val="6D6A50B2"/>
    <w:rsid w:val="6D6D5B35"/>
    <w:rsid w:val="6D6D6950"/>
    <w:rsid w:val="6D6F33E7"/>
    <w:rsid w:val="6D6F76B8"/>
    <w:rsid w:val="6D714693"/>
    <w:rsid w:val="6D72405F"/>
    <w:rsid w:val="6D7952F5"/>
    <w:rsid w:val="6D7B106D"/>
    <w:rsid w:val="6D7B72BF"/>
    <w:rsid w:val="6D7C6B93"/>
    <w:rsid w:val="6D7D3037"/>
    <w:rsid w:val="6D7D4DE5"/>
    <w:rsid w:val="6D800432"/>
    <w:rsid w:val="6D82064E"/>
    <w:rsid w:val="6D857B13"/>
    <w:rsid w:val="6D87733D"/>
    <w:rsid w:val="6D89482E"/>
    <w:rsid w:val="6D896511"/>
    <w:rsid w:val="6D8B6DD7"/>
    <w:rsid w:val="6D8D7A35"/>
    <w:rsid w:val="6D8E6FF3"/>
    <w:rsid w:val="6D8F68C7"/>
    <w:rsid w:val="6D920165"/>
    <w:rsid w:val="6D934609"/>
    <w:rsid w:val="6D9411D8"/>
    <w:rsid w:val="6D967C55"/>
    <w:rsid w:val="6D9739CD"/>
    <w:rsid w:val="6D9B04B1"/>
    <w:rsid w:val="6D9B34BE"/>
    <w:rsid w:val="6D9B526C"/>
    <w:rsid w:val="6D9C0FE4"/>
    <w:rsid w:val="6DA36865"/>
    <w:rsid w:val="6DA560EA"/>
    <w:rsid w:val="6DAA1953"/>
    <w:rsid w:val="6DAA3A37"/>
    <w:rsid w:val="6DAA54AF"/>
    <w:rsid w:val="6DAC1227"/>
    <w:rsid w:val="6DAC7479"/>
    <w:rsid w:val="6DAD31F1"/>
    <w:rsid w:val="6DAE1443"/>
    <w:rsid w:val="6DAF0D17"/>
    <w:rsid w:val="6DAF6549"/>
    <w:rsid w:val="6DB079B5"/>
    <w:rsid w:val="6DB225B5"/>
    <w:rsid w:val="6DB602F7"/>
    <w:rsid w:val="6DB63E53"/>
    <w:rsid w:val="6DB77BCC"/>
    <w:rsid w:val="6DB93944"/>
    <w:rsid w:val="6DBB3B60"/>
    <w:rsid w:val="6DBD1347"/>
    <w:rsid w:val="6DBE0F5A"/>
    <w:rsid w:val="6DBE71AC"/>
    <w:rsid w:val="6DC01176"/>
    <w:rsid w:val="6DC074CE"/>
    <w:rsid w:val="6DC5053A"/>
    <w:rsid w:val="6DC51E05"/>
    <w:rsid w:val="6DCD6F00"/>
    <w:rsid w:val="6DCE2F61"/>
    <w:rsid w:val="6DCF3167"/>
    <w:rsid w:val="6DCF760B"/>
    <w:rsid w:val="6DD07BB4"/>
    <w:rsid w:val="6DD16EDF"/>
    <w:rsid w:val="6DD30EA9"/>
    <w:rsid w:val="6DD467A6"/>
    <w:rsid w:val="6DD469CF"/>
    <w:rsid w:val="6DD8026E"/>
    <w:rsid w:val="6DD93FE6"/>
    <w:rsid w:val="6DDB1B0C"/>
    <w:rsid w:val="6DDB40D5"/>
    <w:rsid w:val="6DDB7D5E"/>
    <w:rsid w:val="6DE10FA7"/>
    <w:rsid w:val="6DE309C1"/>
    <w:rsid w:val="6DE32D5F"/>
    <w:rsid w:val="6DE76703"/>
    <w:rsid w:val="6DE85FD7"/>
    <w:rsid w:val="6DEC1F6B"/>
    <w:rsid w:val="6DEC3D19"/>
    <w:rsid w:val="6DEE183F"/>
    <w:rsid w:val="6DF10DB9"/>
    <w:rsid w:val="6DF130DE"/>
    <w:rsid w:val="6DF350A8"/>
    <w:rsid w:val="6DF606F4"/>
    <w:rsid w:val="6DF826BE"/>
    <w:rsid w:val="6DFB0400"/>
    <w:rsid w:val="6DFD1A82"/>
    <w:rsid w:val="6E001573"/>
    <w:rsid w:val="6E005A16"/>
    <w:rsid w:val="6E041063"/>
    <w:rsid w:val="6E056B89"/>
    <w:rsid w:val="6E070B53"/>
    <w:rsid w:val="6E0B0643"/>
    <w:rsid w:val="6E0F17B6"/>
    <w:rsid w:val="6E105C5A"/>
    <w:rsid w:val="6E11552E"/>
    <w:rsid w:val="6E140BA5"/>
    <w:rsid w:val="6E14501E"/>
    <w:rsid w:val="6E182D60"/>
    <w:rsid w:val="6E1868BC"/>
    <w:rsid w:val="6E1A0886"/>
    <w:rsid w:val="6E1B015A"/>
    <w:rsid w:val="6E1B63AC"/>
    <w:rsid w:val="6E1D3ED3"/>
    <w:rsid w:val="6E2214E9"/>
    <w:rsid w:val="6E2216B8"/>
    <w:rsid w:val="6E241705"/>
    <w:rsid w:val="6E26547D"/>
    <w:rsid w:val="6E272FA3"/>
    <w:rsid w:val="6E290AC9"/>
    <w:rsid w:val="6E296D1B"/>
    <w:rsid w:val="6E2A7591"/>
    <w:rsid w:val="6E2C2361"/>
    <w:rsid w:val="6E2E60E0"/>
    <w:rsid w:val="6E3007D7"/>
    <w:rsid w:val="6E3556C0"/>
    <w:rsid w:val="6E391F20"/>
    <w:rsid w:val="6E396833"/>
    <w:rsid w:val="6E3B07FD"/>
    <w:rsid w:val="6E3B25AB"/>
    <w:rsid w:val="6E3F209B"/>
    <w:rsid w:val="6E405E13"/>
    <w:rsid w:val="6E414065"/>
    <w:rsid w:val="6E441C04"/>
    <w:rsid w:val="6E4476B1"/>
    <w:rsid w:val="6E46167B"/>
    <w:rsid w:val="6E4678CD"/>
    <w:rsid w:val="6E492F1A"/>
    <w:rsid w:val="6E4F523E"/>
    <w:rsid w:val="6E5042A8"/>
    <w:rsid w:val="6E531FEA"/>
    <w:rsid w:val="6E533D98"/>
    <w:rsid w:val="6E5518BE"/>
    <w:rsid w:val="6E5729A2"/>
    <w:rsid w:val="6E5813AF"/>
    <w:rsid w:val="6E583A1F"/>
    <w:rsid w:val="6E587601"/>
    <w:rsid w:val="6E5D2ADB"/>
    <w:rsid w:val="6E5E55FD"/>
    <w:rsid w:val="6E5F098F"/>
    <w:rsid w:val="6E622983"/>
    <w:rsid w:val="6E647D53"/>
    <w:rsid w:val="6E661D1D"/>
    <w:rsid w:val="6E663ACB"/>
    <w:rsid w:val="6E6733A0"/>
    <w:rsid w:val="6E697118"/>
    <w:rsid w:val="6E736112"/>
    <w:rsid w:val="6E761835"/>
    <w:rsid w:val="6E774F79"/>
    <w:rsid w:val="6E7837FF"/>
    <w:rsid w:val="6E7855AD"/>
    <w:rsid w:val="6E7A1325"/>
    <w:rsid w:val="6E7F06E9"/>
    <w:rsid w:val="6E7F27D6"/>
    <w:rsid w:val="6E7F693B"/>
    <w:rsid w:val="6E8757F0"/>
    <w:rsid w:val="6E8977BA"/>
    <w:rsid w:val="6E8B1784"/>
    <w:rsid w:val="6E8B52E0"/>
    <w:rsid w:val="6E8E4DD0"/>
    <w:rsid w:val="6E9028F6"/>
    <w:rsid w:val="6E922B12"/>
    <w:rsid w:val="6E9272C6"/>
    <w:rsid w:val="6E9323E7"/>
    <w:rsid w:val="6E990ACC"/>
    <w:rsid w:val="6E9C573F"/>
    <w:rsid w:val="6EA14B04"/>
    <w:rsid w:val="6EA42846"/>
    <w:rsid w:val="6EA463A2"/>
    <w:rsid w:val="6EA6036C"/>
    <w:rsid w:val="6EA63EC8"/>
    <w:rsid w:val="6EA91C0A"/>
    <w:rsid w:val="6EA97E5C"/>
    <w:rsid w:val="6EAA495D"/>
    <w:rsid w:val="6EAB742B"/>
    <w:rsid w:val="6EAE1C55"/>
    <w:rsid w:val="6EAF1E99"/>
    <w:rsid w:val="6EB02F99"/>
    <w:rsid w:val="6EB04C24"/>
    <w:rsid w:val="6EB04D47"/>
    <w:rsid w:val="6EB0558D"/>
    <w:rsid w:val="6EB32A89"/>
    <w:rsid w:val="6EB41E64"/>
    <w:rsid w:val="6EB57B5D"/>
    <w:rsid w:val="6EB760D5"/>
    <w:rsid w:val="6EC46A44"/>
    <w:rsid w:val="6EC6113E"/>
    <w:rsid w:val="6EC84857"/>
    <w:rsid w:val="6EC922AC"/>
    <w:rsid w:val="6EC95E08"/>
    <w:rsid w:val="6EC97476"/>
    <w:rsid w:val="6ECC0AC8"/>
    <w:rsid w:val="6ECE341F"/>
    <w:rsid w:val="6ECF5422"/>
    <w:rsid w:val="6ED22F0F"/>
    <w:rsid w:val="6ED24CBD"/>
    <w:rsid w:val="6ED50C51"/>
    <w:rsid w:val="6ED76ECE"/>
    <w:rsid w:val="6ED8429D"/>
    <w:rsid w:val="6ED924EF"/>
    <w:rsid w:val="6EDF562C"/>
    <w:rsid w:val="6EE36ECA"/>
    <w:rsid w:val="6EEB2223"/>
    <w:rsid w:val="6EED3736"/>
    <w:rsid w:val="6EED5F9B"/>
    <w:rsid w:val="6EEE586F"/>
    <w:rsid w:val="6EEF1D13"/>
    <w:rsid w:val="6EF410D7"/>
    <w:rsid w:val="6EF47329"/>
    <w:rsid w:val="6EF54E4F"/>
    <w:rsid w:val="6EF72976"/>
    <w:rsid w:val="6EF74724"/>
    <w:rsid w:val="6EF75C78"/>
    <w:rsid w:val="6EF92252"/>
    <w:rsid w:val="6EF966EE"/>
    <w:rsid w:val="6EFB6CFF"/>
    <w:rsid w:val="6EFC1D3A"/>
    <w:rsid w:val="6EFF1080"/>
    <w:rsid w:val="6F01172F"/>
    <w:rsid w:val="6F0155A2"/>
    <w:rsid w:val="6F0160FC"/>
    <w:rsid w:val="6F0230C8"/>
    <w:rsid w:val="6F03131A"/>
    <w:rsid w:val="6F03756C"/>
    <w:rsid w:val="6F082DD5"/>
    <w:rsid w:val="6F084B83"/>
    <w:rsid w:val="6F086931"/>
    <w:rsid w:val="6F0B000E"/>
    <w:rsid w:val="6F0D03EB"/>
    <w:rsid w:val="6F0E6BF2"/>
    <w:rsid w:val="6F0F5F11"/>
    <w:rsid w:val="6F152942"/>
    <w:rsid w:val="6F152DFC"/>
    <w:rsid w:val="6F170E2C"/>
    <w:rsid w:val="6F173018"/>
    <w:rsid w:val="6F196D90"/>
    <w:rsid w:val="6F197B82"/>
    <w:rsid w:val="6F1A48B6"/>
    <w:rsid w:val="6F1A6664"/>
    <w:rsid w:val="6F1C670B"/>
    <w:rsid w:val="6F213326"/>
    <w:rsid w:val="6F2614AD"/>
    <w:rsid w:val="6F2C5FDF"/>
    <w:rsid w:val="6F2F6FED"/>
    <w:rsid w:val="6F3239AE"/>
    <w:rsid w:val="6F327E52"/>
    <w:rsid w:val="6F355CC6"/>
    <w:rsid w:val="6F370FC4"/>
    <w:rsid w:val="6F3911E0"/>
    <w:rsid w:val="6F394D3C"/>
    <w:rsid w:val="6F3A22A7"/>
    <w:rsid w:val="6F3C2A7E"/>
    <w:rsid w:val="6F3C482C"/>
    <w:rsid w:val="6F3E040D"/>
    <w:rsid w:val="6F3E05A4"/>
    <w:rsid w:val="6F3F189D"/>
    <w:rsid w:val="6F4162E7"/>
    <w:rsid w:val="6F4436E1"/>
    <w:rsid w:val="6F451933"/>
    <w:rsid w:val="6F45287E"/>
    <w:rsid w:val="6F4638FD"/>
    <w:rsid w:val="6F467459"/>
    <w:rsid w:val="6F4B4A6F"/>
    <w:rsid w:val="6F4C7EB2"/>
    <w:rsid w:val="6F4D07E7"/>
    <w:rsid w:val="6F4D6A39"/>
    <w:rsid w:val="6F4F4560"/>
    <w:rsid w:val="6F502086"/>
    <w:rsid w:val="6F571666"/>
    <w:rsid w:val="6F5726F4"/>
    <w:rsid w:val="6F573414"/>
    <w:rsid w:val="6F5953DE"/>
    <w:rsid w:val="6F5C6C7D"/>
    <w:rsid w:val="6F5D4E25"/>
    <w:rsid w:val="6F5E47A3"/>
    <w:rsid w:val="6F5F1413"/>
    <w:rsid w:val="6F5F5F21"/>
    <w:rsid w:val="6F600666"/>
    <w:rsid w:val="6F6049BF"/>
    <w:rsid w:val="6F60676D"/>
    <w:rsid w:val="6F6552CF"/>
    <w:rsid w:val="6F655B31"/>
    <w:rsid w:val="6F6618A9"/>
    <w:rsid w:val="6F667AFB"/>
    <w:rsid w:val="6F68200A"/>
    <w:rsid w:val="6F6B1FFA"/>
    <w:rsid w:val="6F6D49E6"/>
    <w:rsid w:val="6F6D70DC"/>
    <w:rsid w:val="6F6E74EB"/>
    <w:rsid w:val="6F6F4C02"/>
    <w:rsid w:val="6F71097A"/>
    <w:rsid w:val="6F725C8E"/>
    <w:rsid w:val="6F745D74"/>
    <w:rsid w:val="6F767D3E"/>
    <w:rsid w:val="6F7B35A7"/>
    <w:rsid w:val="6F7C2E7B"/>
    <w:rsid w:val="6F7C5EAC"/>
    <w:rsid w:val="6F7C731F"/>
    <w:rsid w:val="6F8001BF"/>
    <w:rsid w:val="6F814935"/>
    <w:rsid w:val="6F821E17"/>
    <w:rsid w:val="6F8561D3"/>
    <w:rsid w:val="6F857F81"/>
    <w:rsid w:val="6F881522"/>
    <w:rsid w:val="6F8940F3"/>
    <w:rsid w:val="6F8A37EA"/>
    <w:rsid w:val="6F8A5598"/>
    <w:rsid w:val="6F9666F7"/>
    <w:rsid w:val="6F977CB5"/>
    <w:rsid w:val="6F984159"/>
    <w:rsid w:val="6F9957DB"/>
    <w:rsid w:val="6F9C54FA"/>
    <w:rsid w:val="6FA128E1"/>
    <w:rsid w:val="6FA32AFD"/>
    <w:rsid w:val="6FA50623"/>
    <w:rsid w:val="6FAA3E8C"/>
    <w:rsid w:val="6FAB550E"/>
    <w:rsid w:val="6FAC19B2"/>
    <w:rsid w:val="6FAC7C04"/>
    <w:rsid w:val="6FAD1286"/>
    <w:rsid w:val="6FAE6A26"/>
    <w:rsid w:val="6FB6638D"/>
    <w:rsid w:val="6FB72105"/>
    <w:rsid w:val="6FB92EDC"/>
    <w:rsid w:val="6FB95E7D"/>
    <w:rsid w:val="6FB97C2B"/>
    <w:rsid w:val="6FBB39A3"/>
    <w:rsid w:val="6FBE7937"/>
    <w:rsid w:val="6FC00FB9"/>
    <w:rsid w:val="6FC14E5C"/>
    <w:rsid w:val="6FC50CC6"/>
    <w:rsid w:val="6FC52A74"/>
    <w:rsid w:val="6FC62348"/>
    <w:rsid w:val="6FCD36D6"/>
    <w:rsid w:val="6FCE7B7A"/>
    <w:rsid w:val="6FD1766A"/>
    <w:rsid w:val="6FE078AE"/>
    <w:rsid w:val="6FE32EFA"/>
    <w:rsid w:val="6FE70C3C"/>
    <w:rsid w:val="6FE93893"/>
    <w:rsid w:val="6FF15617"/>
    <w:rsid w:val="6FF3138F"/>
    <w:rsid w:val="6FF45107"/>
    <w:rsid w:val="6FF64CC5"/>
    <w:rsid w:val="6FF869A5"/>
    <w:rsid w:val="6FFA1CBF"/>
    <w:rsid w:val="6FFD045F"/>
    <w:rsid w:val="70001CFE"/>
    <w:rsid w:val="7000585A"/>
    <w:rsid w:val="70074E3A"/>
    <w:rsid w:val="700C06A3"/>
    <w:rsid w:val="700E6579"/>
    <w:rsid w:val="700F0193"/>
    <w:rsid w:val="700F1F41"/>
    <w:rsid w:val="70130316"/>
    <w:rsid w:val="701A12E5"/>
    <w:rsid w:val="701B6B38"/>
    <w:rsid w:val="701D28B0"/>
    <w:rsid w:val="701E606E"/>
    <w:rsid w:val="701F03D6"/>
    <w:rsid w:val="7020098E"/>
    <w:rsid w:val="702552C0"/>
    <w:rsid w:val="70291255"/>
    <w:rsid w:val="702A6D7B"/>
    <w:rsid w:val="702E0619"/>
    <w:rsid w:val="702F4A95"/>
    <w:rsid w:val="703025E3"/>
    <w:rsid w:val="70312AF6"/>
    <w:rsid w:val="70343755"/>
    <w:rsid w:val="70381498"/>
    <w:rsid w:val="703B4AE4"/>
    <w:rsid w:val="704020FA"/>
    <w:rsid w:val="7040659E"/>
    <w:rsid w:val="70425E72"/>
    <w:rsid w:val="70433998"/>
    <w:rsid w:val="70441BEA"/>
    <w:rsid w:val="70467B14"/>
    <w:rsid w:val="704C6CF1"/>
    <w:rsid w:val="704E4817"/>
    <w:rsid w:val="705160B5"/>
    <w:rsid w:val="70521FBA"/>
    <w:rsid w:val="70531535"/>
    <w:rsid w:val="70545BA6"/>
    <w:rsid w:val="70580DD0"/>
    <w:rsid w:val="705B0CE2"/>
    <w:rsid w:val="705B5186"/>
    <w:rsid w:val="705F07D2"/>
    <w:rsid w:val="70600848"/>
    <w:rsid w:val="706109EE"/>
    <w:rsid w:val="70625045"/>
    <w:rsid w:val="70657DB3"/>
    <w:rsid w:val="706978A3"/>
    <w:rsid w:val="706F478E"/>
    <w:rsid w:val="70716758"/>
    <w:rsid w:val="707324D0"/>
    <w:rsid w:val="70756248"/>
    <w:rsid w:val="70763D6E"/>
    <w:rsid w:val="70794CD1"/>
    <w:rsid w:val="707A385E"/>
    <w:rsid w:val="707B75D6"/>
    <w:rsid w:val="707F70C6"/>
    <w:rsid w:val="708244C1"/>
    <w:rsid w:val="70845005"/>
    <w:rsid w:val="70853FB1"/>
    <w:rsid w:val="70857DED"/>
    <w:rsid w:val="70862203"/>
    <w:rsid w:val="70875F7B"/>
    <w:rsid w:val="708A60AD"/>
    <w:rsid w:val="708C17E3"/>
    <w:rsid w:val="708C533F"/>
    <w:rsid w:val="708E2E66"/>
    <w:rsid w:val="708E730A"/>
    <w:rsid w:val="70910BA8"/>
    <w:rsid w:val="70926DFA"/>
    <w:rsid w:val="70934920"/>
    <w:rsid w:val="709A7A5C"/>
    <w:rsid w:val="709B37D5"/>
    <w:rsid w:val="709D12FB"/>
    <w:rsid w:val="709D754D"/>
    <w:rsid w:val="70A00DEB"/>
    <w:rsid w:val="70A1528F"/>
    <w:rsid w:val="70A32137"/>
    <w:rsid w:val="70A408DB"/>
    <w:rsid w:val="70A66401"/>
    <w:rsid w:val="70A705B6"/>
    <w:rsid w:val="70AC59E2"/>
    <w:rsid w:val="70AD3C34"/>
    <w:rsid w:val="70AE175A"/>
    <w:rsid w:val="70AE52B6"/>
    <w:rsid w:val="70B329FD"/>
    <w:rsid w:val="70B54896"/>
    <w:rsid w:val="70B56644"/>
    <w:rsid w:val="70BA3C5B"/>
    <w:rsid w:val="70BB79D3"/>
    <w:rsid w:val="70BF0D6E"/>
    <w:rsid w:val="70BF48E7"/>
    <w:rsid w:val="70C1323B"/>
    <w:rsid w:val="70C355DB"/>
    <w:rsid w:val="70C60851"/>
    <w:rsid w:val="70C66AA3"/>
    <w:rsid w:val="70C8281B"/>
    <w:rsid w:val="70C96594"/>
    <w:rsid w:val="70CD22D0"/>
    <w:rsid w:val="70CD7E32"/>
    <w:rsid w:val="70CE3BAA"/>
    <w:rsid w:val="70CE4EA1"/>
    <w:rsid w:val="70D30D13"/>
    <w:rsid w:val="70D311C0"/>
    <w:rsid w:val="70D32F6E"/>
    <w:rsid w:val="70D34D1C"/>
    <w:rsid w:val="70D50A94"/>
    <w:rsid w:val="70D56CE6"/>
    <w:rsid w:val="70D72A5F"/>
    <w:rsid w:val="70DA254F"/>
    <w:rsid w:val="70DD5B9B"/>
    <w:rsid w:val="70DF1913"/>
    <w:rsid w:val="70DF7B65"/>
    <w:rsid w:val="70E01DD1"/>
    <w:rsid w:val="70E17439"/>
    <w:rsid w:val="70E25AC9"/>
    <w:rsid w:val="70E909E4"/>
    <w:rsid w:val="70EB02B8"/>
    <w:rsid w:val="70F161E5"/>
    <w:rsid w:val="70F21646"/>
    <w:rsid w:val="70F73101"/>
    <w:rsid w:val="70F7553D"/>
    <w:rsid w:val="70F96E79"/>
    <w:rsid w:val="70FA674D"/>
    <w:rsid w:val="70FB3C67"/>
    <w:rsid w:val="70FC4273"/>
    <w:rsid w:val="70FE0AA4"/>
    <w:rsid w:val="71033AE0"/>
    <w:rsid w:val="71080E6A"/>
    <w:rsid w:val="710B2708"/>
    <w:rsid w:val="710C022E"/>
    <w:rsid w:val="710F044A"/>
    <w:rsid w:val="710F68B9"/>
    <w:rsid w:val="71123A97"/>
    <w:rsid w:val="71146B51"/>
    <w:rsid w:val="71147230"/>
    <w:rsid w:val="7115142F"/>
    <w:rsid w:val="711517D9"/>
    <w:rsid w:val="71161C74"/>
    <w:rsid w:val="71184E25"/>
    <w:rsid w:val="711F4406"/>
    <w:rsid w:val="7121017E"/>
    <w:rsid w:val="71223DAF"/>
    <w:rsid w:val="71257C6E"/>
    <w:rsid w:val="71267542"/>
    <w:rsid w:val="71285068"/>
    <w:rsid w:val="71297032"/>
    <w:rsid w:val="712B442D"/>
    <w:rsid w:val="712D08D1"/>
    <w:rsid w:val="712F289B"/>
    <w:rsid w:val="713003C1"/>
    <w:rsid w:val="713524B5"/>
    <w:rsid w:val="71353C29"/>
    <w:rsid w:val="713559D7"/>
    <w:rsid w:val="713954C7"/>
    <w:rsid w:val="713A4D9B"/>
    <w:rsid w:val="713E2ADE"/>
    <w:rsid w:val="713E7CD2"/>
    <w:rsid w:val="7140060A"/>
    <w:rsid w:val="71417579"/>
    <w:rsid w:val="714300F4"/>
    <w:rsid w:val="71452E3A"/>
    <w:rsid w:val="71453E6C"/>
    <w:rsid w:val="71463740"/>
    <w:rsid w:val="71470D84"/>
    <w:rsid w:val="714B0D57"/>
    <w:rsid w:val="714B51FB"/>
    <w:rsid w:val="714F4CEB"/>
    <w:rsid w:val="715220E5"/>
    <w:rsid w:val="71542301"/>
    <w:rsid w:val="71557E27"/>
    <w:rsid w:val="715776FB"/>
    <w:rsid w:val="71597165"/>
    <w:rsid w:val="715A543E"/>
    <w:rsid w:val="715C7408"/>
    <w:rsid w:val="715C78FB"/>
    <w:rsid w:val="715E4185"/>
    <w:rsid w:val="715E4F2E"/>
    <w:rsid w:val="715F2A54"/>
    <w:rsid w:val="715F4802"/>
    <w:rsid w:val="716342F2"/>
    <w:rsid w:val="716562BC"/>
    <w:rsid w:val="71665B90"/>
    <w:rsid w:val="71685DAD"/>
    <w:rsid w:val="7169182D"/>
    <w:rsid w:val="7169742F"/>
    <w:rsid w:val="716D5171"/>
    <w:rsid w:val="716D6F1F"/>
    <w:rsid w:val="71706A0F"/>
    <w:rsid w:val="71722787"/>
    <w:rsid w:val="717256AD"/>
    <w:rsid w:val="71736E55"/>
    <w:rsid w:val="717464FF"/>
    <w:rsid w:val="71752058"/>
    <w:rsid w:val="71777D9E"/>
    <w:rsid w:val="717877CD"/>
    <w:rsid w:val="717B5AE0"/>
    <w:rsid w:val="717C3606"/>
    <w:rsid w:val="717C53B4"/>
    <w:rsid w:val="717F6C52"/>
    <w:rsid w:val="71810C1C"/>
    <w:rsid w:val="71842CC2"/>
    <w:rsid w:val="71844269"/>
    <w:rsid w:val="718544F1"/>
    <w:rsid w:val="718A7AD1"/>
    <w:rsid w:val="718C1A9B"/>
    <w:rsid w:val="718D136F"/>
    <w:rsid w:val="718D5813"/>
    <w:rsid w:val="718F158B"/>
    <w:rsid w:val="718F3339"/>
    <w:rsid w:val="718F6E95"/>
    <w:rsid w:val="71900E5F"/>
    <w:rsid w:val="71902C0D"/>
    <w:rsid w:val="71970440"/>
    <w:rsid w:val="7197472D"/>
    <w:rsid w:val="71976406"/>
    <w:rsid w:val="719808DD"/>
    <w:rsid w:val="71991D6D"/>
    <w:rsid w:val="719B1CDE"/>
    <w:rsid w:val="71A16BC9"/>
    <w:rsid w:val="71A41A51"/>
    <w:rsid w:val="71A573C9"/>
    <w:rsid w:val="71A861A9"/>
    <w:rsid w:val="71B0505E"/>
    <w:rsid w:val="71B07D16"/>
    <w:rsid w:val="71B07FF4"/>
    <w:rsid w:val="71B20DD6"/>
    <w:rsid w:val="71B42DA0"/>
    <w:rsid w:val="71B7463E"/>
    <w:rsid w:val="71BB412E"/>
    <w:rsid w:val="71BB42A9"/>
    <w:rsid w:val="71BB5EDC"/>
    <w:rsid w:val="71BC6597"/>
    <w:rsid w:val="71BC7EA6"/>
    <w:rsid w:val="71C32FE3"/>
    <w:rsid w:val="71CA4371"/>
    <w:rsid w:val="71CC633B"/>
    <w:rsid w:val="71CD7D2C"/>
    <w:rsid w:val="71CF5FA5"/>
    <w:rsid w:val="71CF7BDA"/>
    <w:rsid w:val="71D0732A"/>
    <w:rsid w:val="71D23226"/>
    <w:rsid w:val="71D92806"/>
    <w:rsid w:val="71DB657E"/>
    <w:rsid w:val="71DC5E53"/>
    <w:rsid w:val="71DE2066"/>
    <w:rsid w:val="71DE2427"/>
    <w:rsid w:val="71DE29E8"/>
    <w:rsid w:val="71DF72FF"/>
    <w:rsid w:val="71E03B95"/>
    <w:rsid w:val="71E05943"/>
    <w:rsid w:val="71E116BB"/>
    <w:rsid w:val="71E74F23"/>
    <w:rsid w:val="71E95523"/>
    <w:rsid w:val="71EA49F7"/>
    <w:rsid w:val="71EA4A14"/>
    <w:rsid w:val="71EA6A44"/>
    <w:rsid w:val="71ED62B2"/>
    <w:rsid w:val="71EF3DD8"/>
    <w:rsid w:val="71F65166"/>
    <w:rsid w:val="71F66F14"/>
    <w:rsid w:val="71F80EDE"/>
    <w:rsid w:val="71F907B3"/>
    <w:rsid w:val="71F94C57"/>
    <w:rsid w:val="71FC052E"/>
    <w:rsid w:val="71FD71D2"/>
    <w:rsid w:val="71FE04BF"/>
    <w:rsid w:val="72037883"/>
    <w:rsid w:val="72062ED0"/>
    <w:rsid w:val="720A152D"/>
    <w:rsid w:val="720B79E9"/>
    <w:rsid w:val="720C6738"/>
    <w:rsid w:val="720D24B0"/>
    <w:rsid w:val="720F25EE"/>
    <w:rsid w:val="721101F2"/>
    <w:rsid w:val="72127391"/>
    <w:rsid w:val="72127AC6"/>
    <w:rsid w:val="72130821"/>
    <w:rsid w:val="72135D18"/>
    <w:rsid w:val="721455EC"/>
    <w:rsid w:val="72190832"/>
    <w:rsid w:val="72190B9D"/>
    <w:rsid w:val="721970A7"/>
    <w:rsid w:val="721B697B"/>
    <w:rsid w:val="721D26F3"/>
    <w:rsid w:val="721D6B97"/>
    <w:rsid w:val="721E646B"/>
    <w:rsid w:val="721F1D01"/>
    <w:rsid w:val="721F290F"/>
    <w:rsid w:val="721F5E98"/>
    <w:rsid w:val="722021E3"/>
    <w:rsid w:val="72225F5B"/>
    <w:rsid w:val="7222649A"/>
    <w:rsid w:val="72227D09"/>
    <w:rsid w:val="722515A8"/>
    <w:rsid w:val="72255A4C"/>
    <w:rsid w:val="72273572"/>
    <w:rsid w:val="722872EA"/>
    <w:rsid w:val="7229553C"/>
    <w:rsid w:val="722A3FD9"/>
    <w:rsid w:val="722E4900"/>
    <w:rsid w:val="72323CC5"/>
    <w:rsid w:val="72331F17"/>
    <w:rsid w:val="72345C8F"/>
    <w:rsid w:val="72347A3D"/>
    <w:rsid w:val="72363BBA"/>
    <w:rsid w:val="7238577F"/>
    <w:rsid w:val="723B3C37"/>
    <w:rsid w:val="723D4B43"/>
    <w:rsid w:val="723F6B0D"/>
    <w:rsid w:val="724539F8"/>
    <w:rsid w:val="72477710"/>
    <w:rsid w:val="724B6A51"/>
    <w:rsid w:val="724D14BA"/>
    <w:rsid w:val="724F4877"/>
    <w:rsid w:val="72511297"/>
    <w:rsid w:val="725325B9"/>
    <w:rsid w:val="72536115"/>
    <w:rsid w:val="725400DF"/>
    <w:rsid w:val="72541E8D"/>
    <w:rsid w:val="725620A9"/>
    <w:rsid w:val="72570333"/>
    <w:rsid w:val="72587BCF"/>
    <w:rsid w:val="725C04A6"/>
    <w:rsid w:val="725D6F93"/>
    <w:rsid w:val="72600832"/>
    <w:rsid w:val="72602A6B"/>
    <w:rsid w:val="726227FC"/>
    <w:rsid w:val="72641377"/>
    <w:rsid w:val="726522EC"/>
    <w:rsid w:val="72655E48"/>
    <w:rsid w:val="726C71D7"/>
    <w:rsid w:val="727352F0"/>
    <w:rsid w:val="727442DD"/>
    <w:rsid w:val="72750781"/>
    <w:rsid w:val="72785B7B"/>
    <w:rsid w:val="727A7B45"/>
    <w:rsid w:val="727D13E4"/>
    <w:rsid w:val="727D38B6"/>
    <w:rsid w:val="727D5888"/>
    <w:rsid w:val="727D7636"/>
    <w:rsid w:val="727D77DF"/>
    <w:rsid w:val="72802C82"/>
    <w:rsid w:val="72842772"/>
    <w:rsid w:val="72897D89"/>
    <w:rsid w:val="728C7879"/>
    <w:rsid w:val="72914E8F"/>
    <w:rsid w:val="729329B5"/>
    <w:rsid w:val="7294672D"/>
    <w:rsid w:val="7295497F"/>
    <w:rsid w:val="729D3834"/>
    <w:rsid w:val="729E30C9"/>
    <w:rsid w:val="729F57FE"/>
    <w:rsid w:val="72A03324"/>
    <w:rsid w:val="72A050D2"/>
    <w:rsid w:val="72A526E9"/>
    <w:rsid w:val="72A80866"/>
    <w:rsid w:val="72AB41A3"/>
    <w:rsid w:val="72AB5F51"/>
    <w:rsid w:val="72AC1CC9"/>
    <w:rsid w:val="72AD3BCA"/>
    <w:rsid w:val="72B03567"/>
    <w:rsid w:val="72B22A09"/>
    <w:rsid w:val="72B56DCF"/>
    <w:rsid w:val="72B648F6"/>
    <w:rsid w:val="72B700B6"/>
    <w:rsid w:val="72B837DC"/>
    <w:rsid w:val="72BB1F0C"/>
    <w:rsid w:val="72BB3CBA"/>
    <w:rsid w:val="72BF19FC"/>
    <w:rsid w:val="72BF7C4E"/>
    <w:rsid w:val="72C214EC"/>
    <w:rsid w:val="72C2773E"/>
    <w:rsid w:val="72C47013"/>
    <w:rsid w:val="72C708B1"/>
    <w:rsid w:val="72CA214F"/>
    <w:rsid w:val="72CC4119"/>
    <w:rsid w:val="72CE7E91"/>
    <w:rsid w:val="72D11304"/>
    <w:rsid w:val="72D1172F"/>
    <w:rsid w:val="72D354A8"/>
    <w:rsid w:val="72D37256"/>
    <w:rsid w:val="72D52FCE"/>
    <w:rsid w:val="72D54D7C"/>
    <w:rsid w:val="72D80D10"/>
    <w:rsid w:val="72DA4A88"/>
    <w:rsid w:val="72DB435C"/>
    <w:rsid w:val="72DE56EC"/>
    <w:rsid w:val="72DF3E4C"/>
    <w:rsid w:val="72DF5BFA"/>
    <w:rsid w:val="72E17BC5"/>
    <w:rsid w:val="72E27499"/>
    <w:rsid w:val="72E456BD"/>
    <w:rsid w:val="72E6342D"/>
    <w:rsid w:val="72E66F89"/>
    <w:rsid w:val="72EB27F1"/>
    <w:rsid w:val="72EC0317"/>
    <w:rsid w:val="72EC6569"/>
    <w:rsid w:val="72F07E08"/>
    <w:rsid w:val="72F1592E"/>
    <w:rsid w:val="72F53670"/>
    <w:rsid w:val="72FA6ED8"/>
    <w:rsid w:val="72FC49FE"/>
    <w:rsid w:val="72FF629D"/>
    <w:rsid w:val="73013DC3"/>
    <w:rsid w:val="7306762B"/>
    <w:rsid w:val="730B0AF9"/>
    <w:rsid w:val="730B4709"/>
    <w:rsid w:val="730B69EF"/>
    <w:rsid w:val="730C4186"/>
    <w:rsid w:val="730C5BD9"/>
    <w:rsid w:val="730E028E"/>
    <w:rsid w:val="730E0AEB"/>
    <w:rsid w:val="73137F9A"/>
    <w:rsid w:val="73171838"/>
    <w:rsid w:val="731735E6"/>
    <w:rsid w:val="731A1328"/>
    <w:rsid w:val="731A30D6"/>
    <w:rsid w:val="731A4E85"/>
    <w:rsid w:val="731C29AB"/>
    <w:rsid w:val="731D4975"/>
    <w:rsid w:val="73227DBF"/>
    <w:rsid w:val="7329156C"/>
    <w:rsid w:val="732B52E4"/>
    <w:rsid w:val="732B7092"/>
    <w:rsid w:val="732C4748"/>
    <w:rsid w:val="732C6966"/>
    <w:rsid w:val="732D2E0A"/>
    <w:rsid w:val="733022B7"/>
    <w:rsid w:val="733777E5"/>
    <w:rsid w:val="73385580"/>
    <w:rsid w:val="73391977"/>
    <w:rsid w:val="733C4DFB"/>
    <w:rsid w:val="733D0B73"/>
    <w:rsid w:val="733F2B3D"/>
    <w:rsid w:val="7341102A"/>
    <w:rsid w:val="73411796"/>
    <w:rsid w:val="734168B5"/>
    <w:rsid w:val="7343262D"/>
    <w:rsid w:val="734343DB"/>
    <w:rsid w:val="73471D8B"/>
    <w:rsid w:val="734819F2"/>
    <w:rsid w:val="734C302C"/>
    <w:rsid w:val="734F0FD2"/>
    <w:rsid w:val="73506AF8"/>
    <w:rsid w:val="73520AC2"/>
    <w:rsid w:val="735241C8"/>
    <w:rsid w:val="735759D8"/>
    <w:rsid w:val="73577E87"/>
    <w:rsid w:val="73591E51"/>
    <w:rsid w:val="735A7977"/>
    <w:rsid w:val="735C36EF"/>
    <w:rsid w:val="735E1215"/>
    <w:rsid w:val="735F6D3B"/>
    <w:rsid w:val="73600C29"/>
    <w:rsid w:val="73610D05"/>
    <w:rsid w:val="736373D2"/>
    <w:rsid w:val="73661E78"/>
    <w:rsid w:val="73683C95"/>
    <w:rsid w:val="736B0572"/>
    <w:rsid w:val="736E51D0"/>
    <w:rsid w:val="736E6F7E"/>
    <w:rsid w:val="736F3422"/>
    <w:rsid w:val="73702CF6"/>
    <w:rsid w:val="737427E7"/>
    <w:rsid w:val="73751A6D"/>
    <w:rsid w:val="73770529"/>
    <w:rsid w:val="7379604F"/>
    <w:rsid w:val="737974C3"/>
    <w:rsid w:val="737A4969"/>
    <w:rsid w:val="737C5B3F"/>
    <w:rsid w:val="737F73DD"/>
    <w:rsid w:val="73835CCC"/>
    <w:rsid w:val="73836ECE"/>
    <w:rsid w:val="738549F4"/>
    <w:rsid w:val="738642C8"/>
    <w:rsid w:val="738B18DE"/>
    <w:rsid w:val="738B7B30"/>
    <w:rsid w:val="738D66D7"/>
    <w:rsid w:val="73920EBF"/>
    <w:rsid w:val="73924331"/>
    <w:rsid w:val="739369E5"/>
    <w:rsid w:val="73966C01"/>
    <w:rsid w:val="739764D5"/>
    <w:rsid w:val="739A7D73"/>
    <w:rsid w:val="73A155A6"/>
    <w:rsid w:val="73A17E6A"/>
    <w:rsid w:val="73A72F36"/>
    <w:rsid w:val="73A82490"/>
    <w:rsid w:val="73AD0F38"/>
    <w:rsid w:val="73B13A3B"/>
    <w:rsid w:val="73B2330F"/>
    <w:rsid w:val="73B52DFF"/>
    <w:rsid w:val="73BC418E"/>
    <w:rsid w:val="73BD6F62"/>
    <w:rsid w:val="73BF5E1A"/>
    <w:rsid w:val="73C117A4"/>
    <w:rsid w:val="73C254AB"/>
    <w:rsid w:val="73C31078"/>
    <w:rsid w:val="73C3376E"/>
    <w:rsid w:val="73C80D84"/>
    <w:rsid w:val="73CA0659"/>
    <w:rsid w:val="73CC2623"/>
    <w:rsid w:val="73CC2F4C"/>
    <w:rsid w:val="73CD639B"/>
    <w:rsid w:val="73CF3EC1"/>
    <w:rsid w:val="73D019E7"/>
    <w:rsid w:val="73D43285"/>
    <w:rsid w:val="73D47729"/>
    <w:rsid w:val="73D70FC8"/>
    <w:rsid w:val="73E05DD1"/>
    <w:rsid w:val="73E13B16"/>
    <w:rsid w:val="73E16D57"/>
    <w:rsid w:val="73E536E4"/>
    <w:rsid w:val="73EA0CFB"/>
    <w:rsid w:val="73EE0AE6"/>
    <w:rsid w:val="73EF4563"/>
    <w:rsid w:val="73F05BE5"/>
    <w:rsid w:val="73F30869"/>
    <w:rsid w:val="73F43927"/>
    <w:rsid w:val="73F44B5D"/>
    <w:rsid w:val="73F7480A"/>
    <w:rsid w:val="73F76F74"/>
    <w:rsid w:val="73FC27DC"/>
    <w:rsid w:val="73FE1B82"/>
    <w:rsid w:val="73FE6554"/>
    <w:rsid w:val="7400407A"/>
    <w:rsid w:val="74023857"/>
    <w:rsid w:val="74026044"/>
    <w:rsid w:val="740578E3"/>
    <w:rsid w:val="74085625"/>
    <w:rsid w:val="740A314B"/>
    <w:rsid w:val="740D6797"/>
    <w:rsid w:val="740F7524"/>
    <w:rsid w:val="741144D9"/>
    <w:rsid w:val="74116287"/>
    <w:rsid w:val="74141576"/>
    <w:rsid w:val="74145D78"/>
    <w:rsid w:val="74161AF0"/>
    <w:rsid w:val="74181387"/>
    <w:rsid w:val="7419338E"/>
    <w:rsid w:val="7419513C"/>
    <w:rsid w:val="741B7106"/>
    <w:rsid w:val="741B7D08"/>
    <w:rsid w:val="741C1198"/>
    <w:rsid w:val="7420296E"/>
    <w:rsid w:val="742064CB"/>
    <w:rsid w:val="74213FF1"/>
    <w:rsid w:val="74251D33"/>
    <w:rsid w:val="74253AE1"/>
    <w:rsid w:val="74273556"/>
    <w:rsid w:val="7428537F"/>
    <w:rsid w:val="742A7349"/>
    <w:rsid w:val="742C1313"/>
    <w:rsid w:val="742D6E39"/>
    <w:rsid w:val="742F4960"/>
    <w:rsid w:val="743106D8"/>
    <w:rsid w:val="7431692A"/>
    <w:rsid w:val="743261FE"/>
    <w:rsid w:val="74343D24"/>
    <w:rsid w:val="7434641A"/>
    <w:rsid w:val="74363F40"/>
    <w:rsid w:val="74365CEE"/>
    <w:rsid w:val="74373814"/>
    <w:rsid w:val="74387230"/>
    <w:rsid w:val="74387CB8"/>
    <w:rsid w:val="743B50B2"/>
    <w:rsid w:val="743B72F2"/>
    <w:rsid w:val="743D52CE"/>
    <w:rsid w:val="743F4532"/>
    <w:rsid w:val="744228E5"/>
    <w:rsid w:val="7443040B"/>
    <w:rsid w:val="744523D5"/>
    <w:rsid w:val="74485A21"/>
    <w:rsid w:val="744877CF"/>
    <w:rsid w:val="744A79EB"/>
    <w:rsid w:val="744D4DE6"/>
    <w:rsid w:val="7453624B"/>
    <w:rsid w:val="74542618"/>
    <w:rsid w:val="745B519B"/>
    <w:rsid w:val="745B5755"/>
    <w:rsid w:val="746049BA"/>
    <w:rsid w:val="746B4C90"/>
    <w:rsid w:val="746C5BB4"/>
    <w:rsid w:val="746D7236"/>
    <w:rsid w:val="746E36DA"/>
    <w:rsid w:val="746F1200"/>
    <w:rsid w:val="746F2FAE"/>
    <w:rsid w:val="747131CA"/>
    <w:rsid w:val="74714F78"/>
    <w:rsid w:val="7472484C"/>
    <w:rsid w:val="74730CF0"/>
    <w:rsid w:val="74732A9E"/>
    <w:rsid w:val="74736F42"/>
    <w:rsid w:val="747533B8"/>
    <w:rsid w:val="7476258E"/>
    <w:rsid w:val="74786307"/>
    <w:rsid w:val="7479207F"/>
    <w:rsid w:val="747B5DF7"/>
    <w:rsid w:val="747D1B6F"/>
    <w:rsid w:val="747E1443"/>
    <w:rsid w:val="747F58E7"/>
    <w:rsid w:val="74850A24"/>
    <w:rsid w:val="748702F8"/>
    <w:rsid w:val="74874E5A"/>
    <w:rsid w:val="74890514"/>
    <w:rsid w:val="748A7DE8"/>
    <w:rsid w:val="748D1686"/>
    <w:rsid w:val="748E78C8"/>
    <w:rsid w:val="74922C23"/>
    <w:rsid w:val="74956EB9"/>
    <w:rsid w:val="749649DF"/>
    <w:rsid w:val="749A44CF"/>
    <w:rsid w:val="749E3893"/>
    <w:rsid w:val="749E5641"/>
    <w:rsid w:val="749F7D37"/>
    <w:rsid w:val="74A0585D"/>
    <w:rsid w:val="74A227F4"/>
    <w:rsid w:val="74A2568B"/>
    <w:rsid w:val="74A37772"/>
    <w:rsid w:val="74A470FC"/>
    <w:rsid w:val="74AA048A"/>
    <w:rsid w:val="74AC5FB0"/>
    <w:rsid w:val="74AF5AA0"/>
    <w:rsid w:val="74B03CF2"/>
    <w:rsid w:val="74B135C7"/>
    <w:rsid w:val="74B44E65"/>
    <w:rsid w:val="74B80DF9"/>
    <w:rsid w:val="74B825D9"/>
    <w:rsid w:val="74B84955"/>
    <w:rsid w:val="74B8742B"/>
    <w:rsid w:val="74B9247B"/>
    <w:rsid w:val="74BA06CD"/>
    <w:rsid w:val="74BA5E3A"/>
    <w:rsid w:val="74BF3F35"/>
    <w:rsid w:val="74C07CAE"/>
    <w:rsid w:val="74C4154C"/>
    <w:rsid w:val="74C47F76"/>
    <w:rsid w:val="74C5589B"/>
    <w:rsid w:val="74CB28DA"/>
    <w:rsid w:val="74CC0400"/>
    <w:rsid w:val="74CC6652"/>
    <w:rsid w:val="74CE5F27"/>
    <w:rsid w:val="74D15A17"/>
    <w:rsid w:val="74D177C5"/>
    <w:rsid w:val="74D3353D"/>
    <w:rsid w:val="74DB6895"/>
    <w:rsid w:val="74DD260E"/>
    <w:rsid w:val="74DF0134"/>
    <w:rsid w:val="74E078D2"/>
    <w:rsid w:val="74E120FE"/>
    <w:rsid w:val="74E26E5B"/>
    <w:rsid w:val="74E41BEE"/>
    <w:rsid w:val="74E7348C"/>
    <w:rsid w:val="74E7364B"/>
    <w:rsid w:val="74E92D60"/>
    <w:rsid w:val="74EA0887"/>
    <w:rsid w:val="74EE3366"/>
    <w:rsid w:val="74EE65C9"/>
    <w:rsid w:val="74F02341"/>
    <w:rsid w:val="74F14482"/>
    <w:rsid w:val="74F17E67"/>
    <w:rsid w:val="74F33BDF"/>
    <w:rsid w:val="74F50668"/>
    <w:rsid w:val="74F6547D"/>
    <w:rsid w:val="74F65CA7"/>
    <w:rsid w:val="74F6722B"/>
    <w:rsid w:val="74F811F5"/>
    <w:rsid w:val="74FA31C0"/>
    <w:rsid w:val="74FC07C9"/>
    <w:rsid w:val="74FC09F3"/>
    <w:rsid w:val="74FD32BB"/>
    <w:rsid w:val="74FD680C"/>
    <w:rsid w:val="74FF42EB"/>
    <w:rsid w:val="7501454E"/>
    <w:rsid w:val="75047B9A"/>
    <w:rsid w:val="75061904"/>
    <w:rsid w:val="75061B64"/>
    <w:rsid w:val="75076C79"/>
    <w:rsid w:val="7507768A"/>
    <w:rsid w:val="750A2CD7"/>
    <w:rsid w:val="750B356A"/>
    <w:rsid w:val="750D2EF3"/>
    <w:rsid w:val="750E0E19"/>
    <w:rsid w:val="750F340D"/>
    <w:rsid w:val="75133BF1"/>
    <w:rsid w:val="7516167C"/>
    <w:rsid w:val="751778A9"/>
    <w:rsid w:val="75197A63"/>
    <w:rsid w:val="751A5610"/>
    <w:rsid w:val="751C1388"/>
    <w:rsid w:val="751F38D5"/>
    <w:rsid w:val="7521074C"/>
    <w:rsid w:val="752246FB"/>
    <w:rsid w:val="75232716"/>
    <w:rsid w:val="75256005"/>
    <w:rsid w:val="75265D63"/>
    <w:rsid w:val="75287D2D"/>
    <w:rsid w:val="752B3379"/>
    <w:rsid w:val="752B4A48"/>
    <w:rsid w:val="752C70F1"/>
    <w:rsid w:val="752E2E69"/>
    <w:rsid w:val="753164B5"/>
    <w:rsid w:val="75321D4A"/>
    <w:rsid w:val="75355FA6"/>
    <w:rsid w:val="75383CE8"/>
    <w:rsid w:val="753C37D8"/>
    <w:rsid w:val="753D4FBB"/>
    <w:rsid w:val="75414337"/>
    <w:rsid w:val="754206C3"/>
    <w:rsid w:val="75422471"/>
    <w:rsid w:val="75466405"/>
    <w:rsid w:val="754D1541"/>
    <w:rsid w:val="754E3DD7"/>
    <w:rsid w:val="754E7067"/>
    <w:rsid w:val="75502DDF"/>
    <w:rsid w:val="75510906"/>
    <w:rsid w:val="75542A4A"/>
    <w:rsid w:val="75566EA0"/>
    <w:rsid w:val="7557416E"/>
    <w:rsid w:val="755B0F56"/>
    <w:rsid w:val="755C3532"/>
    <w:rsid w:val="755F1275"/>
    <w:rsid w:val="75604284"/>
    <w:rsid w:val="75607007"/>
    <w:rsid w:val="75614FED"/>
    <w:rsid w:val="75643C4B"/>
    <w:rsid w:val="75653498"/>
    <w:rsid w:val="75667C5E"/>
    <w:rsid w:val="7568637B"/>
    <w:rsid w:val="75693EA1"/>
    <w:rsid w:val="756B19C7"/>
    <w:rsid w:val="756B5E6B"/>
    <w:rsid w:val="756D3991"/>
    <w:rsid w:val="75706FDE"/>
    <w:rsid w:val="7571114B"/>
    <w:rsid w:val="7573132B"/>
    <w:rsid w:val="7577036C"/>
    <w:rsid w:val="75774810"/>
    <w:rsid w:val="757765BE"/>
    <w:rsid w:val="75790A33"/>
    <w:rsid w:val="757934F0"/>
    <w:rsid w:val="757E794D"/>
    <w:rsid w:val="758331B5"/>
    <w:rsid w:val="75842A89"/>
    <w:rsid w:val="75846F2D"/>
    <w:rsid w:val="75874C25"/>
    <w:rsid w:val="75882579"/>
    <w:rsid w:val="7589009F"/>
    <w:rsid w:val="758962F1"/>
    <w:rsid w:val="758D4034"/>
    <w:rsid w:val="758E56B6"/>
    <w:rsid w:val="759058D2"/>
    <w:rsid w:val="7591545C"/>
    <w:rsid w:val="7592164A"/>
    <w:rsid w:val="759224B5"/>
    <w:rsid w:val="759251A6"/>
    <w:rsid w:val="75930F1E"/>
    <w:rsid w:val="75933DFC"/>
    <w:rsid w:val="759C4277"/>
    <w:rsid w:val="759C6025"/>
    <w:rsid w:val="759C7DD3"/>
    <w:rsid w:val="759E3B4B"/>
    <w:rsid w:val="759E6D50"/>
    <w:rsid w:val="75A03D67"/>
    <w:rsid w:val="75A35605"/>
    <w:rsid w:val="75A5137D"/>
    <w:rsid w:val="75A5228D"/>
    <w:rsid w:val="75A650F5"/>
    <w:rsid w:val="75A849CA"/>
    <w:rsid w:val="75A91E7D"/>
    <w:rsid w:val="75AD0232"/>
    <w:rsid w:val="75B0387E"/>
    <w:rsid w:val="75B3511C"/>
    <w:rsid w:val="75B415C0"/>
    <w:rsid w:val="75B63129"/>
    <w:rsid w:val="75B650A4"/>
    <w:rsid w:val="75BC66C7"/>
    <w:rsid w:val="75BE2C13"/>
    <w:rsid w:val="75C13CDD"/>
    <w:rsid w:val="75C15A8B"/>
    <w:rsid w:val="75C4732A"/>
    <w:rsid w:val="75C612F4"/>
    <w:rsid w:val="75C64E50"/>
    <w:rsid w:val="75C80FD3"/>
    <w:rsid w:val="75C94940"/>
    <w:rsid w:val="75CA0186"/>
    <w:rsid w:val="75CA2B92"/>
    <w:rsid w:val="75CB4B5C"/>
    <w:rsid w:val="75CD163E"/>
    <w:rsid w:val="75CF63FA"/>
    <w:rsid w:val="75D02172"/>
    <w:rsid w:val="75D05CCE"/>
    <w:rsid w:val="75D21A46"/>
    <w:rsid w:val="75D237F5"/>
    <w:rsid w:val="75D25EEA"/>
    <w:rsid w:val="75D27C98"/>
    <w:rsid w:val="75D42EB3"/>
    <w:rsid w:val="75D67789"/>
    <w:rsid w:val="75D7705D"/>
    <w:rsid w:val="75D92DD5"/>
    <w:rsid w:val="75DC3A8B"/>
    <w:rsid w:val="75DC4D0C"/>
    <w:rsid w:val="75DD619C"/>
    <w:rsid w:val="75DE488F"/>
    <w:rsid w:val="75DF5F11"/>
    <w:rsid w:val="75E17EDC"/>
    <w:rsid w:val="75E308CD"/>
    <w:rsid w:val="75E37E6A"/>
    <w:rsid w:val="75E73E9C"/>
    <w:rsid w:val="75E83018"/>
    <w:rsid w:val="75E874BC"/>
    <w:rsid w:val="75EA6D90"/>
    <w:rsid w:val="75EB0D5A"/>
    <w:rsid w:val="75EB2B08"/>
    <w:rsid w:val="75EC30C0"/>
    <w:rsid w:val="75EF43A6"/>
    <w:rsid w:val="75F25C45"/>
    <w:rsid w:val="75F82DA4"/>
    <w:rsid w:val="75F93477"/>
    <w:rsid w:val="75FA49E1"/>
    <w:rsid w:val="75FD6CEB"/>
    <w:rsid w:val="75FE0A8D"/>
    <w:rsid w:val="75FE283B"/>
    <w:rsid w:val="760065B4"/>
    <w:rsid w:val="76021882"/>
    <w:rsid w:val="76065B94"/>
    <w:rsid w:val="76083D29"/>
    <w:rsid w:val="7608664D"/>
    <w:rsid w:val="760B6D06"/>
    <w:rsid w:val="760E3B60"/>
    <w:rsid w:val="76120095"/>
    <w:rsid w:val="76124539"/>
    <w:rsid w:val="761402B1"/>
    <w:rsid w:val="76143E0D"/>
    <w:rsid w:val="76160679"/>
    <w:rsid w:val="76170515"/>
    <w:rsid w:val="761715C6"/>
    <w:rsid w:val="76171B4F"/>
    <w:rsid w:val="761756AB"/>
    <w:rsid w:val="76181CDC"/>
    <w:rsid w:val="761B75CE"/>
    <w:rsid w:val="761D53B8"/>
    <w:rsid w:val="761E337E"/>
    <w:rsid w:val="762234B6"/>
    <w:rsid w:val="762322A2"/>
    <w:rsid w:val="76242EC1"/>
    <w:rsid w:val="76280742"/>
    <w:rsid w:val="762A1337"/>
    <w:rsid w:val="762A53DF"/>
    <w:rsid w:val="7630676D"/>
    <w:rsid w:val="76377AFB"/>
    <w:rsid w:val="763A3FE7"/>
    <w:rsid w:val="763B583E"/>
    <w:rsid w:val="763E532E"/>
    <w:rsid w:val="76401B62"/>
    <w:rsid w:val="7641297E"/>
    <w:rsid w:val="764364A0"/>
    <w:rsid w:val="76481D09"/>
    <w:rsid w:val="76484561"/>
    <w:rsid w:val="765406AD"/>
    <w:rsid w:val="76562678"/>
    <w:rsid w:val="76564426"/>
    <w:rsid w:val="765863F0"/>
    <w:rsid w:val="765927F0"/>
    <w:rsid w:val="765B1A3C"/>
    <w:rsid w:val="765B7C8E"/>
    <w:rsid w:val="765C57B4"/>
    <w:rsid w:val="765C7562"/>
    <w:rsid w:val="765D13EA"/>
    <w:rsid w:val="766052A4"/>
    <w:rsid w:val="76636B42"/>
    <w:rsid w:val="766528BB"/>
    <w:rsid w:val="766574D1"/>
    <w:rsid w:val="7668708B"/>
    <w:rsid w:val="766A1420"/>
    <w:rsid w:val="766C1E9B"/>
    <w:rsid w:val="767201AA"/>
    <w:rsid w:val="7674340E"/>
    <w:rsid w:val="7675370F"/>
    <w:rsid w:val="76764AC8"/>
    <w:rsid w:val="767945B8"/>
    <w:rsid w:val="767A7845"/>
    <w:rsid w:val="767B0330"/>
    <w:rsid w:val="767C3DB4"/>
    <w:rsid w:val="767D7C04"/>
    <w:rsid w:val="767F3E5C"/>
    <w:rsid w:val="768865A9"/>
    <w:rsid w:val="768A0573"/>
    <w:rsid w:val="768A2321"/>
    <w:rsid w:val="768A6FF9"/>
    <w:rsid w:val="768C4B81"/>
    <w:rsid w:val="768F2CE9"/>
    <w:rsid w:val="769413F2"/>
    <w:rsid w:val="76962A74"/>
    <w:rsid w:val="769907B6"/>
    <w:rsid w:val="769B008A"/>
    <w:rsid w:val="769B452E"/>
    <w:rsid w:val="769E5DCD"/>
    <w:rsid w:val="76A47C80"/>
    <w:rsid w:val="76A50F09"/>
    <w:rsid w:val="76A5715B"/>
    <w:rsid w:val="76AA651F"/>
    <w:rsid w:val="76AC04E9"/>
    <w:rsid w:val="76AF7FDA"/>
    <w:rsid w:val="76B34F66"/>
    <w:rsid w:val="76B4114C"/>
    <w:rsid w:val="76B4739E"/>
    <w:rsid w:val="76BA0E58"/>
    <w:rsid w:val="76BD44A5"/>
    <w:rsid w:val="76BD6253"/>
    <w:rsid w:val="76C021E7"/>
    <w:rsid w:val="76C05D43"/>
    <w:rsid w:val="76C07AF1"/>
    <w:rsid w:val="76C43A85"/>
    <w:rsid w:val="76C577FD"/>
    <w:rsid w:val="76C70E7F"/>
    <w:rsid w:val="76C75323"/>
    <w:rsid w:val="76C80F10"/>
    <w:rsid w:val="76D161A2"/>
    <w:rsid w:val="76D35A76"/>
    <w:rsid w:val="76D37824"/>
    <w:rsid w:val="76D42ECC"/>
    <w:rsid w:val="76D50C85"/>
    <w:rsid w:val="76D67314"/>
    <w:rsid w:val="76D72343"/>
    <w:rsid w:val="76D87530"/>
    <w:rsid w:val="76D96E05"/>
    <w:rsid w:val="76DA32A9"/>
    <w:rsid w:val="76DB0DCF"/>
    <w:rsid w:val="76DD06A3"/>
    <w:rsid w:val="76DE1045"/>
    <w:rsid w:val="76DF266D"/>
    <w:rsid w:val="76E002DE"/>
    <w:rsid w:val="76E23F0B"/>
    <w:rsid w:val="76E41A31"/>
    <w:rsid w:val="76E45ED5"/>
    <w:rsid w:val="76E557A9"/>
    <w:rsid w:val="76E732D0"/>
    <w:rsid w:val="76EA1012"/>
    <w:rsid w:val="76EA2DC0"/>
    <w:rsid w:val="76EB5E26"/>
    <w:rsid w:val="76EC08E6"/>
    <w:rsid w:val="76EE0B02"/>
    <w:rsid w:val="76EF03D6"/>
    <w:rsid w:val="76EF36ED"/>
    <w:rsid w:val="76F31C74"/>
    <w:rsid w:val="76F53C3E"/>
    <w:rsid w:val="76F61765"/>
    <w:rsid w:val="76F93003"/>
    <w:rsid w:val="76F9750E"/>
    <w:rsid w:val="76FA1255"/>
    <w:rsid w:val="76FA3D9F"/>
    <w:rsid w:val="76FD0D45"/>
    <w:rsid w:val="76FD2043"/>
    <w:rsid w:val="76FF686B"/>
    <w:rsid w:val="770420D4"/>
    <w:rsid w:val="77057BFA"/>
    <w:rsid w:val="770743C3"/>
    <w:rsid w:val="77075720"/>
    <w:rsid w:val="770A650F"/>
    <w:rsid w:val="770B3462"/>
    <w:rsid w:val="770E2F52"/>
    <w:rsid w:val="77112A42"/>
    <w:rsid w:val="77137762"/>
    <w:rsid w:val="771463D1"/>
    <w:rsid w:val="77147E3D"/>
    <w:rsid w:val="77163BB5"/>
    <w:rsid w:val="77170059"/>
    <w:rsid w:val="77183DD1"/>
    <w:rsid w:val="771A18F7"/>
    <w:rsid w:val="771D4F43"/>
    <w:rsid w:val="7722255A"/>
    <w:rsid w:val="7726029C"/>
    <w:rsid w:val="772938E8"/>
    <w:rsid w:val="772B3B04"/>
    <w:rsid w:val="772B58B2"/>
    <w:rsid w:val="772B7660"/>
    <w:rsid w:val="772C162A"/>
    <w:rsid w:val="772C2BCD"/>
    <w:rsid w:val="772E53A2"/>
    <w:rsid w:val="772E5BDE"/>
    <w:rsid w:val="77316C41"/>
    <w:rsid w:val="773329B9"/>
    <w:rsid w:val="773951D1"/>
    <w:rsid w:val="773A3D47"/>
    <w:rsid w:val="773D7394"/>
    <w:rsid w:val="77405FA2"/>
    <w:rsid w:val="774104A2"/>
    <w:rsid w:val="77416E84"/>
    <w:rsid w:val="77422BFC"/>
    <w:rsid w:val="7743005D"/>
    <w:rsid w:val="77444BC6"/>
    <w:rsid w:val="77470212"/>
    <w:rsid w:val="77475E44"/>
    <w:rsid w:val="774A39DA"/>
    <w:rsid w:val="774B7D02"/>
    <w:rsid w:val="774C4DEA"/>
    <w:rsid w:val="774C75D7"/>
    <w:rsid w:val="774E334F"/>
    <w:rsid w:val="77514BED"/>
    <w:rsid w:val="77517EAB"/>
    <w:rsid w:val="775766A7"/>
    <w:rsid w:val="775B1257"/>
    <w:rsid w:val="775C1F10"/>
    <w:rsid w:val="775C5DC7"/>
    <w:rsid w:val="77644920"/>
    <w:rsid w:val="776808B4"/>
    <w:rsid w:val="776C147A"/>
    <w:rsid w:val="776C1A27"/>
    <w:rsid w:val="776C1D6B"/>
    <w:rsid w:val="77701517"/>
    <w:rsid w:val="7771703D"/>
    <w:rsid w:val="77737259"/>
    <w:rsid w:val="77770AF7"/>
    <w:rsid w:val="77777CEB"/>
    <w:rsid w:val="777C7EBC"/>
    <w:rsid w:val="77801376"/>
    <w:rsid w:val="77813724"/>
    <w:rsid w:val="7782124A"/>
    <w:rsid w:val="77843214"/>
    <w:rsid w:val="778925D9"/>
    <w:rsid w:val="77894387"/>
    <w:rsid w:val="778B0F02"/>
    <w:rsid w:val="778B45A3"/>
    <w:rsid w:val="778E33FA"/>
    <w:rsid w:val="778E3EED"/>
    <w:rsid w:val="77904CEC"/>
    <w:rsid w:val="77935205"/>
    <w:rsid w:val="77950F7E"/>
    <w:rsid w:val="77955421"/>
    <w:rsid w:val="77974CF6"/>
    <w:rsid w:val="77980A6E"/>
    <w:rsid w:val="7798281C"/>
    <w:rsid w:val="779A6594"/>
    <w:rsid w:val="779B02BA"/>
    <w:rsid w:val="77A15B74"/>
    <w:rsid w:val="77A17922"/>
    <w:rsid w:val="77A36141"/>
    <w:rsid w:val="77A967D7"/>
    <w:rsid w:val="77AB07A1"/>
    <w:rsid w:val="77AB69F3"/>
    <w:rsid w:val="77AE203F"/>
    <w:rsid w:val="77AE3DED"/>
    <w:rsid w:val="77AF3E74"/>
    <w:rsid w:val="77B04009"/>
    <w:rsid w:val="77B07B65"/>
    <w:rsid w:val="77BC29AE"/>
    <w:rsid w:val="77BD2282"/>
    <w:rsid w:val="77BF5FFA"/>
    <w:rsid w:val="77C25152"/>
    <w:rsid w:val="77C27899"/>
    <w:rsid w:val="77C41863"/>
    <w:rsid w:val="77C47AB5"/>
    <w:rsid w:val="77C52C54"/>
    <w:rsid w:val="77C6382D"/>
    <w:rsid w:val="77C77105"/>
    <w:rsid w:val="77C77655"/>
    <w:rsid w:val="77C83101"/>
    <w:rsid w:val="77CA4292"/>
    <w:rsid w:val="77CA50CB"/>
    <w:rsid w:val="77CB499F"/>
    <w:rsid w:val="77CD4BBB"/>
    <w:rsid w:val="77D23F80"/>
    <w:rsid w:val="77D25D2E"/>
    <w:rsid w:val="77D4788F"/>
    <w:rsid w:val="77D575CC"/>
    <w:rsid w:val="77D64484"/>
    <w:rsid w:val="77D90A2D"/>
    <w:rsid w:val="77DA1086"/>
    <w:rsid w:val="77DB72D8"/>
    <w:rsid w:val="77DE57B1"/>
    <w:rsid w:val="77DF620D"/>
    <w:rsid w:val="77E51F05"/>
    <w:rsid w:val="77E90EE2"/>
    <w:rsid w:val="77E922B4"/>
    <w:rsid w:val="77EB3293"/>
    <w:rsid w:val="77ED0DBA"/>
    <w:rsid w:val="77ED2B68"/>
    <w:rsid w:val="77F263D0"/>
    <w:rsid w:val="77F4039A"/>
    <w:rsid w:val="77F42148"/>
    <w:rsid w:val="77F72A4B"/>
    <w:rsid w:val="77F923B9"/>
    <w:rsid w:val="77FA7033"/>
    <w:rsid w:val="77FC2DAB"/>
    <w:rsid w:val="77FE2FC7"/>
    <w:rsid w:val="78016613"/>
    <w:rsid w:val="78034139"/>
    <w:rsid w:val="780659D7"/>
    <w:rsid w:val="78081990"/>
    <w:rsid w:val="780A371A"/>
    <w:rsid w:val="780B56E4"/>
    <w:rsid w:val="780D6D66"/>
    <w:rsid w:val="780F0D30"/>
    <w:rsid w:val="780F6F82"/>
    <w:rsid w:val="78126A72"/>
    <w:rsid w:val="781400F4"/>
    <w:rsid w:val="78144598"/>
    <w:rsid w:val="78153095"/>
    <w:rsid w:val="78153E6C"/>
    <w:rsid w:val="78160310"/>
    <w:rsid w:val="781A06BE"/>
    <w:rsid w:val="781A1483"/>
    <w:rsid w:val="781A58E7"/>
    <w:rsid w:val="781E5417"/>
    <w:rsid w:val="78224195"/>
    <w:rsid w:val="782347DB"/>
    <w:rsid w:val="782A7A04"/>
    <w:rsid w:val="782B177E"/>
    <w:rsid w:val="782D11B6"/>
    <w:rsid w:val="782D7408"/>
    <w:rsid w:val="782F3180"/>
    <w:rsid w:val="782F4F2E"/>
    <w:rsid w:val="78320EC2"/>
    <w:rsid w:val="7833145C"/>
    <w:rsid w:val="7836400B"/>
    <w:rsid w:val="78370287"/>
    <w:rsid w:val="7837159B"/>
    <w:rsid w:val="783764D9"/>
    <w:rsid w:val="78380F8C"/>
    <w:rsid w:val="78393FFF"/>
    <w:rsid w:val="78395DAD"/>
    <w:rsid w:val="783C3AEF"/>
    <w:rsid w:val="783E1615"/>
    <w:rsid w:val="7840713B"/>
    <w:rsid w:val="78436C2C"/>
    <w:rsid w:val="784604CA"/>
    <w:rsid w:val="7847671C"/>
    <w:rsid w:val="784A620C"/>
    <w:rsid w:val="784B3176"/>
    <w:rsid w:val="784B5AE0"/>
    <w:rsid w:val="784C3D32"/>
    <w:rsid w:val="78500BEA"/>
    <w:rsid w:val="78505A11"/>
    <w:rsid w:val="785250C1"/>
    <w:rsid w:val="78540E39"/>
    <w:rsid w:val="78542BE7"/>
    <w:rsid w:val="78564BB1"/>
    <w:rsid w:val="785B3F75"/>
    <w:rsid w:val="785C7CED"/>
    <w:rsid w:val="785E1CB7"/>
    <w:rsid w:val="785E5813"/>
    <w:rsid w:val="785E75C1"/>
    <w:rsid w:val="7860333A"/>
    <w:rsid w:val="78623556"/>
    <w:rsid w:val="786258A4"/>
    <w:rsid w:val="7863107C"/>
    <w:rsid w:val="78661439"/>
    <w:rsid w:val="7866291A"/>
    <w:rsid w:val="786646C8"/>
    <w:rsid w:val="786838E4"/>
    <w:rsid w:val="786A065C"/>
    <w:rsid w:val="786D3CA8"/>
    <w:rsid w:val="786D5A56"/>
    <w:rsid w:val="787013BE"/>
    <w:rsid w:val="78715547"/>
    <w:rsid w:val="78744294"/>
    <w:rsid w:val="78760DAF"/>
    <w:rsid w:val="787768D5"/>
    <w:rsid w:val="7879379E"/>
    <w:rsid w:val="787943FB"/>
    <w:rsid w:val="787A60AB"/>
    <w:rsid w:val="787D038F"/>
    <w:rsid w:val="787D6230"/>
    <w:rsid w:val="78801C2E"/>
    <w:rsid w:val="78811502"/>
    <w:rsid w:val="78827754"/>
    <w:rsid w:val="7883171E"/>
    <w:rsid w:val="78866B18"/>
    <w:rsid w:val="78882890"/>
    <w:rsid w:val="788A2AAC"/>
    <w:rsid w:val="788A485A"/>
    <w:rsid w:val="788B6381"/>
    <w:rsid w:val="788D434B"/>
    <w:rsid w:val="788D45E4"/>
    <w:rsid w:val="788D7EA7"/>
    <w:rsid w:val="788F3900"/>
    <w:rsid w:val="788F3C1F"/>
    <w:rsid w:val="78947487"/>
    <w:rsid w:val="789816F7"/>
    <w:rsid w:val="78986F77"/>
    <w:rsid w:val="78992CEF"/>
    <w:rsid w:val="78994A9D"/>
    <w:rsid w:val="789B444E"/>
    <w:rsid w:val="789C2A58"/>
    <w:rsid w:val="789C2C49"/>
    <w:rsid w:val="789E20B4"/>
    <w:rsid w:val="78A251EB"/>
    <w:rsid w:val="78A27DF6"/>
    <w:rsid w:val="78A376CA"/>
    <w:rsid w:val="78A51694"/>
    <w:rsid w:val="78A7540C"/>
    <w:rsid w:val="78A82F32"/>
    <w:rsid w:val="78AA0A59"/>
    <w:rsid w:val="78AF2513"/>
    <w:rsid w:val="78B10039"/>
    <w:rsid w:val="78B23C01"/>
    <w:rsid w:val="78B47B29"/>
    <w:rsid w:val="78BB2C66"/>
    <w:rsid w:val="78BB4A14"/>
    <w:rsid w:val="78BB61D6"/>
    <w:rsid w:val="78BD078C"/>
    <w:rsid w:val="78BD1F82"/>
    <w:rsid w:val="78C0202A"/>
    <w:rsid w:val="78C079E2"/>
    <w:rsid w:val="78C16FB7"/>
    <w:rsid w:val="78C23FF4"/>
    <w:rsid w:val="78C37D6C"/>
    <w:rsid w:val="78CA2EA9"/>
    <w:rsid w:val="78CA4C57"/>
    <w:rsid w:val="78CE1FD7"/>
    <w:rsid w:val="78CF04BF"/>
    <w:rsid w:val="78CF226D"/>
    <w:rsid w:val="78D0463B"/>
    <w:rsid w:val="78D41F79"/>
    <w:rsid w:val="78D61857"/>
    <w:rsid w:val="78D635FC"/>
    <w:rsid w:val="78D81308"/>
    <w:rsid w:val="78D9133E"/>
    <w:rsid w:val="78D92BEB"/>
    <w:rsid w:val="78DA407B"/>
    <w:rsid w:val="78DB3308"/>
    <w:rsid w:val="78DE0702"/>
    <w:rsid w:val="78E0179C"/>
    <w:rsid w:val="78E75809"/>
    <w:rsid w:val="78EA70A7"/>
    <w:rsid w:val="78EC1071"/>
    <w:rsid w:val="78EF46BD"/>
    <w:rsid w:val="78F2434C"/>
    <w:rsid w:val="78F30652"/>
    <w:rsid w:val="78F32400"/>
    <w:rsid w:val="78F34ED3"/>
    <w:rsid w:val="78F41CD4"/>
    <w:rsid w:val="78F817C4"/>
    <w:rsid w:val="78FF6FF6"/>
    <w:rsid w:val="79005D96"/>
    <w:rsid w:val="79022643"/>
    <w:rsid w:val="79022760"/>
    <w:rsid w:val="790243F1"/>
    <w:rsid w:val="79053EE1"/>
    <w:rsid w:val="7906595E"/>
    <w:rsid w:val="790A7749"/>
    <w:rsid w:val="790D6F0A"/>
    <w:rsid w:val="790E2D96"/>
    <w:rsid w:val="790E7239"/>
    <w:rsid w:val="79116D2A"/>
    <w:rsid w:val="791505C8"/>
    <w:rsid w:val="79164340"/>
    <w:rsid w:val="7917686A"/>
    <w:rsid w:val="7919798C"/>
    <w:rsid w:val="791B3704"/>
    <w:rsid w:val="791D56CF"/>
    <w:rsid w:val="79200D1B"/>
    <w:rsid w:val="7924080B"/>
    <w:rsid w:val="79246A5D"/>
    <w:rsid w:val="79254583"/>
    <w:rsid w:val="79273E57"/>
    <w:rsid w:val="792A3948"/>
    <w:rsid w:val="792B7DEB"/>
    <w:rsid w:val="792C5912"/>
    <w:rsid w:val="792C76C0"/>
    <w:rsid w:val="792E3438"/>
    <w:rsid w:val="79344C86"/>
    <w:rsid w:val="79346574"/>
    <w:rsid w:val="793842B6"/>
    <w:rsid w:val="79386064"/>
    <w:rsid w:val="793E4EAB"/>
    <w:rsid w:val="79420C91"/>
    <w:rsid w:val="79425135"/>
    <w:rsid w:val="794644CA"/>
    <w:rsid w:val="794B3A23"/>
    <w:rsid w:val="794B7201"/>
    <w:rsid w:val="794C38BE"/>
    <w:rsid w:val="794C5FB4"/>
    <w:rsid w:val="79534C4C"/>
    <w:rsid w:val="79556C16"/>
    <w:rsid w:val="795A422D"/>
    <w:rsid w:val="795B0ABE"/>
    <w:rsid w:val="795D3D1D"/>
    <w:rsid w:val="795D3E92"/>
    <w:rsid w:val="795F5CE7"/>
    <w:rsid w:val="79646E59"/>
    <w:rsid w:val="79654980"/>
    <w:rsid w:val="796822CC"/>
    <w:rsid w:val="796A6496"/>
    <w:rsid w:val="796B468C"/>
    <w:rsid w:val="796B643A"/>
    <w:rsid w:val="79701CA2"/>
    <w:rsid w:val="797177C8"/>
    <w:rsid w:val="79733540"/>
    <w:rsid w:val="797509D8"/>
    <w:rsid w:val="797D7F1B"/>
    <w:rsid w:val="797F0137"/>
    <w:rsid w:val="79817A0B"/>
    <w:rsid w:val="798219D5"/>
    <w:rsid w:val="798B1783"/>
    <w:rsid w:val="798B2638"/>
    <w:rsid w:val="798E3ED6"/>
    <w:rsid w:val="79905EA0"/>
    <w:rsid w:val="79927E6B"/>
    <w:rsid w:val="799314ED"/>
    <w:rsid w:val="7993773F"/>
    <w:rsid w:val="79951709"/>
    <w:rsid w:val="79960FDD"/>
    <w:rsid w:val="7997722F"/>
    <w:rsid w:val="799D05BD"/>
    <w:rsid w:val="799F7E92"/>
    <w:rsid w:val="79A100AE"/>
    <w:rsid w:val="79A11135"/>
    <w:rsid w:val="79A47B9E"/>
    <w:rsid w:val="79A96F62"/>
    <w:rsid w:val="79AA009F"/>
    <w:rsid w:val="79AB2CDA"/>
    <w:rsid w:val="79AE27CB"/>
    <w:rsid w:val="79B2108A"/>
    <w:rsid w:val="79B37DE1"/>
    <w:rsid w:val="79B55907"/>
    <w:rsid w:val="79B80F53"/>
    <w:rsid w:val="79B853F7"/>
    <w:rsid w:val="79BA2F1D"/>
    <w:rsid w:val="79BA4CCB"/>
    <w:rsid w:val="79BC6C95"/>
    <w:rsid w:val="79BE0C60"/>
    <w:rsid w:val="79C02F7D"/>
    <w:rsid w:val="79C1605A"/>
    <w:rsid w:val="79C7089C"/>
    <w:rsid w:val="79CA5ED2"/>
    <w:rsid w:val="79CB0C87"/>
    <w:rsid w:val="79CB17D1"/>
    <w:rsid w:val="79CB6ED9"/>
    <w:rsid w:val="79CE0777"/>
    <w:rsid w:val="79D00993"/>
    <w:rsid w:val="79D02741"/>
    <w:rsid w:val="79D261A9"/>
    <w:rsid w:val="79D55FA9"/>
    <w:rsid w:val="79D7762B"/>
    <w:rsid w:val="79DA35C0"/>
    <w:rsid w:val="79DC7338"/>
    <w:rsid w:val="79E166FC"/>
    <w:rsid w:val="79E32474"/>
    <w:rsid w:val="79E461EC"/>
    <w:rsid w:val="79E63D12"/>
    <w:rsid w:val="79EA1A55"/>
    <w:rsid w:val="79ED5C29"/>
    <w:rsid w:val="79ED6E4F"/>
    <w:rsid w:val="79F04B91"/>
    <w:rsid w:val="79F20909"/>
    <w:rsid w:val="79F63D5F"/>
    <w:rsid w:val="79F707EE"/>
    <w:rsid w:val="79F71A7C"/>
    <w:rsid w:val="79F83E01"/>
    <w:rsid w:val="79F93A46"/>
    <w:rsid w:val="79FF4DD4"/>
    <w:rsid w:val="7A0423EA"/>
    <w:rsid w:val="7A08012D"/>
    <w:rsid w:val="7A092C03"/>
    <w:rsid w:val="7A0B3779"/>
    <w:rsid w:val="7A0D5743"/>
    <w:rsid w:val="7A0E5017"/>
    <w:rsid w:val="7A140880"/>
    <w:rsid w:val="7A163D77"/>
    <w:rsid w:val="7A170370"/>
    <w:rsid w:val="7A1940E8"/>
    <w:rsid w:val="7A1A7578"/>
    <w:rsid w:val="7A1B7E60"/>
    <w:rsid w:val="7A1C14E2"/>
    <w:rsid w:val="7A1E525A"/>
    <w:rsid w:val="7A1E5C5E"/>
    <w:rsid w:val="7A1F0FD2"/>
    <w:rsid w:val="7A205476"/>
    <w:rsid w:val="7A230AC3"/>
    <w:rsid w:val="7A24483B"/>
    <w:rsid w:val="7A281C42"/>
    <w:rsid w:val="7A2B21F4"/>
    <w:rsid w:val="7A2D347F"/>
    <w:rsid w:val="7A2E1215"/>
    <w:rsid w:val="7A301431"/>
    <w:rsid w:val="7A326F58"/>
    <w:rsid w:val="7A3455A7"/>
    <w:rsid w:val="7A37631C"/>
    <w:rsid w:val="7A3C3932"/>
    <w:rsid w:val="7A3E3B4E"/>
    <w:rsid w:val="7A4078C7"/>
    <w:rsid w:val="7A417E6A"/>
    <w:rsid w:val="7A451A22"/>
    <w:rsid w:val="7A480529"/>
    <w:rsid w:val="7A48677B"/>
    <w:rsid w:val="7A4D3D91"/>
    <w:rsid w:val="7A4F3F08"/>
    <w:rsid w:val="7A546ECE"/>
    <w:rsid w:val="7A5549F4"/>
    <w:rsid w:val="7A5A025C"/>
    <w:rsid w:val="7A5A5398"/>
    <w:rsid w:val="7A5B64AE"/>
    <w:rsid w:val="7A5C2227"/>
    <w:rsid w:val="7A5E1AFB"/>
    <w:rsid w:val="7A603AC5"/>
    <w:rsid w:val="7A610456"/>
    <w:rsid w:val="7A635363"/>
    <w:rsid w:val="7A67448F"/>
    <w:rsid w:val="7A6B246A"/>
    <w:rsid w:val="7A6F5AB6"/>
    <w:rsid w:val="7A7237F8"/>
    <w:rsid w:val="7A7255A6"/>
    <w:rsid w:val="7A74131E"/>
    <w:rsid w:val="7A7430CC"/>
    <w:rsid w:val="7A770E0E"/>
    <w:rsid w:val="7A7A445B"/>
    <w:rsid w:val="7A7E3F4B"/>
    <w:rsid w:val="7A804167"/>
    <w:rsid w:val="7A816652"/>
    <w:rsid w:val="7A83049A"/>
    <w:rsid w:val="7A8772A3"/>
    <w:rsid w:val="7A886B78"/>
    <w:rsid w:val="7A8A0B42"/>
    <w:rsid w:val="7A8A6D94"/>
    <w:rsid w:val="7A8F43AA"/>
    <w:rsid w:val="7A92024C"/>
    <w:rsid w:val="7A9419C0"/>
    <w:rsid w:val="7A951295"/>
    <w:rsid w:val="7A97325F"/>
    <w:rsid w:val="7A97500D"/>
    <w:rsid w:val="7A98347A"/>
    <w:rsid w:val="7A995229"/>
    <w:rsid w:val="7A996FD7"/>
    <w:rsid w:val="7A9B2D4F"/>
    <w:rsid w:val="7A9B68AB"/>
    <w:rsid w:val="7A9D1CC5"/>
    <w:rsid w:val="7A9E639B"/>
    <w:rsid w:val="7AA00365"/>
    <w:rsid w:val="7AA222D1"/>
    <w:rsid w:val="7AA240DD"/>
    <w:rsid w:val="7AA5597C"/>
    <w:rsid w:val="7AAC0AB8"/>
    <w:rsid w:val="7AAC4F5C"/>
    <w:rsid w:val="7AAD4830"/>
    <w:rsid w:val="7AB20098"/>
    <w:rsid w:val="7AB4366F"/>
    <w:rsid w:val="7AB77117"/>
    <w:rsid w:val="7AB7745D"/>
    <w:rsid w:val="7AB83901"/>
    <w:rsid w:val="7AB94608"/>
    <w:rsid w:val="7ABC4A73"/>
    <w:rsid w:val="7AC2652D"/>
    <w:rsid w:val="7AC322A6"/>
    <w:rsid w:val="7AC53928"/>
    <w:rsid w:val="7AC57DCC"/>
    <w:rsid w:val="7AC676A0"/>
    <w:rsid w:val="7AC73B44"/>
    <w:rsid w:val="7ACA3634"/>
    <w:rsid w:val="7ACB4CB6"/>
    <w:rsid w:val="7ACC115A"/>
    <w:rsid w:val="7AD24297"/>
    <w:rsid w:val="7AD324E9"/>
    <w:rsid w:val="7AD601E6"/>
    <w:rsid w:val="7AD63D87"/>
    <w:rsid w:val="7AD85D51"/>
    <w:rsid w:val="7AD93877"/>
    <w:rsid w:val="7AD95625"/>
    <w:rsid w:val="7ADB314B"/>
    <w:rsid w:val="7AE2272C"/>
    <w:rsid w:val="7AE77D42"/>
    <w:rsid w:val="7AE91D0C"/>
    <w:rsid w:val="7AEA338E"/>
    <w:rsid w:val="7AEA6C1B"/>
    <w:rsid w:val="7AF1296F"/>
    <w:rsid w:val="7AF366E7"/>
    <w:rsid w:val="7AF81F4F"/>
    <w:rsid w:val="7AF83CFD"/>
    <w:rsid w:val="7AF85A3A"/>
    <w:rsid w:val="7AFA2D33"/>
    <w:rsid w:val="7AFB2C7A"/>
    <w:rsid w:val="7AFE508C"/>
    <w:rsid w:val="7AFE6E3A"/>
    <w:rsid w:val="7B000E04"/>
    <w:rsid w:val="7B047578"/>
    <w:rsid w:val="7B05641A"/>
    <w:rsid w:val="7B073F40"/>
    <w:rsid w:val="7B09415C"/>
    <w:rsid w:val="7B0A57DF"/>
    <w:rsid w:val="7B0B5BD1"/>
    <w:rsid w:val="7B0C1557"/>
    <w:rsid w:val="7B0D52CF"/>
    <w:rsid w:val="7B0E3521"/>
    <w:rsid w:val="7B0F54EB"/>
    <w:rsid w:val="7B1228E5"/>
    <w:rsid w:val="7B14665D"/>
    <w:rsid w:val="7B18439F"/>
    <w:rsid w:val="7B1A261A"/>
    <w:rsid w:val="7B1B79EC"/>
    <w:rsid w:val="7B203254"/>
    <w:rsid w:val="7B220D7A"/>
    <w:rsid w:val="7B2745E3"/>
    <w:rsid w:val="7B29035B"/>
    <w:rsid w:val="7B290C9E"/>
    <w:rsid w:val="7B297438"/>
    <w:rsid w:val="7B2A5E81"/>
    <w:rsid w:val="7B2C7E4B"/>
    <w:rsid w:val="7B310FBD"/>
    <w:rsid w:val="7B334D35"/>
    <w:rsid w:val="7B362A78"/>
    <w:rsid w:val="7B38059E"/>
    <w:rsid w:val="7B3867F0"/>
    <w:rsid w:val="7B3960C4"/>
    <w:rsid w:val="7B3A4316"/>
    <w:rsid w:val="7B3B008E"/>
    <w:rsid w:val="7B3B62E0"/>
    <w:rsid w:val="7B3F6A8D"/>
    <w:rsid w:val="7B4056A4"/>
    <w:rsid w:val="7B407F1D"/>
    <w:rsid w:val="7B430CF1"/>
    <w:rsid w:val="7B476A33"/>
    <w:rsid w:val="7B4927AB"/>
    <w:rsid w:val="7B4E7DC1"/>
    <w:rsid w:val="7B5353D8"/>
    <w:rsid w:val="7B5573A2"/>
    <w:rsid w:val="7B5B603A"/>
    <w:rsid w:val="7B5C52D6"/>
    <w:rsid w:val="7B5D0004"/>
    <w:rsid w:val="7B5D6256"/>
    <w:rsid w:val="7B6475E5"/>
    <w:rsid w:val="7B6E3FBF"/>
    <w:rsid w:val="7B705F89"/>
    <w:rsid w:val="7B71191C"/>
    <w:rsid w:val="7B713AB0"/>
    <w:rsid w:val="7B752FA4"/>
    <w:rsid w:val="7B7B492E"/>
    <w:rsid w:val="7B7D06A6"/>
    <w:rsid w:val="7B7F3F20"/>
    <w:rsid w:val="7B803CF3"/>
    <w:rsid w:val="7B821819"/>
    <w:rsid w:val="7B8437E3"/>
    <w:rsid w:val="7B845591"/>
    <w:rsid w:val="7B863D0D"/>
    <w:rsid w:val="7B874528"/>
    <w:rsid w:val="7B875081"/>
    <w:rsid w:val="7B890DF9"/>
    <w:rsid w:val="7B8B4B71"/>
    <w:rsid w:val="7B8C2698"/>
    <w:rsid w:val="7B8F3D87"/>
    <w:rsid w:val="7B906FB7"/>
    <w:rsid w:val="7B917A23"/>
    <w:rsid w:val="7B930658"/>
    <w:rsid w:val="7B937ECA"/>
    <w:rsid w:val="7B95154C"/>
    <w:rsid w:val="7B9559F0"/>
    <w:rsid w:val="7B98728E"/>
    <w:rsid w:val="7B9C6D7F"/>
    <w:rsid w:val="7B9D48A5"/>
    <w:rsid w:val="7BA14395"/>
    <w:rsid w:val="7BA2010D"/>
    <w:rsid w:val="7BA23C69"/>
    <w:rsid w:val="7BA45C33"/>
    <w:rsid w:val="7BA53398"/>
    <w:rsid w:val="7BA9149B"/>
    <w:rsid w:val="7BAD0F8C"/>
    <w:rsid w:val="7BAE260E"/>
    <w:rsid w:val="7BAE5749"/>
    <w:rsid w:val="7BAE6AB2"/>
    <w:rsid w:val="7BB06386"/>
    <w:rsid w:val="7BB10350"/>
    <w:rsid w:val="7BB73BB8"/>
    <w:rsid w:val="7BB8348D"/>
    <w:rsid w:val="7BBA0B9C"/>
    <w:rsid w:val="7BBB4D2B"/>
    <w:rsid w:val="7BBD0AA3"/>
    <w:rsid w:val="7BBD4F47"/>
    <w:rsid w:val="7BBD6CF5"/>
    <w:rsid w:val="7BC62F91"/>
    <w:rsid w:val="7BC71689"/>
    <w:rsid w:val="7BC9409A"/>
    <w:rsid w:val="7BC97448"/>
    <w:rsid w:val="7BCD518A"/>
    <w:rsid w:val="7BD32074"/>
    <w:rsid w:val="7BD77DB7"/>
    <w:rsid w:val="7BDC08DB"/>
    <w:rsid w:val="7BDC717B"/>
    <w:rsid w:val="7BDC777F"/>
    <w:rsid w:val="7BE10C35"/>
    <w:rsid w:val="7BE20360"/>
    <w:rsid w:val="7BE424D4"/>
    <w:rsid w:val="7BE60092"/>
    <w:rsid w:val="7BE61DA8"/>
    <w:rsid w:val="7BEB44B6"/>
    <w:rsid w:val="7BF85F7F"/>
    <w:rsid w:val="7BFA1CF7"/>
    <w:rsid w:val="7BFA5853"/>
    <w:rsid w:val="7BFE17E7"/>
    <w:rsid w:val="7BFF1417"/>
    <w:rsid w:val="7C016BE2"/>
    <w:rsid w:val="7C084414"/>
    <w:rsid w:val="7C091F3A"/>
    <w:rsid w:val="7C0B180E"/>
    <w:rsid w:val="7C0F7330"/>
    <w:rsid w:val="7C1032C9"/>
    <w:rsid w:val="7C125D37"/>
    <w:rsid w:val="7C127F87"/>
    <w:rsid w:val="7C133FBD"/>
    <w:rsid w:val="7C13614C"/>
    <w:rsid w:val="7C142DB9"/>
    <w:rsid w:val="7C1447C1"/>
    <w:rsid w:val="7C1508DF"/>
    <w:rsid w:val="7C155D5E"/>
    <w:rsid w:val="7C1728A9"/>
    <w:rsid w:val="7C1903CF"/>
    <w:rsid w:val="7C1A1A2B"/>
    <w:rsid w:val="7C1A7CA3"/>
    <w:rsid w:val="7C2154D6"/>
    <w:rsid w:val="7C232FFC"/>
    <w:rsid w:val="7C241D44"/>
    <w:rsid w:val="7C262AEC"/>
    <w:rsid w:val="7C2706DE"/>
    <w:rsid w:val="7C28650F"/>
    <w:rsid w:val="7C29438A"/>
    <w:rsid w:val="7C2C24EC"/>
    <w:rsid w:val="7C2E2D54"/>
    <w:rsid w:val="7C31212E"/>
    <w:rsid w:val="7C3255AB"/>
    <w:rsid w:val="7C333DB9"/>
    <w:rsid w:val="7C345209"/>
    <w:rsid w:val="7C350F81"/>
    <w:rsid w:val="7C354ADD"/>
    <w:rsid w:val="7C370855"/>
    <w:rsid w:val="7C3945CD"/>
    <w:rsid w:val="7C3A20F4"/>
    <w:rsid w:val="7C4111CA"/>
    <w:rsid w:val="7C4116D4"/>
    <w:rsid w:val="7C42265A"/>
    <w:rsid w:val="7C435CA9"/>
    <w:rsid w:val="7C4A2BBC"/>
    <w:rsid w:val="7C4B4301"/>
    <w:rsid w:val="7C501917"/>
    <w:rsid w:val="7C5533D1"/>
    <w:rsid w:val="7C572CA5"/>
    <w:rsid w:val="7C594C70"/>
    <w:rsid w:val="7C5D4691"/>
    <w:rsid w:val="7C5D7BDC"/>
    <w:rsid w:val="7C5E06F2"/>
    <w:rsid w:val="7C5E2286"/>
    <w:rsid w:val="7C63164A"/>
    <w:rsid w:val="7C6333F8"/>
    <w:rsid w:val="7C667453"/>
    <w:rsid w:val="7C677795"/>
    <w:rsid w:val="7C694787"/>
    <w:rsid w:val="7C6A2C66"/>
    <w:rsid w:val="7C6B6751"/>
    <w:rsid w:val="7C703D67"/>
    <w:rsid w:val="7C71055C"/>
    <w:rsid w:val="7C7337C0"/>
    <w:rsid w:val="7C741AA9"/>
    <w:rsid w:val="7C75312C"/>
    <w:rsid w:val="7C78688F"/>
    <w:rsid w:val="7C7970C0"/>
    <w:rsid w:val="7C7C44BA"/>
    <w:rsid w:val="7C7E0232"/>
    <w:rsid w:val="7C7E1AF1"/>
    <w:rsid w:val="7C7E46D6"/>
    <w:rsid w:val="7C7E6484"/>
    <w:rsid w:val="7C8021FC"/>
    <w:rsid w:val="7C81665C"/>
    <w:rsid w:val="7C817D22"/>
    <w:rsid w:val="7C857813"/>
    <w:rsid w:val="7C867510"/>
    <w:rsid w:val="7C8A4E29"/>
    <w:rsid w:val="7C8E41ED"/>
    <w:rsid w:val="7C920181"/>
    <w:rsid w:val="7C921F30"/>
    <w:rsid w:val="7C977546"/>
    <w:rsid w:val="7C991510"/>
    <w:rsid w:val="7CA0289E"/>
    <w:rsid w:val="7CA0464C"/>
    <w:rsid w:val="7CA13075"/>
    <w:rsid w:val="7CA13F21"/>
    <w:rsid w:val="7CA26617"/>
    <w:rsid w:val="7CA659DB"/>
    <w:rsid w:val="7CA81753"/>
    <w:rsid w:val="7CB02B6A"/>
    <w:rsid w:val="7CB32E3F"/>
    <w:rsid w:val="7CB3696D"/>
    <w:rsid w:val="7CB579CC"/>
    <w:rsid w:val="7CB63E70"/>
    <w:rsid w:val="7CB70A29"/>
    <w:rsid w:val="7CB73744"/>
    <w:rsid w:val="7CBB50AC"/>
    <w:rsid w:val="7CBB76D8"/>
    <w:rsid w:val="7CBC4E73"/>
    <w:rsid w:val="7CC06A9D"/>
    <w:rsid w:val="7CC12815"/>
    <w:rsid w:val="7CC145C3"/>
    <w:rsid w:val="7CC17459"/>
    <w:rsid w:val="7CC55E61"/>
    <w:rsid w:val="7CC61BD9"/>
    <w:rsid w:val="7CC83BA3"/>
    <w:rsid w:val="7CC85951"/>
    <w:rsid w:val="7CCA791B"/>
    <w:rsid w:val="7CCB71F0"/>
    <w:rsid w:val="7CCD11BA"/>
    <w:rsid w:val="7CCF0A8E"/>
    <w:rsid w:val="7CD2057E"/>
    <w:rsid w:val="7CD267D0"/>
    <w:rsid w:val="7CD51E1C"/>
    <w:rsid w:val="7CDB38D7"/>
    <w:rsid w:val="7CDC13FD"/>
    <w:rsid w:val="7CDC31AB"/>
    <w:rsid w:val="7CDE33C7"/>
    <w:rsid w:val="7CE04A49"/>
    <w:rsid w:val="7CE54755"/>
    <w:rsid w:val="7CEA3B1A"/>
    <w:rsid w:val="7CEF1130"/>
    <w:rsid w:val="7CF01DBB"/>
    <w:rsid w:val="7CF14EA8"/>
    <w:rsid w:val="7CF16C56"/>
    <w:rsid w:val="7CF44998"/>
    <w:rsid w:val="7CF510C4"/>
    <w:rsid w:val="7CF624BE"/>
    <w:rsid w:val="7CF6426C"/>
    <w:rsid w:val="7CF90201"/>
    <w:rsid w:val="7CF95B0B"/>
    <w:rsid w:val="7CFC55FB"/>
    <w:rsid w:val="7CFD384D"/>
    <w:rsid w:val="7D000001"/>
    <w:rsid w:val="7D006E99"/>
    <w:rsid w:val="7D036989"/>
    <w:rsid w:val="7D083FA0"/>
    <w:rsid w:val="7D0A41BC"/>
    <w:rsid w:val="7D0B583E"/>
    <w:rsid w:val="7D0C4C05"/>
    <w:rsid w:val="7D0D6708"/>
    <w:rsid w:val="7D0D7808"/>
    <w:rsid w:val="7D0F17D2"/>
    <w:rsid w:val="7D0F532E"/>
    <w:rsid w:val="7D11554A"/>
    <w:rsid w:val="7D1312C2"/>
    <w:rsid w:val="7D133070"/>
    <w:rsid w:val="7D144827"/>
    <w:rsid w:val="7D1666BD"/>
    <w:rsid w:val="7D167147"/>
    <w:rsid w:val="7D1B3CD3"/>
    <w:rsid w:val="7D1E1A15"/>
    <w:rsid w:val="7D21376C"/>
    <w:rsid w:val="7D24431C"/>
    <w:rsid w:val="7D24527D"/>
    <w:rsid w:val="7D254B52"/>
    <w:rsid w:val="7D28155C"/>
    <w:rsid w:val="7D311748"/>
    <w:rsid w:val="7D323461"/>
    <w:rsid w:val="7D341239"/>
    <w:rsid w:val="7D343309"/>
    <w:rsid w:val="7D3542A1"/>
    <w:rsid w:val="7D3552A1"/>
    <w:rsid w:val="7D382AD7"/>
    <w:rsid w:val="7D3905FD"/>
    <w:rsid w:val="7D3923AB"/>
    <w:rsid w:val="7D3B6123"/>
    <w:rsid w:val="7D3D00ED"/>
    <w:rsid w:val="7D3D633F"/>
    <w:rsid w:val="7D3E3E65"/>
    <w:rsid w:val="7D3E79C1"/>
    <w:rsid w:val="7D40198C"/>
    <w:rsid w:val="7D4274B2"/>
    <w:rsid w:val="7D43322A"/>
    <w:rsid w:val="7D44147C"/>
    <w:rsid w:val="7D4476CE"/>
    <w:rsid w:val="7D4645FD"/>
    <w:rsid w:val="7D470F6C"/>
    <w:rsid w:val="7D472D1A"/>
    <w:rsid w:val="7D4A280A"/>
    <w:rsid w:val="7D4A45B8"/>
    <w:rsid w:val="7D4C01C7"/>
    <w:rsid w:val="7D4E40A8"/>
    <w:rsid w:val="7D4F3314"/>
    <w:rsid w:val="7D4F6073"/>
    <w:rsid w:val="7D4F7E21"/>
    <w:rsid w:val="7D5176F5"/>
    <w:rsid w:val="7D537911"/>
    <w:rsid w:val="7D545437"/>
    <w:rsid w:val="7D553689"/>
    <w:rsid w:val="7D566EE8"/>
    <w:rsid w:val="7D59469C"/>
    <w:rsid w:val="7D5B4A17"/>
    <w:rsid w:val="7D60199E"/>
    <w:rsid w:val="7D610964"/>
    <w:rsid w:val="7D622331"/>
    <w:rsid w:val="7D6513F2"/>
    <w:rsid w:val="7D667F1E"/>
    <w:rsid w:val="7D6A4C5A"/>
    <w:rsid w:val="7D6C2781"/>
    <w:rsid w:val="7D6E474B"/>
    <w:rsid w:val="7D7004C3"/>
    <w:rsid w:val="7D7020D1"/>
    <w:rsid w:val="7D717D97"/>
    <w:rsid w:val="7D731D61"/>
    <w:rsid w:val="7D741635"/>
    <w:rsid w:val="7D781125"/>
    <w:rsid w:val="7D7A30EF"/>
    <w:rsid w:val="7D7A39D5"/>
    <w:rsid w:val="7D7B6E68"/>
    <w:rsid w:val="7D7D673C"/>
    <w:rsid w:val="7D847ACA"/>
    <w:rsid w:val="7D851A94"/>
    <w:rsid w:val="7D861F78"/>
    <w:rsid w:val="7D881663"/>
    <w:rsid w:val="7D8950E1"/>
    <w:rsid w:val="7D8B198E"/>
    <w:rsid w:val="7D8B41E0"/>
    <w:rsid w:val="7D8C2E23"/>
    <w:rsid w:val="7D8C4BD1"/>
    <w:rsid w:val="7D8C700B"/>
    <w:rsid w:val="7D8E0949"/>
    <w:rsid w:val="7D9046C1"/>
    <w:rsid w:val="7D910439"/>
    <w:rsid w:val="7D934831"/>
    <w:rsid w:val="7D935CBD"/>
    <w:rsid w:val="7D935F5F"/>
    <w:rsid w:val="7D937D0D"/>
    <w:rsid w:val="7D9817C8"/>
    <w:rsid w:val="7D99109C"/>
    <w:rsid w:val="7D9A5540"/>
    <w:rsid w:val="7D9B2D0E"/>
    <w:rsid w:val="7D9D6DDE"/>
    <w:rsid w:val="7DA4016C"/>
    <w:rsid w:val="7DA55C93"/>
    <w:rsid w:val="7DA63EE4"/>
    <w:rsid w:val="7DA77C5D"/>
    <w:rsid w:val="7DA912DF"/>
    <w:rsid w:val="7DAA5057"/>
    <w:rsid w:val="7DAB14FB"/>
    <w:rsid w:val="7DAC3B62"/>
    <w:rsid w:val="7DB54128"/>
    <w:rsid w:val="7DB67916"/>
    <w:rsid w:val="7DB73C89"/>
    <w:rsid w:val="7DB94E07"/>
    <w:rsid w:val="7DC223A1"/>
    <w:rsid w:val="7DC26844"/>
    <w:rsid w:val="7DC91981"/>
    <w:rsid w:val="7DC9372F"/>
    <w:rsid w:val="7DC97BD3"/>
    <w:rsid w:val="7DCE343B"/>
    <w:rsid w:val="7DD022C5"/>
    <w:rsid w:val="7DD32800"/>
    <w:rsid w:val="7DD75B87"/>
    <w:rsid w:val="7DD87E16"/>
    <w:rsid w:val="7DDB16B4"/>
    <w:rsid w:val="7DDC7906"/>
    <w:rsid w:val="7DDD367E"/>
    <w:rsid w:val="7DDD71DA"/>
    <w:rsid w:val="7DE052D0"/>
    <w:rsid w:val="7DE06CCB"/>
    <w:rsid w:val="7DE10BCD"/>
    <w:rsid w:val="7DE440D5"/>
    <w:rsid w:val="7DE61B99"/>
    <w:rsid w:val="7DEB18F7"/>
    <w:rsid w:val="7DEC566F"/>
    <w:rsid w:val="7DEE3196"/>
    <w:rsid w:val="7DEE7639"/>
    <w:rsid w:val="7DF12C86"/>
    <w:rsid w:val="7DF32EA2"/>
    <w:rsid w:val="7DF476AA"/>
    <w:rsid w:val="7DF764EE"/>
    <w:rsid w:val="7DFC7E2B"/>
    <w:rsid w:val="7E01111B"/>
    <w:rsid w:val="7E046E5D"/>
    <w:rsid w:val="7E0724A9"/>
    <w:rsid w:val="7E07746E"/>
    <w:rsid w:val="7E094473"/>
    <w:rsid w:val="7E0B3D48"/>
    <w:rsid w:val="7E0C7AC0"/>
    <w:rsid w:val="7E1075B0"/>
    <w:rsid w:val="7E122B46"/>
    <w:rsid w:val="7E123328"/>
    <w:rsid w:val="7E1464A6"/>
    <w:rsid w:val="7E192908"/>
    <w:rsid w:val="7E1A042F"/>
    <w:rsid w:val="7E1C41A7"/>
    <w:rsid w:val="7E21356B"/>
    <w:rsid w:val="7E2412AD"/>
    <w:rsid w:val="7E262275"/>
    <w:rsid w:val="7E265025"/>
    <w:rsid w:val="7E2676D0"/>
    <w:rsid w:val="7E2748F9"/>
    <w:rsid w:val="7E292420"/>
    <w:rsid w:val="7E3037AE"/>
    <w:rsid w:val="7E337838"/>
    <w:rsid w:val="7E34331A"/>
    <w:rsid w:val="7E350DC4"/>
    <w:rsid w:val="7E355268"/>
    <w:rsid w:val="7E372D8F"/>
    <w:rsid w:val="7E374B3D"/>
    <w:rsid w:val="7E374E0C"/>
    <w:rsid w:val="7E3A287F"/>
    <w:rsid w:val="7E3F7E95"/>
    <w:rsid w:val="7E431733"/>
    <w:rsid w:val="7E461224"/>
    <w:rsid w:val="7E470AF8"/>
    <w:rsid w:val="7E474901"/>
    <w:rsid w:val="7E492AC2"/>
    <w:rsid w:val="7E4C610E"/>
    <w:rsid w:val="7E4D25B2"/>
    <w:rsid w:val="7E4D4360"/>
    <w:rsid w:val="7E4F73AA"/>
    <w:rsid w:val="7E503E50"/>
    <w:rsid w:val="7E521C39"/>
    <w:rsid w:val="7E582D05"/>
    <w:rsid w:val="7E590F57"/>
    <w:rsid w:val="7E5A6A7D"/>
    <w:rsid w:val="7E5C27F5"/>
    <w:rsid w:val="7E5D6D4D"/>
    <w:rsid w:val="7E5E47BF"/>
    <w:rsid w:val="7E635125"/>
    <w:rsid w:val="7E6478FC"/>
    <w:rsid w:val="7E654A6D"/>
    <w:rsid w:val="7E6873EC"/>
    <w:rsid w:val="7E6B6EDC"/>
    <w:rsid w:val="7E6E42D6"/>
    <w:rsid w:val="7E7062A0"/>
    <w:rsid w:val="7E722019"/>
    <w:rsid w:val="7E723DC7"/>
    <w:rsid w:val="7E74200D"/>
    <w:rsid w:val="7E755665"/>
    <w:rsid w:val="7E7A2C7B"/>
    <w:rsid w:val="7E7B6F9A"/>
    <w:rsid w:val="7E7C4C45"/>
    <w:rsid w:val="7E7E6C0F"/>
    <w:rsid w:val="7E834226"/>
    <w:rsid w:val="7E8600D1"/>
    <w:rsid w:val="7E8B30DA"/>
    <w:rsid w:val="7E8F2BCB"/>
    <w:rsid w:val="7E915BF8"/>
    <w:rsid w:val="7E926217"/>
    <w:rsid w:val="7E927FC5"/>
    <w:rsid w:val="7E941FD6"/>
    <w:rsid w:val="7E991353"/>
    <w:rsid w:val="7E9957F7"/>
    <w:rsid w:val="7E9C0E44"/>
    <w:rsid w:val="7E9E4BBC"/>
    <w:rsid w:val="7E9E696A"/>
    <w:rsid w:val="7EA0240B"/>
    <w:rsid w:val="7EA02BCE"/>
    <w:rsid w:val="7EA06B86"/>
    <w:rsid w:val="7EA1645A"/>
    <w:rsid w:val="7EA22277"/>
    <w:rsid w:val="7EA30424"/>
    <w:rsid w:val="7EA32075"/>
    <w:rsid w:val="7EA36676"/>
    <w:rsid w:val="7EA47CF8"/>
    <w:rsid w:val="7EB048EF"/>
    <w:rsid w:val="7EB20667"/>
    <w:rsid w:val="7EB42631"/>
    <w:rsid w:val="7EB4618D"/>
    <w:rsid w:val="7EBE525E"/>
    <w:rsid w:val="7EC0254B"/>
    <w:rsid w:val="7EC14D4E"/>
    <w:rsid w:val="7EC53A6A"/>
    <w:rsid w:val="7EC63541"/>
    <w:rsid w:val="7ECA59B1"/>
    <w:rsid w:val="7ECB797B"/>
    <w:rsid w:val="7ECD05B8"/>
    <w:rsid w:val="7ECD2B3D"/>
    <w:rsid w:val="7ECD36F3"/>
    <w:rsid w:val="7ED405DD"/>
    <w:rsid w:val="7ED4682F"/>
    <w:rsid w:val="7ED607F9"/>
    <w:rsid w:val="7ED625A7"/>
    <w:rsid w:val="7ED700CE"/>
    <w:rsid w:val="7ED71E7C"/>
    <w:rsid w:val="7ED95BF4"/>
    <w:rsid w:val="7EDA2ACC"/>
    <w:rsid w:val="7EDB5E10"/>
    <w:rsid w:val="7EDC1B88"/>
    <w:rsid w:val="7EDC3936"/>
    <w:rsid w:val="7EDE408A"/>
    <w:rsid w:val="7EE051D4"/>
    <w:rsid w:val="7EE10F4C"/>
    <w:rsid w:val="7EE12CFA"/>
    <w:rsid w:val="7EE2719E"/>
    <w:rsid w:val="7EE60311"/>
    <w:rsid w:val="7EE747B5"/>
    <w:rsid w:val="7EE8052D"/>
    <w:rsid w:val="7EEA7E01"/>
    <w:rsid w:val="7EEB3B79"/>
    <w:rsid w:val="7EED4B13"/>
    <w:rsid w:val="7EED5B43"/>
    <w:rsid w:val="7EED78F1"/>
    <w:rsid w:val="7EF02F3D"/>
    <w:rsid w:val="7EF46ED2"/>
    <w:rsid w:val="7EF576D4"/>
    <w:rsid w:val="7EF70770"/>
    <w:rsid w:val="7EFC7B34"/>
    <w:rsid w:val="7EFD72F6"/>
    <w:rsid w:val="7F0215EE"/>
    <w:rsid w:val="7F033168"/>
    <w:rsid w:val="7F0548E1"/>
    <w:rsid w:val="7F055A88"/>
    <w:rsid w:val="7F062761"/>
    <w:rsid w:val="7F0A3FFF"/>
    <w:rsid w:val="7F0B7D77"/>
    <w:rsid w:val="7F0C421B"/>
    <w:rsid w:val="7F141322"/>
    <w:rsid w:val="7F1629A4"/>
    <w:rsid w:val="7F166E48"/>
    <w:rsid w:val="7F196938"/>
    <w:rsid w:val="7F1B33EC"/>
    <w:rsid w:val="7F1B620C"/>
    <w:rsid w:val="7F1C1F84"/>
    <w:rsid w:val="7F1D01D6"/>
    <w:rsid w:val="7F1E5CFC"/>
    <w:rsid w:val="7F207CC7"/>
    <w:rsid w:val="7F213B20"/>
    <w:rsid w:val="7F250E39"/>
    <w:rsid w:val="7F286B7B"/>
    <w:rsid w:val="7F2D7CEE"/>
    <w:rsid w:val="7F313C82"/>
    <w:rsid w:val="7F3379FA"/>
    <w:rsid w:val="7F34107C"/>
    <w:rsid w:val="7F343772"/>
    <w:rsid w:val="7F345520"/>
    <w:rsid w:val="7F353426"/>
    <w:rsid w:val="7F364DF4"/>
    <w:rsid w:val="7F384B03"/>
    <w:rsid w:val="7F3B065C"/>
    <w:rsid w:val="7F3B69BB"/>
    <w:rsid w:val="7F3D2627"/>
    <w:rsid w:val="7F3D43D5"/>
    <w:rsid w:val="7F4503AC"/>
    <w:rsid w:val="7F4A6AF1"/>
    <w:rsid w:val="7F4E65E2"/>
    <w:rsid w:val="7F4F235A"/>
    <w:rsid w:val="7F511C2E"/>
    <w:rsid w:val="7F531E4A"/>
    <w:rsid w:val="7F590AE3"/>
    <w:rsid w:val="7F596D35"/>
    <w:rsid w:val="7F5B485B"/>
    <w:rsid w:val="7F606315"/>
    <w:rsid w:val="7F6C2F0C"/>
    <w:rsid w:val="7F6F47AA"/>
    <w:rsid w:val="7F704E35"/>
    <w:rsid w:val="7F71407E"/>
    <w:rsid w:val="7F7211CD"/>
    <w:rsid w:val="7F73429A"/>
    <w:rsid w:val="7F741DC0"/>
    <w:rsid w:val="7F792F33"/>
    <w:rsid w:val="7F800765"/>
    <w:rsid w:val="7F8518D8"/>
    <w:rsid w:val="7F853FCE"/>
    <w:rsid w:val="7F8B1A78"/>
    <w:rsid w:val="7F8C0EB8"/>
    <w:rsid w:val="7F8C2C66"/>
    <w:rsid w:val="7F937455"/>
    <w:rsid w:val="7F947D6D"/>
    <w:rsid w:val="7F957EA2"/>
    <w:rsid w:val="7F967F89"/>
    <w:rsid w:val="7F9935D5"/>
    <w:rsid w:val="7F9B559F"/>
    <w:rsid w:val="7F9B734D"/>
    <w:rsid w:val="7F9D30C5"/>
    <w:rsid w:val="7F9E2999"/>
    <w:rsid w:val="7F9F0B14"/>
    <w:rsid w:val="7FA418D8"/>
    <w:rsid w:val="7FA426A6"/>
    <w:rsid w:val="7FA44454"/>
    <w:rsid w:val="7FA56F7D"/>
    <w:rsid w:val="7FA73F44"/>
    <w:rsid w:val="7FA92784"/>
    <w:rsid w:val="7FA93818"/>
    <w:rsid w:val="7FB15F3A"/>
    <w:rsid w:val="7FB34697"/>
    <w:rsid w:val="7FB56661"/>
    <w:rsid w:val="7FB7066B"/>
    <w:rsid w:val="7FBA3C77"/>
    <w:rsid w:val="7FBB179D"/>
    <w:rsid w:val="7FC05006"/>
    <w:rsid w:val="7FC20D7E"/>
    <w:rsid w:val="7FC44AF6"/>
    <w:rsid w:val="7FC9196B"/>
    <w:rsid w:val="7FC9210C"/>
    <w:rsid w:val="7FC95C68"/>
    <w:rsid w:val="7FCA6C3A"/>
    <w:rsid w:val="7FCE13C8"/>
    <w:rsid w:val="7FD05249"/>
    <w:rsid w:val="7FD12D6F"/>
    <w:rsid w:val="7FD30895"/>
    <w:rsid w:val="7FD665D7"/>
    <w:rsid w:val="7FD8234F"/>
    <w:rsid w:val="7FDA625C"/>
    <w:rsid w:val="7FDB599C"/>
    <w:rsid w:val="7FDD3AC7"/>
    <w:rsid w:val="7FDD570F"/>
    <w:rsid w:val="7FDF1DEA"/>
    <w:rsid w:val="7FE01204"/>
    <w:rsid w:val="7FE10597"/>
    <w:rsid w:val="7FE231CE"/>
    <w:rsid w:val="7FE40CF4"/>
    <w:rsid w:val="7FE64A6C"/>
    <w:rsid w:val="7FEA3E31"/>
    <w:rsid w:val="7FEC4FAE"/>
    <w:rsid w:val="7FEC5DFB"/>
    <w:rsid w:val="7FEE1037"/>
    <w:rsid w:val="7FEE1B73"/>
    <w:rsid w:val="7FF13411"/>
    <w:rsid w:val="7FF308BE"/>
    <w:rsid w:val="7FF60A27"/>
    <w:rsid w:val="7FF64583"/>
    <w:rsid w:val="7FF865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qFormat="1" w:uiPriority="99"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仿宋" w:cs="Times New Roman"/>
      <w:kern w:val="2"/>
      <w:sz w:val="21"/>
      <w:szCs w:val="24"/>
      <w:lang w:val="en-US" w:eastAsia="zh-CN" w:bidi="ar-SA"/>
    </w:rPr>
  </w:style>
  <w:style w:type="paragraph" w:styleId="2">
    <w:name w:val="heading 1"/>
    <w:basedOn w:val="1"/>
    <w:next w:val="1"/>
    <w:link w:val="38"/>
    <w:autoRedefine/>
    <w:qFormat/>
    <w:uiPriority w:val="0"/>
    <w:pPr>
      <w:keepNext/>
      <w:keepLines/>
      <w:spacing w:before="120" w:after="120"/>
      <w:jc w:val="center"/>
      <w:outlineLvl w:val="0"/>
    </w:pPr>
    <w:rPr>
      <w:b/>
      <w:kern w:val="44"/>
      <w:sz w:val="44"/>
    </w:rPr>
  </w:style>
  <w:style w:type="paragraph" w:styleId="3">
    <w:name w:val="heading 2"/>
    <w:basedOn w:val="1"/>
    <w:next w:val="1"/>
    <w:link w:val="39"/>
    <w:autoRedefine/>
    <w:qFormat/>
    <w:uiPriority w:val="0"/>
    <w:pPr>
      <w:keepNext/>
      <w:keepLines/>
      <w:spacing w:before="140" w:after="140" w:line="413" w:lineRule="auto"/>
      <w:jc w:val="center"/>
      <w:outlineLvl w:val="1"/>
    </w:pPr>
    <w:rPr>
      <w:rFonts w:ascii="Arial" w:hAnsi="Arial"/>
      <w:b/>
      <w:sz w:val="28"/>
    </w:rPr>
  </w:style>
  <w:style w:type="paragraph" w:styleId="4">
    <w:name w:val="heading 3"/>
    <w:basedOn w:val="1"/>
    <w:next w:val="1"/>
    <w:autoRedefine/>
    <w:qFormat/>
    <w:uiPriority w:val="0"/>
    <w:pPr>
      <w:widowControl/>
      <w:spacing w:before="50" w:beforeLines="50" w:after="50" w:afterLines="50"/>
      <w:ind w:left="200" w:leftChars="200"/>
      <w:jc w:val="left"/>
      <w:outlineLvl w:val="2"/>
    </w:pPr>
    <w:rPr>
      <w:rFonts w:cs="宋体"/>
      <w:b/>
      <w:bCs/>
      <w:kern w:val="0"/>
      <w:sz w:val="30"/>
      <w:szCs w:val="27"/>
    </w:rPr>
  </w:style>
  <w:style w:type="paragraph" w:styleId="5">
    <w:name w:val="heading 4"/>
    <w:basedOn w:val="1"/>
    <w:next w:val="1"/>
    <w:autoRedefine/>
    <w:qFormat/>
    <w:uiPriority w:val="0"/>
    <w:pPr>
      <w:keepNext/>
      <w:keepLines/>
      <w:outlineLvl w:val="3"/>
    </w:pPr>
    <w:rPr>
      <w:rFonts w:ascii="Arial" w:hAnsi="Arial" w:eastAsia="黑体"/>
      <w:bCs/>
      <w:kern w:val="0"/>
      <w:sz w:val="24"/>
      <w:szCs w:val="28"/>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6">
    <w:name w:val="table of authorities"/>
    <w:basedOn w:val="1"/>
    <w:next w:val="1"/>
    <w:autoRedefine/>
    <w:unhideWhenUsed/>
    <w:qFormat/>
    <w:uiPriority w:val="99"/>
    <w:pPr>
      <w:ind w:left="420" w:leftChars="200"/>
    </w:pPr>
    <w:rPr>
      <w:szCs w:val="20"/>
    </w:rPr>
  </w:style>
  <w:style w:type="paragraph" w:styleId="7">
    <w:name w:val="Normal Indent"/>
    <w:basedOn w:val="1"/>
    <w:autoRedefine/>
    <w:unhideWhenUsed/>
    <w:qFormat/>
    <w:uiPriority w:val="99"/>
    <w:pPr>
      <w:ind w:firstLine="420" w:firstLineChars="200"/>
    </w:pPr>
    <w:rPr>
      <w:rFonts w:ascii="Calibri" w:hAnsi="Calibri" w:cs="Calibri"/>
      <w:szCs w:val="21"/>
    </w:rPr>
  </w:style>
  <w:style w:type="paragraph" w:styleId="8">
    <w:name w:val="Document Map"/>
    <w:basedOn w:val="1"/>
    <w:link w:val="40"/>
    <w:autoRedefine/>
    <w:qFormat/>
    <w:uiPriority w:val="0"/>
    <w:rPr>
      <w:rFonts w:ascii="宋体" w:eastAsia="宋体"/>
      <w:sz w:val="18"/>
      <w:szCs w:val="18"/>
    </w:rPr>
  </w:style>
  <w:style w:type="paragraph" w:styleId="9">
    <w:name w:val="annotation text"/>
    <w:basedOn w:val="1"/>
    <w:link w:val="41"/>
    <w:autoRedefine/>
    <w:unhideWhenUsed/>
    <w:qFormat/>
    <w:uiPriority w:val="99"/>
    <w:pPr>
      <w:jc w:val="left"/>
    </w:pPr>
  </w:style>
  <w:style w:type="paragraph" w:styleId="10">
    <w:name w:val="Body Text"/>
    <w:basedOn w:val="1"/>
    <w:next w:val="1"/>
    <w:autoRedefine/>
    <w:qFormat/>
    <w:uiPriority w:val="0"/>
    <w:pPr>
      <w:spacing w:after="120"/>
    </w:pPr>
  </w:style>
  <w:style w:type="paragraph" w:styleId="11">
    <w:name w:val="Body Text Indent"/>
    <w:basedOn w:val="1"/>
    <w:link w:val="42"/>
    <w:autoRedefine/>
    <w:qFormat/>
    <w:uiPriority w:val="99"/>
    <w:pPr>
      <w:spacing w:after="120"/>
      <w:ind w:left="420" w:leftChars="200"/>
    </w:pPr>
  </w:style>
  <w:style w:type="paragraph" w:styleId="12">
    <w:name w:val="Plain Text"/>
    <w:basedOn w:val="1"/>
    <w:autoRedefine/>
    <w:qFormat/>
    <w:uiPriority w:val="99"/>
    <w:rPr>
      <w:rFonts w:ascii="宋体" w:hAnsi="Courier New" w:cs="Courier New"/>
      <w:szCs w:val="21"/>
    </w:rPr>
  </w:style>
  <w:style w:type="paragraph" w:styleId="13">
    <w:name w:val="Balloon Text"/>
    <w:basedOn w:val="1"/>
    <w:link w:val="43"/>
    <w:autoRedefine/>
    <w:qFormat/>
    <w:uiPriority w:val="0"/>
    <w:rPr>
      <w:sz w:val="18"/>
      <w:szCs w:val="18"/>
    </w:rPr>
  </w:style>
  <w:style w:type="paragraph" w:styleId="14">
    <w:name w:val="footer"/>
    <w:basedOn w:val="1"/>
    <w:link w:val="44"/>
    <w:autoRedefine/>
    <w:qFormat/>
    <w:uiPriority w:val="0"/>
    <w:pPr>
      <w:tabs>
        <w:tab w:val="center" w:pos="4153"/>
        <w:tab w:val="right" w:pos="8306"/>
      </w:tabs>
      <w:snapToGrid w:val="0"/>
      <w:jc w:val="left"/>
    </w:pPr>
    <w:rPr>
      <w:sz w:val="18"/>
    </w:rPr>
  </w:style>
  <w:style w:type="paragraph" w:styleId="15">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6">
    <w:name w:val="toc 1"/>
    <w:basedOn w:val="1"/>
    <w:next w:val="1"/>
    <w:autoRedefine/>
    <w:qFormat/>
    <w:uiPriority w:val="39"/>
  </w:style>
  <w:style w:type="paragraph" w:styleId="17">
    <w:name w:val="index 9"/>
    <w:basedOn w:val="1"/>
    <w:next w:val="1"/>
    <w:autoRedefine/>
    <w:unhideWhenUsed/>
    <w:qFormat/>
    <w:uiPriority w:val="99"/>
    <w:pPr>
      <w:ind w:left="3360"/>
    </w:pPr>
    <w:rPr>
      <w:rFonts w:ascii="Calibri" w:hAnsi="Calibri"/>
    </w:rPr>
  </w:style>
  <w:style w:type="paragraph" w:styleId="18">
    <w:name w:val="toc 2"/>
    <w:basedOn w:val="1"/>
    <w:next w:val="1"/>
    <w:autoRedefine/>
    <w:qFormat/>
    <w:uiPriority w:val="39"/>
    <w:pPr>
      <w:spacing w:before="158"/>
      <w:ind w:left="351"/>
    </w:pPr>
    <w:rPr>
      <w:sz w:val="24"/>
    </w:rPr>
  </w:style>
  <w:style w:type="paragraph" w:styleId="19">
    <w:name w:val="Body Text 2"/>
    <w:basedOn w:val="1"/>
    <w:autoRedefine/>
    <w:qFormat/>
    <w:uiPriority w:val="0"/>
    <w:pPr>
      <w:tabs>
        <w:tab w:val="left" w:pos="8208"/>
        <w:tab w:val="left" w:pos="9072"/>
      </w:tabs>
      <w:autoSpaceDE w:val="0"/>
      <w:autoSpaceDN w:val="0"/>
      <w:adjustRightInd w:val="0"/>
      <w:spacing w:line="360" w:lineRule="atLeast"/>
      <w:ind w:right="720"/>
      <w:textAlignment w:val="bottom"/>
    </w:pPr>
    <w:rPr>
      <w:rFonts w:ascii="Bookman Old Style" w:hAnsi="Bookman Old Style"/>
      <w:spacing w:val="-6"/>
      <w:kern w:val="0"/>
      <w:lang w:val="en-GB" w:eastAsia="en-GB"/>
    </w:rPr>
  </w:style>
  <w:style w:type="paragraph" w:styleId="20">
    <w:name w:val="Normal (Web)"/>
    <w:basedOn w:val="1"/>
    <w:autoRedefine/>
    <w:unhideWhenUsed/>
    <w:qFormat/>
    <w:uiPriority w:val="0"/>
    <w:pPr>
      <w:widowControl/>
      <w:spacing w:before="100" w:beforeAutospacing="1" w:after="100" w:afterAutospacing="1"/>
      <w:jc w:val="left"/>
    </w:pPr>
    <w:rPr>
      <w:rFonts w:ascii="宋体" w:hAnsi="宋体" w:eastAsia="宋体" w:cs="宋体"/>
      <w:kern w:val="0"/>
      <w:sz w:val="24"/>
    </w:rPr>
  </w:style>
  <w:style w:type="paragraph" w:styleId="21">
    <w:name w:val="annotation subject"/>
    <w:basedOn w:val="9"/>
    <w:next w:val="9"/>
    <w:link w:val="45"/>
    <w:autoRedefine/>
    <w:qFormat/>
    <w:uiPriority w:val="0"/>
    <w:rPr>
      <w:b/>
      <w:bCs/>
    </w:rPr>
  </w:style>
  <w:style w:type="paragraph" w:styleId="22">
    <w:name w:val="Body Text First Indent"/>
    <w:basedOn w:val="1"/>
    <w:autoRedefine/>
    <w:qFormat/>
    <w:uiPriority w:val="0"/>
    <w:pPr>
      <w:spacing w:line="360" w:lineRule="auto"/>
      <w:ind w:firstLine="420"/>
    </w:pPr>
  </w:style>
  <w:style w:type="paragraph" w:styleId="23">
    <w:name w:val="Body Text First Indent 2"/>
    <w:basedOn w:val="11"/>
    <w:link w:val="46"/>
    <w:autoRedefine/>
    <w:qFormat/>
    <w:uiPriority w:val="99"/>
    <w:pPr>
      <w:ind w:firstLine="420" w:firstLineChars="200"/>
    </w:pPr>
  </w:style>
  <w:style w:type="table" w:styleId="25">
    <w:name w:val="Table Grid"/>
    <w:basedOn w:val="2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autoRedefine/>
    <w:qFormat/>
    <w:uiPriority w:val="0"/>
    <w:rPr>
      <w:b/>
    </w:rPr>
  </w:style>
  <w:style w:type="character" w:styleId="28">
    <w:name w:val="FollowedHyperlink"/>
    <w:autoRedefine/>
    <w:unhideWhenUsed/>
    <w:qFormat/>
    <w:uiPriority w:val="99"/>
    <w:rPr>
      <w:color w:val="954F72"/>
      <w:u w:val="single"/>
    </w:rPr>
  </w:style>
  <w:style w:type="character" w:styleId="29">
    <w:name w:val="Emphasis"/>
    <w:autoRedefine/>
    <w:qFormat/>
    <w:uiPriority w:val="0"/>
  </w:style>
  <w:style w:type="character" w:styleId="30">
    <w:name w:val="HTML Definition"/>
    <w:autoRedefine/>
    <w:qFormat/>
    <w:uiPriority w:val="0"/>
  </w:style>
  <w:style w:type="character" w:styleId="31">
    <w:name w:val="HTML Variable"/>
    <w:autoRedefine/>
    <w:qFormat/>
    <w:uiPriority w:val="0"/>
  </w:style>
  <w:style w:type="character" w:styleId="32">
    <w:name w:val="Hyperlink"/>
    <w:autoRedefine/>
    <w:qFormat/>
    <w:uiPriority w:val="99"/>
    <w:rPr>
      <w:color w:val="0033CC"/>
      <w:u w:val="single"/>
    </w:rPr>
  </w:style>
  <w:style w:type="character" w:styleId="33">
    <w:name w:val="HTML Code"/>
    <w:autoRedefine/>
    <w:qFormat/>
    <w:uiPriority w:val="0"/>
    <w:rPr>
      <w:rFonts w:ascii="Courier New" w:hAnsi="Courier New"/>
      <w:sz w:val="20"/>
    </w:rPr>
  </w:style>
  <w:style w:type="character" w:styleId="34">
    <w:name w:val="annotation reference"/>
    <w:autoRedefine/>
    <w:unhideWhenUsed/>
    <w:qFormat/>
    <w:uiPriority w:val="99"/>
    <w:rPr>
      <w:sz w:val="21"/>
      <w:szCs w:val="21"/>
    </w:rPr>
  </w:style>
  <w:style w:type="character" w:styleId="35">
    <w:name w:val="HTML Cite"/>
    <w:autoRedefine/>
    <w:qFormat/>
    <w:uiPriority w:val="0"/>
  </w:style>
  <w:style w:type="paragraph" w:customStyle="1" w:styleId="36">
    <w:name w:val="List Paragraph1"/>
    <w:basedOn w:val="1"/>
    <w:autoRedefine/>
    <w:qFormat/>
    <w:uiPriority w:val="0"/>
    <w:rPr>
      <w:rFonts w:eastAsia="宋体"/>
      <w:szCs w:val="21"/>
    </w:rPr>
  </w:style>
  <w:style w:type="paragraph" w:customStyle="1" w:styleId="37">
    <w:name w:val="Style1"/>
    <w:basedOn w:val="1"/>
    <w:autoRedefine/>
    <w:qFormat/>
    <w:uiPriority w:val="0"/>
    <w:pPr>
      <w:widowControl/>
      <w:tabs>
        <w:tab w:val="left" w:pos="-720"/>
      </w:tabs>
      <w:spacing w:after="120"/>
    </w:pPr>
    <w:rPr>
      <w:spacing w:val="-3"/>
      <w:kern w:val="0"/>
      <w:sz w:val="24"/>
      <w:szCs w:val="20"/>
      <w:lang w:val="en-AU" w:eastAsia="en-US"/>
    </w:rPr>
  </w:style>
  <w:style w:type="character" w:customStyle="1" w:styleId="38">
    <w:name w:val="标题 1 字符"/>
    <w:link w:val="2"/>
    <w:autoRedefine/>
    <w:qFormat/>
    <w:uiPriority w:val="0"/>
    <w:rPr>
      <w:rFonts w:ascii="Calibri" w:hAnsi="Calibri" w:eastAsia="仿宋" w:cs="Times New Roman"/>
      <w:b/>
      <w:kern w:val="44"/>
      <w:sz w:val="44"/>
      <w:szCs w:val="24"/>
    </w:rPr>
  </w:style>
  <w:style w:type="character" w:customStyle="1" w:styleId="39">
    <w:name w:val="标题 2 字符"/>
    <w:link w:val="3"/>
    <w:autoRedefine/>
    <w:qFormat/>
    <w:uiPriority w:val="0"/>
    <w:rPr>
      <w:rFonts w:ascii="Arial" w:hAnsi="Arial"/>
      <w:b/>
      <w:sz w:val="28"/>
    </w:rPr>
  </w:style>
  <w:style w:type="character" w:customStyle="1" w:styleId="40">
    <w:name w:val="文档结构图 字符"/>
    <w:link w:val="8"/>
    <w:autoRedefine/>
    <w:qFormat/>
    <w:uiPriority w:val="0"/>
    <w:rPr>
      <w:rFonts w:ascii="宋体" w:hAnsi="Calibri" w:cs="Times New Roman"/>
      <w:kern w:val="2"/>
      <w:sz w:val="18"/>
      <w:szCs w:val="18"/>
    </w:rPr>
  </w:style>
  <w:style w:type="character" w:customStyle="1" w:styleId="41">
    <w:name w:val="批注文字 字符"/>
    <w:link w:val="9"/>
    <w:autoRedefine/>
    <w:qFormat/>
    <w:uiPriority w:val="99"/>
    <w:rPr>
      <w:rFonts w:ascii="Calibri" w:hAnsi="Calibri" w:eastAsia="仿宋" w:cs="Times New Roman"/>
      <w:kern w:val="2"/>
      <w:sz w:val="21"/>
      <w:szCs w:val="24"/>
    </w:rPr>
  </w:style>
  <w:style w:type="character" w:customStyle="1" w:styleId="42">
    <w:name w:val="正文文本缩进 字符"/>
    <w:link w:val="11"/>
    <w:autoRedefine/>
    <w:qFormat/>
    <w:uiPriority w:val="99"/>
    <w:rPr>
      <w:rFonts w:eastAsia="仿宋"/>
      <w:kern w:val="2"/>
      <w:sz w:val="21"/>
      <w:szCs w:val="24"/>
    </w:rPr>
  </w:style>
  <w:style w:type="character" w:customStyle="1" w:styleId="43">
    <w:name w:val="批注框文本 字符"/>
    <w:link w:val="13"/>
    <w:autoRedefine/>
    <w:qFormat/>
    <w:uiPriority w:val="0"/>
    <w:rPr>
      <w:rFonts w:ascii="Calibri" w:hAnsi="Calibri" w:eastAsia="仿宋" w:cs="Times New Roman"/>
      <w:kern w:val="2"/>
      <w:sz w:val="18"/>
      <w:szCs w:val="18"/>
    </w:rPr>
  </w:style>
  <w:style w:type="character" w:customStyle="1" w:styleId="44">
    <w:name w:val="页脚 字符"/>
    <w:link w:val="14"/>
    <w:autoRedefine/>
    <w:qFormat/>
    <w:uiPriority w:val="0"/>
    <w:rPr>
      <w:rFonts w:eastAsia="仿宋"/>
      <w:kern w:val="2"/>
      <w:sz w:val="18"/>
      <w:szCs w:val="24"/>
    </w:rPr>
  </w:style>
  <w:style w:type="character" w:customStyle="1" w:styleId="45">
    <w:name w:val="批注主题 字符"/>
    <w:link w:val="21"/>
    <w:autoRedefine/>
    <w:qFormat/>
    <w:uiPriority w:val="0"/>
    <w:rPr>
      <w:rFonts w:ascii="Calibri" w:hAnsi="Calibri" w:eastAsia="仿宋" w:cs="Times New Roman"/>
      <w:b/>
      <w:bCs/>
      <w:kern w:val="2"/>
      <w:sz w:val="21"/>
      <w:szCs w:val="24"/>
    </w:rPr>
  </w:style>
  <w:style w:type="character" w:customStyle="1" w:styleId="46">
    <w:name w:val="正文文本首行缩进 2 字符"/>
    <w:link w:val="23"/>
    <w:autoRedefine/>
    <w:qFormat/>
    <w:uiPriority w:val="99"/>
    <w:rPr>
      <w:rFonts w:eastAsia="仿宋"/>
      <w:kern w:val="2"/>
      <w:sz w:val="21"/>
      <w:szCs w:val="24"/>
    </w:rPr>
  </w:style>
  <w:style w:type="character" w:customStyle="1" w:styleId="47">
    <w:name w:val="NormalCharacter"/>
    <w:autoRedefine/>
    <w:qFormat/>
    <w:uiPriority w:val="0"/>
    <w:rPr>
      <w:rFonts w:eastAsia="仿宋"/>
      <w:kern w:val="2"/>
      <w:sz w:val="21"/>
      <w:szCs w:val="24"/>
      <w:lang w:val="en-US" w:eastAsia="zh-CN" w:bidi="ar-SA"/>
    </w:rPr>
  </w:style>
  <w:style w:type="paragraph" w:styleId="48">
    <w:name w:val="List Paragraph"/>
    <w:basedOn w:val="1"/>
    <w:autoRedefine/>
    <w:qFormat/>
    <w:uiPriority w:val="34"/>
    <w:pPr>
      <w:ind w:firstLine="420" w:firstLineChars="200"/>
    </w:pPr>
  </w:style>
  <w:style w:type="paragraph" w:customStyle="1" w:styleId="49">
    <w:name w:val="样式1"/>
    <w:basedOn w:val="1"/>
    <w:autoRedefine/>
    <w:qFormat/>
    <w:uiPriority w:val="0"/>
    <w:pPr>
      <w:numPr>
        <w:ilvl w:val="0"/>
        <w:numId w:val="1"/>
      </w:numPr>
      <w:adjustRightInd w:val="0"/>
      <w:textAlignment w:val="baseline"/>
    </w:pPr>
    <w:rPr>
      <w:rFonts w:ascii="宋体" w:hAnsi="宋体"/>
      <w:kern w:val="0"/>
      <w:szCs w:val="21"/>
    </w:rPr>
  </w:style>
  <w:style w:type="paragraph" w:customStyle="1" w:styleId="50">
    <w:name w:val="样式H"/>
    <w:basedOn w:val="2"/>
    <w:next w:val="1"/>
    <w:autoRedefine/>
    <w:qFormat/>
    <w:uiPriority w:val="0"/>
    <w:pPr>
      <w:spacing w:before="100" w:line="500" w:lineRule="exact"/>
    </w:pPr>
  </w:style>
  <w:style w:type="paragraph" w:customStyle="1" w:styleId="51">
    <w:name w:val="WPSOffice手动目录 2"/>
    <w:autoRedefine/>
    <w:qFormat/>
    <w:uiPriority w:val="0"/>
    <w:pPr>
      <w:ind w:left="200" w:leftChars="200"/>
    </w:pPr>
    <w:rPr>
      <w:rFonts w:ascii="Times New Roman" w:hAnsi="Times New Roman" w:eastAsia="宋体" w:cs="Times New Roman"/>
      <w:lang w:val="en-US" w:eastAsia="zh-CN" w:bidi="ar-SA"/>
    </w:rPr>
  </w:style>
  <w:style w:type="paragraph" w:customStyle="1" w:styleId="52">
    <w:name w:val="WPSOffice手动目录 1"/>
    <w:autoRedefine/>
    <w:qFormat/>
    <w:uiPriority w:val="0"/>
    <w:rPr>
      <w:rFonts w:ascii="Times New Roman" w:hAnsi="Times New Roman" w:eastAsia="宋体" w:cs="Times New Roman"/>
      <w:lang w:val="en-US" w:eastAsia="zh-CN" w:bidi="ar-SA"/>
    </w:rPr>
  </w:style>
  <w:style w:type="paragraph" w:customStyle="1" w:styleId="53">
    <w:name w:val="样式N"/>
    <w:basedOn w:val="50"/>
    <w:autoRedefine/>
    <w:qFormat/>
    <w:uiPriority w:val="0"/>
    <w:rPr>
      <w:sz w:val="30"/>
    </w:rPr>
  </w:style>
  <w:style w:type="paragraph" w:customStyle="1" w:styleId="54">
    <w:name w:val="WPSOffice手动目录 3"/>
    <w:autoRedefine/>
    <w:qFormat/>
    <w:uiPriority w:val="0"/>
    <w:pPr>
      <w:ind w:left="400" w:leftChars="400"/>
    </w:pPr>
    <w:rPr>
      <w:rFonts w:ascii="Times New Roman" w:hAnsi="Times New Roman" w:eastAsia="宋体" w:cs="Times New Roman"/>
      <w:lang w:val="en-US" w:eastAsia="zh-CN" w:bidi="ar-SA"/>
    </w:rPr>
  </w:style>
  <w:style w:type="paragraph" w:customStyle="1" w:styleId="55">
    <w:name w:val="列出段落11"/>
    <w:basedOn w:val="1"/>
    <w:autoRedefine/>
    <w:qFormat/>
    <w:uiPriority w:val="34"/>
    <w:pPr>
      <w:ind w:firstLine="420" w:firstLineChars="200"/>
    </w:pPr>
    <w:rPr>
      <w:rFonts w:ascii="Calibri" w:hAnsi="Calibri" w:eastAsia="宋体"/>
      <w:szCs w:val="22"/>
      <w:lang w:val="zh-CN"/>
    </w:rPr>
  </w:style>
  <w:style w:type="paragraph" w:customStyle="1" w:styleId="56">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57">
    <w:name w:val="font21"/>
    <w:basedOn w:val="26"/>
    <w:autoRedefine/>
    <w:qFormat/>
    <w:uiPriority w:val="0"/>
    <w:rPr>
      <w:rFonts w:hint="default" w:ascii="Arial" w:hAnsi="Arial" w:cs="Arial"/>
      <w:color w:val="000000"/>
      <w:sz w:val="32"/>
      <w:szCs w:val="32"/>
      <w:u w:val="none"/>
    </w:rPr>
  </w:style>
  <w:style w:type="character" w:customStyle="1" w:styleId="58">
    <w:name w:val="font51"/>
    <w:autoRedefine/>
    <w:qFormat/>
    <w:uiPriority w:val="0"/>
    <w:rPr>
      <w:rFonts w:hint="eastAsia" w:ascii="仿宋_GB2312" w:eastAsia="仿宋_GB2312"/>
      <w:color w:val="000000"/>
      <w:sz w:val="32"/>
      <w:szCs w:val="32"/>
      <w:u w:val="none"/>
    </w:rPr>
  </w:style>
  <w:style w:type="character" w:customStyle="1" w:styleId="59">
    <w:name w:val="font41"/>
    <w:autoRedefine/>
    <w:qFormat/>
    <w:uiPriority w:val="0"/>
    <w:rPr>
      <w:rFonts w:hint="eastAsia" w:ascii="宋体" w:hAnsi="宋体" w:eastAsia="宋体"/>
      <w:color w:val="000000"/>
      <w:sz w:val="32"/>
      <w:szCs w:val="32"/>
      <w:u w:val="none"/>
    </w:rPr>
  </w:style>
  <w:style w:type="character" w:customStyle="1" w:styleId="60">
    <w:name w:val="font01"/>
    <w:autoRedefine/>
    <w:qFormat/>
    <w:uiPriority w:val="0"/>
    <w:rPr>
      <w:rFonts w:hint="eastAsia" w:ascii="宋体" w:hAnsi="宋体" w:eastAsia="宋体" w:cs="宋体"/>
      <w:color w:val="000000"/>
      <w:sz w:val="21"/>
      <w:szCs w:val="21"/>
      <w:u w:val="none"/>
    </w:rPr>
  </w:style>
  <w:style w:type="character" w:customStyle="1" w:styleId="61">
    <w:name w:val="font31"/>
    <w:autoRedefine/>
    <w:qFormat/>
    <w:uiPriority w:val="0"/>
    <w:rPr>
      <w:rFonts w:ascii="Calibri" w:hAnsi="Calibri" w:cs="Calibri"/>
      <w:color w:val="000000"/>
      <w:sz w:val="21"/>
      <w:szCs w:val="21"/>
      <w:u w:val="none"/>
    </w:rPr>
  </w:style>
  <w:style w:type="character" w:customStyle="1" w:styleId="62">
    <w:name w:val="hover5"/>
    <w:autoRedefine/>
    <w:qFormat/>
    <w:uiPriority w:val="0"/>
    <w:rPr>
      <w:color w:val="FF7B00"/>
    </w:rPr>
  </w:style>
  <w:style w:type="paragraph" w:customStyle="1" w:styleId="63">
    <w:name w:val="_Style 58"/>
    <w:autoRedefine/>
    <w:unhideWhenUsed/>
    <w:qFormat/>
    <w:uiPriority w:val="99"/>
    <w:rPr>
      <w:rFonts w:ascii="Times New Roman" w:hAnsi="Times New Roman" w:eastAsia="仿宋" w:cs="Times New Roman"/>
      <w:kern w:val="2"/>
      <w:sz w:val="21"/>
      <w:szCs w:val="24"/>
      <w:lang w:val="en-US" w:eastAsia="zh-CN" w:bidi="ar-SA"/>
    </w:rPr>
  </w:style>
  <w:style w:type="paragraph" w:customStyle="1" w:styleId="64">
    <w:name w:val="Normal_1_0"/>
    <w:basedOn w:val="1"/>
    <w:autoRedefine/>
    <w:qFormat/>
    <w:uiPriority w:val="0"/>
    <w:pPr>
      <w:widowControl/>
      <w:jc w:val="left"/>
    </w:pPr>
    <w:rPr>
      <w:rFonts w:eastAsia="宋体"/>
      <w:kern w:val="0"/>
      <w:sz w:val="24"/>
    </w:rPr>
  </w:style>
  <w:style w:type="character" w:customStyle="1" w:styleId="65">
    <w:name w:val="10"/>
    <w:autoRedefine/>
    <w:qFormat/>
    <w:uiPriority w:val="0"/>
    <w:rPr>
      <w:rFonts w:hint="default" w:ascii="Calibri" w:hAnsi="Calibri" w:cs="Calibri"/>
    </w:rPr>
  </w:style>
  <w:style w:type="paragraph" w:customStyle="1" w:styleId="66">
    <w:name w:val="Normal_0_3"/>
    <w:basedOn w:val="1"/>
    <w:autoRedefine/>
    <w:qFormat/>
    <w:uiPriority w:val="0"/>
    <w:pPr>
      <w:widowControl/>
      <w:jc w:val="left"/>
    </w:pPr>
    <w:rPr>
      <w:rFonts w:eastAsia="宋体"/>
      <w:kern w:val="0"/>
      <w:sz w:val="24"/>
    </w:rPr>
  </w:style>
  <w:style w:type="paragraph" w:customStyle="1" w:styleId="67">
    <w:name w:val="Table Paragraph"/>
    <w:basedOn w:val="1"/>
    <w:autoRedefine/>
    <w:qFormat/>
    <w:uiPriority w:val="1"/>
    <w:pPr>
      <w:autoSpaceDE w:val="0"/>
      <w:autoSpaceDN w:val="0"/>
      <w:jc w:val="left"/>
    </w:pPr>
    <w:rPr>
      <w:rFonts w:ascii="宋体" w:hAnsi="宋体" w:cs="宋体"/>
      <w:kern w:val="0"/>
      <w:sz w:val="22"/>
      <w:lang w:val="zh-CN" w:bidi="zh-CN"/>
    </w:rPr>
  </w:style>
  <w:style w:type="paragraph" w:customStyle="1" w:styleId="68">
    <w:name w:val="需求中星号项"/>
    <w:basedOn w:val="1"/>
    <w:link w:val="69"/>
    <w:autoRedefine/>
    <w:qFormat/>
    <w:uiPriority w:val="0"/>
    <w:pPr>
      <w:widowControl/>
      <w:adjustRightInd w:val="0"/>
      <w:snapToGrid w:val="0"/>
      <w:spacing w:line="288" w:lineRule="auto"/>
      <w:ind w:firstLine="210" w:firstLineChars="100"/>
      <w:jc w:val="left"/>
      <w:textAlignment w:val="center"/>
    </w:pPr>
    <w:rPr>
      <w:rFonts w:hint="eastAsia" w:ascii="仿宋_GB2312" w:hAnsi="仿宋_GB2312" w:eastAsia="仿宋_GB2312" w:cs="仿宋_GB2312"/>
      <w:szCs w:val="21"/>
    </w:rPr>
  </w:style>
  <w:style w:type="character" w:customStyle="1" w:styleId="69">
    <w:name w:val="需求中星号项 Char"/>
    <w:link w:val="68"/>
    <w:autoRedefine/>
    <w:qFormat/>
    <w:uiPriority w:val="0"/>
    <w:rPr>
      <w:rFonts w:hint="eastAsia" w:ascii="仿宋_GB2312" w:hAnsi="仿宋_GB2312" w:eastAsia="仿宋_GB2312" w:cs="仿宋_GB2312"/>
      <w:color w:val="auto"/>
      <w:szCs w:val="21"/>
    </w:rPr>
  </w:style>
  <w:style w:type="paragraph" w:customStyle="1" w:styleId="70">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71">
    <w:name w:val="列出段落1"/>
    <w:basedOn w:val="1"/>
    <w:autoRedefine/>
    <w:qFormat/>
    <w:uiPriority w:val="34"/>
    <w:pPr>
      <w:ind w:firstLine="420" w:firstLineChars="200"/>
    </w:pPr>
  </w:style>
  <w:style w:type="paragraph" w:customStyle="1" w:styleId="72">
    <w:name w:val="Normal_6"/>
    <w:autoRedefine/>
    <w:qFormat/>
    <w:uiPriority w:val="0"/>
    <w:rPr>
      <w:rFonts w:ascii="Times New Roman" w:hAnsi="Times New Roman" w:eastAsia="Times New Roman" w:cs="Times New Roman"/>
      <w:sz w:val="24"/>
      <w:szCs w:val="24"/>
      <w:lang w:val="en-US" w:eastAsia="zh-CN" w:bidi="ar-SA"/>
    </w:rPr>
  </w:style>
  <w:style w:type="paragraph" w:customStyle="1" w:styleId="73">
    <w:name w:val="表 靠左"/>
    <w:basedOn w:val="74"/>
    <w:autoRedefine/>
    <w:qFormat/>
    <w:uiPriority w:val="0"/>
    <w:pPr>
      <w:jc w:val="left"/>
    </w:pPr>
    <w:rPr>
      <w:rFonts w:ascii="宋体" w:hAnsi="宋体"/>
    </w:rPr>
  </w:style>
  <w:style w:type="paragraph" w:customStyle="1" w:styleId="74">
    <w:name w:val="表"/>
    <w:basedOn w:val="1"/>
    <w:next w:val="1"/>
    <w:autoRedefine/>
    <w:qFormat/>
    <w:uiPriority w:val="7"/>
    <w:pPr>
      <w:jc w:val="center"/>
    </w:pPr>
    <w:rPr>
      <w:rFonts w:ascii="Calibri" w:hAnsi="Calibri"/>
    </w:rPr>
  </w:style>
  <w:style w:type="paragraph" w:customStyle="1" w:styleId="75">
    <w:name w:val="正文首行缩进 21"/>
    <w:basedOn w:val="11"/>
    <w:autoRedefine/>
    <w:qFormat/>
    <w:uiPriority w:val="0"/>
    <w:pPr>
      <w:spacing w:before="100" w:beforeAutospacing="1"/>
      <w:ind w:firstLine="420" w:firstLineChars="200"/>
    </w:pPr>
  </w:style>
  <w:style w:type="paragraph" w:customStyle="1" w:styleId="76">
    <w:name w:val="Normal_1"/>
    <w:autoRedefine/>
    <w:qFormat/>
    <w:uiPriority w:val="0"/>
    <w:pPr>
      <w:widowControl w:val="0"/>
      <w:jc w:val="both"/>
    </w:pPr>
    <w:rPr>
      <w:rFonts w:ascii="Calibri" w:hAnsi="Calibri" w:eastAsia="仿宋" w:cs="Calibri"/>
      <w:kern w:val="2"/>
      <w:sz w:val="21"/>
      <w:szCs w:val="24"/>
      <w:lang w:val="en-US" w:eastAsia="zh-CN" w:bidi="ar-SA"/>
    </w:rPr>
  </w:style>
  <w:style w:type="paragraph" w:customStyle="1" w:styleId="77">
    <w:name w:val="Normal_0_3_0"/>
    <w:autoRedefine/>
    <w:qFormat/>
    <w:uiPriority w:val="0"/>
    <w:pPr>
      <w:widowControl w:val="0"/>
      <w:jc w:val="both"/>
    </w:pPr>
    <w:rPr>
      <w:rFonts w:ascii="Calibri" w:hAnsi="Calibri" w:eastAsia="仿宋" w:cs="Times New Roman"/>
      <w:kern w:val="2"/>
      <w:sz w:val="21"/>
      <w:szCs w:val="24"/>
      <w:lang w:val="en-US" w:eastAsia="zh-CN" w:bidi="ar-SA"/>
    </w:rPr>
  </w:style>
  <w:style w:type="paragraph" w:customStyle="1" w:styleId="78">
    <w:name w:val="普通(网站)1_0"/>
    <w:basedOn w:val="77"/>
    <w:qFormat/>
    <w:uiPriority w:val="0"/>
    <w:pPr>
      <w:widowControl/>
      <w:spacing w:before="100" w:beforeAutospacing="1" w:after="100" w:afterAutospacing="1"/>
      <w:jc w:val="left"/>
    </w:pPr>
    <w:rPr>
      <w:rFonts w:ascii="宋体" w:hAnsi="宋体" w:eastAsia="宋体" w:cs="宋体"/>
      <w:kern w:val="0"/>
      <w:sz w:val="24"/>
    </w:rPr>
  </w:style>
  <w:style w:type="paragraph" w:customStyle="1" w:styleId="79">
    <w:name w:val="Normal_2"/>
    <w:autoRedefine/>
    <w:qFormat/>
    <w:uiPriority w:val="0"/>
    <w:pPr>
      <w:widowControl w:val="0"/>
      <w:jc w:val="both"/>
    </w:pPr>
    <w:rPr>
      <w:rFonts w:ascii="Calibri" w:hAnsi="Calibri" w:eastAsia="仿宋" w:cs="Calibri"/>
      <w:kern w:val="2"/>
      <w:sz w:val="21"/>
      <w:szCs w:val="24"/>
      <w:lang w:val="en-US" w:eastAsia="zh-CN" w:bidi="ar-SA"/>
    </w:rPr>
  </w:style>
  <w:style w:type="paragraph" w:customStyle="1" w:styleId="80">
    <w:name w:val="Normal (Web)_2"/>
    <w:basedOn w:val="72"/>
    <w:qFormat/>
    <w:uiPriority w:val="0"/>
    <w:pPr>
      <w:spacing w:before="100" w:beforeAutospacing="1" w:after="100" w:afterAutospacing="1"/>
    </w:pPr>
    <w:rPr>
      <w:rFonts w:ascii="宋体" w:hAnsi="宋体" w:eastAsia="宋体" w:cs="宋体"/>
    </w:rPr>
  </w:style>
  <w:style w:type="paragraph" w:customStyle="1" w:styleId="81">
    <w:name w:val="Normal_8"/>
    <w:autoRedefine/>
    <w:qFormat/>
    <w:uiPriority w:val="0"/>
    <w:pPr>
      <w:widowControl w:val="0"/>
      <w:jc w:val="both"/>
    </w:pPr>
    <w:rPr>
      <w:rFonts w:ascii="Calibri" w:hAnsi="Calibri" w:eastAsia="仿宋" w:cs="Times New Roman"/>
      <w:kern w:val="2"/>
      <w:sz w:val="21"/>
      <w:szCs w:val="24"/>
      <w:lang w:val="en-US" w:eastAsia="zh-CN" w:bidi="ar-SA"/>
    </w:rPr>
  </w:style>
  <w:style w:type="paragraph" w:customStyle="1" w:styleId="82">
    <w:name w:val="Normal (Web)_3"/>
    <w:basedOn w:val="81"/>
    <w:autoRedefine/>
    <w:qFormat/>
    <w:uiPriority w:val="0"/>
    <w:pPr>
      <w:widowControl/>
      <w:spacing w:before="100" w:beforeAutospacing="1" w:after="100" w:afterAutospacing="1"/>
      <w:jc w:val="left"/>
    </w:pPr>
    <w:rPr>
      <w:rFonts w:ascii="宋体" w:hAnsi="宋体" w:eastAsia="宋体" w:cs="宋体"/>
      <w:kern w:val="0"/>
      <w:sz w:val="24"/>
    </w:rPr>
  </w:style>
  <w:style w:type="paragraph" w:customStyle="1" w:styleId="83">
    <w:name w:val="Normal_10"/>
    <w:autoRedefine/>
    <w:qFormat/>
    <w:uiPriority w:val="0"/>
    <w:pPr>
      <w:widowControl w:val="0"/>
      <w:jc w:val="both"/>
    </w:pPr>
    <w:rPr>
      <w:rFonts w:ascii="Calibri" w:hAnsi="Calibri" w:eastAsia="仿宋" w:cs="Calibri"/>
      <w:kern w:val="2"/>
      <w:sz w:val="21"/>
      <w:szCs w:val="24"/>
      <w:lang w:val="en-US" w:eastAsia="zh-CN" w:bidi="ar-SA"/>
    </w:rPr>
  </w:style>
  <w:style w:type="paragraph" w:customStyle="1" w:styleId="84">
    <w:name w:val="Normal (Web)_4"/>
    <w:basedOn w:val="83"/>
    <w:autoRedefine/>
    <w:qFormat/>
    <w:uiPriority w:val="0"/>
    <w:pPr>
      <w:widowControl/>
      <w:spacing w:before="100" w:beforeAutospacing="1" w:after="100" w:afterAutospacing="1"/>
      <w:jc w:val="left"/>
    </w:pPr>
    <w:rPr>
      <w:rFonts w:ascii="宋体" w:hAnsi="宋体" w:eastAsia="宋体" w:cs="宋体"/>
      <w:kern w:val="0"/>
      <w:sz w:val="24"/>
    </w:rPr>
  </w:style>
  <w:style w:type="paragraph" w:customStyle="1" w:styleId="85">
    <w:name w:val="Normal_0"/>
    <w:autoRedefine/>
    <w:qFormat/>
    <w:uiPriority w:val="0"/>
    <w:pPr>
      <w:widowControl w:val="0"/>
      <w:jc w:val="both"/>
    </w:pPr>
    <w:rPr>
      <w:rFonts w:ascii="Calibri" w:hAnsi="Calibri" w:eastAsia="仿宋" w:cs="Calibri"/>
      <w:kern w:val="2"/>
      <w:sz w:val="21"/>
      <w:szCs w:val="24"/>
      <w:lang w:val="en-US" w:eastAsia="zh-CN" w:bidi="ar-SA"/>
    </w:rPr>
  </w:style>
  <w:style w:type="paragraph" w:customStyle="1" w:styleId="86">
    <w:name w:val="普通(网站)1"/>
    <w:basedOn w:val="85"/>
    <w:autoRedefine/>
    <w:qFormat/>
    <w:uiPriority w:val="0"/>
    <w:pPr>
      <w:widowControl/>
      <w:spacing w:before="100" w:beforeAutospacing="1" w:after="100" w:afterAutospacing="1"/>
      <w:jc w:val="left"/>
    </w:pPr>
    <w:rPr>
      <w:rFonts w:ascii="宋体" w:hAnsi="宋体" w:eastAsia="宋体" w:cs="宋体"/>
      <w:kern w:val="0"/>
      <w:sz w:val="24"/>
    </w:rPr>
  </w:style>
  <w:style w:type="paragraph" w:customStyle="1" w:styleId="87">
    <w:name w:val="Normal_0_4"/>
    <w:autoRedefine/>
    <w:qFormat/>
    <w:uiPriority w:val="0"/>
    <w:rPr>
      <w:rFonts w:ascii="Times New Roman" w:hAnsi="Times New Roman" w:eastAsia="Times New Roman" w:cs="Times New Roman"/>
      <w:sz w:val="24"/>
      <w:szCs w:val="24"/>
      <w:lang w:val="en-US" w:eastAsia="zh-CN" w:bidi="ar-SA"/>
    </w:rPr>
  </w:style>
  <w:style w:type="paragraph" w:customStyle="1" w:styleId="88">
    <w:name w:val="Normal_3_2"/>
    <w:autoRedefine/>
    <w:qFormat/>
    <w:uiPriority w:val="0"/>
    <w:rPr>
      <w:rFonts w:ascii="Times New Roman" w:hAnsi="Times New Roman" w:eastAsia="Times New Roman" w:cs="Times New Roman"/>
      <w:sz w:val="24"/>
      <w:szCs w:val="24"/>
      <w:lang w:val="en-US" w:eastAsia="zh-CN" w:bidi="ar-SA"/>
    </w:rPr>
  </w:style>
  <w:style w:type="paragraph" w:customStyle="1" w:styleId="89">
    <w:name w:val="Normal_4_2"/>
    <w:autoRedefine/>
    <w:qFormat/>
    <w:uiPriority w:val="0"/>
    <w:rPr>
      <w:rFonts w:ascii="Times New Roman" w:hAnsi="Times New Roman" w:eastAsia="Times New Roman" w:cs="Times New Roman"/>
      <w:sz w:val="24"/>
      <w:szCs w:val="24"/>
      <w:lang w:val="en-US" w:eastAsia="zh-CN" w:bidi="ar-SA"/>
    </w:rPr>
  </w:style>
  <w:style w:type="paragraph" w:customStyle="1" w:styleId="90">
    <w:name w:val="Normal_5_2"/>
    <w:autoRedefine/>
    <w:qFormat/>
    <w:uiPriority w:val="0"/>
    <w:rPr>
      <w:rFonts w:ascii="Times New Roman" w:hAnsi="Times New Roman" w:eastAsia="Times New Roman" w:cs="Times New Roman"/>
      <w:sz w:val="24"/>
      <w:szCs w:val="24"/>
      <w:lang w:val="en-US" w:eastAsia="zh-CN" w:bidi="ar-SA"/>
    </w:rPr>
  </w:style>
  <w:style w:type="paragraph" w:customStyle="1" w:styleId="91">
    <w:name w:val="Normal_1_3"/>
    <w:autoRedefine/>
    <w:qFormat/>
    <w:uiPriority w:val="0"/>
    <w:rPr>
      <w:rFonts w:ascii="Times New Roman" w:hAnsi="Times New Roman" w:eastAsia="Times New Roman" w:cs="Times New Roman"/>
      <w:sz w:val="24"/>
      <w:szCs w:val="24"/>
      <w:lang w:val="en-US" w:eastAsia="zh-CN" w:bidi="ar-SA"/>
    </w:rPr>
  </w:style>
  <w:style w:type="paragraph" w:customStyle="1" w:styleId="92">
    <w:name w:val="Normal_2_2"/>
    <w:autoRedefine/>
    <w:qFormat/>
    <w:uiPriority w:val="0"/>
    <w:rPr>
      <w:rFonts w:ascii="Times New Roman" w:hAnsi="Times New Roman" w:eastAsia="Times New Roman" w:cs="Times New Roman"/>
      <w:sz w:val="24"/>
      <w:szCs w:val="24"/>
      <w:lang w:val="en-US" w:eastAsia="zh-CN" w:bidi="ar-SA"/>
    </w:rPr>
  </w:style>
  <w:style w:type="paragraph" w:customStyle="1" w:styleId="93">
    <w:name w:val="Normal_7"/>
    <w:autoRedefine/>
    <w:qFormat/>
    <w:uiPriority w:val="0"/>
    <w:rPr>
      <w:rFonts w:ascii="Times New Roman" w:hAnsi="Times New Roman" w:eastAsia="Times New Roman" w:cs="Times New Roman"/>
      <w:sz w:val="24"/>
      <w:szCs w:val="24"/>
      <w:lang w:val="en-US" w:eastAsia="zh-CN" w:bidi="ar-SA"/>
    </w:rPr>
  </w:style>
  <w:style w:type="paragraph" w:customStyle="1" w:styleId="94">
    <w:name w:val="B-表正文"/>
    <w:qFormat/>
    <w:uiPriority w:val="0"/>
    <w:pPr>
      <w:jc w:val="both"/>
    </w:pPr>
    <w:rPr>
      <w:rFonts w:ascii="Times New Roman" w:hAnsi="Times New Roman" w:eastAsia="黑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102</Pages>
  <Words>22250</Words>
  <Characters>23575</Characters>
  <Lines>371</Lines>
  <Paragraphs>104</Paragraphs>
  <TotalTime>10</TotalTime>
  <ScaleCrop>false</ScaleCrop>
  <LinksUpToDate>false</LinksUpToDate>
  <CharactersWithSpaces>25576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2025-03-17T06:18:00Z</dcterms:created>
  <dc:creator>meimei</dc:creator>
  <cp:lastModifiedBy>哦好</cp:lastModifiedBy>
  <cp:lastPrinted>2023-06-16T03:37:00Z</cp:lastPrinted>
  <dcterms:modified xsi:type="dcterms:W3CDTF">2025-08-06T09:44:27Z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0BF03765BBCA4706AC33460503E85B32_13</vt:lpwstr>
  </property>
  <property fmtid="{D5CDD505-2E9C-101B-9397-08002B2CF9AE}" pid="4" name="KSOTemplateDocerSaveRecord">
    <vt:lpwstr>eyJoZGlkIjoiNmMyNGY4NzlmOTdhODQ2MDg1YWVjMjU3YmE3YjM0YmYiLCJ1c2VySWQiOiIzMDkzNzY0OTEifQ==</vt:lpwstr>
  </property>
</Properties>
</file>