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6AEA7E">
      <w:pPr>
        <w:pStyle w:val="23"/>
        <w:rPr>
          <w:color w:val="auto"/>
          <w:highlight w:val="none"/>
        </w:rPr>
      </w:pPr>
    </w:p>
    <w:p w14:paraId="537DD50D">
      <w:pPr>
        <w:spacing w:line="360" w:lineRule="atLeast"/>
        <w:ind w:left="1626" w:hanging="1626" w:hangingChars="450"/>
        <w:jc w:val="center"/>
        <w:rPr>
          <w:rFonts w:hint="eastAsia" w:cs="宋体"/>
          <w:b/>
          <w:bCs/>
          <w:color w:val="auto"/>
          <w:kern w:val="0"/>
          <w:sz w:val="36"/>
          <w:szCs w:val="36"/>
          <w:highlight w:val="none"/>
          <w:lang w:val="en-US" w:eastAsia="zh-CN"/>
        </w:rPr>
      </w:pPr>
      <w:r>
        <w:rPr>
          <w:rFonts w:hint="eastAsia" w:cs="宋体"/>
          <w:b/>
          <w:bCs/>
          <w:color w:val="auto"/>
          <w:kern w:val="0"/>
          <w:sz w:val="36"/>
          <w:szCs w:val="36"/>
          <w:highlight w:val="none"/>
          <w:lang w:val="en-US" w:eastAsia="zh-CN"/>
        </w:rPr>
        <w:t>新疆消防救援总队昌吉支队“自然灾害应急能力提升工程”</w:t>
      </w:r>
    </w:p>
    <w:p w14:paraId="3B91061E">
      <w:pPr>
        <w:spacing w:line="360" w:lineRule="atLeast"/>
        <w:ind w:left="1626" w:hanging="1626" w:hangingChars="450"/>
        <w:jc w:val="center"/>
        <w:rPr>
          <w:rFonts w:hint="default" w:cs="宋体"/>
          <w:b/>
          <w:bCs/>
          <w:color w:val="auto"/>
          <w:kern w:val="0"/>
          <w:sz w:val="36"/>
          <w:szCs w:val="36"/>
          <w:highlight w:val="none"/>
          <w:lang w:val="en-US" w:eastAsia="zh-CN"/>
        </w:rPr>
      </w:pPr>
      <w:r>
        <w:rPr>
          <w:rFonts w:hint="eastAsia" w:cs="宋体"/>
          <w:b/>
          <w:bCs/>
          <w:color w:val="auto"/>
          <w:kern w:val="0"/>
          <w:sz w:val="36"/>
          <w:szCs w:val="36"/>
          <w:highlight w:val="none"/>
          <w:lang w:val="en-US" w:eastAsia="zh-CN"/>
        </w:rPr>
        <w:t>装备配备项目（二批次）（三）</w:t>
      </w:r>
    </w:p>
    <w:p w14:paraId="321FE8D3">
      <w:pPr>
        <w:spacing w:line="360" w:lineRule="atLeast"/>
        <w:ind w:left="1446" w:hanging="1446" w:hangingChars="450"/>
        <w:jc w:val="center"/>
        <w:rPr>
          <w:rFonts w:hint="default" w:eastAsia="宋体"/>
          <w:color w:val="auto"/>
          <w:sz w:val="30"/>
          <w:szCs w:val="30"/>
          <w:highlight w:val="none"/>
          <w:lang w:val="en-US" w:eastAsia="zh-CN"/>
        </w:rPr>
      </w:pPr>
      <w:r>
        <w:rPr>
          <w:rFonts w:hint="eastAsia" w:hAnsi="宋体" w:cs="宋体"/>
          <w:b/>
          <w:bCs/>
          <w:color w:val="auto"/>
          <w:kern w:val="0"/>
          <w:sz w:val="32"/>
          <w:szCs w:val="32"/>
          <w:highlight w:val="none"/>
        </w:rPr>
        <w:t>项目编号：</w:t>
      </w:r>
      <w:r>
        <w:rPr>
          <w:rFonts w:hint="eastAsia" w:hAnsi="宋体" w:cs="宋体"/>
          <w:b/>
          <w:bCs/>
          <w:color w:val="auto"/>
          <w:kern w:val="0"/>
          <w:sz w:val="32"/>
          <w:szCs w:val="32"/>
          <w:highlight w:val="none"/>
          <w:lang w:val="en-US" w:eastAsia="zh-CN"/>
        </w:rPr>
        <w:t>XJYHZB2024-262</w:t>
      </w:r>
    </w:p>
    <w:p w14:paraId="313B1E41">
      <w:pPr>
        <w:spacing w:line="36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招  标  文  件</w:t>
      </w:r>
    </w:p>
    <w:p w14:paraId="3F607F85">
      <w:pPr>
        <w:spacing w:line="360" w:lineRule="auto"/>
        <w:rPr>
          <w:rFonts w:ascii="宋体" w:hAnsi="宋体" w:cs="宋体"/>
          <w:color w:val="auto"/>
          <w:sz w:val="30"/>
          <w:szCs w:val="30"/>
          <w:highlight w:val="none"/>
        </w:rPr>
      </w:pPr>
    </w:p>
    <w:p w14:paraId="5F8781BF">
      <w:pPr>
        <w:spacing w:line="360" w:lineRule="auto"/>
        <w:rPr>
          <w:rFonts w:ascii="宋体" w:hAnsi="宋体" w:cs="宋体"/>
          <w:color w:val="auto"/>
          <w:sz w:val="30"/>
          <w:szCs w:val="30"/>
          <w:highlight w:val="none"/>
        </w:rPr>
      </w:pPr>
    </w:p>
    <w:p w14:paraId="644D4D4E">
      <w:pPr>
        <w:pStyle w:val="4"/>
        <w:ind w:left="0" w:leftChars="0" w:firstLine="0" w:firstLineChars="0"/>
        <w:rPr>
          <w:rFonts w:ascii="宋体" w:hAnsi="宋体" w:cs="宋体"/>
          <w:color w:val="auto"/>
          <w:sz w:val="30"/>
          <w:szCs w:val="30"/>
          <w:highlight w:val="none"/>
        </w:rPr>
      </w:pPr>
    </w:p>
    <w:p w14:paraId="3552705F">
      <w:pPr>
        <w:rPr>
          <w:rFonts w:ascii="宋体" w:hAnsi="宋体" w:cs="宋体"/>
          <w:color w:val="auto"/>
          <w:sz w:val="30"/>
          <w:szCs w:val="30"/>
          <w:highlight w:val="none"/>
        </w:rPr>
      </w:pPr>
    </w:p>
    <w:p w14:paraId="4D73553E">
      <w:pPr>
        <w:pStyle w:val="4"/>
        <w:rPr>
          <w:color w:val="auto"/>
          <w:highlight w:val="none"/>
        </w:rPr>
      </w:pPr>
    </w:p>
    <w:p w14:paraId="2DBB3C43">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宋体" w:hAnsi="宋体" w:eastAsia="宋体" w:cs="宋体"/>
          <w:b/>
          <w:bCs/>
          <w:color w:val="auto"/>
          <w:sz w:val="30"/>
          <w:szCs w:val="30"/>
          <w:highlight w:val="none"/>
          <w:lang w:val="en-US" w:eastAsia="zh-CN"/>
        </w:rPr>
      </w:pPr>
      <w:r>
        <w:rPr>
          <w:rFonts w:hint="eastAsia" w:ascii="宋体" w:hAnsi="宋体" w:cs="宋体"/>
          <w:b/>
          <w:bCs/>
          <w:color w:val="auto"/>
          <w:kern w:val="0"/>
          <w:sz w:val="30"/>
          <w:szCs w:val="30"/>
          <w:highlight w:val="none"/>
        </w:rPr>
        <w:t>招标人（盖章）</w:t>
      </w:r>
      <w:r>
        <w:rPr>
          <w:rFonts w:hint="eastAsia" w:ascii="宋体" w:hAnsi="宋体" w:cs="宋体"/>
          <w:b/>
          <w:bCs/>
          <w:color w:val="auto"/>
          <w:sz w:val="30"/>
          <w:szCs w:val="30"/>
          <w:highlight w:val="none"/>
        </w:rPr>
        <w:t>：</w:t>
      </w:r>
      <w:r>
        <w:rPr>
          <w:rFonts w:hint="eastAsia" w:ascii="宋体" w:hAnsi="宋体" w:eastAsia="宋体" w:cs="宋体"/>
          <w:b/>
          <w:bCs/>
          <w:color w:val="auto"/>
          <w:sz w:val="30"/>
          <w:szCs w:val="30"/>
          <w:highlight w:val="none"/>
          <w:lang w:val="en-US" w:eastAsia="zh-CN"/>
        </w:rPr>
        <w:t>昌吉回族自治州消防救援支队</w:t>
      </w:r>
    </w:p>
    <w:p w14:paraId="5EEB66E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联系人：</w:t>
      </w:r>
      <w:r>
        <w:rPr>
          <w:rFonts w:hint="eastAsia" w:ascii="宋体" w:hAnsi="宋体" w:cs="宋体"/>
          <w:b/>
          <w:bCs/>
          <w:color w:val="auto"/>
          <w:sz w:val="30"/>
          <w:szCs w:val="30"/>
          <w:highlight w:val="none"/>
          <w:lang w:val="en-US" w:eastAsia="zh-CN"/>
        </w:rPr>
        <w:t>米女士、郭先生</w:t>
      </w:r>
    </w:p>
    <w:p w14:paraId="4C54D14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rPr>
        <w:t>联系电话：</w:t>
      </w:r>
      <w:r>
        <w:rPr>
          <w:rFonts w:hint="eastAsia" w:ascii="宋体" w:hAnsi="宋体" w:eastAsia="宋体" w:cs="宋体"/>
          <w:b/>
          <w:bCs/>
          <w:color w:val="auto"/>
          <w:sz w:val="30"/>
          <w:szCs w:val="30"/>
          <w:highlight w:val="none"/>
          <w:lang w:val="en-US" w:eastAsia="zh-CN"/>
        </w:rPr>
        <w:t>13031398090</w:t>
      </w:r>
      <w:r>
        <w:rPr>
          <w:rFonts w:hint="eastAsia" w:ascii="宋体" w:hAnsi="宋体" w:cs="宋体"/>
          <w:b/>
          <w:bCs/>
          <w:color w:val="auto"/>
          <w:sz w:val="30"/>
          <w:szCs w:val="30"/>
          <w:highlight w:val="none"/>
          <w:lang w:val="en-US" w:eastAsia="zh-CN"/>
        </w:rPr>
        <w:t>、15769051697</w:t>
      </w:r>
    </w:p>
    <w:p w14:paraId="5FEE6D9D">
      <w:pPr>
        <w:pStyle w:val="38"/>
        <w:rPr>
          <w:rFonts w:hint="default"/>
          <w:color w:val="auto"/>
          <w:highlight w:val="none"/>
          <w:lang w:val="en-US"/>
        </w:rPr>
      </w:pPr>
      <w:r>
        <w:rPr>
          <w:rFonts w:ascii="宋体" w:hAnsi="宋体" w:cs="宋体"/>
          <w:b/>
          <w:bCs/>
          <w:color w:val="auto"/>
          <w:sz w:val="30"/>
          <w:szCs w:val="30"/>
          <w:highlight w:val="none"/>
        </w:rPr>
        <mc:AlternateContent>
          <mc:Choice Requires="wps">
            <w:drawing>
              <wp:anchor distT="0" distB="0" distL="114300" distR="114300" simplePos="0" relativeHeight="251659264" behindDoc="0" locked="0" layoutInCell="1" allowOverlap="1">
                <wp:simplePos x="0" y="0"/>
                <wp:positionH relativeFrom="column">
                  <wp:posOffset>-167640</wp:posOffset>
                </wp:positionH>
                <wp:positionV relativeFrom="paragraph">
                  <wp:posOffset>96520</wp:posOffset>
                </wp:positionV>
                <wp:extent cx="601980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13.2pt;margin-top:7.6pt;height:0pt;width:474pt;z-index:251659264;mso-width-relative:page;mso-height-relative:page;" filled="f" stroked="t" coordsize="21600,21600" o:gfxdata="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u3IxaNYAAAAJAQAADwAAAAAAAAABACAAAAAiAAAAZHJzL2Rvd25yZXYueG1sUEsBAhQAFAAA&#10;AAgAh07iQCY6lI3xAQAA6AMAAA4AAAAAAAAAAQAgAAAAJQEAAGRycy9lMm9Eb2MueG1sUEsFBgAA&#10;AAAGAAYAWQEAAIgFAAAAAA==&#10;">
                <v:fill on="f" focussize="0,0"/>
                <v:stroke weight="1pt" color="#000000" joinstyle="round" dashstyle="1 1"/>
                <v:imagedata o:title=""/>
                <o:lock v:ext="edit" aspectratio="f"/>
              </v:line>
            </w:pict>
          </mc:Fallback>
        </mc:AlternateContent>
      </w:r>
    </w:p>
    <w:p w14:paraId="7F26E2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30"/>
          <w:szCs w:val="30"/>
          <w:highlight w:val="none"/>
          <w:lang w:val="en-US" w:eastAsia="zh-CN"/>
        </w:rPr>
      </w:pPr>
      <w:bookmarkStart w:id="0" w:name="_Toc120614210"/>
      <w:bookmarkStart w:id="1" w:name="_Toc494375077"/>
      <w:bookmarkStart w:id="2" w:name="_Toc523127445"/>
      <w:bookmarkStart w:id="3" w:name="_Toc513029200"/>
      <w:bookmarkStart w:id="4" w:name="_Toc479757206"/>
      <w:bookmarkStart w:id="5" w:name="_Toc16938516"/>
      <w:bookmarkStart w:id="6" w:name="_Toc20823272"/>
      <w:r>
        <w:rPr>
          <w:rFonts w:hint="eastAsia" w:ascii="宋体" w:hAnsi="宋体" w:cs="宋体"/>
          <w:b/>
          <w:bCs/>
          <w:color w:val="auto"/>
          <w:kern w:val="0"/>
          <w:sz w:val="30"/>
          <w:szCs w:val="30"/>
          <w:highlight w:val="none"/>
        </w:rPr>
        <w:t>招标代</w:t>
      </w:r>
      <w:r>
        <w:rPr>
          <w:rFonts w:hint="eastAsia" w:ascii="宋体" w:hAnsi="宋体" w:eastAsia="宋体" w:cs="宋体"/>
          <w:b/>
          <w:bCs/>
          <w:color w:val="auto"/>
          <w:kern w:val="0"/>
          <w:sz w:val="30"/>
          <w:szCs w:val="30"/>
          <w:highlight w:val="none"/>
          <w:lang w:val="en-US" w:eastAsia="zh-CN"/>
        </w:rPr>
        <w:t>理机构（盖章）：新疆元泓工程项目管理咨询有限公司</w:t>
      </w:r>
    </w:p>
    <w:p w14:paraId="2D5E59F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cs="宋体"/>
          <w:b/>
          <w:bCs/>
          <w:color w:val="auto"/>
          <w:kern w:val="0"/>
          <w:sz w:val="30"/>
          <w:szCs w:val="30"/>
          <w:highlight w:val="none"/>
          <w:lang w:val="en-US" w:eastAsia="zh-CN"/>
        </w:rPr>
      </w:pPr>
      <w:r>
        <w:rPr>
          <w:rFonts w:hint="eastAsia" w:ascii="宋体" w:hAnsi="宋体" w:cs="宋体"/>
          <w:b/>
          <w:bCs/>
          <w:color w:val="auto"/>
          <w:kern w:val="0"/>
          <w:sz w:val="30"/>
          <w:szCs w:val="30"/>
          <w:highlight w:val="none"/>
        </w:rPr>
        <w:t>法人代表（盖章）：</w:t>
      </w:r>
      <w:r>
        <w:rPr>
          <w:rFonts w:hint="eastAsia" w:ascii="宋体" w:hAnsi="宋体" w:cs="宋体"/>
          <w:b/>
          <w:bCs/>
          <w:color w:val="auto"/>
          <w:kern w:val="0"/>
          <w:sz w:val="30"/>
          <w:szCs w:val="30"/>
          <w:highlight w:val="none"/>
          <w:lang w:val="en-US" w:eastAsia="zh-CN"/>
        </w:rPr>
        <w:t xml:space="preserve"> </w:t>
      </w:r>
    </w:p>
    <w:p w14:paraId="08C882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30"/>
          <w:szCs w:val="30"/>
          <w:highlight w:val="none"/>
          <w:lang w:val="en-US" w:eastAsia="zh-CN"/>
        </w:rPr>
      </w:pPr>
      <w:r>
        <w:rPr>
          <w:rFonts w:hint="eastAsia" w:ascii="宋体" w:hAnsi="宋体" w:eastAsia="宋体" w:cs="宋体"/>
          <w:b/>
          <w:bCs/>
          <w:color w:val="auto"/>
          <w:kern w:val="0"/>
          <w:sz w:val="30"/>
          <w:szCs w:val="30"/>
          <w:highlight w:val="none"/>
        </w:rPr>
        <w:t>联系人：</w:t>
      </w:r>
      <w:r>
        <w:rPr>
          <w:rFonts w:hint="eastAsia" w:ascii="宋体" w:hAnsi="宋体" w:eastAsia="宋体" w:cs="宋体"/>
          <w:b/>
          <w:bCs/>
          <w:color w:val="auto"/>
          <w:kern w:val="0"/>
          <w:sz w:val="30"/>
          <w:szCs w:val="30"/>
          <w:highlight w:val="none"/>
          <w:lang w:val="en-US" w:eastAsia="zh-CN"/>
        </w:rPr>
        <w:t>吴女士、高女士、刘先生</w:t>
      </w:r>
    </w:p>
    <w:p w14:paraId="5DDF9E2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bCs/>
          <w:color w:val="auto"/>
          <w:kern w:val="0"/>
          <w:sz w:val="30"/>
          <w:szCs w:val="30"/>
          <w:highlight w:val="none"/>
          <w:lang w:val="en-US" w:eastAsia="zh-CN"/>
        </w:rPr>
        <w:sectPr>
          <w:footerReference r:id="rId4" w:type="default"/>
          <w:headerReference r:id="rId3" w:type="even"/>
          <w:footerReference r:id="rId5" w:type="even"/>
          <w:pgSz w:w="11906" w:h="16838"/>
          <w:pgMar w:top="1418" w:right="1417" w:bottom="1418" w:left="1417" w:header="851" w:footer="907" w:gutter="0"/>
          <w:pgBorders>
            <w:top w:val="none" w:sz="0" w:space="0"/>
            <w:left w:val="none" w:sz="0" w:space="0"/>
            <w:bottom w:val="none" w:sz="0" w:space="0"/>
            <w:right w:val="none" w:sz="0" w:space="0"/>
          </w:pgBorders>
          <w:pgNumType w:start="1"/>
          <w:cols w:space="720" w:num="1"/>
          <w:titlePg/>
          <w:docGrid w:type="lines" w:linePitch="290" w:charSpace="0"/>
        </w:sectPr>
      </w:pPr>
      <w:r>
        <w:rPr>
          <w:rFonts w:hint="eastAsia" w:ascii="宋体" w:hAnsi="宋体" w:eastAsia="宋体" w:cs="宋体"/>
          <w:b/>
          <w:bCs/>
          <w:color w:val="auto"/>
          <w:kern w:val="0"/>
          <w:sz w:val="30"/>
          <w:szCs w:val="30"/>
          <w:highlight w:val="none"/>
        </w:rPr>
        <w:t>联系电话</w:t>
      </w:r>
      <w:r>
        <w:rPr>
          <w:rFonts w:hint="eastAsia" w:ascii="宋体" w:hAnsi="宋体" w:eastAsia="宋体" w:cs="宋体"/>
          <w:b/>
          <w:bCs/>
          <w:color w:val="auto"/>
          <w:kern w:val="0"/>
          <w:sz w:val="30"/>
          <w:szCs w:val="30"/>
          <w:highlight w:val="none"/>
          <w:lang w:eastAsia="zh-CN"/>
        </w:rPr>
        <w:t>：</w:t>
      </w:r>
      <w:r>
        <w:rPr>
          <w:rFonts w:hint="eastAsia" w:ascii="宋体" w:hAnsi="宋体" w:eastAsia="宋体" w:cs="宋体"/>
          <w:b/>
          <w:bCs/>
          <w:color w:val="auto"/>
          <w:kern w:val="0"/>
          <w:sz w:val="30"/>
          <w:szCs w:val="30"/>
          <w:highlight w:val="none"/>
          <w:lang w:val="en-US" w:eastAsia="zh-CN"/>
        </w:rPr>
        <w:t>13565831720、</w:t>
      </w:r>
      <w:r>
        <w:rPr>
          <w:rFonts w:hint="eastAsia" w:ascii="宋体" w:hAnsi="宋体" w:cs="宋体"/>
          <w:b/>
          <w:bCs/>
          <w:color w:val="auto"/>
          <w:kern w:val="0"/>
          <w:sz w:val="30"/>
          <w:szCs w:val="30"/>
          <w:highlight w:val="none"/>
          <w:lang w:val="en-US" w:eastAsia="zh-CN"/>
        </w:rPr>
        <w:t>15199190588、13150337117</w:t>
      </w:r>
    </w:p>
    <w:p w14:paraId="525D6717">
      <w:pPr>
        <w:pStyle w:val="130"/>
        <w:jc w:val="center"/>
        <w:rPr>
          <w:color w:val="auto"/>
          <w:sz w:val="44"/>
          <w:szCs w:val="44"/>
          <w:highlight w:val="none"/>
          <w:lang w:val="zh-CN"/>
        </w:rPr>
      </w:pPr>
      <w:r>
        <w:rPr>
          <w:color w:val="auto"/>
          <w:sz w:val="44"/>
          <w:szCs w:val="44"/>
          <w:highlight w:val="none"/>
          <w:lang w:val="zh-CN"/>
        </w:rPr>
        <w:t>目录</w:t>
      </w:r>
    </w:p>
    <w:p w14:paraId="4514999C">
      <w:pPr>
        <w:rPr>
          <w:color w:val="auto"/>
          <w:sz w:val="44"/>
          <w:szCs w:val="44"/>
          <w:highlight w:val="none"/>
          <w:lang w:val="zh-CN"/>
        </w:rPr>
      </w:pPr>
    </w:p>
    <w:p w14:paraId="1EAAA834">
      <w:pPr>
        <w:pStyle w:val="22"/>
        <w:tabs>
          <w:tab w:val="right" w:leader="dot" w:pos="9072"/>
        </w:tabs>
        <w:spacing w:line="72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"_Toc26965" </w:instrText>
      </w:r>
      <w:r>
        <w:rPr>
          <w:color w:val="auto"/>
          <w:highlight w:val="none"/>
        </w:rPr>
        <w:fldChar w:fldCharType="separate"/>
      </w:r>
      <w:r>
        <w:rPr>
          <w:rFonts w:hint="eastAsia"/>
          <w:color w:val="auto"/>
          <w:sz w:val="28"/>
          <w:szCs w:val="28"/>
          <w:highlight w:val="none"/>
        </w:rPr>
        <w:t>须知前附表</w:t>
      </w:r>
      <w:r>
        <w:rPr>
          <w:color w:val="auto"/>
          <w:sz w:val="28"/>
          <w:szCs w:val="28"/>
          <w:highlight w:val="none"/>
        </w:rPr>
        <w:tab/>
      </w:r>
      <w:r>
        <w:rPr>
          <w:rFonts w:hint="eastAsia"/>
          <w:color w:val="auto"/>
          <w:sz w:val="28"/>
          <w:szCs w:val="28"/>
          <w:highlight w:val="none"/>
          <w:lang w:val="en-US" w:eastAsia="zh-CN"/>
        </w:rPr>
        <w:t>2</w:t>
      </w:r>
      <w:r>
        <w:rPr>
          <w:color w:val="auto"/>
          <w:sz w:val="28"/>
          <w:szCs w:val="28"/>
          <w:highlight w:val="none"/>
        </w:rPr>
        <w:fldChar w:fldCharType="end"/>
      </w:r>
    </w:p>
    <w:p w14:paraId="342DDAAE">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"_Toc32510" </w:instrText>
      </w:r>
      <w:r>
        <w:rPr>
          <w:color w:val="auto"/>
          <w:highlight w:val="none"/>
        </w:rPr>
        <w:fldChar w:fldCharType="separate"/>
      </w:r>
      <w:r>
        <w:rPr>
          <w:rFonts w:hint="eastAsia"/>
          <w:color w:val="auto"/>
          <w:sz w:val="28"/>
          <w:szCs w:val="28"/>
          <w:highlight w:val="none"/>
        </w:rPr>
        <w:t>第一章 招标邀请</w:t>
      </w:r>
      <w:r>
        <w:rPr>
          <w:color w:val="auto"/>
          <w:sz w:val="28"/>
          <w:szCs w:val="28"/>
          <w:highlight w:val="none"/>
        </w:rPr>
        <w:tab/>
      </w:r>
      <w:r>
        <w:rPr>
          <w:rFonts w:hint="eastAsia"/>
          <w:color w:val="auto"/>
          <w:sz w:val="28"/>
          <w:szCs w:val="28"/>
          <w:highlight w:val="none"/>
          <w:lang w:val="en-US" w:eastAsia="zh-CN"/>
        </w:rPr>
        <w:t>9</w:t>
      </w:r>
      <w:r>
        <w:rPr>
          <w:color w:val="auto"/>
          <w:sz w:val="28"/>
          <w:szCs w:val="28"/>
          <w:highlight w:val="none"/>
        </w:rPr>
        <w:fldChar w:fldCharType="end"/>
      </w:r>
    </w:p>
    <w:p w14:paraId="55A71F45">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"_Toc26763" </w:instrText>
      </w:r>
      <w:r>
        <w:rPr>
          <w:color w:val="auto"/>
          <w:highlight w:val="none"/>
        </w:rPr>
        <w:fldChar w:fldCharType="separate"/>
      </w:r>
      <w:r>
        <w:rPr>
          <w:rFonts w:hint="eastAsia"/>
          <w:color w:val="auto"/>
          <w:sz w:val="28"/>
          <w:szCs w:val="28"/>
          <w:highlight w:val="none"/>
        </w:rPr>
        <w:t>第二章 投标人须知</w:t>
      </w:r>
      <w:r>
        <w:rPr>
          <w:color w:val="auto"/>
          <w:sz w:val="28"/>
          <w:szCs w:val="28"/>
          <w:highlight w:val="none"/>
        </w:rPr>
        <w:tab/>
      </w:r>
      <w:r>
        <w:rPr>
          <w:rFonts w:hint="eastAsia"/>
          <w:color w:val="auto"/>
          <w:sz w:val="28"/>
          <w:szCs w:val="28"/>
          <w:highlight w:val="none"/>
          <w:lang w:val="en-US" w:eastAsia="zh-CN"/>
        </w:rPr>
        <w:t>1</w:t>
      </w:r>
      <w:r>
        <w:rPr>
          <w:color w:val="auto"/>
          <w:sz w:val="28"/>
          <w:szCs w:val="28"/>
          <w:highlight w:val="none"/>
        </w:rPr>
        <w:fldChar w:fldCharType="end"/>
      </w:r>
      <w:r>
        <w:rPr>
          <w:rFonts w:hint="eastAsia"/>
          <w:color w:val="auto"/>
          <w:sz w:val="28"/>
          <w:szCs w:val="28"/>
          <w:highlight w:val="none"/>
          <w:lang w:val="en-US" w:eastAsia="zh-CN"/>
        </w:rPr>
        <w:t>3</w:t>
      </w:r>
    </w:p>
    <w:p w14:paraId="1CAAC4AC">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"_Toc30905" </w:instrText>
      </w:r>
      <w:r>
        <w:rPr>
          <w:color w:val="auto"/>
          <w:highlight w:val="none"/>
        </w:rPr>
        <w:fldChar w:fldCharType="separate"/>
      </w:r>
      <w:r>
        <w:rPr>
          <w:rFonts w:hint="eastAsia"/>
          <w:color w:val="auto"/>
          <w:sz w:val="28"/>
          <w:szCs w:val="28"/>
          <w:highlight w:val="none"/>
        </w:rPr>
        <w:t>第三章 评分办法及评分标准</w:t>
      </w:r>
      <w:r>
        <w:rPr>
          <w:color w:val="auto"/>
          <w:sz w:val="28"/>
          <w:szCs w:val="28"/>
          <w:highlight w:val="none"/>
        </w:rPr>
        <w:tab/>
      </w:r>
      <w:r>
        <w:rPr>
          <w:rFonts w:hint="eastAsia"/>
          <w:color w:val="auto"/>
          <w:sz w:val="28"/>
          <w:szCs w:val="28"/>
          <w:highlight w:val="none"/>
          <w:lang w:val="en-US" w:eastAsia="zh-CN"/>
        </w:rPr>
        <w:t>3</w:t>
      </w:r>
      <w:r>
        <w:rPr>
          <w:color w:val="auto"/>
          <w:sz w:val="28"/>
          <w:szCs w:val="28"/>
          <w:highlight w:val="none"/>
        </w:rPr>
        <w:fldChar w:fldCharType="end"/>
      </w:r>
      <w:r>
        <w:rPr>
          <w:rFonts w:hint="eastAsia"/>
          <w:color w:val="auto"/>
          <w:sz w:val="28"/>
          <w:szCs w:val="28"/>
          <w:highlight w:val="none"/>
          <w:lang w:val="en-US" w:eastAsia="zh-CN"/>
        </w:rPr>
        <w:t>1</w:t>
      </w:r>
    </w:p>
    <w:p w14:paraId="662293A1">
      <w:pPr>
        <w:pStyle w:val="22"/>
        <w:tabs>
          <w:tab w:val="right" w:leader="dot" w:pos="9072"/>
        </w:tabs>
        <w:spacing w:line="720" w:lineRule="auto"/>
        <w:rPr>
          <w:rFonts w:hint="default"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"_Toc15450" </w:instrText>
      </w:r>
      <w:r>
        <w:rPr>
          <w:color w:val="auto"/>
          <w:highlight w:val="none"/>
        </w:rPr>
        <w:fldChar w:fldCharType="separate"/>
      </w:r>
      <w:r>
        <w:rPr>
          <w:rFonts w:hint="eastAsia"/>
          <w:color w:val="auto"/>
          <w:sz w:val="28"/>
          <w:szCs w:val="28"/>
          <w:highlight w:val="none"/>
        </w:rPr>
        <w:t xml:space="preserve">第四章 </w:t>
      </w:r>
      <w:r>
        <w:rPr>
          <w:rFonts w:hint="eastAsia"/>
          <w:color w:val="auto"/>
          <w:sz w:val="28"/>
          <w:szCs w:val="28"/>
          <w:highlight w:val="none"/>
          <w:lang w:eastAsia="en-US"/>
        </w:rPr>
        <w:t>拟订立的合同样本</w:t>
      </w:r>
      <w:r>
        <w:rPr>
          <w:color w:val="auto"/>
          <w:sz w:val="28"/>
          <w:szCs w:val="28"/>
          <w:highlight w:val="none"/>
        </w:rPr>
        <w:tab/>
      </w:r>
      <w:r>
        <w:rPr>
          <w:color w:val="auto"/>
          <w:sz w:val="28"/>
          <w:szCs w:val="28"/>
          <w:highlight w:val="none"/>
        </w:rPr>
        <w:fldChar w:fldCharType="end"/>
      </w:r>
      <w:r>
        <w:rPr>
          <w:rFonts w:hint="eastAsia"/>
          <w:color w:val="auto"/>
          <w:sz w:val="28"/>
          <w:szCs w:val="28"/>
          <w:highlight w:val="none"/>
          <w:lang w:val="en-US" w:eastAsia="zh-CN"/>
        </w:rPr>
        <w:t>47</w:t>
      </w:r>
    </w:p>
    <w:p w14:paraId="0C4B866B">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"_Toc17639" </w:instrText>
      </w:r>
      <w:r>
        <w:rPr>
          <w:color w:val="auto"/>
          <w:highlight w:val="none"/>
        </w:rPr>
        <w:fldChar w:fldCharType="separate"/>
      </w:r>
      <w:r>
        <w:rPr>
          <w:rFonts w:hint="eastAsia"/>
          <w:color w:val="auto"/>
          <w:sz w:val="28"/>
          <w:szCs w:val="28"/>
          <w:highlight w:val="none"/>
        </w:rPr>
        <w:t>第五章 投标文件格式</w:t>
      </w:r>
      <w:r>
        <w:rPr>
          <w:color w:val="auto"/>
          <w:sz w:val="28"/>
          <w:szCs w:val="28"/>
          <w:highlight w:val="none"/>
        </w:rPr>
        <w:tab/>
      </w:r>
      <w:r>
        <w:rPr>
          <w:rFonts w:hint="eastAsia"/>
          <w:color w:val="auto"/>
          <w:sz w:val="28"/>
          <w:szCs w:val="28"/>
          <w:highlight w:val="none"/>
          <w:lang w:val="en-US" w:eastAsia="zh-CN"/>
        </w:rPr>
        <w:t>6</w:t>
      </w:r>
      <w:r>
        <w:rPr>
          <w:rFonts w:hint="eastAsia"/>
          <w:color w:val="auto"/>
          <w:sz w:val="28"/>
          <w:szCs w:val="28"/>
          <w:highlight w:val="none"/>
        </w:rPr>
        <w:fldChar w:fldCharType="end"/>
      </w:r>
      <w:r>
        <w:rPr>
          <w:rFonts w:hint="eastAsia"/>
          <w:color w:val="auto"/>
          <w:sz w:val="28"/>
          <w:szCs w:val="28"/>
          <w:highlight w:val="none"/>
          <w:lang w:val="en-US" w:eastAsia="zh-CN"/>
        </w:rPr>
        <w:t>8</w:t>
      </w:r>
    </w:p>
    <w:p w14:paraId="67449ACE">
      <w:pPr>
        <w:pStyle w:val="22"/>
        <w:tabs>
          <w:tab w:val="right" w:leader="dot" w:pos="9072"/>
        </w:tabs>
        <w:spacing w:line="720" w:lineRule="auto"/>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"_Toc24870" </w:instrText>
      </w:r>
      <w:r>
        <w:rPr>
          <w:color w:val="auto"/>
          <w:highlight w:val="none"/>
        </w:rPr>
        <w:fldChar w:fldCharType="separate"/>
      </w:r>
      <w:r>
        <w:rPr>
          <w:rFonts w:hint="eastAsia"/>
          <w:color w:val="auto"/>
          <w:sz w:val="28"/>
          <w:szCs w:val="28"/>
          <w:highlight w:val="none"/>
        </w:rPr>
        <w:t>第六章 项目需求</w:t>
      </w:r>
      <w:r>
        <w:rPr>
          <w:color w:val="auto"/>
          <w:sz w:val="28"/>
          <w:szCs w:val="28"/>
          <w:highlight w:val="none"/>
        </w:rPr>
        <w:tab/>
      </w:r>
      <w:r>
        <w:rPr>
          <w:rFonts w:hint="eastAsia"/>
          <w:color w:val="auto"/>
          <w:sz w:val="28"/>
          <w:szCs w:val="28"/>
          <w:highlight w:val="none"/>
          <w:lang w:val="en-US" w:eastAsia="zh-CN"/>
        </w:rPr>
        <w:t>9</w:t>
      </w:r>
      <w:r>
        <w:rPr>
          <w:rFonts w:hint="eastAsia"/>
          <w:color w:val="auto"/>
          <w:sz w:val="28"/>
          <w:szCs w:val="28"/>
          <w:highlight w:val="none"/>
        </w:rPr>
        <w:fldChar w:fldCharType="end"/>
      </w:r>
      <w:r>
        <w:rPr>
          <w:rFonts w:hint="eastAsia"/>
          <w:color w:val="auto"/>
          <w:sz w:val="28"/>
          <w:szCs w:val="28"/>
          <w:highlight w:val="none"/>
          <w:lang w:val="en-US" w:eastAsia="zh-CN"/>
        </w:rPr>
        <w:t>1</w:t>
      </w:r>
    </w:p>
    <w:p w14:paraId="67B3805F">
      <w:pPr>
        <w:rPr>
          <w:color w:val="auto"/>
          <w:highlight w:val="none"/>
        </w:rPr>
      </w:pPr>
      <w:r>
        <w:rPr>
          <w:color w:val="auto"/>
          <w:szCs w:val="28"/>
          <w:highlight w:val="none"/>
        </w:rPr>
        <w:fldChar w:fldCharType="end"/>
      </w:r>
    </w:p>
    <w:p w14:paraId="7E462D09">
      <w:pPr>
        <w:pStyle w:val="3"/>
        <w:rPr>
          <w:color w:val="auto"/>
          <w:highlight w:val="none"/>
        </w:rPr>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bookmarkStart w:id="7" w:name="_Toc21554"/>
      <w:bookmarkStart w:id="8" w:name="_Toc26965"/>
      <w:bookmarkStart w:id="9" w:name="_Toc20753"/>
      <w:bookmarkStart w:id="10" w:name="_Toc534725596"/>
      <w:bookmarkStart w:id="11" w:name="_Toc13808"/>
      <w:bookmarkStart w:id="12" w:name="_Toc22122"/>
    </w:p>
    <w:p w14:paraId="5A2936B3">
      <w:pPr>
        <w:pStyle w:val="3"/>
        <w:rPr>
          <w:color w:val="auto"/>
          <w:highlight w:val="none"/>
          <w:lang w:eastAsia="en-US"/>
        </w:rPr>
      </w:pPr>
      <w:r>
        <w:rPr>
          <w:rFonts w:hint="eastAsia"/>
          <w:color w:val="auto"/>
          <w:highlight w:val="none"/>
        </w:rPr>
        <w:t>须知前附表</w:t>
      </w:r>
      <w:bookmarkEnd w:id="7"/>
      <w:bookmarkEnd w:id="8"/>
      <w:bookmarkEnd w:id="9"/>
    </w:p>
    <w:tbl>
      <w:tblPr>
        <w:tblStyle w:val="39"/>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7"/>
        <w:gridCol w:w="1528"/>
        <w:gridCol w:w="6923"/>
      </w:tblGrid>
      <w:tr w14:paraId="3FD5E0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78DF43D7">
            <w:pPr>
              <w:spacing w:line="300" w:lineRule="exact"/>
              <w:jc w:val="center"/>
              <w:rPr>
                <w:rFonts w:hAnsi="宋体" w:cs="Arial"/>
                <w:b/>
                <w:bCs/>
                <w:color w:val="auto"/>
                <w:highlight w:val="none"/>
              </w:rPr>
            </w:pPr>
            <w:r>
              <w:rPr>
                <w:rFonts w:hint="eastAsia" w:hAnsi="宋体" w:cs="Arial"/>
                <w:b/>
                <w:bCs/>
                <w:color w:val="auto"/>
                <w:highlight w:val="none"/>
              </w:rPr>
              <w:t>序号</w:t>
            </w:r>
          </w:p>
        </w:tc>
        <w:tc>
          <w:tcPr>
            <w:tcW w:w="1528" w:type="dxa"/>
            <w:tcBorders>
              <w:top w:val="single" w:color="auto" w:sz="4" w:space="0"/>
              <w:left w:val="single" w:color="auto" w:sz="4" w:space="0"/>
              <w:bottom w:val="single" w:color="auto" w:sz="4" w:space="0"/>
              <w:right w:val="single" w:color="auto" w:sz="4" w:space="0"/>
            </w:tcBorders>
            <w:vAlign w:val="center"/>
          </w:tcPr>
          <w:p w14:paraId="03CE5AA2">
            <w:pPr>
              <w:spacing w:line="300" w:lineRule="exact"/>
              <w:jc w:val="center"/>
              <w:rPr>
                <w:rFonts w:hAnsi="宋体" w:cs="Arial"/>
                <w:b/>
                <w:bCs/>
                <w:color w:val="auto"/>
                <w:highlight w:val="none"/>
              </w:rPr>
            </w:pPr>
            <w:r>
              <w:rPr>
                <w:rFonts w:hint="eastAsia" w:hAnsi="宋体" w:cs="Arial"/>
                <w:b/>
                <w:bCs/>
                <w:color w:val="auto"/>
                <w:highlight w:val="none"/>
              </w:rPr>
              <w:t>内  容</w:t>
            </w:r>
          </w:p>
        </w:tc>
        <w:tc>
          <w:tcPr>
            <w:tcW w:w="6923" w:type="dxa"/>
            <w:tcBorders>
              <w:top w:val="single" w:color="auto" w:sz="4" w:space="0"/>
              <w:left w:val="single" w:color="auto" w:sz="4" w:space="0"/>
              <w:bottom w:val="single" w:color="auto" w:sz="4" w:space="0"/>
              <w:right w:val="single" w:color="auto" w:sz="4" w:space="0"/>
            </w:tcBorders>
            <w:vAlign w:val="center"/>
          </w:tcPr>
          <w:p w14:paraId="7FBB2F66">
            <w:pPr>
              <w:spacing w:line="300" w:lineRule="exact"/>
              <w:jc w:val="center"/>
              <w:rPr>
                <w:rFonts w:hAnsi="宋体" w:cs="Arial"/>
                <w:b/>
                <w:bCs/>
                <w:color w:val="auto"/>
                <w:highlight w:val="none"/>
              </w:rPr>
            </w:pPr>
            <w:r>
              <w:rPr>
                <w:rFonts w:hint="eastAsia" w:hAnsi="宋体" w:cs="Arial"/>
                <w:b/>
                <w:bCs/>
                <w:color w:val="auto"/>
                <w:highlight w:val="none"/>
              </w:rPr>
              <w:t>说明及要求</w:t>
            </w:r>
          </w:p>
        </w:tc>
      </w:tr>
      <w:tr w14:paraId="3E7957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567" w:type="dxa"/>
            <w:vMerge w:val="restart"/>
            <w:tcBorders>
              <w:top w:val="single" w:color="auto" w:sz="4" w:space="0"/>
              <w:left w:val="single" w:color="auto" w:sz="4" w:space="0"/>
              <w:right w:val="single" w:color="auto" w:sz="4" w:space="0"/>
            </w:tcBorders>
            <w:vAlign w:val="center"/>
          </w:tcPr>
          <w:p w14:paraId="3A2024D0">
            <w:pPr>
              <w:spacing w:line="300" w:lineRule="exact"/>
              <w:jc w:val="center"/>
              <w:rPr>
                <w:rFonts w:hAnsi="宋体" w:cs="Arial"/>
                <w:bCs/>
                <w:color w:val="auto"/>
                <w:highlight w:val="none"/>
              </w:rPr>
            </w:pPr>
            <w:r>
              <w:rPr>
                <w:rFonts w:hint="eastAsia" w:hAnsi="宋体" w:cs="Arial"/>
                <w:bCs/>
                <w:color w:val="auto"/>
                <w:highlight w:val="none"/>
              </w:rPr>
              <w:t>1</w:t>
            </w:r>
          </w:p>
        </w:tc>
        <w:tc>
          <w:tcPr>
            <w:tcW w:w="1528" w:type="dxa"/>
            <w:tcBorders>
              <w:top w:val="single" w:color="auto" w:sz="4" w:space="0"/>
              <w:left w:val="single" w:color="auto" w:sz="4" w:space="0"/>
              <w:bottom w:val="single" w:color="auto" w:sz="4" w:space="0"/>
              <w:right w:val="single" w:color="auto" w:sz="4" w:space="0"/>
            </w:tcBorders>
            <w:vAlign w:val="center"/>
          </w:tcPr>
          <w:p w14:paraId="6F57F5AC">
            <w:pPr>
              <w:spacing w:line="288" w:lineRule="auto"/>
              <w:jc w:val="center"/>
              <w:rPr>
                <w:rFonts w:hAnsi="宋体" w:cs="Arial"/>
                <w:bCs/>
                <w:color w:val="auto"/>
                <w:highlight w:val="none"/>
              </w:rPr>
            </w:pPr>
            <w:r>
              <w:rPr>
                <w:rFonts w:hint="eastAsia" w:hAnsi="宋体" w:cs="Arial"/>
                <w:bCs/>
                <w:color w:val="auto"/>
                <w:highlight w:val="none"/>
              </w:rPr>
              <w:t>项目名称</w:t>
            </w:r>
          </w:p>
        </w:tc>
        <w:tc>
          <w:tcPr>
            <w:tcW w:w="6923" w:type="dxa"/>
            <w:tcBorders>
              <w:top w:val="single" w:color="auto" w:sz="4" w:space="0"/>
              <w:left w:val="single" w:color="auto" w:sz="4" w:space="0"/>
              <w:bottom w:val="single" w:color="auto" w:sz="4" w:space="0"/>
              <w:right w:val="single" w:color="auto" w:sz="4" w:space="0"/>
            </w:tcBorders>
            <w:vAlign w:val="center"/>
          </w:tcPr>
          <w:p w14:paraId="07FA561C">
            <w:pPr>
              <w:spacing w:line="288" w:lineRule="auto"/>
              <w:jc w:val="left"/>
              <w:rPr>
                <w:rFonts w:cs="宋体"/>
                <w:b/>
                <w:bCs/>
                <w:color w:val="auto"/>
                <w:kern w:val="0"/>
                <w:sz w:val="36"/>
                <w:szCs w:val="36"/>
                <w:highlight w:val="none"/>
              </w:rPr>
            </w:pPr>
            <w:r>
              <w:rPr>
                <w:rFonts w:hint="eastAsia" w:hAnsi="宋体" w:cs="Arial"/>
                <w:bCs/>
                <w:color w:val="auto"/>
                <w:highlight w:val="none"/>
                <w:lang w:val="en-US" w:eastAsia="zh-CN"/>
              </w:rPr>
              <w:t>新疆消防救援总队昌吉支队“自然灾害应急能力提升工程”装备配备项目（二批次）（三）</w:t>
            </w:r>
          </w:p>
        </w:tc>
      </w:tr>
      <w:tr w14:paraId="4EBC73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67" w:type="dxa"/>
            <w:vMerge w:val="continue"/>
            <w:tcBorders>
              <w:left w:val="single" w:color="auto" w:sz="4" w:space="0"/>
              <w:bottom w:val="single" w:color="auto" w:sz="4" w:space="0"/>
              <w:right w:val="single" w:color="auto" w:sz="4" w:space="0"/>
            </w:tcBorders>
            <w:vAlign w:val="center"/>
          </w:tcPr>
          <w:p w14:paraId="5A6FF15B">
            <w:pPr>
              <w:spacing w:line="300" w:lineRule="exact"/>
              <w:jc w:val="center"/>
              <w:rPr>
                <w:rFonts w:hAnsi="宋体" w:cs="Arial"/>
                <w:bCs/>
                <w:color w:val="auto"/>
                <w:highlight w:val="none"/>
              </w:rPr>
            </w:pPr>
          </w:p>
        </w:tc>
        <w:tc>
          <w:tcPr>
            <w:tcW w:w="1528" w:type="dxa"/>
            <w:tcBorders>
              <w:top w:val="single" w:color="auto" w:sz="4" w:space="0"/>
              <w:left w:val="single" w:color="auto" w:sz="4" w:space="0"/>
              <w:bottom w:val="single" w:color="auto" w:sz="4" w:space="0"/>
              <w:right w:val="single" w:color="auto" w:sz="4" w:space="0"/>
            </w:tcBorders>
            <w:vAlign w:val="center"/>
          </w:tcPr>
          <w:p w14:paraId="774DBD07">
            <w:pPr>
              <w:spacing w:line="288" w:lineRule="auto"/>
              <w:jc w:val="center"/>
              <w:rPr>
                <w:rFonts w:hAnsi="宋体" w:cs="Arial"/>
                <w:bCs/>
                <w:color w:val="auto"/>
                <w:highlight w:val="none"/>
              </w:rPr>
            </w:pPr>
            <w:r>
              <w:rPr>
                <w:rFonts w:hint="eastAsia" w:hAnsi="宋体" w:cs="Arial"/>
                <w:color w:val="auto"/>
                <w:highlight w:val="none"/>
              </w:rPr>
              <w:t>招标编号</w:t>
            </w:r>
          </w:p>
        </w:tc>
        <w:tc>
          <w:tcPr>
            <w:tcW w:w="6923" w:type="dxa"/>
            <w:tcBorders>
              <w:top w:val="single" w:color="auto" w:sz="4" w:space="0"/>
              <w:left w:val="single" w:color="auto" w:sz="4" w:space="0"/>
              <w:bottom w:val="single" w:color="auto" w:sz="4" w:space="0"/>
              <w:right w:val="single" w:color="auto" w:sz="4" w:space="0"/>
            </w:tcBorders>
            <w:vAlign w:val="center"/>
          </w:tcPr>
          <w:p w14:paraId="26D0C9D3">
            <w:pPr>
              <w:spacing w:line="400" w:lineRule="exact"/>
              <w:jc w:val="left"/>
              <w:rPr>
                <w:rFonts w:hint="default" w:hAnsi="宋体" w:cs="Arial"/>
                <w:bCs/>
                <w:color w:val="auto"/>
                <w:highlight w:val="none"/>
                <w:lang w:val="en-US" w:eastAsia="zh-CN"/>
              </w:rPr>
            </w:pPr>
            <w:r>
              <w:rPr>
                <w:rFonts w:hint="eastAsia" w:hAnsi="宋体" w:cs="Arial"/>
                <w:bCs/>
                <w:color w:val="auto"/>
                <w:highlight w:val="none"/>
                <w:lang w:val="en-US" w:eastAsia="zh-CN"/>
              </w:rPr>
              <w:t>项目编号：XJYHZB2024-262</w:t>
            </w:r>
          </w:p>
          <w:p w14:paraId="26473367">
            <w:pPr>
              <w:spacing w:line="400" w:lineRule="exact"/>
              <w:jc w:val="left"/>
              <w:rPr>
                <w:rFonts w:hint="default"/>
                <w:color w:val="auto"/>
                <w:highlight w:val="none"/>
                <w:lang w:val="en-US" w:eastAsia="zh-CN"/>
              </w:rPr>
            </w:pPr>
            <w:r>
              <w:rPr>
                <w:rFonts w:hint="eastAsia" w:ascii="Times New Roman" w:hAnsi="宋体" w:eastAsia="宋体" w:cs="Arial"/>
                <w:b w:val="0"/>
                <w:bCs/>
                <w:color w:val="auto"/>
                <w:kern w:val="2"/>
                <w:sz w:val="21"/>
                <w:szCs w:val="21"/>
                <w:highlight w:val="none"/>
                <w:lang w:val="en-US" w:eastAsia="zh-CN" w:bidi="ar-SA"/>
              </w:rPr>
              <w:t>标包编号：</w:t>
            </w:r>
            <w:r>
              <w:rPr>
                <w:rFonts w:hint="eastAsia" w:hAnsi="宋体" w:cs="Arial"/>
                <w:bCs/>
                <w:color w:val="auto"/>
                <w:highlight w:val="none"/>
                <w:lang w:val="en-US" w:eastAsia="zh-CN"/>
              </w:rPr>
              <w:t>XJYHZB2024-262-09、XJYHZB2024-262-10、XJYHZB2024-262-11、XJYHZB2024-262-12、XJYHZB2024-262-13</w:t>
            </w:r>
          </w:p>
        </w:tc>
      </w:tr>
      <w:tr w14:paraId="4FF743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567" w:type="dxa"/>
            <w:vMerge w:val="restart"/>
            <w:tcBorders>
              <w:top w:val="single" w:color="auto" w:sz="4" w:space="0"/>
              <w:left w:val="single" w:color="auto" w:sz="4" w:space="0"/>
              <w:right w:val="single" w:color="auto" w:sz="4" w:space="0"/>
            </w:tcBorders>
            <w:vAlign w:val="center"/>
          </w:tcPr>
          <w:p w14:paraId="5731221B">
            <w:pPr>
              <w:spacing w:line="300" w:lineRule="exact"/>
              <w:jc w:val="center"/>
              <w:rPr>
                <w:rFonts w:hAnsi="宋体" w:cs="Arial"/>
                <w:bCs/>
                <w:color w:val="auto"/>
                <w:highlight w:val="none"/>
              </w:rPr>
            </w:pPr>
            <w:r>
              <w:rPr>
                <w:rFonts w:hint="eastAsia" w:hAnsi="宋体" w:cs="Arial"/>
                <w:bCs/>
                <w:color w:val="auto"/>
                <w:highlight w:val="none"/>
              </w:rPr>
              <w:t>2</w:t>
            </w:r>
          </w:p>
        </w:tc>
        <w:tc>
          <w:tcPr>
            <w:tcW w:w="1528" w:type="dxa"/>
            <w:tcBorders>
              <w:top w:val="single" w:color="auto" w:sz="4" w:space="0"/>
              <w:left w:val="single" w:color="auto" w:sz="4" w:space="0"/>
              <w:bottom w:val="single" w:color="auto" w:sz="4" w:space="0"/>
              <w:right w:val="single" w:color="auto" w:sz="4" w:space="0"/>
            </w:tcBorders>
            <w:vAlign w:val="center"/>
          </w:tcPr>
          <w:p w14:paraId="38513B56">
            <w:pPr>
              <w:spacing w:line="288" w:lineRule="auto"/>
              <w:jc w:val="center"/>
              <w:rPr>
                <w:rFonts w:hAnsi="宋体" w:cs="Arial"/>
                <w:bCs/>
                <w:color w:val="auto"/>
                <w:highlight w:val="none"/>
              </w:rPr>
            </w:pPr>
            <w:r>
              <w:rPr>
                <w:rFonts w:hint="eastAsia" w:hAnsi="宋体" w:cs="Arial"/>
                <w:bCs/>
                <w:color w:val="auto"/>
                <w:highlight w:val="none"/>
              </w:rPr>
              <w:t>资金来源</w:t>
            </w:r>
          </w:p>
        </w:tc>
        <w:tc>
          <w:tcPr>
            <w:tcW w:w="6923" w:type="dxa"/>
            <w:tcBorders>
              <w:top w:val="single" w:color="auto" w:sz="4" w:space="0"/>
              <w:left w:val="single" w:color="auto" w:sz="4" w:space="0"/>
              <w:bottom w:val="single" w:color="auto" w:sz="4" w:space="0"/>
              <w:right w:val="single" w:color="auto" w:sz="4" w:space="0"/>
            </w:tcBorders>
            <w:vAlign w:val="center"/>
          </w:tcPr>
          <w:p w14:paraId="40919ACD">
            <w:pPr>
              <w:spacing w:line="288" w:lineRule="auto"/>
              <w:jc w:val="left"/>
              <w:rPr>
                <w:rFonts w:hAnsi="宋体" w:cs="Arial"/>
                <w:bCs/>
                <w:color w:val="auto"/>
                <w:highlight w:val="none"/>
              </w:rPr>
            </w:pPr>
            <w:r>
              <w:rPr>
                <w:rFonts w:hint="eastAsia" w:hAnsi="宋体" w:cs="Arial"/>
                <w:bCs/>
                <w:color w:val="auto"/>
                <w:highlight w:val="none"/>
              </w:rPr>
              <w:t>财政资金</w:t>
            </w:r>
          </w:p>
        </w:tc>
      </w:tr>
      <w:tr w14:paraId="09AA40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13" w:hRule="atLeast"/>
          <w:jc w:val="center"/>
        </w:trPr>
        <w:tc>
          <w:tcPr>
            <w:tcW w:w="567" w:type="dxa"/>
            <w:vMerge w:val="continue"/>
            <w:tcBorders>
              <w:left w:val="single" w:color="auto" w:sz="4" w:space="0"/>
              <w:right w:val="single" w:color="auto" w:sz="4" w:space="0"/>
            </w:tcBorders>
            <w:vAlign w:val="center"/>
          </w:tcPr>
          <w:p w14:paraId="262FEFFA">
            <w:pPr>
              <w:spacing w:line="300" w:lineRule="exact"/>
              <w:jc w:val="center"/>
              <w:rPr>
                <w:rFonts w:hAnsi="宋体" w:cs="Arial"/>
                <w:bCs/>
                <w:color w:val="auto"/>
                <w:highlight w:val="none"/>
              </w:rPr>
            </w:pPr>
          </w:p>
        </w:tc>
        <w:tc>
          <w:tcPr>
            <w:tcW w:w="1528" w:type="dxa"/>
            <w:vMerge w:val="restart"/>
            <w:tcBorders>
              <w:top w:val="single" w:color="auto" w:sz="4" w:space="0"/>
              <w:left w:val="single" w:color="auto" w:sz="4" w:space="0"/>
              <w:right w:val="single" w:color="auto" w:sz="4" w:space="0"/>
            </w:tcBorders>
            <w:vAlign w:val="center"/>
          </w:tcPr>
          <w:p w14:paraId="42636B02">
            <w:pPr>
              <w:spacing w:line="288" w:lineRule="auto"/>
              <w:jc w:val="center"/>
              <w:rPr>
                <w:rFonts w:hAnsi="宋体" w:cs="Arial"/>
                <w:bCs/>
                <w:color w:val="auto"/>
                <w:highlight w:val="none"/>
              </w:rPr>
            </w:pPr>
            <w:r>
              <w:rPr>
                <w:rFonts w:hint="eastAsia" w:hAnsi="宋体" w:cs="Arial"/>
                <w:bCs/>
                <w:color w:val="auto"/>
                <w:highlight w:val="none"/>
              </w:rPr>
              <w:t>预算金额</w:t>
            </w:r>
          </w:p>
          <w:p w14:paraId="12BD82CD">
            <w:pPr>
              <w:spacing w:line="288" w:lineRule="auto"/>
              <w:jc w:val="center"/>
              <w:rPr>
                <w:color w:val="auto"/>
                <w:highlight w:val="none"/>
              </w:rPr>
            </w:pPr>
            <w:r>
              <w:rPr>
                <w:rFonts w:hint="eastAsia" w:hAnsi="宋体" w:cs="Arial"/>
                <w:bCs/>
                <w:color w:val="auto"/>
                <w:highlight w:val="none"/>
              </w:rPr>
              <w:t>最高限价</w:t>
            </w:r>
          </w:p>
        </w:tc>
        <w:tc>
          <w:tcPr>
            <w:tcW w:w="6923" w:type="dxa"/>
            <w:tcBorders>
              <w:top w:val="single" w:color="auto" w:sz="4" w:space="0"/>
              <w:left w:val="single" w:color="auto" w:sz="4" w:space="0"/>
              <w:bottom w:val="single" w:color="auto" w:sz="4" w:space="0"/>
              <w:right w:val="single" w:color="auto" w:sz="4" w:space="0"/>
            </w:tcBorders>
            <w:vAlign w:val="center"/>
          </w:tcPr>
          <w:p w14:paraId="6618CCF7">
            <w:pPr>
              <w:pStyle w:val="23"/>
              <w:spacing w:line="288" w:lineRule="auto"/>
              <w:jc w:val="left"/>
              <w:rPr>
                <w:rFonts w:hint="eastAsia" w:hAnsi="宋体" w:cs="Arial"/>
                <w:bCs/>
                <w:color w:val="auto"/>
                <w:highlight w:val="none"/>
              </w:rPr>
            </w:pPr>
            <w:r>
              <w:rPr>
                <w:rFonts w:hint="eastAsia" w:hAnsi="宋体" w:cs="Arial"/>
                <w:bCs/>
                <w:color w:val="auto"/>
                <w:highlight w:val="none"/>
              </w:rPr>
              <w:t>预算总金额：</w:t>
            </w:r>
            <w:r>
              <w:rPr>
                <w:rFonts w:hint="eastAsia" w:hAnsi="宋体" w:cs="Arial"/>
                <w:bCs/>
                <w:color w:val="auto"/>
                <w:highlight w:val="none"/>
                <w:lang w:val="en-US" w:eastAsia="zh-CN"/>
              </w:rPr>
              <w:t>509.63</w:t>
            </w:r>
            <w:r>
              <w:rPr>
                <w:rFonts w:hint="eastAsia" w:hAnsi="宋体" w:cs="Arial"/>
                <w:bCs/>
                <w:color w:val="auto"/>
                <w:highlight w:val="none"/>
              </w:rPr>
              <w:t>万元</w:t>
            </w:r>
          </w:p>
          <w:p w14:paraId="0D8593D1">
            <w:pPr>
              <w:pStyle w:val="23"/>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rPr>
              <w:t>第</w:t>
            </w:r>
            <w:r>
              <w:rPr>
                <w:rFonts w:hint="eastAsia" w:hAnsi="宋体" w:cs="Arial"/>
                <w:bCs/>
                <w:color w:val="auto"/>
                <w:highlight w:val="none"/>
                <w:lang w:val="en-US" w:eastAsia="zh-CN"/>
              </w:rPr>
              <w:t>九</w:t>
            </w:r>
            <w:r>
              <w:rPr>
                <w:rFonts w:hint="eastAsia" w:hAnsi="宋体" w:cs="Arial"/>
                <w:bCs/>
                <w:color w:val="auto"/>
                <w:highlight w:val="none"/>
              </w:rPr>
              <w:t>包：</w:t>
            </w:r>
            <w:r>
              <w:rPr>
                <w:rFonts w:hint="eastAsia" w:hAnsi="宋体" w:cs="Arial"/>
                <w:bCs/>
                <w:color w:val="auto"/>
                <w:highlight w:val="none"/>
                <w:lang w:val="en-US" w:eastAsia="zh-CN"/>
              </w:rPr>
              <w:t>87.1</w:t>
            </w:r>
            <w:r>
              <w:rPr>
                <w:rFonts w:hint="eastAsia" w:hAnsi="宋体" w:cs="Arial"/>
                <w:bCs/>
                <w:color w:val="auto"/>
                <w:highlight w:val="none"/>
              </w:rPr>
              <w:t>万元；第</w:t>
            </w:r>
            <w:r>
              <w:rPr>
                <w:rFonts w:hint="eastAsia" w:hAnsi="宋体" w:cs="Arial"/>
                <w:bCs/>
                <w:color w:val="auto"/>
                <w:highlight w:val="none"/>
                <w:lang w:val="en-US" w:eastAsia="zh-CN"/>
              </w:rPr>
              <w:t>十</w:t>
            </w:r>
            <w:r>
              <w:rPr>
                <w:rFonts w:hint="eastAsia" w:hAnsi="宋体" w:cs="Arial"/>
                <w:bCs/>
                <w:color w:val="auto"/>
                <w:highlight w:val="none"/>
              </w:rPr>
              <w:t>包：</w:t>
            </w:r>
            <w:r>
              <w:rPr>
                <w:rFonts w:hint="eastAsia" w:hAnsi="宋体" w:cs="Arial"/>
                <w:bCs/>
                <w:color w:val="auto"/>
                <w:highlight w:val="none"/>
                <w:lang w:val="en-US" w:eastAsia="zh-CN"/>
              </w:rPr>
              <w:t>79.4</w:t>
            </w:r>
            <w:r>
              <w:rPr>
                <w:rFonts w:hint="eastAsia" w:hAnsi="宋体" w:cs="Arial"/>
                <w:bCs/>
                <w:color w:val="auto"/>
                <w:highlight w:val="none"/>
              </w:rPr>
              <w:t>万元；第</w:t>
            </w:r>
            <w:r>
              <w:rPr>
                <w:rFonts w:hint="eastAsia" w:hAnsi="宋体" w:cs="Arial"/>
                <w:bCs/>
                <w:color w:val="auto"/>
                <w:highlight w:val="none"/>
                <w:lang w:val="en-US" w:eastAsia="zh-CN"/>
              </w:rPr>
              <w:t>十一</w:t>
            </w:r>
            <w:r>
              <w:rPr>
                <w:rFonts w:hint="eastAsia" w:hAnsi="宋体" w:cs="Arial"/>
                <w:bCs/>
                <w:color w:val="auto"/>
                <w:highlight w:val="none"/>
              </w:rPr>
              <w:t>包：</w:t>
            </w:r>
            <w:r>
              <w:rPr>
                <w:rFonts w:hint="eastAsia" w:hAnsi="宋体" w:cs="Arial"/>
                <w:bCs/>
                <w:color w:val="auto"/>
                <w:highlight w:val="none"/>
                <w:lang w:val="en-US" w:eastAsia="zh-CN"/>
              </w:rPr>
              <w:t>144.53</w:t>
            </w:r>
            <w:r>
              <w:rPr>
                <w:rFonts w:hint="eastAsia" w:hAnsi="宋体" w:cs="Arial"/>
                <w:bCs/>
                <w:color w:val="auto"/>
                <w:highlight w:val="none"/>
              </w:rPr>
              <w:t>万元；第</w:t>
            </w:r>
            <w:r>
              <w:rPr>
                <w:rFonts w:hint="eastAsia" w:hAnsi="宋体" w:cs="Arial"/>
                <w:bCs/>
                <w:color w:val="auto"/>
                <w:highlight w:val="none"/>
                <w:lang w:val="en-US" w:eastAsia="zh-CN"/>
              </w:rPr>
              <w:t>十二</w:t>
            </w:r>
            <w:r>
              <w:rPr>
                <w:rFonts w:hint="eastAsia" w:hAnsi="宋体" w:cs="Arial"/>
                <w:bCs/>
                <w:color w:val="auto"/>
                <w:highlight w:val="none"/>
              </w:rPr>
              <w:t>包：</w:t>
            </w:r>
            <w:r>
              <w:rPr>
                <w:rFonts w:hint="eastAsia" w:hAnsi="宋体" w:cs="Arial"/>
                <w:bCs/>
                <w:color w:val="auto"/>
                <w:highlight w:val="none"/>
                <w:lang w:val="en-US" w:eastAsia="zh-CN"/>
              </w:rPr>
              <w:t>85.8</w:t>
            </w:r>
            <w:r>
              <w:rPr>
                <w:rFonts w:hint="eastAsia" w:hAnsi="宋体" w:cs="Arial"/>
                <w:bCs/>
                <w:color w:val="auto"/>
                <w:highlight w:val="none"/>
              </w:rPr>
              <w:t>万元；</w:t>
            </w:r>
            <w:r>
              <w:rPr>
                <w:rFonts w:hint="eastAsia" w:hAnsi="宋体" w:cs="Arial"/>
                <w:bCs/>
                <w:color w:val="auto"/>
                <w:highlight w:val="none"/>
                <w:lang w:val="en-US" w:eastAsia="zh-CN"/>
              </w:rPr>
              <w:t>第十三包：112.8万元；</w:t>
            </w:r>
          </w:p>
        </w:tc>
      </w:tr>
      <w:tr w14:paraId="22AF3F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vMerge w:val="continue"/>
            <w:tcBorders>
              <w:left w:val="single" w:color="auto" w:sz="4" w:space="0"/>
              <w:bottom w:val="single" w:color="auto" w:sz="4" w:space="0"/>
              <w:right w:val="single" w:color="auto" w:sz="4" w:space="0"/>
            </w:tcBorders>
            <w:vAlign w:val="center"/>
          </w:tcPr>
          <w:p w14:paraId="6367AB7E">
            <w:pPr>
              <w:spacing w:line="300" w:lineRule="exact"/>
              <w:jc w:val="center"/>
              <w:rPr>
                <w:rFonts w:hAnsi="宋体" w:cs="Arial"/>
                <w:bCs/>
                <w:color w:val="auto"/>
                <w:highlight w:val="none"/>
              </w:rPr>
            </w:pPr>
          </w:p>
        </w:tc>
        <w:tc>
          <w:tcPr>
            <w:tcW w:w="1528" w:type="dxa"/>
            <w:vMerge w:val="continue"/>
            <w:tcBorders>
              <w:left w:val="single" w:color="auto" w:sz="4" w:space="0"/>
              <w:bottom w:val="single" w:color="auto" w:sz="4" w:space="0"/>
              <w:right w:val="single" w:color="auto" w:sz="4" w:space="0"/>
            </w:tcBorders>
            <w:vAlign w:val="center"/>
          </w:tcPr>
          <w:p w14:paraId="690B5619">
            <w:pPr>
              <w:spacing w:line="288" w:lineRule="auto"/>
              <w:jc w:val="center"/>
              <w:rPr>
                <w:rFonts w:hAnsi="宋体" w:cs="Arial"/>
                <w:bCs/>
                <w:color w:val="auto"/>
                <w:highlight w:val="none"/>
              </w:rPr>
            </w:pPr>
          </w:p>
        </w:tc>
        <w:tc>
          <w:tcPr>
            <w:tcW w:w="6923" w:type="dxa"/>
            <w:tcBorders>
              <w:top w:val="single" w:color="auto" w:sz="4" w:space="0"/>
              <w:left w:val="single" w:color="auto" w:sz="4" w:space="0"/>
              <w:bottom w:val="single" w:color="auto" w:sz="4" w:space="0"/>
              <w:right w:val="single" w:color="auto" w:sz="4" w:space="0"/>
            </w:tcBorders>
            <w:vAlign w:val="center"/>
          </w:tcPr>
          <w:p w14:paraId="52BBEC70">
            <w:pPr>
              <w:pStyle w:val="23"/>
              <w:spacing w:line="288" w:lineRule="auto"/>
              <w:jc w:val="left"/>
              <w:rPr>
                <w:rFonts w:hint="eastAsia" w:hAnsi="宋体" w:cs="Arial"/>
                <w:bCs/>
                <w:color w:val="auto"/>
                <w:highlight w:val="none"/>
              </w:rPr>
            </w:pPr>
            <w:r>
              <w:rPr>
                <w:rFonts w:hint="eastAsia" w:hAnsi="宋体" w:cs="Arial"/>
                <w:bCs/>
                <w:color w:val="auto"/>
                <w:highlight w:val="none"/>
              </w:rPr>
              <w:t>最高限价：</w:t>
            </w:r>
            <w:r>
              <w:rPr>
                <w:rFonts w:hint="eastAsia" w:hAnsi="宋体" w:cs="Arial"/>
                <w:bCs/>
                <w:color w:val="auto"/>
                <w:highlight w:val="none"/>
                <w:lang w:val="en-US" w:eastAsia="zh-CN"/>
              </w:rPr>
              <w:t>509.63</w:t>
            </w:r>
            <w:r>
              <w:rPr>
                <w:rFonts w:hint="eastAsia" w:hAnsi="宋体" w:cs="Arial"/>
                <w:bCs/>
                <w:color w:val="auto"/>
                <w:highlight w:val="none"/>
              </w:rPr>
              <w:t>万元</w:t>
            </w:r>
          </w:p>
          <w:p w14:paraId="3750914A">
            <w:pPr>
              <w:pStyle w:val="23"/>
              <w:spacing w:line="288" w:lineRule="auto"/>
              <w:jc w:val="left"/>
              <w:rPr>
                <w:rFonts w:hint="eastAsia" w:asciiTheme="minorEastAsia" w:hAnsiTheme="minorEastAsia" w:eastAsiaTheme="minorEastAsia" w:cstheme="minorEastAsia"/>
                <w:bCs/>
                <w:color w:val="auto"/>
                <w:highlight w:val="none"/>
                <w:lang w:eastAsia="zh-CN"/>
              </w:rPr>
            </w:pPr>
            <w:r>
              <w:rPr>
                <w:rFonts w:hint="eastAsia" w:hAnsi="宋体" w:cs="Arial"/>
                <w:bCs/>
                <w:color w:val="auto"/>
                <w:highlight w:val="none"/>
              </w:rPr>
              <w:t>第</w:t>
            </w:r>
            <w:r>
              <w:rPr>
                <w:rFonts w:hint="eastAsia" w:hAnsi="宋体" w:cs="Arial"/>
                <w:bCs/>
                <w:color w:val="auto"/>
                <w:highlight w:val="none"/>
                <w:lang w:val="en-US" w:eastAsia="zh-CN"/>
              </w:rPr>
              <w:t>九</w:t>
            </w:r>
            <w:r>
              <w:rPr>
                <w:rFonts w:hint="eastAsia" w:hAnsi="宋体" w:cs="Arial"/>
                <w:bCs/>
                <w:color w:val="auto"/>
                <w:highlight w:val="none"/>
              </w:rPr>
              <w:t>包：</w:t>
            </w:r>
            <w:r>
              <w:rPr>
                <w:rFonts w:hint="eastAsia" w:hAnsi="宋体" w:cs="Arial"/>
                <w:bCs/>
                <w:color w:val="auto"/>
                <w:highlight w:val="none"/>
                <w:lang w:val="en-US" w:eastAsia="zh-CN"/>
              </w:rPr>
              <w:t>87.1</w:t>
            </w:r>
            <w:r>
              <w:rPr>
                <w:rFonts w:hint="eastAsia" w:hAnsi="宋体" w:cs="Arial"/>
                <w:bCs/>
                <w:color w:val="auto"/>
                <w:highlight w:val="none"/>
              </w:rPr>
              <w:t>万元；第</w:t>
            </w:r>
            <w:r>
              <w:rPr>
                <w:rFonts w:hint="eastAsia" w:hAnsi="宋体" w:cs="Arial"/>
                <w:bCs/>
                <w:color w:val="auto"/>
                <w:highlight w:val="none"/>
                <w:lang w:val="en-US" w:eastAsia="zh-CN"/>
              </w:rPr>
              <w:t>十</w:t>
            </w:r>
            <w:r>
              <w:rPr>
                <w:rFonts w:hint="eastAsia" w:hAnsi="宋体" w:cs="Arial"/>
                <w:bCs/>
                <w:color w:val="auto"/>
                <w:highlight w:val="none"/>
              </w:rPr>
              <w:t>包：</w:t>
            </w:r>
            <w:r>
              <w:rPr>
                <w:rFonts w:hint="eastAsia" w:hAnsi="宋体" w:cs="Arial"/>
                <w:bCs/>
                <w:color w:val="auto"/>
                <w:highlight w:val="none"/>
                <w:lang w:val="en-US" w:eastAsia="zh-CN"/>
              </w:rPr>
              <w:t>79.4</w:t>
            </w:r>
            <w:r>
              <w:rPr>
                <w:rFonts w:hint="eastAsia" w:hAnsi="宋体" w:cs="Arial"/>
                <w:bCs/>
                <w:color w:val="auto"/>
                <w:highlight w:val="none"/>
              </w:rPr>
              <w:t>万元；第</w:t>
            </w:r>
            <w:r>
              <w:rPr>
                <w:rFonts w:hint="eastAsia" w:hAnsi="宋体" w:cs="Arial"/>
                <w:bCs/>
                <w:color w:val="auto"/>
                <w:highlight w:val="none"/>
                <w:lang w:val="en-US" w:eastAsia="zh-CN"/>
              </w:rPr>
              <w:t>十一</w:t>
            </w:r>
            <w:r>
              <w:rPr>
                <w:rFonts w:hint="eastAsia" w:hAnsi="宋体" w:cs="Arial"/>
                <w:bCs/>
                <w:color w:val="auto"/>
                <w:highlight w:val="none"/>
              </w:rPr>
              <w:t>包：</w:t>
            </w:r>
            <w:r>
              <w:rPr>
                <w:rFonts w:hint="eastAsia" w:hAnsi="宋体" w:cs="Arial"/>
                <w:bCs/>
                <w:color w:val="auto"/>
                <w:highlight w:val="none"/>
                <w:lang w:val="en-US" w:eastAsia="zh-CN"/>
              </w:rPr>
              <w:t>144.53</w:t>
            </w:r>
            <w:r>
              <w:rPr>
                <w:rFonts w:hint="eastAsia" w:hAnsi="宋体" w:cs="Arial"/>
                <w:bCs/>
                <w:color w:val="auto"/>
                <w:highlight w:val="none"/>
              </w:rPr>
              <w:t>万元；第</w:t>
            </w:r>
            <w:r>
              <w:rPr>
                <w:rFonts w:hint="eastAsia" w:hAnsi="宋体" w:cs="Arial"/>
                <w:bCs/>
                <w:color w:val="auto"/>
                <w:highlight w:val="none"/>
                <w:lang w:val="en-US" w:eastAsia="zh-CN"/>
              </w:rPr>
              <w:t>十二</w:t>
            </w:r>
            <w:r>
              <w:rPr>
                <w:rFonts w:hint="eastAsia" w:hAnsi="宋体" w:cs="Arial"/>
                <w:bCs/>
                <w:color w:val="auto"/>
                <w:highlight w:val="none"/>
              </w:rPr>
              <w:t>包：</w:t>
            </w:r>
            <w:r>
              <w:rPr>
                <w:rFonts w:hint="eastAsia" w:hAnsi="宋体" w:cs="Arial"/>
                <w:bCs/>
                <w:color w:val="auto"/>
                <w:highlight w:val="none"/>
                <w:lang w:val="en-US" w:eastAsia="zh-CN"/>
              </w:rPr>
              <w:t>85.8</w:t>
            </w:r>
            <w:r>
              <w:rPr>
                <w:rFonts w:hint="eastAsia" w:hAnsi="宋体" w:cs="Arial"/>
                <w:bCs/>
                <w:color w:val="auto"/>
                <w:highlight w:val="none"/>
              </w:rPr>
              <w:t>万元；</w:t>
            </w:r>
            <w:r>
              <w:rPr>
                <w:rFonts w:hint="eastAsia" w:hAnsi="宋体" w:cs="Arial"/>
                <w:bCs/>
                <w:color w:val="auto"/>
                <w:highlight w:val="none"/>
                <w:lang w:val="en-US" w:eastAsia="zh-CN"/>
              </w:rPr>
              <w:t>第十三包：112.8万元；</w:t>
            </w:r>
            <w:r>
              <w:rPr>
                <w:rFonts w:hint="eastAsia" w:asciiTheme="minorEastAsia" w:hAnsiTheme="minorEastAsia" w:eastAsiaTheme="minorEastAsia" w:cstheme="minorEastAsia"/>
                <w:bCs/>
                <w:color w:val="auto"/>
                <w:highlight w:val="none"/>
                <w:lang w:eastAsia="zh-CN"/>
              </w:rPr>
              <w:t>（投标单位投标总价及单价均不得超过最高限价，否则其</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lang w:eastAsia="zh-CN"/>
              </w:rPr>
              <w:t>文件将被拒绝。）</w:t>
            </w:r>
          </w:p>
        </w:tc>
      </w:tr>
      <w:tr w14:paraId="636047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66C12844">
            <w:pPr>
              <w:spacing w:line="300" w:lineRule="exact"/>
              <w:jc w:val="center"/>
              <w:rPr>
                <w:rFonts w:hAnsi="宋体" w:cs="Arial"/>
                <w:bCs/>
                <w:color w:val="auto"/>
                <w:highlight w:val="none"/>
              </w:rPr>
            </w:pPr>
            <w:r>
              <w:rPr>
                <w:rFonts w:hint="eastAsia" w:hAnsi="宋体" w:cs="Arial"/>
                <w:bCs/>
                <w:color w:val="auto"/>
                <w:highlight w:val="none"/>
              </w:rPr>
              <w:t>3</w:t>
            </w:r>
          </w:p>
        </w:tc>
        <w:tc>
          <w:tcPr>
            <w:tcW w:w="1528" w:type="dxa"/>
            <w:tcBorders>
              <w:top w:val="single" w:color="auto" w:sz="4" w:space="0"/>
              <w:left w:val="single" w:color="auto" w:sz="4" w:space="0"/>
              <w:bottom w:val="single" w:color="auto" w:sz="4" w:space="0"/>
              <w:right w:val="single" w:color="auto" w:sz="4" w:space="0"/>
            </w:tcBorders>
            <w:vAlign w:val="center"/>
          </w:tcPr>
          <w:p w14:paraId="1B658378">
            <w:pPr>
              <w:spacing w:line="288" w:lineRule="auto"/>
              <w:jc w:val="center"/>
              <w:rPr>
                <w:rFonts w:hAnsi="宋体" w:cs="Arial"/>
                <w:bCs/>
                <w:color w:val="auto"/>
                <w:highlight w:val="none"/>
              </w:rPr>
            </w:pPr>
            <w:r>
              <w:rPr>
                <w:rFonts w:hint="eastAsia" w:hAnsi="宋体" w:cs="Arial"/>
                <w:bCs/>
                <w:color w:val="auto"/>
                <w:highlight w:val="none"/>
              </w:rPr>
              <w:t>招标方式</w:t>
            </w:r>
          </w:p>
        </w:tc>
        <w:tc>
          <w:tcPr>
            <w:tcW w:w="6923" w:type="dxa"/>
            <w:tcBorders>
              <w:top w:val="single" w:color="auto" w:sz="4" w:space="0"/>
              <w:left w:val="single" w:color="auto" w:sz="4" w:space="0"/>
              <w:bottom w:val="single" w:color="auto" w:sz="4" w:space="0"/>
              <w:right w:val="single" w:color="auto" w:sz="4" w:space="0"/>
            </w:tcBorders>
            <w:vAlign w:val="center"/>
          </w:tcPr>
          <w:p w14:paraId="0B301CCC">
            <w:pPr>
              <w:pStyle w:val="124"/>
              <w:spacing w:line="288" w:lineRule="auto"/>
              <w:ind w:left="0"/>
              <w:rPr>
                <w:rFonts w:ascii="宋体" w:hAnsi="宋体" w:cs="Arial"/>
                <w:bCs/>
                <w:color w:val="auto"/>
                <w:sz w:val="21"/>
                <w:szCs w:val="21"/>
                <w:highlight w:val="none"/>
              </w:rPr>
            </w:pPr>
            <w:r>
              <w:rPr>
                <w:rFonts w:hint="eastAsia" w:ascii="宋体" w:hAnsi="宋体" w:cs="Arial"/>
                <w:bCs/>
                <w:color w:val="auto"/>
                <w:sz w:val="21"/>
                <w:szCs w:val="21"/>
                <w:highlight w:val="none"/>
              </w:rPr>
              <w:t>公开招标</w:t>
            </w:r>
          </w:p>
        </w:tc>
      </w:tr>
      <w:tr w14:paraId="09A5C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0"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48FC0585">
            <w:pPr>
              <w:spacing w:line="300" w:lineRule="exact"/>
              <w:jc w:val="center"/>
              <w:rPr>
                <w:rFonts w:hAnsi="宋体" w:cs="Arial"/>
                <w:bCs/>
                <w:color w:val="auto"/>
                <w:highlight w:val="none"/>
              </w:rPr>
            </w:pPr>
            <w:r>
              <w:rPr>
                <w:rFonts w:hint="eastAsia" w:hAnsi="宋体" w:cs="Arial"/>
                <w:bCs/>
                <w:color w:val="auto"/>
                <w:highlight w:val="none"/>
              </w:rPr>
              <w:t>4</w:t>
            </w:r>
          </w:p>
        </w:tc>
        <w:tc>
          <w:tcPr>
            <w:tcW w:w="1528" w:type="dxa"/>
            <w:tcBorders>
              <w:top w:val="single" w:color="auto" w:sz="4" w:space="0"/>
              <w:left w:val="single" w:color="auto" w:sz="4" w:space="0"/>
              <w:bottom w:val="single" w:color="auto" w:sz="4" w:space="0"/>
              <w:right w:val="single" w:color="auto" w:sz="4" w:space="0"/>
            </w:tcBorders>
            <w:vAlign w:val="center"/>
          </w:tcPr>
          <w:p w14:paraId="3C355091">
            <w:pPr>
              <w:spacing w:line="288" w:lineRule="auto"/>
              <w:jc w:val="center"/>
              <w:rPr>
                <w:rFonts w:hAnsi="宋体" w:cs="Arial"/>
                <w:bCs/>
                <w:color w:val="auto"/>
                <w:highlight w:val="none"/>
              </w:rPr>
            </w:pPr>
            <w:r>
              <w:rPr>
                <w:rFonts w:hint="eastAsia" w:hAnsi="宋体" w:cs="Arial"/>
                <w:bCs/>
                <w:color w:val="auto"/>
                <w:highlight w:val="none"/>
              </w:rPr>
              <w:t>招标内容</w:t>
            </w:r>
          </w:p>
        </w:tc>
        <w:tc>
          <w:tcPr>
            <w:tcW w:w="6923" w:type="dxa"/>
            <w:tcBorders>
              <w:top w:val="single" w:color="auto" w:sz="4" w:space="0"/>
              <w:left w:val="single" w:color="auto" w:sz="4" w:space="0"/>
              <w:bottom w:val="single" w:color="auto" w:sz="4" w:space="0"/>
              <w:right w:val="single" w:color="auto" w:sz="4" w:space="0"/>
            </w:tcBorders>
            <w:vAlign w:val="center"/>
          </w:tcPr>
          <w:p w14:paraId="2C7A07D9">
            <w:pPr>
              <w:spacing w:line="288" w:lineRule="auto"/>
              <w:jc w:val="left"/>
              <w:rPr>
                <w:rFonts w:hAnsi="宋体"/>
                <w:color w:val="auto"/>
                <w:highlight w:val="none"/>
              </w:rPr>
            </w:pPr>
            <w:r>
              <w:rPr>
                <w:rFonts w:hint="eastAsia" w:hAnsi="宋体"/>
                <w:color w:val="auto"/>
                <w:highlight w:val="none"/>
              </w:rPr>
              <w:t>详见本招标文件第六章项目需求</w:t>
            </w:r>
          </w:p>
        </w:tc>
      </w:tr>
      <w:tr w14:paraId="3D4820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53781775">
            <w:pPr>
              <w:spacing w:line="300" w:lineRule="exact"/>
              <w:jc w:val="center"/>
              <w:rPr>
                <w:rFonts w:hAnsi="宋体" w:cs="Arial"/>
                <w:bCs/>
                <w:color w:val="auto"/>
                <w:highlight w:val="none"/>
              </w:rPr>
            </w:pPr>
            <w:r>
              <w:rPr>
                <w:rFonts w:hint="eastAsia" w:hAnsi="宋体" w:cs="Arial"/>
                <w:bCs/>
                <w:color w:val="auto"/>
                <w:highlight w:val="none"/>
              </w:rPr>
              <w:t>5</w:t>
            </w:r>
          </w:p>
        </w:tc>
        <w:tc>
          <w:tcPr>
            <w:tcW w:w="1528" w:type="dxa"/>
            <w:tcBorders>
              <w:top w:val="single" w:color="auto" w:sz="4" w:space="0"/>
              <w:left w:val="single" w:color="auto" w:sz="4" w:space="0"/>
              <w:bottom w:val="single" w:color="auto" w:sz="4" w:space="0"/>
              <w:right w:val="single" w:color="auto" w:sz="4" w:space="0"/>
            </w:tcBorders>
            <w:vAlign w:val="center"/>
          </w:tcPr>
          <w:p w14:paraId="68EB06F3">
            <w:pPr>
              <w:spacing w:line="288" w:lineRule="auto"/>
              <w:jc w:val="center"/>
              <w:rPr>
                <w:rFonts w:hAnsi="宋体" w:cs="Arial"/>
                <w:bCs/>
                <w:color w:val="auto"/>
                <w:highlight w:val="none"/>
              </w:rPr>
            </w:pPr>
            <w:r>
              <w:rPr>
                <w:rFonts w:hint="eastAsia" w:hAnsi="宋体" w:cs="Arial"/>
                <w:bCs/>
                <w:color w:val="auto"/>
                <w:highlight w:val="none"/>
                <w:lang w:eastAsia="zh-CN"/>
              </w:rPr>
              <w:t>供货</w:t>
            </w:r>
            <w:r>
              <w:rPr>
                <w:rFonts w:hint="eastAsia" w:hAnsi="宋体" w:cs="Arial"/>
                <w:bCs/>
                <w:color w:val="auto"/>
                <w:highlight w:val="none"/>
              </w:rPr>
              <w:t>地点</w:t>
            </w:r>
          </w:p>
        </w:tc>
        <w:tc>
          <w:tcPr>
            <w:tcW w:w="6923" w:type="dxa"/>
            <w:tcBorders>
              <w:top w:val="single" w:color="auto" w:sz="4" w:space="0"/>
              <w:left w:val="single" w:color="auto" w:sz="4" w:space="0"/>
              <w:bottom w:val="single" w:color="auto" w:sz="4" w:space="0"/>
              <w:right w:val="single" w:color="auto" w:sz="4" w:space="0"/>
            </w:tcBorders>
            <w:vAlign w:val="center"/>
          </w:tcPr>
          <w:p w14:paraId="348AF635">
            <w:pPr>
              <w:spacing w:line="288" w:lineRule="auto"/>
              <w:jc w:val="left"/>
              <w:rPr>
                <w:rFonts w:hAnsi="宋体"/>
                <w:color w:val="auto"/>
                <w:highlight w:val="none"/>
              </w:rPr>
            </w:pPr>
            <w:r>
              <w:rPr>
                <w:rFonts w:hint="eastAsia" w:hAnsi="宋体"/>
                <w:color w:val="auto"/>
                <w:highlight w:val="none"/>
              </w:rPr>
              <w:t>招标人指定地点</w:t>
            </w:r>
          </w:p>
        </w:tc>
      </w:tr>
      <w:tr w14:paraId="414012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7C5C7BA6">
            <w:pPr>
              <w:spacing w:line="300" w:lineRule="exact"/>
              <w:jc w:val="center"/>
              <w:rPr>
                <w:rFonts w:hAnsi="宋体" w:cs="Arial"/>
                <w:color w:val="auto"/>
                <w:highlight w:val="none"/>
              </w:rPr>
            </w:pPr>
            <w:r>
              <w:rPr>
                <w:rFonts w:hint="eastAsia" w:hAnsi="宋体" w:cs="Arial"/>
                <w:color w:val="auto"/>
                <w:highlight w:val="none"/>
              </w:rPr>
              <w:t>6</w:t>
            </w:r>
          </w:p>
        </w:tc>
        <w:tc>
          <w:tcPr>
            <w:tcW w:w="1528" w:type="dxa"/>
            <w:tcBorders>
              <w:top w:val="single" w:color="auto" w:sz="4" w:space="0"/>
              <w:left w:val="single" w:color="auto" w:sz="4" w:space="0"/>
              <w:bottom w:val="single" w:color="auto" w:sz="4" w:space="0"/>
              <w:right w:val="single" w:color="auto" w:sz="4" w:space="0"/>
            </w:tcBorders>
            <w:vAlign w:val="center"/>
          </w:tcPr>
          <w:p w14:paraId="6C4B44D2">
            <w:pPr>
              <w:spacing w:line="288" w:lineRule="auto"/>
              <w:jc w:val="center"/>
              <w:rPr>
                <w:rFonts w:hAnsi="宋体" w:cs="宋体"/>
                <w:color w:val="auto"/>
                <w:highlight w:val="none"/>
              </w:rPr>
            </w:pPr>
            <w:r>
              <w:rPr>
                <w:rFonts w:hint="eastAsia" w:hAnsi="宋体" w:cs="宋体"/>
                <w:color w:val="auto"/>
                <w:highlight w:val="none"/>
                <w:lang w:eastAsia="zh-CN"/>
              </w:rPr>
              <w:t>货物</w:t>
            </w:r>
            <w:r>
              <w:rPr>
                <w:rFonts w:hint="eastAsia" w:hAnsi="宋体" w:cs="宋体"/>
                <w:color w:val="auto"/>
                <w:highlight w:val="none"/>
                <w:lang w:val="en-US" w:eastAsia="zh-CN"/>
              </w:rPr>
              <w:t>交付</w:t>
            </w:r>
            <w:r>
              <w:rPr>
                <w:rFonts w:hint="eastAsia" w:hAnsi="宋体" w:cs="宋体"/>
                <w:color w:val="auto"/>
                <w:highlight w:val="none"/>
                <w:lang w:eastAsia="zh-CN"/>
              </w:rPr>
              <w:t>时限</w:t>
            </w:r>
          </w:p>
        </w:tc>
        <w:tc>
          <w:tcPr>
            <w:tcW w:w="6923" w:type="dxa"/>
            <w:tcBorders>
              <w:top w:val="single" w:color="auto" w:sz="4" w:space="0"/>
              <w:left w:val="single" w:color="auto" w:sz="4" w:space="0"/>
              <w:bottom w:val="single" w:color="auto" w:sz="4" w:space="0"/>
              <w:right w:val="single" w:color="auto" w:sz="4" w:space="0"/>
            </w:tcBorders>
            <w:vAlign w:val="center"/>
          </w:tcPr>
          <w:p w14:paraId="6310FC6F">
            <w:pPr>
              <w:spacing w:line="288" w:lineRule="auto"/>
              <w:jc w:val="left"/>
              <w:rPr>
                <w:rFonts w:hint="eastAsia" w:hAnsi="宋体" w:eastAsia="宋体"/>
                <w:color w:val="auto"/>
                <w:highlight w:val="none"/>
                <w:lang w:val="en-US" w:eastAsia="zh-CN"/>
              </w:rPr>
            </w:pPr>
            <w:r>
              <w:rPr>
                <w:rFonts w:hint="eastAsia" w:hAnsi="宋体"/>
                <w:color w:val="auto"/>
                <w:highlight w:val="none"/>
                <w:lang w:eastAsia="zh-CN"/>
              </w:rPr>
              <w:t>签订合同后30日内交付</w:t>
            </w:r>
          </w:p>
        </w:tc>
      </w:tr>
      <w:tr w14:paraId="4267FB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2CDE4039">
            <w:pPr>
              <w:spacing w:line="300" w:lineRule="exact"/>
              <w:jc w:val="center"/>
              <w:rPr>
                <w:rFonts w:hAnsi="宋体" w:cs="Arial"/>
                <w:bCs/>
                <w:color w:val="auto"/>
                <w:highlight w:val="none"/>
              </w:rPr>
            </w:pPr>
            <w:r>
              <w:rPr>
                <w:rFonts w:hint="eastAsia" w:hAnsi="宋体" w:cs="Arial"/>
                <w:bCs/>
                <w:color w:val="auto"/>
                <w:highlight w:val="none"/>
              </w:rPr>
              <w:t>7</w:t>
            </w:r>
          </w:p>
        </w:tc>
        <w:tc>
          <w:tcPr>
            <w:tcW w:w="1528" w:type="dxa"/>
            <w:tcBorders>
              <w:top w:val="single" w:color="auto" w:sz="4" w:space="0"/>
              <w:left w:val="single" w:color="auto" w:sz="4" w:space="0"/>
              <w:bottom w:val="single" w:color="auto" w:sz="4" w:space="0"/>
              <w:right w:val="single" w:color="auto" w:sz="4" w:space="0"/>
            </w:tcBorders>
            <w:vAlign w:val="center"/>
          </w:tcPr>
          <w:p w14:paraId="0188311A">
            <w:pPr>
              <w:spacing w:line="288" w:lineRule="auto"/>
              <w:jc w:val="center"/>
              <w:rPr>
                <w:rFonts w:hAnsi="宋体" w:cs="宋体"/>
                <w:color w:val="auto"/>
                <w:highlight w:val="none"/>
              </w:rPr>
            </w:pPr>
            <w:r>
              <w:rPr>
                <w:rFonts w:hint="eastAsia" w:hAnsi="宋体" w:cs="宋体"/>
                <w:color w:val="auto"/>
                <w:highlight w:val="none"/>
              </w:rPr>
              <w:t>质量标准</w:t>
            </w:r>
          </w:p>
        </w:tc>
        <w:tc>
          <w:tcPr>
            <w:tcW w:w="6923" w:type="dxa"/>
            <w:tcBorders>
              <w:top w:val="single" w:color="auto" w:sz="4" w:space="0"/>
              <w:left w:val="single" w:color="auto" w:sz="4" w:space="0"/>
              <w:bottom w:val="single" w:color="auto" w:sz="4" w:space="0"/>
              <w:right w:val="single" w:color="auto" w:sz="4" w:space="0"/>
            </w:tcBorders>
            <w:vAlign w:val="center"/>
          </w:tcPr>
          <w:p w14:paraId="0D66B95E">
            <w:pPr>
              <w:spacing w:line="288" w:lineRule="auto"/>
              <w:jc w:val="left"/>
              <w:rPr>
                <w:rFonts w:hAnsi="宋体"/>
                <w:color w:val="auto"/>
                <w:highlight w:val="none"/>
              </w:rPr>
            </w:pPr>
            <w:r>
              <w:rPr>
                <w:rFonts w:hint="eastAsia" w:hAnsi="宋体"/>
                <w:color w:val="auto"/>
                <w:highlight w:val="none"/>
              </w:rPr>
              <w:t>达到招标人要求</w:t>
            </w:r>
          </w:p>
        </w:tc>
      </w:tr>
      <w:tr w14:paraId="21C6C4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7753D48E">
            <w:pPr>
              <w:spacing w:line="300" w:lineRule="exact"/>
              <w:jc w:val="center"/>
              <w:rPr>
                <w:rFonts w:ascii="宋体" w:hAnsi="宋体" w:cs="Arial"/>
                <w:bCs/>
                <w:color w:val="auto"/>
                <w:highlight w:val="none"/>
              </w:rPr>
            </w:pPr>
            <w:r>
              <w:rPr>
                <w:rFonts w:hint="eastAsia" w:hAnsi="宋体" w:cs="Arial"/>
                <w:bCs/>
                <w:color w:val="auto"/>
                <w:highlight w:val="none"/>
              </w:rPr>
              <w:t>8</w:t>
            </w:r>
          </w:p>
        </w:tc>
        <w:tc>
          <w:tcPr>
            <w:tcW w:w="1528" w:type="dxa"/>
            <w:tcBorders>
              <w:top w:val="single" w:color="auto" w:sz="4" w:space="0"/>
              <w:left w:val="single" w:color="auto" w:sz="4" w:space="0"/>
              <w:bottom w:val="single" w:color="auto" w:sz="4" w:space="0"/>
              <w:right w:val="single" w:color="auto" w:sz="4" w:space="0"/>
            </w:tcBorders>
            <w:vAlign w:val="center"/>
          </w:tcPr>
          <w:p w14:paraId="7F1D5820">
            <w:pPr>
              <w:spacing w:line="288" w:lineRule="auto"/>
              <w:jc w:val="center"/>
              <w:rPr>
                <w:rFonts w:hAnsi="宋体" w:cs="宋体"/>
                <w:color w:val="auto"/>
                <w:highlight w:val="none"/>
              </w:rPr>
            </w:pPr>
            <w:r>
              <w:rPr>
                <w:rFonts w:hint="eastAsia" w:cs="宋体"/>
                <w:color w:val="auto"/>
                <w:highlight w:val="none"/>
              </w:rPr>
              <w:t>付款方式</w:t>
            </w:r>
          </w:p>
        </w:tc>
        <w:tc>
          <w:tcPr>
            <w:tcW w:w="6923" w:type="dxa"/>
            <w:tcBorders>
              <w:top w:val="single" w:color="auto" w:sz="4" w:space="0"/>
              <w:left w:val="single" w:color="auto" w:sz="4" w:space="0"/>
              <w:bottom w:val="single" w:color="auto" w:sz="4" w:space="0"/>
              <w:right w:val="single" w:color="auto" w:sz="4" w:space="0"/>
            </w:tcBorders>
            <w:vAlign w:val="center"/>
          </w:tcPr>
          <w:p w14:paraId="101E74F6">
            <w:pPr>
              <w:spacing w:line="288" w:lineRule="auto"/>
              <w:rPr>
                <w:color w:val="auto"/>
                <w:highlight w:val="none"/>
              </w:rPr>
            </w:pPr>
            <w:r>
              <w:rPr>
                <w:rFonts w:hint="eastAsia"/>
                <w:color w:val="auto"/>
                <w:highlight w:val="none"/>
                <w:lang w:val="en-US" w:eastAsia="zh-CN"/>
              </w:rPr>
              <w:t>合同签订后支付合同价款50%，中标单位按合同约定交付全部产品、安装调试完毕，验收合格并经过结算审计后30日内，采购人按验收报告、双方认定的结算审计金额、合同相关条款支付剩余货款；如结算审计有审减，按照结算审计结果支付货款；如验收不合格、未完成安装调试，参照违约责任执行。</w:t>
            </w:r>
          </w:p>
        </w:tc>
      </w:tr>
      <w:tr w14:paraId="35DA1C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26B9B1F3">
            <w:pPr>
              <w:spacing w:line="300" w:lineRule="exact"/>
              <w:jc w:val="center"/>
              <w:rPr>
                <w:rFonts w:ascii="宋体" w:hAnsi="宋体" w:cs="Arial"/>
                <w:bCs/>
                <w:color w:val="auto"/>
                <w:highlight w:val="none"/>
              </w:rPr>
            </w:pPr>
            <w:r>
              <w:rPr>
                <w:rFonts w:hint="eastAsia" w:hAnsi="宋体" w:cs="Arial"/>
                <w:bCs/>
                <w:color w:val="auto"/>
                <w:highlight w:val="none"/>
              </w:rPr>
              <w:t>9</w:t>
            </w:r>
          </w:p>
        </w:tc>
        <w:tc>
          <w:tcPr>
            <w:tcW w:w="1528" w:type="dxa"/>
            <w:tcBorders>
              <w:top w:val="single" w:color="auto" w:sz="4" w:space="0"/>
              <w:left w:val="single" w:color="auto" w:sz="4" w:space="0"/>
              <w:bottom w:val="single" w:color="auto" w:sz="4" w:space="0"/>
              <w:right w:val="single" w:color="auto" w:sz="4" w:space="0"/>
            </w:tcBorders>
            <w:vAlign w:val="center"/>
          </w:tcPr>
          <w:p w14:paraId="49772338">
            <w:pPr>
              <w:spacing w:line="288" w:lineRule="auto"/>
              <w:jc w:val="center"/>
              <w:rPr>
                <w:rFonts w:cs="宋体"/>
                <w:color w:val="auto"/>
                <w:highlight w:val="none"/>
              </w:rPr>
            </w:pPr>
            <w:r>
              <w:rPr>
                <w:rFonts w:hint="eastAsia" w:cs="宋体"/>
                <w:color w:val="auto"/>
                <w:highlight w:val="none"/>
              </w:rPr>
              <w:t>质量保修期</w:t>
            </w:r>
          </w:p>
        </w:tc>
        <w:tc>
          <w:tcPr>
            <w:tcW w:w="6923" w:type="dxa"/>
            <w:tcBorders>
              <w:top w:val="single" w:color="auto" w:sz="4" w:space="0"/>
              <w:left w:val="single" w:color="auto" w:sz="4" w:space="0"/>
              <w:bottom w:val="single" w:color="auto" w:sz="4" w:space="0"/>
              <w:right w:val="single" w:color="auto" w:sz="4" w:space="0"/>
            </w:tcBorders>
            <w:vAlign w:val="center"/>
          </w:tcPr>
          <w:p w14:paraId="56EC2C51">
            <w:pPr>
              <w:spacing w:line="288" w:lineRule="auto"/>
              <w:rPr>
                <w:color w:val="auto"/>
                <w:highlight w:val="none"/>
              </w:rPr>
            </w:pPr>
            <w:r>
              <w:rPr>
                <w:rFonts w:hint="eastAsia"/>
                <w:color w:val="auto"/>
                <w:highlight w:val="none"/>
              </w:rPr>
              <w:t>自书面验收合格之日起三年，质保期内免费维修更换相关配件。</w:t>
            </w:r>
          </w:p>
        </w:tc>
      </w:tr>
      <w:tr w14:paraId="25BA1A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3C5E761E">
            <w:pPr>
              <w:spacing w:line="300" w:lineRule="exact"/>
              <w:jc w:val="center"/>
              <w:rPr>
                <w:rFonts w:ascii="宋体" w:hAnsi="宋体" w:cs="Arial"/>
                <w:bCs/>
                <w:color w:val="auto"/>
                <w:highlight w:val="none"/>
              </w:rPr>
            </w:pPr>
            <w:r>
              <w:rPr>
                <w:rFonts w:hint="eastAsia" w:hAnsi="宋体" w:cs="Arial"/>
                <w:bCs/>
                <w:color w:val="auto"/>
                <w:highlight w:val="none"/>
              </w:rPr>
              <w:t>10</w:t>
            </w:r>
          </w:p>
        </w:tc>
        <w:tc>
          <w:tcPr>
            <w:tcW w:w="1528" w:type="dxa"/>
            <w:tcBorders>
              <w:top w:val="single" w:color="auto" w:sz="4" w:space="0"/>
              <w:left w:val="single" w:color="auto" w:sz="4" w:space="0"/>
              <w:bottom w:val="single" w:color="auto" w:sz="4" w:space="0"/>
              <w:right w:val="single" w:color="auto" w:sz="4" w:space="0"/>
            </w:tcBorders>
            <w:vAlign w:val="center"/>
          </w:tcPr>
          <w:p w14:paraId="15BC51BD">
            <w:pPr>
              <w:spacing w:line="288" w:lineRule="auto"/>
              <w:jc w:val="center"/>
              <w:rPr>
                <w:rFonts w:cs="宋体"/>
                <w:color w:val="auto"/>
                <w:highlight w:val="none"/>
              </w:rPr>
            </w:pPr>
            <w:r>
              <w:rPr>
                <w:rFonts w:hint="eastAsia" w:cs="宋体"/>
                <w:color w:val="auto"/>
                <w:highlight w:val="none"/>
              </w:rPr>
              <w:t>进口产品</w:t>
            </w:r>
          </w:p>
        </w:tc>
        <w:tc>
          <w:tcPr>
            <w:tcW w:w="6923" w:type="dxa"/>
            <w:tcBorders>
              <w:top w:val="single" w:color="auto" w:sz="4" w:space="0"/>
              <w:left w:val="single" w:color="auto" w:sz="4" w:space="0"/>
              <w:bottom w:val="single" w:color="auto" w:sz="4" w:space="0"/>
              <w:right w:val="single" w:color="auto" w:sz="4" w:space="0"/>
            </w:tcBorders>
            <w:vAlign w:val="center"/>
          </w:tcPr>
          <w:p w14:paraId="7101F1E6">
            <w:pPr>
              <w:spacing w:line="288" w:lineRule="auto"/>
              <w:jc w:val="left"/>
              <w:rPr>
                <w:rFonts w:hAnsi="宋体"/>
                <w:color w:val="auto"/>
                <w:highlight w:val="none"/>
              </w:rPr>
            </w:pPr>
            <w:r>
              <w:rPr>
                <w:rFonts w:hint="eastAsia" w:hAnsi="宋体"/>
                <w:color w:val="auto"/>
                <w:highlight w:val="none"/>
              </w:rPr>
              <w:t>本项目不接受进口产品</w:t>
            </w:r>
          </w:p>
        </w:tc>
      </w:tr>
      <w:tr w14:paraId="7FBDE8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097F130B">
            <w:pPr>
              <w:spacing w:line="300" w:lineRule="exact"/>
              <w:jc w:val="center"/>
              <w:rPr>
                <w:rFonts w:ascii="宋体" w:hAnsi="宋体" w:cs="Arial"/>
                <w:bCs/>
                <w:color w:val="auto"/>
                <w:highlight w:val="none"/>
              </w:rPr>
            </w:pPr>
            <w:r>
              <w:rPr>
                <w:rFonts w:hint="eastAsia" w:hAnsi="宋体" w:cs="Arial"/>
                <w:bCs/>
                <w:color w:val="auto"/>
                <w:highlight w:val="none"/>
              </w:rPr>
              <w:t>11</w:t>
            </w:r>
          </w:p>
        </w:tc>
        <w:tc>
          <w:tcPr>
            <w:tcW w:w="1528" w:type="dxa"/>
            <w:tcBorders>
              <w:top w:val="single" w:color="auto" w:sz="4" w:space="0"/>
              <w:left w:val="single" w:color="auto" w:sz="4" w:space="0"/>
              <w:bottom w:val="single" w:color="auto" w:sz="4" w:space="0"/>
              <w:right w:val="single" w:color="auto" w:sz="4" w:space="0"/>
            </w:tcBorders>
            <w:vAlign w:val="center"/>
          </w:tcPr>
          <w:p w14:paraId="7A8F4EE0">
            <w:pPr>
              <w:spacing w:line="288" w:lineRule="auto"/>
              <w:jc w:val="center"/>
              <w:rPr>
                <w:rFonts w:cs="宋体"/>
                <w:color w:val="auto"/>
                <w:highlight w:val="none"/>
              </w:rPr>
            </w:pPr>
            <w:r>
              <w:rPr>
                <w:rFonts w:hint="eastAsia" w:cs="宋体"/>
                <w:color w:val="auto"/>
                <w:highlight w:val="none"/>
              </w:rPr>
              <w:t>核心产品</w:t>
            </w:r>
          </w:p>
        </w:tc>
        <w:tc>
          <w:tcPr>
            <w:tcW w:w="6923" w:type="dxa"/>
            <w:tcBorders>
              <w:top w:val="single" w:color="auto" w:sz="4" w:space="0"/>
              <w:left w:val="single" w:color="auto" w:sz="4" w:space="0"/>
              <w:bottom w:val="single" w:color="auto" w:sz="4" w:space="0"/>
              <w:right w:val="single" w:color="auto" w:sz="4" w:space="0"/>
            </w:tcBorders>
            <w:vAlign w:val="center"/>
          </w:tcPr>
          <w:p w14:paraId="25FB9173">
            <w:pPr>
              <w:pStyle w:val="4"/>
              <w:keepNext w:val="0"/>
              <w:keepLines w:val="0"/>
              <w:pageBreakBefore w:val="0"/>
              <w:kinsoku/>
              <w:wordWrap/>
              <w:overflowPunct/>
              <w:topLinePunct w:val="0"/>
              <w:autoSpaceDE/>
              <w:autoSpaceDN/>
              <w:bidi w:val="0"/>
              <w:adjustRightInd/>
              <w:snapToGrid/>
              <w:spacing w:line="320" w:lineRule="exact"/>
              <w:ind w:firstLine="0"/>
              <w:rPr>
                <w:rFonts w:hint="eastAsia"/>
                <w:color w:val="auto"/>
                <w:sz w:val="22"/>
                <w:szCs w:val="22"/>
                <w:highlight w:val="none"/>
              </w:rPr>
            </w:pPr>
            <w:r>
              <w:rPr>
                <w:rFonts w:hint="eastAsia"/>
                <w:color w:val="auto"/>
                <w:sz w:val="22"/>
                <w:szCs w:val="22"/>
                <w:highlight w:val="none"/>
              </w:rPr>
              <w:t>第</w:t>
            </w:r>
            <w:r>
              <w:rPr>
                <w:rFonts w:hint="eastAsia"/>
                <w:color w:val="auto"/>
                <w:sz w:val="22"/>
                <w:szCs w:val="22"/>
                <w:highlight w:val="none"/>
                <w:lang w:val="en-US" w:eastAsia="zh-CN"/>
              </w:rPr>
              <w:t>九</w:t>
            </w:r>
            <w:r>
              <w:rPr>
                <w:rFonts w:hint="eastAsia"/>
                <w:color w:val="auto"/>
                <w:sz w:val="22"/>
                <w:szCs w:val="22"/>
                <w:highlight w:val="none"/>
              </w:rPr>
              <w:t>包</w:t>
            </w:r>
            <w:r>
              <w:rPr>
                <w:rFonts w:hint="eastAsia"/>
                <w:color w:val="auto"/>
                <w:sz w:val="22"/>
                <w:szCs w:val="22"/>
                <w:highlight w:val="none"/>
                <w:lang w:eastAsia="zh-CN"/>
              </w:rPr>
              <w:t>：☑</w:t>
            </w:r>
            <w:r>
              <w:rPr>
                <w:rFonts w:hint="eastAsia"/>
                <w:color w:val="auto"/>
                <w:sz w:val="22"/>
                <w:szCs w:val="22"/>
                <w:highlight w:val="none"/>
              </w:rPr>
              <w:t xml:space="preserve">有  </w:t>
            </w:r>
            <w:r>
              <w:rPr>
                <w:rFonts w:hint="eastAsia"/>
                <w:color w:val="auto"/>
                <w:sz w:val="22"/>
                <w:szCs w:val="22"/>
                <w:highlight w:val="none"/>
                <w:lang w:val="en-US" w:eastAsia="zh-CN"/>
              </w:rPr>
              <w:t xml:space="preserve">  </w:t>
            </w:r>
            <w:r>
              <w:rPr>
                <w:rFonts w:hint="eastAsia"/>
                <w:color w:val="auto"/>
                <w:sz w:val="22"/>
                <w:szCs w:val="22"/>
                <w:highlight w:val="none"/>
                <w:lang w:eastAsia="zh-CN"/>
              </w:rPr>
              <w:t>□</w:t>
            </w:r>
            <w:r>
              <w:rPr>
                <w:rFonts w:hint="eastAsia"/>
                <w:color w:val="auto"/>
                <w:sz w:val="22"/>
                <w:szCs w:val="22"/>
                <w:highlight w:val="none"/>
              </w:rPr>
              <w:t xml:space="preserve">无 </w:t>
            </w:r>
            <w:r>
              <w:rPr>
                <w:rFonts w:hint="eastAsia"/>
                <w:color w:val="auto"/>
                <w:sz w:val="22"/>
                <w:szCs w:val="22"/>
                <w:highlight w:val="none"/>
                <w:lang w:val="en-US" w:eastAsia="zh-CN"/>
              </w:rPr>
              <w:t xml:space="preserve"> 核心产品为：坑道小型空气输送机；</w:t>
            </w:r>
          </w:p>
          <w:p w14:paraId="700E0F37">
            <w:pPr>
              <w:pStyle w:val="4"/>
              <w:keepNext w:val="0"/>
              <w:keepLines w:val="0"/>
              <w:pageBreakBefore w:val="0"/>
              <w:kinsoku/>
              <w:wordWrap/>
              <w:overflowPunct/>
              <w:topLinePunct w:val="0"/>
              <w:autoSpaceDE/>
              <w:autoSpaceDN/>
              <w:bidi w:val="0"/>
              <w:adjustRightInd/>
              <w:snapToGrid/>
              <w:spacing w:line="320" w:lineRule="exact"/>
              <w:ind w:firstLine="0"/>
              <w:rPr>
                <w:rFonts w:hint="default" w:eastAsia="宋体"/>
                <w:color w:val="auto"/>
                <w:sz w:val="22"/>
                <w:szCs w:val="22"/>
                <w:highlight w:val="none"/>
                <w:lang w:val="en-US" w:eastAsia="zh-CN"/>
              </w:rPr>
            </w:pPr>
            <w:r>
              <w:rPr>
                <w:rFonts w:hint="eastAsia"/>
                <w:color w:val="auto"/>
                <w:sz w:val="22"/>
                <w:szCs w:val="22"/>
                <w:highlight w:val="none"/>
              </w:rPr>
              <w:t>第</w:t>
            </w:r>
            <w:r>
              <w:rPr>
                <w:rFonts w:hint="eastAsia"/>
                <w:color w:val="auto"/>
                <w:sz w:val="22"/>
                <w:szCs w:val="22"/>
                <w:highlight w:val="none"/>
                <w:lang w:val="en-US" w:eastAsia="zh-CN"/>
              </w:rPr>
              <w:t>十</w:t>
            </w:r>
            <w:r>
              <w:rPr>
                <w:rFonts w:hint="eastAsia"/>
                <w:color w:val="auto"/>
                <w:sz w:val="22"/>
                <w:szCs w:val="22"/>
                <w:highlight w:val="none"/>
              </w:rPr>
              <w:t>包</w:t>
            </w:r>
            <w:r>
              <w:rPr>
                <w:rFonts w:hint="eastAsia"/>
                <w:color w:val="auto"/>
                <w:sz w:val="22"/>
                <w:szCs w:val="22"/>
                <w:highlight w:val="none"/>
                <w:lang w:eastAsia="zh-CN"/>
              </w:rPr>
              <w:t>：☑</w:t>
            </w:r>
            <w:r>
              <w:rPr>
                <w:rFonts w:hint="eastAsia"/>
                <w:color w:val="auto"/>
                <w:sz w:val="22"/>
                <w:szCs w:val="22"/>
                <w:highlight w:val="none"/>
              </w:rPr>
              <w:t xml:space="preserve">有  </w:t>
            </w:r>
            <w:r>
              <w:rPr>
                <w:rFonts w:hint="eastAsia"/>
                <w:color w:val="auto"/>
                <w:sz w:val="22"/>
                <w:szCs w:val="22"/>
                <w:highlight w:val="none"/>
                <w:lang w:val="en-US" w:eastAsia="zh-CN"/>
              </w:rPr>
              <w:t xml:space="preserve">  </w:t>
            </w:r>
            <w:r>
              <w:rPr>
                <w:rFonts w:hint="eastAsia"/>
                <w:color w:val="auto"/>
                <w:sz w:val="22"/>
                <w:szCs w:val="22"/>
                <w:highlight w:val="none"/>
                <w:lang w:eastAsia="zh-CN"/>
              </w:rPr>
              <w:t>□</w:t>
            </w:r>
            <w:r>
              <w:rPr>
                <w:rFonts w:hint="eastAsia"/>
                <w:color w:val="auto"/>
                <w:sz w:val="22"/>
                <w:szCs w:val="22"/>
                <w:highlight w:val="none"/>
              </w:rPr>
              <w:t xml:space="preserve">无 </w:t>
            </w:r>
            <w:r>
              <w:rPr>
                <w:rFonts w:hint="eastAsia"/>
                <w:color w:val="auto"/>
                <w:sz w:val="22"/>
                <w:szCs w:val="22"/>
                <w:highlight w:val="none"/>
                <w:lang w:val="en-US" w:eastAsia="zh-CN"/>
              </w:rPr>
              <w:t xml:space="preserve"> 核心产品为：多功能消防水枪；</w:t>
            </w:r>
          </w:p>
          <w:p w14:paraId="14C31EAF">
            <w:pPr>
              <w:pStyle w:val="4"/>
              <w:keepNext w:val="0"/>
              <w:keepLines w:val="0"/>
              <w:pageBreakBefore w:val="0"/>
              <w:kinsoku/>
              <w:wordWrap/>
              <w:overflowPunct/>
              <w:topLinePunct w:val="0"/>
              <w:autoSpaceDE/>
              <w:autoSpaceDN/>
              <w:bidi w:val="0"/>
              <w:adjustRightInd/>
              <w:snapToGrid/>
              <w:spacing w:line="320" w:lineRule="exact"/>
              <w:ind w:firstLine="0"/>
              <w:rPr>
                <w:rFonts w:hint="default" w:eastAsia="宋体"/>
                <w:color w:val="auto"/>
                <w:sz w:val="22"/>
                <w:szCs w:val="22"/>
                <w:highlight w:val="none"/>
                <w:lang w:val="en-US" w:eastAsia="zh-CN"/>
              </w:rPr>
            </w:pPr>
            <w:r>
              <w:rPr>
                <w:rFonts w:hint="eastAsia"/>
                <w:color w:val="auto"/>
                <w:sz w:val="22"/>
                <w:szCs w:val="22"/>
                <w:highlight w:val="none"/>
              </w:rPr>
              <w:t>第</w:t>
            </w:r>
            <w:r>
              <w:rPr>
                <w:rFonts w:hint="eastAsia"/>
                <w:color w:val="auto"/>
                <w:sz w:val="22"/>
                <w:szCs w:val="22"/>
                <w:highlight w:val="none"/>
                <w:lang w:val="en-US" w:eastAsia="zh-CN"/>
              </w:rPr>
              <w:t>十一</w:t>
            </w:r>
            <w:r>
              <w:rPr>
                <w:rFonts w:hint="eastAsia"/>
                <w:color w:val="auto"/>
                <w:sz w:val="22"/>
                <w:szCs w:val="22"/>
                <w:highlight w:val="none"/>
              </w:rPr>
              <w:t>包：</w:t>
            </w:r>
            <w:r>
              <w:rPr>
                <w:rFonts w:hint="eastAsia"/>
                <w:color w:val="auto"/>
                <w:sz w:val="22"/>
                <w:szCs w:val="22"/>
                <w:highlight w:val="none"/>
                <w:lang w:eastAsia="zh-CN"/>
              </w:rPr>
              <w:t>☑</w:t>
            </w:r>
            <w:r>
              <w:rPr>
                <w:rFonts w:hint="eastAsia"/>
                <w:color w:val="auto"/>
                <w:sz w:val="22"/>
                <w:szCs w:val="22"/>
                <w:highlight w:val="none"/>
              </w:rPr>
              <w:t xml:space="preserve">有  </w:t>
            </w:r>
            <w:r>
              <w:rPr>
                <w:rFonts w:hint="eastAsia"/>
                <w:color w:val="auto"/>
                <w:sz w:val="22"/>
                <w:szCs w:val="22"/>
                <w:highlight w:val="none"/>
                <w:lang w:eastAsia="zh-CN"/>
              </w:rPr>
              <w:t>□</w:t>
            </w:r>
            <w:r>
              <w:rPr>
                <w:rFonts w:hint="eastAsia"/>
                <w:color w:val="auto"/>
                <w:sz w:val="22"/>
                <w:szCs w:val="22"/>
                <w:highlight w:val="none"/>
              </w:rPr>
              <w:t xml:space="preserve">无 </w:t>
            </w:r>
            <w:r>
              <w:rPr>
                <w:rFonts w:hint="eastAsia"/>
                <w:color w:val="auto"/>
                <w:sz w:val="22"/>
                <w:szCs w:val="22"/>
                <w:highlight w:val="none"/>
                <w:lang w:val="en-US" w:eastAsia="zh-CN"/>
              </w:rPr>
              <w:t xml:space="preserve"> 核心产品为：液压破拆工具组A；</w:t>
            </w:r>
          </w:p>
          <w:p w14:paraId="0AAA40D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color w:val="auto"/>
                <w:sz w:val="22"/>
                <w:szCs w:val="22"/>
                <w:highlight w:val="none"/>
                <w:lang w:val="en-US" w:eastAsia="zh-CN"/>
              </w:rPr>
            </w:pPr>
            <w:r>
              <w:rPr>
                <w:rFonts w:hint="eastAsia"/>
                <w:color w:val="auto"/>
                <w:sz w:val="22"/>
                <w:szCs w:val="22"/>
                <w:highlight w:val="none"/>
              </w:rPr>
              <w:t>第</w:t>
            </w:r>
            <w:r>
              <w:rPr>
                <w:rFonts w:hint="eastAsia"/>
                <w:color w:val="auto"/>
                <w:sz w:val="22"/>
                <w:szCs w:val="22"/>
                <w:highlight w:val="none"/>
                <w:lang w:val="en-US" w:eastAsia="zh-CN"/>
              </w:rPr>
              <w:t>十二</w:t>
            </w:r>
            <w:r>
              <w:rPr>
                <w:rFonts w:hint="eastAsia"/>
                <w:color w:val="auto"/>
                <w:sz w:val="22"/>
                <w:szCs w:val="22"/>
                <w:highlight w:val="none"/>
              </w:rPr>
              <w:t>包：</w:t>
            </w:r>
            <w:r>
              <w:rPr>
                <w:rFonts w:hint="eastAsia"/>
                <w:color w:val="auto"/>
                <w:sz w:val="22"/>
                <w:szCs w:val="22"/>
                <w:highlight w:val="none"/>
                <w:lang w:eastAsia="zh-CN"/>
              </w:rPr>
              <w:t>☑</w:t>
            </w:r>
            <w:r>
              <w:rPr>
                <w:rFonts w:hint="eastAsia"/>
                <w:color w:val="auto"/>
                <w:sz w:val="22"/>
                <w:szCs w:val="22"/>
                <w:highlight w:val="none"/>
              </w:rPr>
              <w:t xml:space="preserve">有  </w:t>
            </w:r>
            <w:r>
              <w:rPr>
                <w:rFonts w:hint="eastAsia"/>
                <w:color w:val="auto"/>
                <w:sz w:val="22"/>
                <w:szCs w:val="22"/>
                <w:highlight w:val="none"/>
                <w:lang w:eastAsia="zh-CN"/>
              </w:rPr>
              <w:t>□</w:t>
            </w:r>
            <w:r>
              <w:rPr>
                <w:rFonts w:hint="eastAsia"/>
                <w:color w:val="auto"/>
                <w:sz w:val="22"/>
                <w:szCs w:val="22"/>
                <w:highlight w:val="none"/>
              </w:rPr>
              <w:t xml:space="preserve">无 </w:t>
            </w:r>
            <w:r>
              <w:rPr>
                <w:rFonts w:hint="eastAsia"/>
                <w:color w:val="auto"/>
                <w:sz w:val="22"/>
                <w:szCs w:val="22"/>
                <w:highlight w:val="none"/>
                <w:lang w:val="en-US" w:eastAsia="zh-CN"/>
              </w:rPr>
              <w:t xml:space="preserve"> 核心产品为：单兵携行包（箱）；</w:t>
            </w:r>
          </w:p>
          <w:p w14:paraId="2BADD44F">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color w:val="auto"/>
                <w:highlight w:val="none"/>
                <w:lang w:val="en-US" w:eastAsia="zh-CN"/>
              </w:rPr>
            </w:pPr>
            <w:r>
              <w:rPr>
                <w:rFonts w:hint="eastAsia"/>
                <w:color w:val="auto"/>
                <w:sz w:val="22"/>
                <w:szCs w:val="22"/>
                <w:highlight w:val="none"/>
              </w:rPr>
              <w:t>第</w:t>
            </w:r>
            <w:r>
              <w:rPr>
                <w:rFonts w:hint="eastAsia"/>
                <w:color w:val="auto"/>
                <w:sz w:val="22"/>
                <w:szCs w:val="22"/>
                <w:highlight w:val="none"/>
                <w:lang w:val="en-US" w:eastAsia="zh-CN"/>
              </w:rPr>
              <w:t>十三</w:t>
            </w:r>
            <w:r>
              <w:rPr>
                <w:rFonts w:hint="eastAsia"/>
                <w:color w:val="auto"/>
                <w:sz w:val="22"/>
                <w:szCs w:val="22"/>
                <w:highlight w:val="none"/>
              </w:rPr>
              <w:t>包：</w:t>
            </w:r>
            <w:r>
              <w:rPr>
                <w:rFonts w:hint="eastAsia"/>
                <w:color w:val="auto"/>
                <w:sz w:val="22"/>
                <w:szCs w:val="22"/>
                <w:highlight w:val="none"/>
                <w:lang w:eastAsia="zh-CN"/>
              </w:rPr>
              <w:t>☑</w:t>
            </w:r>
            <w:r>
              <w:rPr>
                <w:rFonts w:hint="eastAsia"/>
                <w:color w:val="auto"/>
                <w:sz w:val="22"/>
                <w:szCs w:val="22"/>
                <w:highlight w:val="none"/>
              </w:rPr>
              <w:t xml:space="preserve">有  </w:t>
            </w:r>
            <w:r>
              <w:rPr>
                <w:rFonts w:hint="eastAsia"/>
                <w:color w:val="auto"/>
                <w:sz w:val="22"/>
                <w:szCs w:val="22"/>
                <w:highlight w:val="none"/>
                <w:lang w:eastAsia="zh-CN"/>
              </w:rPr>
              <w:t>□</w:t>
            </w:r>
            <w:r>
              <w:rPr>
                <w:rFonts w:hint="eastAsia"/>
                <w:color w:val="auto"/>
                <w:sz w:val="22"/>
                <w:szCs w:val="22"/>
                <w:highlight w:val="none"/>
              </w:rPr>
              <w:t xml:space="preserve">无 </w:t>
            </w:r>
            <w:r>
              <w:rPr>
                <w:rFonts w:hint="eastAsia"/>
                <w:color w:val="auto"/>
                <w:sz w:val="22"/>
                <w:szCs w:val="22"/>
                <w:highlight w:val="none"/>
                <w:lang w:val="en-US" w:eastAsia="zh-CN"/>
              </w:rPr>
              <w:t xml:space="preserve"> 核心产品为：水域救生套装；</w:t>
            </w:r>
          </w:p>
        </w:tc>
      </w:tr>
      <w:tr w14:paraId="707659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3F4386D1">
            <w:pPr>
              <w:spacing w:line="300" w:lineRule="exact"/>
              <w:jc w:val="center"/>
              <w:rPr>
                <w:rFonts w:hAnsi="宋体" w:cs="Arial"/>
                <w:bCs/>
                <w:color w:val="auto"/>
                <w:highlight w:val="none"/>
              </w:rPr>
            </w:pPr>
            <w:r>
              <w:rPr>
                <w:rFonts w:hint="eastAsia" w:hAnsi="宋体" w:cs="Arial"/>
                <w:bCs/>
                <w:color w:val="auto"/>
                <w:highlight w:val="none"/>
              </w:rPr>
              <w:t>12</w:t>
            </w:r>
          </w:p>
        </w:tc>
        <w:tc>
          <w:tcPr>
            <w:tcW w:w="1528" w:type="dxa"/>
            <w:tcBorders>
              <w:top w:val="single" w:color="auto" w:sz="4" w:space="0"/>
              <w:left w:val="single" w:color="auto" w:sz="4" w:space="0"/>
              <w:bottom w:val="single" w:color="auto" w:sz="4" w:space="0"/>
              <w:right w:val="single" w:color="auto" w:sz="4" w:space="0"/>
            </w:tcBorders>
            <w:vAlign w:val="center"/>
          </w:tcPr>
          <w:p w14:paraId="6E1E17CF">
            <w:pPr>
              <w:spacing w:line="288"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923" w:type="dxa"/>
            <w:tcBorders>
              <w:top w:val="single" w:color="auto" w:sz="4" w:space="0"/>
              <w:left w:val="single" w:color="auto" w:sz="4" w:space="0"/>
              <w:bottom w:val="single" w:color="auto" w:sz="4" w:space="0"/>
              <w:right w:val="single" w:color="auto" w:sz="4" w:space="0"/>
            </w:tcBorders>
            <w:vAlign w:val="center"/>
          </w:tcPr>
          <w:p w14:paraId="11D99FB4">
            <w:pPr>
              <w:spacing w:line="288"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14:paraId="0284B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583EA496">
            <w:pPr>
              <w:spacing w:line="300" w:lineRule="exact"/>
              <w:jc w:val="center"/>
              <w:rPr>
                <w:rFonts w:ascii="宋体" w:hAnsi="宋体" w:cs="Arial"/>
                <w:bCs/>
                <w:color w:val="auto"/>
                <w:highlight w:val="none"/>
              </w:rPr>
            </w:pPr>
            <w:r>
              <w:rPr>
                <w:rFonts w:hint="eastAsia" w:hAnsi="宋体" w:cs="Arial"/>
                <w:bCs/>
                <w:color w:val="auto"/>
                <w:highlight w:val="none"/>
              </w:rPr>
              <w:t>13</w:t>
            </w:r>
          </w:p>
        </w:tc>
        <w:tc>
          <w:tcPr>
            <w:tcW w:w="1528" w:type="dxa"/>
            <w:tcBorders>
              <w:top w:val="single" w:color="auto" w:sz="4" w:space="0"/>
              <w:left w:val="single" w:color="auto" w:sz="4" w:space="0"/>
              <w:bottom w:val="single" w:color="auto" w:sz="4" w:space="0"/>
              <w:right w:val="single" w:color="auto" w:sz="4" w:space="0"/>
            </w:tcBorders>
            <w:vAlign w:val="center"/>
          </w:tcPr>
          <w:p w14:paraId="6C912B8F">
            <w:pPr>
              <w:spacing w:line="288" w:lineRule="auto"/>
              <w:jc w:val="center"/>
              <w:rPr>
                <w:rFonts w:hint="eastAsia" w:hAnsi="宋体" w:cs="Arial"/>
                <w:color w:val="auto"/>
                <w:highlight w:val="none"/>
              </w:rPr>
            </w:pPr>
            <w:r>
              <w:rPr>
                <w:rFonts w:hint="eastAsia" w:hAnsi="宋体" w:cs="Arial"/>
                <w:color w:val="auto"/>
                <w:highlight w:val="none"/>
              </w:rPr>
              <w:t>投标人资格</w:t>
            </w:r>
          </w:p>
          <w:p w14:paraId="0ECCF77D">
            <w:pPr>
              <w:spacing w:line="288" w:lineRule="auto"/>
              <w:jc w:val="center"/>
              <w:rPr>
                <w:rFonts w:ascii="宋体" w:hAnsi="宋体" w:cs="Arial"/>
                <w:color w:val="auto"/>
                <w:highlight w:val="none"/>
              </w:rPr>
            </w:pPr>
            <w:r>
              <w:rPr>
                <w:rFonts w:hint="eastAsia" w:hAnsi="宋体" w:cs="Arial"/>
                <w:color w:val="auto"/>
                <w:highlight w:val="none"/>
              </w:rPr>
              <w:t>要求</w:t>
            </w:r>
          </w:p>
        </w:tc>
        <w:tc>
          <w:tcPr>
            <w:tcW w:w="6923" w:type="dxa"/>
            <w:tcBorders>
              <w:top w:val="single" w:color="auto" w:sz="4" w:space="0"/>
              <w:left w:val="single" w:color="auto" w:sz="4" w:space="0"/>
              <w:bottom w:val="single" w:color="auto" w:sz="4" w:space="0"/>
              <w:right w:val="single" w:color="auto" w:sz="4" w:space="0"/>
            </w:tcBorders>
            <w:vAlign w:val="center"/>
          </w:tcPr>
          <w:p w14:paraId="578C5A7A">
            <w:pPr>
              <w:spacing w:line="288"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1.满足《中华人民共和国政府采购法》第二十二条规定；</w:t>
            </w:r>
          </w:p>
          <w:p w14:paraId="2067BA3B">
            <w:pPr>
              <w:spacing w:line="288"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2.落实政府采购政策需满足的资格要求：</w:t>
            </w:r>
            <w:r>
              <w:rPr>
                <w:rFonts w:hint="eastAsia" w:ascii="Times New Roman" w:hAnsi="Times New Roman" w:eastAsia="宋体" w:cs="Times New Roman"/>
                <w:color w:val="auto"/>
                <w:highlight w:val="none"/>
                <w:lang w:val="en-US" w:eastAsia="zh-CN"/>
              </w:rPr>
              <w:t>1）</w:t>
            </w:r>
            <w:r>
              <w:rPr>
                <w:rFonts w:hint="eastAsia" w:ascii="Times New Roman" w:hAnsi="Times New Roman" w:eastAsia="宋体" w:cs="Times New Roman"/>
                <w:color w:val="auto"/>
                <w:highlight w:val="none"/>
                <w:lang w:val="zh-CN" w:eastAsia="zh-CN"/>
              </w:rPr>
              <w:t>本项目</w:t>
            </w:r>
            <w:r>
              <w:rPr>
                <w:rFonts w:hint="eastAsia" w:ascii="Times New Roman" w:hAnsi="Times New Roman" w:eastAsia="宋体" w:cs="Times New Roman"/>
                <w:color w:val="auto"/>
                <w:highlight w:val="none"/>
                <w:lang w:val="zh-CN"/>
              </w:rPr>
              <w:t>专门面向中小企业采购，价格不再进行财政政策扣除；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158F5267">
            <w:pPr>
              <w:spacing w:line="288"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rPr>
              <w:t>3</w:t>
            </w:r>
            <w:r>
              <w:rPr>
                <w:rFonts w:hint="eastAsia" w:ascii="Times New Roman" w:hAnsi="Times New Roman" w:eastAsia="宋体" w:cs="Times New Roman"/>
                <w:color w:val="auto"/>
                <w:highlight w:val="none"/>
                <w:lang w:val="zh-CN"/>
              </w:rPr>
              <w:t>.本项目的特定资格要求：</w:t>
            </w:r>
          </w:p>
          <w:p w14:paraId="065FE090">
            <w:pPr>
              <w:spacing w:line="288"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3.</w:t>
            </w:r>
            <w:r>
              <w:rPr>
                <w:rFonts w:hint="eastAsia" w:ascii="Times New Roman" w:hAnsi="Times New Roman" w:eastAsia="宋体" w:cs="Times New Roman"/>
                <w:color w:val="auto"/>
                <w:highlight w:val="none"/>
                <w:lang w:val="en-US" w:eastAsia="zh-CN"/>
              </w:rPr>
              <w:t>1</w:t>
            </w:r>
            <w:r>
              <w:rPr>
                <w:rFonts w:hint="eastAsia" w:ascii="Times New Roman" w:hAnsi="Times New Roman" w:eastAsia="宋体" w:cs="Times New Roman"/>
                <w:color w:val="auto"/>
                <w:highlight w:val="none"/>
                <w:lang w:val="zh-CN"/>
              </w:rPr>
              <w:t>与招标人存在利害关系可能影响招标公正性的法人、其他组织或者个人，不得参加同一标段投标或者未划分标段的同一招标项目投标；</w:t>
            </w:r>
          </w:p>
          <w:p w14:paraId="04670E28">
            <w:pPr>
              <w:spacing w:line="288"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3.</w:t>
            </w: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lang w:val="zh-CN"/>
              </w:rPr>
              <w:t xml:space="preserve"> 投标人负责人为同一人或者存在控股、管理关系的不同单位，不得同时参加本项目的投标；</w:t>
            </w:r>
          </w:p>
          <w:p w14:paraId="17900F63">
            <w:pPr>
              <w:spacing w:line="288"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w:t>
            </w:r>
            <w:r>
              <w:rPr>
                <w:rFonts w:hint="eastAsia" w:ascii="Times New Roman" w:hAnsi="Times New Roman" w:eastAsia="宋体" w:cs="Times New Roman"/>
                <w:color w:val="auto"/>
                <w:highlight w:val="none"/>
                <w:lang w:val="en-US" w:eastAsia="zh-CN"/>
              </w:rPr>
              <w:t>3</w:t>
            </w:r>
            <w:r>
              <w:rPr>
                <w:rFonts w:hint="eastAsia" w:ascii="Times New Roman" w:hAnsi="Times New Roman" w:eastAsia="宋体" w:cs="Times New Roman"/>
                <w:color w:val="auto"/>
                <w:highlight w:val="none"/>
              </w:rPr>
              <w:t xml:space="preserve">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w:t>
            </w:r>
            <w:r>
              <w:rPr>
                <w:rFonts w:hint="eastAsia" w:ascii="Times New Roman" w:hAnsi="Times New Roman" w:eastAsia="宋体" w:cs="Times New Roman"/>
                <w:color w:val="auto"/>
                <w:highlight w:val="none"/>
                <w:lang w:val="en-US" w:eastAsia="zh-CN"/>
              </w:rPr>
              <w:t>失信主体</w:t>
            </w:r>
            <w:r>
              <w:rPr>
                <w:rFonts w:hint="eastAsia" w:ascii="Times New Roman" w:hAnsi="Times New Roman" w:eastAsia="宋体" w:cs="Times New Roman"/>
                <w:color w:val="auto"/>
                <w:highlight w:val="none"/>
              </w:rPr>
              <w:t>、政府采购严重违法失信行为记录名单的（尚在处罚期内的），将拒绝其参加本次项目投标；</w:t>
            </w:r>
          </w:p>
          <w:p w14:paraId="1B15F8EA">
            <w:pPr>
              <w:spacing w:line="288"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4.</w:t>
            </w:r>
            <w:r>
              <w:rPr>
                <w:rFonts w:hint="eastAsia" w:ascii="Times New Roman" w:hAnsi="Times New Roman" w:eastAsia="宋体" w:cs="Times New Roman"/>
                <w:color w:val="auto"/>
                <w:highlight w:val="none"/>
              </w:rPr>
              <w:t>本项目不接受联合体投标。</w:t>
            </w:r>
          </w:p>
        </w:tc>
      </w:tr>
      <w:tr w14:paraId="6E1081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567" w:type="dxa"/>
            <w:tcBorders>
              <w:top w:val="single" w:color="auto" w:sz="4" w:space="0"/>
              <w:left w:val="single" w:color="auto" w:sz="4" w:space="0"/>
              <w:bottom w:val="single" w:color="auto" w:sz="4" w:space="0"/>
              <w:right w:val="single" w:color="auto" w:sz="4" w:space="0"/>
            </w:tcBorders>
            <w:vAlign w:val="center"/>
          </w:tcPr>
          <w:p w14:paraId="460ECA1A">
            <w:pPr>
              <w:spacing w:line="300" w:lineRule="exact"/>
              <w:jc w:val="center"/>
              <w:rPr>
                <w:rFonts w:ascii="宋体" w:hAnsi="宋体" w:cs="Arial"/>
                <w:bCs/>
                <w:color w:val="auto"/>
                <w:highlight w:val="none"/>
              </w:rPr>
            </w:pPr>
            <w:r>
              <w:rPr>
                <w:rFonts w:hint="eastAsia" w:hAnsi="宋体" w:cs="Arial"/>
                <w:bCs/>
                <w:color w:val="auto"/>
                <w:highlight w:val="none"/>
              </w:rPr>
              <w:t>14</w:t>
            </w:r>
          </w:p>
        </w:tc>
        <w:tc>
          <w:tcPr>
            <w:tcW w:w="1528" w:type="dxa"/>
            <w:tcBorders>
              <w:top w:val="single" w:color="auto" w:sz="4" w:space="0"/>
              <w:left w:val="single" w:color="auto" w:sz="4" w:space="0"/>
              <w:bottom w:val="single" w:color="auto" w:sz="4" w:space="0"/>
              <w:right w:val="single" w:color="auto" w:sz="4" w:space="0"/>
            </w:tcBorders>
            <w:vAlign w:val="center"/>
          </w:tcPr>
          <w:p w14:paraId="0D565236">
            <w:pPr>
              <w:spacing w:line="288" w:lineRule="auto"/>
              <w:jc w:val="center"/>
              <w:rPr>
                <w:rFonts w:ascii="宋体" w:hAnsi="宋体" w:cs="Arial"/>
                <w:bCs/>
                <w:color w:val="auto"/>
                <w:highlight w:val="none"/>
              </w:rPr>
            </w:pPr>
            <w:r>
              <w:rPr>
                <w:rFonts w:hint="eastAsia" w:hAnsi="宋体" w:cs="Arial"/>
                <w:bCs/>
                <w:color w:val="auto"/>
                <w:highlight w:val="none"/>
              </w:rPr>
              <w:t>投标保证金</w:t>
            </w:r>
          </w:p>
        </w:tc>
        <w:tc>
          <w:tcPr>
            <w:tcW w:w="6923" w:type="dxa"/>
            <w:tcBorders>
              <w:top w:val="single" w:color="auto" w:sz="4" w:space="0"/>
              <w:left w:val="single" w:color="auto" w:sz="4" w:space="0"/>
              <w:bottom w:val="single" w:color="auto" w:sz="4" w:space="0"/>
              <w:right w:val="single" w:color="auto" w:sz="4" w:space="0"/>
            </w:tcBorders>
            <w:vAlign w:val="center"/>
          </w:tcPr>
          <w:p w14:paraId="505ACFBC">
            <w:pPr>
              <w:spacing w:line="288" w:lineRule="auto"/>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1.</w:t>
            </w:r>
            <w:r>
              <w:rPr>
                <w:rFonts w:hint="eastAsia" w:ascii="Times New Roman" w:hAnsi="Times New Roman" w:eastAsia="宋体" w:cs="Times New Roman"/>
                <w:color w:val="auto"/>
                <w:highlight w:val="none"/>
              </w:rPr>
              <w:t>投标保证金金额：</w:t>
            </w:r>
          </w:p>
          <w:p w14:paraId="75A35945">
            <w:pPr>
              <w:pStyle w:val="4"/>
              <w:keepNext w:val="0"/>
              <w:keepLines w:val="0"/>
              <w:pageBreakBefore w:val="0"/>
              <w:kinsoku/>
              <w:wordWrap/>
              <w:overflowPunct/>
              <w:topLinePunct w:val="0"/>
              <w:autoSpaceDE/>
              <w:autoSpaceDN/>
              <w:bidi w:val="0"/>
              <w:adjustRightInd/>
              <w:snapToGrid/>
              <w:spacing w:line="320" w:lineRule="exact"/>
              <w:ind w:firstLine="0"/>
              <w:rPr>
                <w:rFonts w:hint="default"/>
                <w:color w:val="auto"/>
                <w:sz w:val="22"/>
                <w:szCs w:val="22"/>
                <w:highlight w:val="none"/>
                <w:lang w:val="en-US"/>
              </w:rPr>
            </w:pPr>
            <w:r>
              <w:rPr>
                <w:rFonts w:hint="eastAsia"/>
                <w:color w:val="auto"/>
                <w:sz w:val="22"/>
                <w:szCs w:val="22"/>
                <w:highlight w:val="none"/>
              </w:rPr>
              <w:t>第</w:t>
            </w:r>
            <w:r>
              <w:rPr>
                <w:rFonts w:hint="eastAsia"/>
                <w:color w:val="auto"/>
                <w:sz w:val="22"/>
                <w:szCs w:val="22"/>
                <w:highlight w:val="none"/>
                <w:lang w:val="en-US" w:eastAsia="zh-CN"/>
              </w:rPr>
              <w:t>九</w:t>
            </w:r>
            <w:r>
              <w:rPr>
                <w:rFonts w:hint="eastAsia"/>
                <w:color w:val="auto"/>
                <w:sz w:val="22"/>
                <w:szCs w:val="22"/>
                <w:highlight w:val="none"/>
              </w:rPr>
              <w:t>包</w:t>
            </w:r>
            <w:r>
              <w:rPr>
                <w:rFonts w:hint="eastAsia"/>
                <w:color w:val="auto"/>
                <w:sz w:val="22"/>
                <w:szCs w:val="22"/>
                <w:highlight w:val="none"/>
                <w:lang w:eastAsia="zh-CN"/>
              </w:rPr>
              <w:t>：</w:t>
            </w:r>
            <w:r>
              <w:rPr>
                <w:rFonts w:hint="eastAsia"/>
                <w:color w:val="auto"/>
                <w:sz w:val="22"/>
                <w:szCs w:val="22"/>
                <w:highlight w:val="none"/>
                <w:lang w:val="en-US" w:eastAsia="zh-CN"/>
              </w:rPr>
              <w:t>4300元     大写：肆仟叁佰元整</w:t>
            </w:r>
          </w:p>
          <w:p w14:paraId="18CA9204">
            <w:pPr>
              <w:pStyle w:val="4"/>
              <w:keepNext w:val="0"/>
              <w:keepLines w:val="0"/>
              <w:pageBreakBefore w:val="0"/>
              <w:kinsoku/>
              <w:wordWrap/>
              <w:overflowPunct/>
              <w:topLinePunct w:val="0"/>
              <w:autoSpaceDE/>
              <w:autoSpaceDN/>
              <w:bidi w:val="0"/>
              <w:adjustRightInd/>
              <w:snapToGrid/>
              <w:spacing w:line="320" w:lineRule="exact"/>
              <w:ind w:firstLine="0"/>
              <w:rPr>
                <w:rFonts w:hint="default"/>
                <w:color w:val="auto"/>
                <w:sz w:val="22"/>
                <w:szCs w:val="22"/>
                <w:highlight w:val="none"/>
                <w:lang w:val="en-US" w:eastAsia="zh-CN"/>
              </w:rPr>
            </w:pPr>
            <w:r>
              <w:rPr>
                <w:rFonts w:hint="eastAsia"/>
                <w:color w:val="auto"/>
                <w:sz w:val="22"/>
                <w:szCs w:val="22"/>
                <w:highlight w:val="none"/>
              </w:rPr>
              <w:t>第</w:t>
            </w:r>
            <w:r>
              <w:rPr>
                <w:rFonts w:hint="eastAsia"/>
                <w:color w:val="auto"/>
                <w:sz w:val="22"/>
                <w:szCs w:val="22"/>
                <w:highlight w:val="none"/>
                <w:lang w:val="en-US" w:eastAsia="zh-CN"/>
              </w:rPr>
              <w:t>十</w:t>
            </w:r>
            <w:r>
              <w:rPr>
                <w:rFonts w:hint="eastAsia"/>
                <w:color w:val="auto"/>
                <w:sz w:val="22"/>
                <w:szCs w:val="22"/>
                <w:highlight w:val="none"/>
              </w:rPr>
              <w:t>包</w:t>
            </w:r>
            <w:r>
              <w:rPr>
                <w:rFonts w:hint="eastAsia"/>
                <w:color w:val="auto"/>
                <w:sz w:val="22"/>
                <w:szCs w:val="22"/>
                <w:highlight w:val="none"/>
                <w:lang w:eastAsia="zh-CN"/>
              </w:rPr>
              <w:t>：</w:t>
            </w:r>
            <w:r>
              <w:rPr>
                <w:rFonts w:hint="eastAsia"/>
                <w:color w:val="auto"/>
                <w:sz w:val="22"/>
                <w:szCs w:val="22"/>
                <w:highlight w:val="none"/>
                <w:lang w:val="en-US" w:eastAsia="zh-CN"/>
              </w:rPr>
              <w:t>3900元     大写：叁仟玖佰元整</w:t>
            </w:r>
          </w:p>
          <w:p w14:paraId="4E9B6FD4">
            <w:pPr>
              <w:pStyle w:val="4"/>
              <w:keepNext w:val="0"/>
              <w:keepLines w:val="0"/>
              <w:pageBreakBefore w:val="0"/>
              <w:kinsoku/>
              <w:wordWrap/>
              <w:overflowPunct/>
              <w:topLinePunct w:val="0"/>
              <w:autoSpaceDE/>
              <w:autoSpaceDN/>
              <w:bidi w:val="0"/>
              <w:adjustRightInd/>
              <w:snapToGrid/>
              <w:spacing w:line="320" w:lineRule="exact"/>
              <w:ind w:firstLine="0"/>
              <w:rPr>
                <w:rFonts w:hint="default" w:eastAsia="宋体"/>
                <w:color w:val="auto"/>
                <w:sz w:val="22"/>
                <w:szCs w:val="22"/>
                <w:highlight w:val="none"/>
                <w:lang w:val="en-US" w:eastAsia="zh-CN"/>
              </w:rPr>
            </w:pPr>
            <w:r>
              <w:rPr>
                <w:rFonts w:hint="eastAsia"/>
                <w:color w:val="auto"/>
                <w:sz w:val="22"/>
                <w:szCs w:val="22"/>
                <w:highlight w:val="none"/>
              </w:rPr>
              <w:t>第</w:t>
            </w:r>
            <w:r>
              <w:rPr>
                <w:rFonts w:hint="eastAsia"/>
                <w:color w:val="auto"/>
                <w:sz w:val="22"/>
                <w:szCs w:val="22"/>
                <w:highlight w:val="none"/>
                <w:lang w:val="en-US" w:eastAsia="zh-CN"/>
              </w:rPr>
              <w:t>十一</w:t>
            </w:r>
            <w:r>
              <w:rPr>
                <w:rFonts w:hint="eastAsia"/>
                <w:color w:val="auto"/>
                <w:sz w:val="22"/>
                <w:szCs w:val="22"/>
                <w:highlight w:val="none"/>
              </w:rPr>
              <w:t>包：</w:t>
            </w:r>
            <w:r>
              <w:rPr>
                <w:rFonts w:hint="eastAsia"/>
                <w:color w:val="auto"/>
                <w:sz w:val="22"/>
                <w:szCs w:val="22"/>
                <w:highlight w:val="none"/>
                <w:lang w:val="en-US" w:eastAsia="zh-CN"/>
              </w:rPr>
              <w:t>7200元   大写：柒仟贰佰元整</w:t>
            </w:r>
          </w:p>
          <w:p w14:paraId="5A8C886D">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eastAsia="宋体"/>
                <w:color w:val="auto"/>
                <w:sz w:val="22"/>
                <w:szCs w:val="22"/>
                <w:highlight w:val="none"/>
                <w:lang w:val="en-US" w:eastAsia="zh-CN"/>
              </w:rPr>
            </w:pPr>
            <w:r>
              <w:rPr>
                <w:rFonts w:hint="eastAsia"/>
                <w:color w:val="auto"/>
                <w:sz w:val="22"/>
                <w:szCs w:val="22"/>
                <w:highlight w:val="none"/>
              </w:rPr>
              <w:t>第</w:t>
            </w:r>
            <w:r>
              <w:rPr>
                <w:rFonts w:hint="eastAsia"/>
                <w:color w:val="auto"/>
                <w:sz w:val="22"/>
                <w:szCs w:val="22"/>
                <w:highlight w:val="none"/>
                <w:lang w:val="en-US" w:eastAsia="zh-CN"/>
              </w:rPr>
              <w:t>十二</w:t>
            </w:r>
            <w:r>
              <w:rPr>
                <w:rFonts w:hint="eastAsia"/>
                <w:color w:val="auto"/>
                <w:sz w:val="22"/>
                <w:szCs w:val="22"/>
                <w:highlight w:val="none"/>
              </w:rPr>
              <w:t>包：</w:t>
            </w:r>
            <w:r>
              <w:rPr>
                <w:rFonts w:hint="eastAsia"/>
                <w:color w:val="auto"/>
                <w:sz w:val="22"/>
                <w:szCs w:val="22"/>
                <w:highlight w:val="none"/>
                <w:lang w:val="en-US" w:eastAsia="zh-CN"/>
              </w:rPr>
              <w:t>4200元   大写：肆仟贰佰元整</w:t>
            </w:r>
          </w:p>
          <w:p w14:paraId="67550F7F">
            <w:pPr>
              <w:spacing w:line="288" w:lineRule="auto"/>
              <w:rPr>
                <w:rFonts w:hint="default" w:eastAsia="宋体"/>
                <w:color w:val="auto"/>
                <w:sz w:val="22"/>
                <w:szCs w:val="22"/>
                <w:highlight w:val="none"/>
                <w:lang w:val="en-US" w:eastAsia="zh-CN"/>
              </w:rPr>
            </w:pPr>
            <w:r>
              <w:rPr>
                <w:rFonts w:hint="eastAsia"/>
                <w:color w:val="auto"/>
                <w:sz w:val="22"/>
                <w:szCs w:val="22"/>
                <w:highlight w:val="none"/>
              </w:rPr>
              <w:t>第</w:t>
            </w:r>
            <w:r>
              <w:rPr>
                <w:rFonts w:hint="eastAsia"/>
                <w:color w:val="auto"/>
                <w:sz w:val="22"/>
                <w:szCs w:val="22"/>
                <w:highlight w:val="none"/>
                <w:lang w:val="en-US" w:eastAsia="zh-CN"/>
              </w:rPr>
              <w:t>十三</w:t>
            </w:r>
            <w:r>
              <w:rPr>
                <w:rFonts w:hint="eastAsia"/>
                <w:color w:val="auto"/>
                <w:sz w:val="22"/>
                <w:szCs w:val="22"/>
                <w:highlight w:val="none"/>
              </w:rPr>
              <w:t>包：</w:t>
            </w:r>
            <w:r>
              <w:rPr>
                <w:rFonts w:hint="eastAsia"/>
                <w:color w:val="auto"/>
                <w:sz w:val="22"/>
                <w:szCs w:val="22"/>
                <w:highlight w:val="none"/>
                <w:lang w:val="en-US" w:eastAsia="zh-CN"/>
              </w:rPr>
              <w:t>5600元   大写：伍仟陆佰元整</w:t>
            </w:r>
          </w:p>
          <w:p w14:paraId="2C5E14DD">
            <w:pPr>
              <w:spacing w:line="288"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rPr>
              <w:t>2.</w:t>
            </w:r>
            <w:r>
              <w:rPr>
                <w:rFonts w:hint="eastAsia" w:ascii="Times New Roman" w:hAnsi="Times New Roman" w:eastAsia="宋体" w:cs="Times New Roman"/>
                <w:color w:val="auto"/>
                <w:highlight w:val="none"/>
                <w:lang w:val="zh-CN"/>
              </w:rPr>
              <w:t>投标保证金递交截止时间：投标文件递交截止时间前。</w:t>
            </w:r>
          </w:p>
          <w:p w14:paraId="484CFA42">
            <w:pPr>
              <w:spacing w:line="288"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3.投标保证金缴纳形式：投标保证金应当以支票、汇票、本票或者金融机构、担保机构出具的保函等非现金形式提交</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投标人未按照招标文件要求提交投标保证金的，投标无效。</w:t>
            </w:r>
          </w:p>
          <w:p w14:paraId="54C972C7">
            <w:pPr>
              <w:spacing w:line="288"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w:t>
            </w:r>
            <w:r>
              <w:rPr>
                <w:rFonts w:hint="eastAsia" w:ascii="Times New Roman" w:hAnsi="Times New Roman" w:eastAsia="宋体" w:cs="Times New Roman"/>
                <w:b/>
                <w:bCs/>
                <w:color w:val="auto"/>
                <w:highlight w:val="none"/>
              </w:rPr>
              <w:t>采取支票、银行汇票、保函方式递交的，以实际递交至招标代理机构的时间为准，超过时限交纳投标保证金视为投标无效。</w:t>
            </w:r>
          </w:p>
          <w:p w14:paraId="1FED63B2">
            <w:pPr>
              <w:spacing w:line="288"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5.投标保证金递交的开户银行及账号如下：</w:t>
            </w:r>
          </w:p>
          <w:p w14:paraId="13FD1636">
            <w:pPr>
              <w:shd w:val="clear"/>
              <w:spacing w:line="288"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账户名称：</w:t>
            </w:r>
            <w:r>
              <w:rPr>
                <w:rFonts w:hint="eastAsia" w:cs="Times New Roman"/>
                <w:color w:val="auto"/>
                <w:highlight w:val="none"/>
                <w:lang w:eastAsia="zh-CN"/>
              </w:rPr>
              <w:t>新疆元泓工程项目管理咨询有限公司</w:t>
            </w:r>
          </w:p>
          <w:p w14:paraId="09AEFEEE">
            <w:pPr>
              <w:spacing w:line="288"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账    号：86516510350188001001382</w:t>
            </w:r>
          </w:p>
          <w:p w14:paraId="6EAEC4E1">
            <w:pPr>
              <w:spacing w:line="288"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开户行名称：</w:t>
            </w:r>
            <w:r>
              <w:rPr>
                <w:rFonts w:hint="eastAsia" w:ascii="Times New Roman" w:hAnsi="Times New Roman" w:eastAsia="宋体" w:cs="Times New Roman"/>
                <w:color w:val="auto"/>
                <w:highlight w:val="none"/>
                <w:lang w:val="en-US" w:eastAsia="zh-CN"/>
              </w:rPr>
              <w:t>交通银行青年路支行</w:t>
            </w:r>
          </w:p>
          <w:p w14:paraId="68B7CDB1">
            <w:pPr>
              <w:spacing w:line="288"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行    号：</w:t>
            </w:r>
            <w:r>
              <w:rPr>
                <w:rFonts w:hint="eastAsia" w:ascii="Times New Roman" w:hAnsi="Times New Roman" w:eastAsia="宋体" w:cs="Times New Roman"/>
                <w:color w:val="auto"/>
                <w:highlight w:val="none"/>
                <w:lang w:val="en-US" w:eastAsia="zh-CN"/>
              </w:rPr>
              <w:t>301881000198</w:t>
            </w:r>
          </w:p>
          <w:p w14:paraId="3571F66C">
            <w:pPr>
              <w:spacing w:line="288"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注意：</w:t>
            </w:r>
            <w:r>
              <w:rPr>
                <w:rFonts w:hint="default" w:ascii="Calibri" w:hAnsi="Calibri" w:eastAsia="宋体" w:cs="Calibri"/>
                <w:color w:val="auto"/>
                <w:highlight w:val="none"/>
              </w:rPr>
              <w:t>①</w:t>
            </w:r>
            <w:r>
              <w:rPr>
                <w:rFonts w:hint="eastAsia" w:ascii="Times New Roman" w:hAnsi="Times New Roman" w:eastAsia="宋体" w:cs="Times New Roman"/>
                <w:color w:val="auto"/>
                <w:highlight w:val="none"/>
              </w:rPr>
              <w:t>不得以现金的方式和其他的形式缴纳，不得以办事处或其他机构名义缴纳，投标人在缴纳保证金时，需在进账凭证上明确自己用途和投标项目</w:t>
            </w:r>
            <w:r>
              <w:rPr>
                <w:rFonts w:hint="eastAsia" w:cs="Times New Roman"/>
                <w:color w:val="auto"/>
                <w:highlight w:val="none"/>
                <w:lang w:val="en-US" w:eastAsia="zh-CN"/>
              </w:rPr>
              <w:t>编号</w:t>
            </w:r>
            <w:r>
              <w:rPr>
                <w:rFonts w:hint="eastAsia" w:ascii="Times New Roman" w:hAnsi="Times New Roman" w:eastAsia="宋体" w:cs="Times New Roman"/>
                <w:color w:val="auto"/>
                <w:highlight w:val="none"/>
              </w:rPr>
              <w:t>，并注明联系人及电话，以便查对核实。请投标人按上述要求将投标保证金汇入指定的开户银行，未按规定提交投标保证金的投标，将被视为投标无效。</w:t>
            </w:r>
          </w:p>
          <w:p w14:paraId="7D59244D">
            <w:pPr>
              <w:spacing w:line="288" w:lineRule="auto"/>
              <w:rPr>
                <w:rFonts w:hint="eastAsia" w:cs="Times New Roman"/>
                <w:color w:val="auto"/>
                <w:highlight w:val="none"/>
                <w:lang w:val="en-US" w:eastAsia="zh-CN"/>
              </w:rPr>
            </w:pPr>
            <w:r>
              <w:rPr>
                <w:rFonts w:hint="default" w:ascii="Calibri" w:hAnsi="Calibri" w:eastAsia="宋体" w:cs="Calibri"/>
                <w:color w:val="auto"/>
                <w:highlight w:val="none"/>
              </w:rPr>
              <w:t>②采取支票、银行汇票、保函方式递交的</w:t>
            </w:r>
            <w:r>
              <w:rPr>
                <w:rFonts w:hint="eastAsia" w:ascii="Calibri" w:hAnsi="Calibri" w:cs="Calibri"/>
                <w:color w:val="auto"/>
                <w:highlight w:val="none"/>
                <w:lang w:val="en-US" w:eastAsia="zh-CN"/>
              </w:rPr>
              <w:t>投标单位</w:t>
            </w:r>
            <w:r>
              <w:rPr>
                <w:rFonts w:hint="eastAsia" w:cs="Times New Roman"/>
                <w:color w:val="auto"/>
                <w:highlight w:val="none"/>
                <w:lang w:val="en-US" w:eastAsia="zh-CN"/>
              </w:rPr>
              <w:t>，请于开标前一日，将</w:t>
            </w:r>
            <w:r>
              <w:rPr>
                <w:rFonts w:hint="default" w:ascii="Calibri" w:hAnsi="Calibri" w:eastAsia="宋体" w:cs="Calibri"/>
                <w:color w:val="auto"/>
                <w:highlight w:val="none"/>
              </w:rPr>
              <w:t>支票、银行汇票、保函</w:t>
            </w:r>
            <w:r>
              <w:rPr>
                <w:rFonts w:hint="eastAsia" w:cs="Times New Roman"/>
                <w:color w:val="auto"/>
                <w:highlight w:val="none"/>
                <w:lang w:val="en-US" w:eastAsia="zh-CN"/>
              </w:rPr>
              <w:t>扫描并加盖公章发送至获取招标文件邮箱，原件携带至现场备查。</w:t>
            </w:r>
          </w:p>
          <w:p w14:paraId="77A12EA8">
            <w:pPr>
              <w:spacing w:line="288"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保证金事宜请联系：</w:t>
            </w:r>
            <w:r>
              <w:rPr>
                <w:rFonts w:hint="eastAsia" w:cs="Times New Roman"/>
                <w:color w:val="auto"/>
                <w:highlight w:val="none"/>
                <w:lang w:val="en-US" w:eastAsia="zh-CN"/>
              </w:rPr>
              <w:t>刘女士</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18690961795</w:t>
            </w:r>
          </w:p>
        </w:tc>
      </w:tr>
      <w:tr w14:paraId="3C4B7A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24DDE037">
            <w:pPr>
              <w:spacing w:line="300" w:lineRule="exact"/>
              <w:jc w:val="center"/>
              <w:rPr>
                <w:rFonts w:ascii="宋体" w:hAnsi="宋体" w:cs="Arial"/>
                <w:bCs/>
                <w:color w:val="auto"/>
                <w:highlight w:val="none"/>
              </w:rPr>
            </w:pPr>
            <w:r>
              <w:rPr>
                <w:rFonts w:hint="eastAsia" w:hAnsi="宋体" w:cs="Arial"/>
                <w:bCs/>
                <w:color w:val="auto"/>
                <w:highlight w:val="none"/>
              </w:rPr>
              <w:t>15</w:t>
            </w:r>
          </w:p>
        </w:tc>
        <w:tc>
          <w:tcPr>
            <w:tcW w:w="1528" w:type="dxa"/>
            <w:tcBorders>
              <w:top w:val="single" w:color="auto" w:sz="4" w:space="0"/>
              <w:left w:val="single" w:color="auto" w:sz="4" w:space="0"/>
              <w:bottom w:val="single" w:color="auto" w:sz="4" w:space="0"/>
              <w:right w:val="single" w:color="auto" w:sz="4" w:space="0"/>
            </w:tcBorders>
            <w:vAlign w:val="center"/>
          </w:tcPr>
          <w:p w14:paraId="5656A220">
            <w:pPr>
              <w:spacing w:line="288" w:lineRule="auto"/>
              <w:jc w:val="center"/>
              <w:rPr>
                <w:rFonts w:ascii="宋体" w:hAnsi="宋体" w:cs="Arial"/>
                <w:bCs/>
                <w:color w:val="auto"/>
                <w:highlight w:val="none"/>
              </w:rPr>
            </w:pPr>
            <w:r>
              <w:rPr>
                <w:rFonts w:hint="eastAsia" w:hAnsi="宋体" w:cs="Arial"/>
                <w:bCs/>
                <w:color w:val="auto"/>
                <w:highlight w:val="none"/>
              </w:rPr>
              <w:t>投标有效期</w:t>
            </w:r>
          </w:p>
        </w:tc>
        <w:tc>
          <w:tcPr>
            <w:tcW w:w="6923" w:type="dxa"/>
            <w:tcBorders>
              <w:top w:val="single" w:color="auto" w:sz="4" w:space="0"/>
              <w:left w:val="single" w:color="auto" w:sz="4" w:space="0"/>
              <w:bottom w:val="single" w:color="auto" w:sz="4" w:space="0"/>
              <w:right w:val="single" w:color="auto" w:sz="4" w:space="0"/>
            </w:tcBorders>
            <w:vAlign w:val="center"/>
          </w:tcPr>
          <w:p w14:paraId="1E0AC707">
            <w:pPr>
              <w:widowControl/>
              <w:spacing w:line="288" w:lineRule="auto"/>
              <w:jc w:val="left"/>
              <w:rPr>
                <w:rFonts w:ascii="宋体" w:hAnsi="宋体" w:cs="Arial"/>
                <w:bCs/>
                <w:color w:val="auto"/>
                <w:highlight w:val="none"/>
              </w:rPr>
            </w:pPr>
            <w:r>
              <w:rPr>
                <w:rFonts w:hint="eastAsia" w:ascii="宋体" w:hAnsi="宋体" w:cs="宋体"/>
                <w:color w:val="auto"/>
                <w:kern w:val="0"/>
                <w:highlight w:val="none"/>
              </w:rPr>
              <w:t>递交</w:t>
            </w:r>
            <w:r>
              <w:rPr>
                <w:rFonts w:ascii="宋体" w:hAnsi="宋体" w:cs="宋体"/>
                <w:color w:val="auto"/>
                <w:kern w:val="0"/>
                <w:highlight w:val="none"/>
              </w:rPr>
              <w:t>投标文件的截止之日</w:t>
            </w:r>
            <w:r>
              <w:rPr>
                <w:rFonts w:hint="eastAsia" w:cs="宋体"/>
                <w:color w:val="auto"/>
                <w:kern w:val="0"/>
                <w:highlight w:val="none"/>
              </w:rPr>
              <w:t>起90天。</w:t>
            </w:r>
          </w:p>
        </w:tc>
      </w:tr>
      <w:tr w14:paraId="645B77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79DE3E39">
            <w:pPr>
              <w:spacing w:line="300" w:lineRule="exact"/>
              <w:jc w:val="center"/>
              <w:rPr>
                <w:rFonts w:ascii="宋体" w:hAnsi="宋体" w:cs="Arial"/>
                <w:bCs/>
                <w:color w:val="auto"/>
                <w:highlight w:val="none"/>
              </w:rPr>
            </w:pPr>
            <w:r>
              <w:rPr>
                <w:rFonts w:hint="eastAsia" w:hAnsi="宋体" w:cs="Arial"/>
                <w:bCs/>
                <w:color w:val="auto"/>
                <w:highlight w:val="none"/>
              </w:rPr>
              <w:t>16</w:t>
            </w:r>
          </w:p>
        </w:tc>
        <w:tc>
          <w:tcPr>
            <w:tcW w:w="1528" w:type="dxa"/>
            <w:tcBorders>
              <w:top w:val="single" w:color="auto" w:sz="4" w:space="0"/>
              <w:left w:val="single" w:color="auto" w:sz="4" w:space="0"/>
              <w:bottom w:val="single" w:color="auto" w:sz="4" w:space="0"/>
              <w:right w:val="single" w:color="auto" w:sz="4" w:space="0"/>
            </w:tcBorders>
            <w:vAlign w:val="center"/>
          </w:tcPr>
          <w:p w14:paraId="4E9A5AA9">
            <w:pPr>
              <w:spacing w:line="288" w:lineRule="auto"/>
              <w:jc w:val="center"/>
              <w:rPr>
                <w:rFonts w:ascii="宋体" w:hAnsi="宋体" w:cs="Arial"/>
                <w:bCs/>
                <w:color w:val="auto"/>
                <w:highlight w:val="none"/>
              </w:rPr>
            </w:pPr>
            <w:r>
              <w:rPr>
                <w:rFonts w:hint="eastAsia" w:hAnsi="宋体" w:cs="Arial"/>
                <w:bCs/>
                <w:color w:val="auto"/>
                <w:highlight w:val="none"/>
              </w:rPr>
              <w:t>现场踏勘</w:t>
            </w:r>
          </w:p>
        </w:tc>
        <w:tc>
          <w:tcPr>
            <w:tcW w:w="6923" w:type="dxa"/>
            <w:tcBorders>
              <w:top w:val="single" w:color="auto" w:sz="4" w:space="0"/>
              <w:left w:val="single" w:color="auto" w:sz="4" w:space="0"/>
              <w:bottom w:val="single" w:color="auto" w:sz="4" w:space="0"/>
              <w:right w:val="single" w:color="auto" w:sz="4" w:space="0"/>
            </w:tcBorders>
            <w:vAlign w:val="center"/>
          </w:tcPr>
          <w:p w14:paraId="6172A0C4">
            <w:pPr>
              <w:spacing w:line="288" w:lineRule="auto"/>
              <w:jc w:val="left"/>
              <w:rPr>
                <w:rFonts w:ascii="宋体" w:hAnsi="宋体" w:cs="Arial"/>
                <w:bCs/>
                <w:color w:val="auto"/>
                <w:highlight w:val="none"/>
              </w:rPr>
            </w:pPr>
            <w:r>
              <w:rPr>
                <w:rFonts w:hint="eastAsia" w:hAnsi="宋体" w:cs="Arial"/>
                <w:bCs/>
                <w:color w:val="auto"/>
                <w:highlight w:val="none"/>
              </w:rPr>
              <w:t>本项目不安排现场踏勘。</w:t>
            </w:r>
          </w:p>
        </w:tc>
      </w:tr>
      <w:tr w14:paraId="10792D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1F96A395">
            <w:pPr>
              <w:spacing w:line="300" w:lineRule="exact"/>
              <w:jc w:val="center"/>
              <w:rPr>
                <w:rFonts w:ascii="宋体" w:hAnsi="宋体" w:cs="Arial"/>
                <w:bCs/>
                <w:color w:val="auto"/>
                <w:highlight w:val="none"/>
              </w:rPr>
            </w:pPr>
            <w:r>
              <w:rPr>
                <w:rFonts w:hint="eastAsia" w:hAnsi="宋体" w:cs="Arial"/>
                <w:bCs/>
                <w:color w:val="auto"/>
                <w:highlight w:val="none"/>
              </w:rPr>
              <w:t>17</w:t>
            </w:r>
          </w:p>
        </w:tc>
        <w:tc>
          <w:tcPr>
            <w:tcW w:w="1528" w:type="dxa"/>
            <w:tcBorders>
              <w:top w:val="single" w:color="auto" w:sz="4" w:space="0"/>
              <w:left w:val="single" w:color="auto" w:sz="4" w:space="0"/>
              <w:bottom w:val="single" w:color="auto" w:sz="4" w:space="0"/>
              <w:right w:val="single" w:color="auto" w:sz="4" w:space="0"/>
            </w:tcBorders>
            <w:vAlign w:val="center"/>
          </w:tcPr>
          <w:p w14:paraId="0C32D52C">
            <w:pPr>
              <w:keepNext w:val="0"/>
              <w:keepLines w:val="0"/>
              <w:pageBreakBefore w:val="0"/>
              <w:kinsoku/>
              <w:wordWrap/>
              <w:overflowPunct/>
              <w:topLinePunct w:val="0"/>
              <w:autoSpaceDE/>
              <w:autoSpaceDN/>
              <w:bidi w:val="0"/>
              <w:adjustRightInd/>
              <w:snapToGrid/>
              <w:spacing w:line="360" w:lineRule="exact"/>
              <w:jc w:val="center"/>
              <w:textAlignment w:val="auto"/>
              <w:rPr>
                <w:rFonts w:hAnsi="宋体" w:cs="Arial"/>
                <w:bCs/>
                <w:color w:val="auto"/>
                <w:highlight w:val="none"/>
              </w:rPr>
            </w:pPr>
            <w:r>
              <w:rPr>
                <w:rFonts w:hint="eastAsia" w:hAnsi="宋体" w:cs="Arial"/>
                <w:bCs/>
                <w:color w:val="auto"/>
                <w:highlight w:val="none"/>
              </w:rPr>
              <w:t>投标文件</w:t>
            </w:r>
          </w:p>
          <w:p w14:paraId="70CC462E">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Arial"/>
                <w:bCs/>
                <w:color w:val="auto"/>
                <w:highlight w:val="none"/>
              </w:rPr>
            </w:pPr>
            <w:r>
              <w:rPr>
                <w:rFonts w:hint="eastAsia" w:hAnsi="宋体" w:cs="Arial"/>
                <w:bCs/>
                <w:color w:val="auto"/>
                <w:highlight w:val="none"/>
              </w:rPr>
              <w:t>份数</w:t>
            </w:r>
          </w:p>
        </w:tc>
        <w:tc>
          <w:tcPr>
            <w:tcW w:w="6923" w:type="dxa"/>
            <w:tcBorders>
              <w:top w:val="single" w:color="auto" w:sz="4" w:space="0"/>
              <w:left w:val="single" w:color="auto" w:sz="4" w:space="0"/>
              <w:bottom w:val="single" w:color="auto" w:sz="4" w:space="0"/>
              <w:right w:val="single" w:color="auto" w:sz="4" w:space="0"/>
            </w:tcBorders>
            <w:vAlign w:val="center"/>
          </w:tcPr>
          <w:p w14:paraId="7AF078C7">
            <w:pPr>
              <w:keepNext w:val="0"/>
              <w:keepLines w:val="0"/>
              <w:pageBreakBefore w:val="0"/>
              <w:kinsoku/>
              <w:wordWrap/>
              <w:overflowPunct/>
              <w:topLinePunct w:val="0"/>
              <w:autoSpaceDE/>
              <w:autoSpaceDN/>
              <w:bidi w:val="0"/>
              <w:adjustRightInd/>
              <w:snapToGrid/>
              <w:spacing w:line="360" w:lineRule="exact"/>
              <w:textAlignment w:val="auto"/>
              <w:rPr>
                <w:color w:val="auto"/>
                <w:highlight w:val="none"/>
              </w:rPr>
            </w:pPr>
            <w:r>
              <w:rPr>
                <w:rFonts w:hint="eastAsia"/>
                <w:color w:val="auto"/>
                <w:highlight w:val="none"/>
              </w:rPr>
              <w:t>1</w:t>
            </w:r>
            <w:r>
              <w:rPr>
                <w:rFonts w:hint="eastAsia"/>
                <w:color w:val="auto"/>
                <w:highlight w:val="none"/>
                <w:lang w:val="en-US" w:eastAsia="zh-CN"/>
              </w:rPr>
              <w:t xml:space="preserve"> </w:t>
            </w:r>
            <w:r>
              <w:rPr>
                <w:rFonts w:hint="eastAsia"/>
                <w:color w:val="auto"/>
                <w:highlight w:val="none"/>
              </w:rPr>
              <w:t>一份正本、四份副本</w:t>
            </w:r>
            <w:r>
              <w:rPr>
                <w:rFonts w:hint="eastAsia"/>
                <w:b/>
                <w:bCs/>
                <w:color w:val="auto"/>
                <w:highlight w:val="none"/>
              </w:rPr>
              <w:t>（报价文件单独胶装成一册，</w:t>
            </w:r>
            <w:r>
              <w:rPr>
                <w:rFonts w:hint="eastAsia"/>
                <w:b/>
                <w:bCs/>
                <w:color w:val="auto"/>
                <w:highlight w:val="none"/>
                <w:lang w:val="en-US" w:eastAsia="zh-CN"/>
              </w:rPr>
              <w:t>商务技术</w:t>
            </w:r>
            <w:r>
              <w:rPr>
                <w:rFonts w:hint="eastAsia"/>
                <w:b/>
                <w:bCs/>
                <w:color w:val="auto"/>
                <w:highlight w:val="none"/>
              </w:rPr>
              <w:t>文件合并胶装）。</w:t>
            </w:r>
          </w:p>
          <w:p w14:paraId="272C456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Arial"/>
                <w:bCs/>
                <w:color w:val="auto"/>
                <w:highlight w:val="none"/>
                <w:lang w:val="en-US" w:eastAsia="zh-CN"/>
              </w:rPr>
            </w:pPr>
            <w:r>
              <w:rPr>
                <w:rFonts w:hint="eastAsia"/>
                <w:color w:val="auto"/>
                <w:highlight w:val="none"/>
              </w:rPr>
              <w:t>2</w:t>
            </w:r>
            <w:r>
              <w:rPr>
                <w:rFonts w:hint="eastAsia"/>
                <w:color w:val="auto"/>
                <w:highlight w:val="none"/>
                <w:lang w:val="en-US" w:eastAsia="zh-CN"/>
              </w:rPr>
              <w:t xml:space="preserve"> </w:t>
            </w:r>
            <w:r>
              <w:rPr>
                <w:rFonts w:hint="eastAsia"/>
                <w:color w:val="auto"/>
                <w:highlight w:val="none"/>
              </w:rPr>
              <w:t>电子文档：1份光盘，1份U盘。格式为WORD版和签章后的投标文件正本扫描件PDF版</w:t>
            </w:r>
            <w:r>
              <w:rPr>
                <w:rFonts w:hint="eastAsia"/>
                <w:color w:val="auto"/>
                <w:highlight w:val="none"/>
                <w:lang w:eastAsia="zh-CN"/>
              </w:rPr>
              <w:t>。</w:t>
            </w:r>
          </w:p>
        </w:tc>
      </w:tr>
      <w:tr w14:paraId="23F7CE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08B4A978">
            <w:pPr>
              <w:spacing w:line="300" w:lineRule="exact"/>
              <w:jc w:val="center"/>
              <w:rPr>
                <w:rFonts w:ascii="宋体" w:hAnsi="宋体" w:cs="Arial"/>
                <w:color w:val="auto"/>
                <w:highlight w:val="none"/>
              </w:rPr>
            </w:pPr>
            <w:r>
              <w:rPr>
                <w:rFonts w:hint="eastAsia" w:hAnsi="宋体" w:cs="Arial"/>
                <w:color w:val="auto"/>
                <w:highlight w:val="none"/>
              </w:rPr>
              <w:t>18</w:t>
            </w:r>
          </w:p>
        </w:tc>
        <w:tc>
          <w:tcPr>
            <w:tcW w:w="1528" w:type="dxa"/>
            <w:tcBorders>
              <w:top w:val="single" w:color="auto" w:sz="4" w:space="0"/>
              <w:left w:val="single" w:color="auto" w:sz="4" w:space="0"/>
              <w:bottom w:val="single" w:color="auto" w:sz="4" w:space="0"/>
              <w:right w:val="single" w:color="auto" w:sz="4" w:space="0"/>
            </w:tcBorders>
            <w:vAlign w:val="center"/>
          </w:tcPr>
          <w:p w14:paraId="0E1DA364">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Arial"/>
                <w:bCs/>
                <w:color w:val="auto"/>
                <w:highlight w:val="none"/>
              </w:rPr>
            </w:pPr>
            <w:r>
              <w:rPr>
                <w:rFonts w:hint="eastAsia" w:hAnsi="宋体" w:cs="Arial"/>
                <w:bCs/>
                <w:color w:val="auto"/>
                <w:highlight w:val="none"/>
              </w:rPr>
              <w:t>投标截止时间及投标文件递交地点</w:t>
            </w:r>
          </w:p>
        </w:tc>
        <w:tc>
          <w:tcPr>
            <w:tcW w:w="6923" w:type="dxa"/>
            <w:tcBorders>
              <w:top w:val="single" w:color="auto" w:sz="4" w:space="0"/>
              <w:left w:val="single" w:color="auto" w:sz="4" w:space="0"/>
              <w:bottom w:val="single" w:color="auto" w:sz="4" w:space="0"/>
              <w:right w:val="single" w:color="auto" w:sz="4" w:space="0"/>
            </w:tcBorders>
            <w:vAlign w:val="center"/>
          </w:tcPr>
          <w:p w14:paraId="503DCFE6">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hAnsi="宋体" w:cs="Arial"/>
                <w:bCs/>
                <w:color w:val="auto"/>
                <w:highlight w:val="none"/>
              </w:rPr>
            </w:pPr>
            <w:r>
              <w:rPr>
                <w:rFonts w:hint="eastAsia" w:hAnsi="宋体" w:cs="Arial"/>
                <w:bCs/>
                <w:color w:val="auto"/>
                <w:highlight w:val="none"/>
              </w:rPr>
              <w:t>投标截止时间：202</w:t>
            </w:r>
            <w:r>
              <w:rPr>
                <w:rFonts w:hint="eastAsia" w:hAnsi="宋体" w:cs="Arial"/>
                <w:bCs/>
                <w:color w:val="auto"/>
                <w:highlight w:val="none"/>
                <w:lang w:val="en-US" w:eastAsia="zh-CN"/>
              </w:rPr>
              <w:t>4</w:t>
            </w:r>
            <w:r>
              <w:rPr>
                <w:rFonts w:hint="eastAsia" w:hAnsi="宋体" w:cs="Arial"/>
                <w:bCs/>
                <w:color w:val="auto"/>
                <w:highlight w:val="none"/>
              </w:rPr>
              <w:t>年</w:t>
            </w:r>
            <w:r>
              <w:rPr>
                <w:rFonts w:hint="eastAsia" w:hAnsi="宋体" w:cs="Arial"/>
                <w:bCs/>
                <w:color w:val="auto"/>
                <w:highlight w:val="none"/>
                <w:lang w:val="en-US" w:eastAsia="zh-CN"/>
              </w:rPr>
              <w:t>10</w:t>
            </w:r>
            <w:r>
              <w:rPr>
                <w:rFonts w:hint="eastAsia" w:hAnsi="宋体" w:cs="Arial"/>
                <w:bCs/>
                <w:color w:val="auto"/>
                <w:highlight w:val="none"/>
              </w:rPr>
              <w:t>月</w:t>
            </w:r>
            <w:r>
              <w:rPr>
                <w:rFonts w:hint="eastAsia" w:hAnsi="宋体" w:cs="Arial"/>
                <w:bCs/>
                <w:color w:val="auto"/>
                <w:highlight w:val="none"/>
                <w:lang w:val="en-US" w:eastAsia="zh-CN"/>
              </w:rPr>
              <w:t>16</w:t>
            </w:r>
            <w:r>
              <w:rPr>
                <w:rFonts w:hint="eastAsia" w:hAnsi="宋体" w:cs="Arial"/>
                <w:bCs/>
                <w:color w:val="auto"/>
                <w:highlight w:val="none"/>
              </w:rPr>
              <w:t>日</w:t>
            </w:r>
            <w:r>
              <w:rPr>
                <w:rFonts w:hint="eastAsia" w:hAnsi="宋体" w:cs="Arial"/>
                <w:bCs/>
                <w:color w:val="auto"/>
                <w:highlight w:val="none"/>
                <w:lang w:val="en-US" w:eastAsia="zh-CN"/>
              </w:rPr>
              <w:t>10</w:t>
            </w:r>
            <w:r>
              <w:rPr>
                <w:rFonts w:hint="eastAsia" w:hAnsi="宋体" w:cs="Arial"/>
                <w:bCs/>
                <w:color w:val="auto"/>
                <w:highlight w:val="none"/>
              </w:rPr>
              <w:t>点</w:t>
            </w:r>
            <w:r>
              <w:rPr>
                <w:rFonts w:hint="eastAsia" w:hAnsi="宋体" w:cs="Arial"/>
                <w:bCs/>
                <w:color w:val="auto"/>
                <w:highlight w:val="none"/>
                <w:lang w:val="en-US" w:eastAsia="zh-CN"/>
              </w:rPr>
              <w:t>30</w:t>
            </w:r>
            <w:r>
              <w:rPr>
                <w:rFonts w:hint="eastAsia" w:hAnsi="宋体" w:cs="Arial"/>
                <w:bCs/>
                <w:color w:val="auto"/>
                <w:highlight w:val="none"/>
              </w:rPr>
              <w:t>分(北京时间)</w:t>
            </w:r>
          </w:p>
          <w:p w14:paraId="0773ED15">
            <w:pPr>
              <w:keepNext w:val="0"/>
              <w:keepLines w:val="0"/>
              <w:pageBreakBefore w:val="0"/>
              <w:kinsoku/>
              <w:wordWrap/>
              <w:overflowPunct/>
              <w:topLinePunct w:val="0"/>
              <w:autoSpaceDE/>
              <w:autoSpaceDN/>
              <w:bidi w:val="0"/>
              <w:adjustRightInd/>
              <w:snapToGrid/>
              <w:spacing w:line="360" w:lineRule="exact"/>
              <w:jc w:val="left"/>
              <w:textAlignment w:val="auto"/>
              <w:rPr>
                <w:rFonts w:ascii="宋体" w:hAnsi="宋体" w:cs="Arial"/>
                <w:bCs/>
                <w:color w:val="auto"/>
                <w:highlight w:val="none"/>
              </w:rPr>
            </w:pPr>
            <w:r>
              <w:rPr>
                <w:rFonts w:hint="eastAsia" w:hAnsi="宋体" w:cs="Arial"/>
                <w:bCs/>
                <w:color w:val="auto"/>
                <w:highlight w:val="none"/>
              </w:rPr>
              <w:t>投标地点：昌吉回族自治州政务服务和公共资源交易中心公共资源交易大厅负一楼第</w:t>
            </w:r>
            <w:r>
              <w:rPr>
                <w:rFonts w:hint="eastAsia" w:hAnsi="宋体" w:cs="Arial"/>
                <w:bCs/>
                <w:color w:val="auto"/>
                <w:highlight w:val="none"/>
                <w:lang w:val="en-US" w:eastAsia="zh-CN"/>
              </w:rPr>
              <w:t>三</w:t>
            </w:r>
            <w:r>
              <w:rPr>
                <w:rFonts w:hint="eastAsia" w:hAnsi="宋体" w:cs="Arial"/>
                <w:bCs/>
                <w:color w:val="auto"/>
                <w:highlight w:val="none"/>
              </w:rPr>
              <w:t>开标大厅</w:t>
            </w:r>
          </w:p>
        </w:tc>
      </w:tr>
      <w:tr w14:paraId="70328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204EB6F2">
            <w:pPr>
              <w:spacing w:line="300" w:lineRule="exact"/>
              <w:jc w:val="center"/>
              <w:rPr>
                <w:rFonts w:ascii="宋体" w:hAnsi="宋体" w:cs="Arial"/>
                <w:bCs/>
                <w:color w:val="auto"/>
                <w:highlight w:val="none"/>
              </w:rPr>
            </w:pPr>
            <w:r>
              <w:rPr>
                <w:rFonts w:hint="eastAsia" w:hAnsi="宋体" w:cs="Arial"/>
                <w:bCs/>
                <w:color w:val="auto"/>
                <w:highlight w:val="none"/>
              </w:rPr>
              <w:t>19</w:t>
            </w:r>
          </w:p>
        </w:tc>
        <w:tc>
          <w:tcPr>
            <w:tcW w:w="1528" w:type="dxa"/>
            <w:tcBorders>
              <w:top w:val="single" w:color="auto" w:sz="4" w:space="0"/>
              <w:left w:val="single" w:color="auto" w:sz="4" w:space="0"/>
              <w:bottom w:val="single" w:color="auto" w:sz="4" w:space="0"/>
              <w:right w:val="single" w:color="auto" w:sz="4" w:space="0"/>
            </w:tcBorders>
            <w:vAlign w:val="center"/>
          </w:tcPr>
          <w:p w14:paraId="2B842D92">
            <w:pPr>
              <w:keepNext w:val="0"/>
              <w:keepLines w:val="0"/>
              <w:pageBreakBefore w:val="0"/>
              <w:kinsoku/>
              <w:wordWrap/>
              <w:overflowPunct/>
              <w:topLinePunct w:val="0"/>
              <w:autoSpaceDE/>
              <w:autoSpaceDN/>
              <w:bidi w:val="0"/>
              <w:adjustRightInd/>
              <w:snapToGrid/>
              <w:spacing w:line="360" w:lineRule="exact"/>
              <w:jc w:val="center"/>
              <w:textAlignment w:val="auto"/>
              <w:rPr>
                <w:rFonts w:hAnsi="宋体" w:cs="Arial"/>
                <w:bCs/>
                <w:color w:val="auto"/>
                <w:highlight w:val="none"/>
              </w:rPr>
            </w:pPr>
            <w:r>
              <w:rPr>
                <w:rFonts w:hint="eastAsia" w:hAnsi="宋体" w:cs="Arial"/>
                <w:bCs/>
                <w:color w:val="auto"/>
                <w:highlight w:val="none"/>
              </w:rPr>
              <w:t>开标时间</w:t>
            </w:r>
          </w:p>
          <w:p w14:paraId="07709A23">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Arial"/>
                <w:bCs/>
                <w:color w:val="auto"/>
                <w:highlight w:val="none"/>
              </w:rPr>
            </w:pPr>
            <w:r>
              <w:rPr>
                <w:rFonts w:hint="eastAsia" w:hAnsi="宋体" w:cs="Arial"/>
                <w:bCs/>
                <w:color w:val="auto"/>
                <w:highlight w:val="none"/>
              </w:rPr>
              <w:t>及地点</w:t>
            </w:r>
          </w:p>
        </w:tc>
        <w:tc>
          <w:tcPr>
            <w:tcW w:w="6923" w:type="dxa"/>
            <w:tcBorders>
              <w:top w:val="single" w:color="auto" w:sz="4" w:space="0"/>
              <w:left w:val="single" w:color="auto" w:sz="4" w:space="0"/>
              <w:bottom w:val="single" w:color="auto" w:sz="4" w:space="0"/>
              <w:right w:val="single" w:color="auto" w:sz="4" w:space="0"/>
            </w:tcBorders>
            <w:vAlign w:val="center"/>
          </w:tcPr>
          <w:p w14:paraId="37180DC7">
            <w:pPr>
              <w:keepNext w:val="0"/>
              <w:keepLines w:val="0"/>
              <w:pageBreakBefore w:val="0"/>
              <w:kinsoku/>
              <w:wordWrap/>
              <w:overflowPunct/>
              <w:topLinePunct w:val="0"/>
              <w:autoSpaceDE/>
              <w:autoSpaceDN/>
              <w:bidi w:val="0"/>
              <w:adjustRightInd/>
              <w:snapToGrid/>
              <w:spacing w:line="360" w:lineRule="exact"/>
              <w:jc w:val="left"/>
              <w:textAlignment w:val="auto"/>
              <w:rPr>
                <w:rFonts w:hAnsi="宋体" w:cs="Arial"/>
                <w:bCs/>
                <w:color w:val="auto"/>
                <w:highlight w:val="none"/>
              </w:rPr>
            </w:pPr>
            <w:r>
              <w:rPr>
                <w:rFonts w:hint="eastAsia" w:hAnsi="宋体" w:cs="Arial"/>
                <w:bCs/>
                <w:color w:val="auto"/>
                <w:highlight w:val="none"/>
              </w:rPr>
              <w:t>开标时间：202</w:t>
            </w:r>
            <w:r>
              <w:rPr>
                <w:rFonts w:hint="eastAsia" w:hAnsi="宋体" w:cs="Arial"/>
                <w:bCs/>
                <w:color w:val="auto"/>
                <w:highlight w:val="none"/>
                <w:lang w:val="en-US" w:eastAsia="zh-CN"/>
              </w:rPr>
              <w:t>4</w:t>
            </w:r>
            <w:r>
              <w:rPr>
                <w:rFonts w:hint="eastAsia" w:hAnsi="宋体" w:cs="Arial"/>
                <w:bCs/>
                <w:color w:val="auto"/>
                <w:highlight w:val="none"/>
              </w:rPr>
              <w:t>年</w:t>
            </w:r>
            <w:r>
              <w:rPr>
                <w:rFonts w:hint="eastAsia" w:hAnsi="宋体" w:cs="Arial"/>
                <w:bCs/>
                <w:color w:val="auto"/>
                <w:highlight w:val="none"/>
                <w:lang w:val="en-US" w:eastAsia="zh-CN"/>
              </w:rPr>
              <w:t>10</w:t>
            </w:r>
            <w:r>
              <w:rPr>
                <w:rFonts w:hint="eastAsia" w:hAnsi="宋体" w:cs="Arial"/>
                <w:bCs/>
                <w:color w:val="auto"/>
                <w:highlight w:val="none"/>
              </w:rPr>
              <w:t>月</w:t>
            </w:r>
            <w:r>
              <w:rPr>
                <w:rFonts w:hint="eastAsia" w:hAnsi="宋体" w:cs="Arial"/>
                <w:bCs/>
                <w:color w:val="auto"/>
                <w:highlight w:val="none"/>
                <w:lang w:val="en-US" w:eastAsia="zh-CN"/>
              </w:rPr>
              <w:t>16</w:t>
            </w:r>
            <w:r>
              <w:rPr>
                <w:rFonts w:hint="eastAsia" w:hAnsi="宋体" w:cs="Arial"/>
                <w:bCs/>
                <w:color w:val="auto"/>
                <w:highlight w:val="none"/>
              </w:rPr>
              <w:t>日</w:t>
            </w:r>
            <w:r>
              <w:rPr>
                <w:rFonts w:hint="eastAsia" w:hAnsi="宋体" w:cs="Arial"/>
                <w:bCs/>
                <w:color w:val="auto"/>
                <w:highlight w:val="none"/>
                <w:lang w:val="en-US" w:eastAsia="zh-CN"/>
              </w:rPr>
              <w:t>10</w:t>
            </w:r>
            <w:r>
              <w:rPr>
                <w:rFonts w:hint="eastAsia" w:hAnsi="宋体" w:cs="Arial"/>
                <w:bCs/>
                <w:color w:val="auto"/>
                <w:highlight w:val="none"/>
              </w:rPr>
              <w:t>点</w:t>
            </w:r>
            <w:r>
              <w:rPr>
                <w:rFonts w:hint="eastAsia" w:hAnsi="宋体" w:cs="Arial"/>
                <w:bCs/>
                <w:color w:val="auto"/>
                <w:highlight w:val="none"/>
                <w:lang w:val="en-US" w:eastAsia="zh-CN"/>
              </w:rPr>
              <w:t>30</w:t>
            </w:r>
            <w:r>
              <w:rPr>
                <w:rFonts w:hint="eastAsia" w:hAnsi="宋体" w:cs="Arial"/>
                <w:bCs/>
                <w:color w:val="auto"/>
                <w:highlight w:val="none"/>
              </w:rPr>
              <w:t>分(北京时间)</w:t>
            </w:r>
          </w:p>
          <w:p w14:paraId="23E43122">
            <w:pPr>
              <w:keepNext w:val="0"/>
              <w:keepLines w:val="0"/>
              <w:pageBreakBefore w:val="0"/>
              <w:widowControl w:val="0"/>
              <w:kinsoku/>
              <w:wordWrap/>
              <w:overflowPunct/>
              <w:topLinePunct w:val="0"/>
              <w:autoSpaceDE/>
              <w:autoSpaceDN/>
              <w:bidi w:val="0"/>
              <w:adjustRightInd/>
              <w:snapToGrid/>
              <w:spacing w:line="360" w:lineRule="exact"/>
              <w:ind w:left="0" w:firstLine="0" w:firstLineChars="0"/>
              <w:jc w:val="left"/>
              <w:textAlignment w:val="auto"/>
              <w:rPr>
                <w:rFonts w:ascii="宋体" w:hAnsi="宋体" w:cs="Arial"/>
                <w:bCs/>
                <w:color w:val="auto"/>
                <w:highlight w:val="none"/>
              </w:rPr>
            </w:pPr>
            <w:r>
              <w:rPr>
                <w:rFonts w:hint="eastAsia" w:hAnsi="宋体" w:cs="Arial"/>
                <w:bCs/>
                <w:color w:val="auto"/>
                <w:highlight w:val="none"/>
              </w:rPr>
              <w:t>开标地点：昌吉回族自治州政务服务和公共资源交易中心公共资源交易大厅负一楼第</w:t>
            </w:r>
            <w:r>
              <w:rPr>
                <w:rFonts w:hint="eastAsia" w:hAnsi="宋体" w:cs="Arial"/>
                <w:bCs/>
                <w:color w:val="auto"/>
                <w:highlight w:val="none"/>
                <w:lang w:val="en-US" w:eastAsia="zh-CN"/>
              </w:rPr>
              <w:t>三</w:t>
            </w:r>
            <w:r>
              <w:rPr>
                <w:rFonts w:hint="eastAsia" w:hAnsi="宋体" w:cs="Arial"/>
                <w:bCs/>
                <w:color w:val="auto"/>
                <w:highlight w:val="none"/>
              </w:rPr>
              <w:t>开标大厅</w:t>
            </w:r>
          </w:p>
        </w:tc>
      </w:tr>
      <w:tr w14:paraId="606D3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730F80AE">
            <w:pPr>
              <w:spacing w:line="300" w:lineRule="exact"/>
              <w:jc w:val="center"/>
              <w:rPr>
                <w:rFonts w:ascii="宋体" w:hAnsi="宋体" w:cs="Arial"/>
                <w:bCs/>
                <w:color w:val="auto"/>
                <w:highlight w:val="none"/>
              </w:rPr>
            </w:pPr>
            <w:r>
              <w:rPr>
                <w:rFonts w:hint="eastAsia" w:hAnsi="宋体" w:cs="Arial"/>
                <w:bCs/>
                <w:color w:val="auto"/>
                <w:highlight w:val="none"/>
              </w:rPr>
              <w:t>20</w:t>
            </w:r>
          </w:p>
        </w:tc>
        <w:tc>
          <w:tcPr>
            <w:tcW w:w="1528" w:type="dxa"/>
            <w:tcBorders>
              <w:top w:val="single" w:color="auto" w:sz="4" w:space="0"/>
              <w:left w:val="single" w:color="auto" w:sz="4" w:space="0"/>
              <w:bottom w:val="single" w:color="auto" w:sz="4" w:space="0"/>
              <w:right w:val="single" w:color="auto" w:sz="4" w:space="0"/>
            </w:tcBorders>
            <w:vAlign w:val="center"/>
          </w:tcPr>
          <w:p w14:paraId="6080922E">
            <w:pPr>
              <w:keepNext w:val="0"/>
              <w:keepLines w:val="0"/>
              <w:pageBreakBefore w:val="0"/>
              <w:kinsoku/>
              <w:wordWrap/>
              <w:overflowPunct/>
              <w:topLinePunct w:val="0"/>
              <w:autoSpaceDE/>
              <w:autoSpaceDN/>
              <w:bidi w:val="0"/>
              <w:adjustRightInd/>
              <w:snapToGrid/>
              <w:spacing w:line="360" w:lineRule="exact"/>
              <w:ind w:right="-8"/>
              <w:jc w:val="center"/>
              <w:textAlignment w:val="auto"/>
              <w:rPr>
                <w:rFonts w:ascii="宋体" w:hAnsi="宋体" w:cs="Arial"/>
                <w:bCs/>
                <w:color w:val="auto"/>
                <w:highlight w:val="none"/>
              </w:rPr>
            </w:pPr>
            <w:r>
              <w:rPr>
                <w:rFonts w:hint="eastAsia" w:hAnsi="宋体" w:cs="Arial"/>
                <w:bCs/>
                <w:color w:val="auto"/>
                <w:highlight w:val="none"/>
              </w:rPr>
              <w:t>评标办法</w:t>
            </w:r>
          </w:p>
        </w:tc>
        <w:tc>
          <w:tcPr>
            <w:tcW w:w="6923" w:type="dxa"/>
            <w:tcBorders>
              <w:top w:val="single" w:color="auto" w:sz="4" w:space="0"/>
              <w:left w:val="single" w:color="auto" w:sz="4" w:space="0"/>
              <w:bottom w:val="single" w:color="auto" w:sz="4" w:space="0"/>
              <w:right w:val="single" w:color="auto" w:sz="4" w:space="0"/>
            </w:tcBorders>
            <w:vAlign w:val="center"/>
          </w:tcPr>
          <w:p w14:paraId="675C2610">
            <w:pPr>
              <w:keepNext w:val="0"/>
              <w:keepLines w:val="0"/>
              <w:pageBreakBefore w:val="0"/>
              <w:kinsoku/>
              <w:wordWrap/>
              <w:overflowPunct/>
              <w:topLinePunct w:val="0"/>
              <w:autoSpaceDE/>
              <w:autoSpaceDN/>
              <w:bidi w:val="0"/>
              <w:adjustRightInd/>
              <w:snapToGrid/>
              <w:spacing w:line="360" w:lineRule="exact"/>
              <w:jc w:val="left"/>
              <w:textAlignment w:val="auto"/>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14:paraId="085502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6F15438F">
            <w:pPr>
              <w:spacing w:line="300" w:lineRule="exact"/>
              <w:jc w:val="center"/>
              <w:rPr>
                <w:rFonts w:ascii="宋体" w:hAnsi="宋体" w:cs="Arial"/>
                <w:bCs/>
                <w:color w:val="auto"/>
                <w:highlight w:val="none"/>
              </w:rPr>
            </w:pPr>
            <w:r>
              <w:rPr>
                <w:rFonts w:hint="eastAsia" w:hAnsi="宋体" w:cs="Arial"/>
                <w:bCs/>
                <w:color w:val="auto"/>
                <w:highlight w:val="none"/>
              </w:rPr>
              <w:t>21</w:t>
            </w:r>
          </w:p>
        </w:tc>
        <w:tc>
          <w:tcPr>
            <w:tcW w:w="1528" w:type="dxa"/>
            <w:tcBorders>
              <w:top w:val="single" w:color="auto" w:sz="4" w:space="0"/>
              <w:left w:val="single" w:color="auto" w:sz="4" w:space="0"/>
              <w:bottom w:val="single" w:color="auto" w:sz="4" w:space="0"/>
              <w:right w:val="single" w:color="auto" w:sz="4" w:space="0"/>
            </w:tcBorders>
            <w:vAlign w:val="center"/>
          </w:tcPr>
          <w:p w14:paraId="7524E934">
            <w:pPr>
              <w:keepNext w:val="0"/>
              <w:keepLines w:val="0"/>
              <w:pageBreakBefore w:val="0"/>
              <w:kinsoku/>
              <w:wordWrap/>
              <w:overflowPunct/>
              <w:topLinePunct w:val="0"/>
              <w:autoSpaceDE/>
              <w:autoSpaceDN/>
              <w:bidi w:val="0"/>
              <w:adjustRightInd/>
              <w:snapToGrid/>
              <w:spacing w:line="360" w:lineRule="exact"/>
              <w:jc w:val="center"/>
              <w:textAlignment w:val="auto"/>
              <w:rPr>
                <w:rFonts w:hAnsi="宋体" w:cs="Arial"/>
                <w:bCs/>
                <w:color w:val="auto"/>
                <w:highlight w:val="none"/>
              </w:rPr>
            </w:pPr>
            <w:r>
              <w:rPr>
                <w:rFonts w:hint="eastAsia" w:hAnsi="宋体" w:cs="Arial"/>
                <w:bCs/>
                <w:color w:val="auto"/>
                <w:highlight w:val="none"/>
              </w:rPr>
              <w:t>履约保证金</w:t>
            </w:r>
          </w:p>
        </w:tc>
        <w:tc>
          <w:tcPr>
            <w:tcW w:w="6923" w:type="dxa"/>
            <w:tcBorders>
              <w:top w:val="single" w:color="auto" w:sz="4" w:space="0"/>
              <w:left w:val="single" w:color="auto" w:sz="4" w:space="0"/>
              <w:bottom w:val="single" w:color="auto" w:sz="4" w:space="0"/>
              <w:right w:val="single" w:color="auto" w:sz="4" w:space="0"/>
            </w:tcBorders>
            <w:vAlign w:val="center"/>
          </w:tcPr>
          <w:p w14:paraId="17150B5D">
            <w:pPr>
              <w:keepNext w:val="0"/>
              <w:keepLines w:val="0"/>
              <w:pageBreakBefore w:val="0"/>
              <w:kinsoku/>
              <w:wordWrap/>
              <w:overflowPunct/>
              <w:topLinePunct w:val="0"/>
              <w:autoSpaceDE/>
              <w:autoSpaceDN/>
              <w:bidi w:val="0"/>
              <w:adjustRightInd/>
              <w:snapToGrid/>
              <w:spacing w:line="360" w:lineRule="exact"/>
              <w:textAlignment w:val="auto"/>
              <w:rPr>
                <w:color w:val="auto"/>
                <w:highlight w:val="none"/>
              </w:rPr>
            </w:pPr>
            <w:r>
              <w:rPr>
                <w:color w:val="auto"/>
                <w:highlight w:val="none"/>
              </w:rPr>
              <w:t>合同签订前，中标</w:t>
            </w:r>
            <w:r>
              <w:rPr>
                <w:rFonts w:hint="eastAsia"/>
                <w:color w:val="auto"/>
                <w:highlight w:val="none"/>
              </w:rPr>
              <w:t>单位</w:t>
            </w:r>
            <w:r>
              <w:rPr>
                <w:color w:val="auto"/>
                <w:highlight w:val="none"/>
              </w:rPr>
              <w:t>按照中标</w:t>
            </w:r>
            <w:r>
              <w:rPr>
                <w:rFonts w:hint="eastAsia"/>
                <w:color w:val="auto"/>
                <w:highlight w:val="none"/>
              </w:rPr>
              <w:t>金额</w:t>
            </w:r>
            <w:r>
              <w:rPr>
                <w:color w:val="auto"/>
                <w:highlight w:val="none"/>
              </w:rPr>
              <w:t>的</w:t>
            </w:r>
            <w:r>
              <w:rPr>
                <w:rFonts w:hint="eastAsia"/>
                <w:color w:val="auto"/>
                <w:highlight w:val="none"/>
                <w:lang w:val="en-US" w:eastAsia="zh-CN"/>
              </w:rPr>
              <w:t>5</w:t>
            </w:r>
            <w:r>
              <w:rPr>
                <w:color w:val="auto"/>
                <w:highlight w:val="none"/>
              </w:rPr>
              <w:t>%缴纳履约保证金，</w:t>
            </w:r>
            <w:r>
              <w:rPr>
                <w:rFonts w:hint="eastAsia"/>
                <w:color w:val="auto"/>
                <w:highlight w:val="none"/>
              </w:rPr>
              <w:t>中标单位按合同约定交付全部产品，安装调试完毕，书面验收合格一年后，采购单位无息退还全部履约保证金</w:t>
            </w:r>
            <w:r>
              <w:rPr>
                <w:color w:val="auto"/>
                <w:highlight w:val="none"/>
              </w:rPr>
              <w:t>。</w:t>
            </w:r>
          </w:p>
        </w:tc>
      </w:tr>
      <w:tr w14:paraId="284B2A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3C22677D">
            <w:pPr>
              <w:spacing w:line="300" w:lineRule="exact"/>
              <w:jc w:val="center"/>
              <w:rPr>
                <w:rFonts w:ascii="宋体" w:hAnsi="宋体" w:cs="Arial"/>
                <w:bCs/>
                <w:color w:val="auto"/>
                <w:highlight w:val="none"/>
              </w:rPr>
            </w:pPr>
            <w:r>
              <w:rPr>
                <w:rFonts w:hint="eastAsia" w:hAnsi="宋体" w:cs="Arial"/>
                <w:bCs/>
                <w:color w:val="auto"/>
                <w:highlight w:val="none"/>
              </w:rPr>
              <w:t>22</w:t>
            </w:r>
          </w:p>
        </w:tc>
        <w:tc>
          <w:tcPr>
            <w:tcW w:w="1528" w:type="dxa"/>
            <w:tcBorders>
              <w:top w:val="single" w:color="auto" w:sz="4" w:space="0"/>
              <w:left w:val="single" w:color="auto" w:sz="4" w:space="0"/>
              <w:bottom w:val="single" w:color="auto" w:sz="4" w:space="0"/>
              <w:right w:val="single" w:color="auto" w:sz="4" w:space="0"/>
            </w:tcBorders>
            <w:vAlign w:val="center"/>
          </w:tcPr>
          <w:p w14:paraId="1FCC8C51">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ascii="宋体" w:hAnsi="宋体" w:cs="宋体"/>
                <w:color w:val="auto"/>
                <w:spacing w:val="-4"/>
                <w:highlight w:val="none"/>
              </w:rPr>
            </w:pPr>
            <w:r>
              <w:rPr>
                <w:rFonts w:hint="eastAsia" w:ascii="宋体" w:hAnsi="宋体" w:cs="宋体"/>
                <w:bCs/>
                <w:color w:val="auto"/>
                <w:spacing w:val="-4"/>
                <w:highlight w:val="none"/>
                <w:lang w:val="en-US" w:eastAsia="zh-CN"/>
              </w:rPr>
              <w:t>开标准备</w:t>
            </w:r>
          </w:p>
        </w:tc>
        <w:tc>
          <w:tcPr>
            <w:tcW w:w="6923" w:type="dxa"/>
            <w:tcBorders>
              <w:top w:val="single" w:color="auto" w:sz="4" w:space="0"/>
              <w:left w:val="single" w:color="auto" w:sz="4" w:space="0"/>
              <w:bottom w:val="single" w:color="auto" w:sz="4" w:space="0"/>
              <w:right w:val="single" w:color="auto" w:sz="4" w:space="0"/>
            </w:tcBorders>
            <w:vAlign w:val="center"/>
          </w:tcPr>
          <w:p w14:paraId="559FC976">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textAlignment w:val="auto"/>
              <w:rPr>
                <w:color w:val="auto"/>
                <w:highlight w:val="none"/>
              </w:rPr>
            </w:pPr>
            <w:r>
              <w:rPr>
                <w:rFonts w:hint="eastAsia" w:ascii="宋体" w:hAnsi="宋体" w:cs="宋体"/>
                <w:color w:val="auto"/>
                <w:spacing w:val="-4"/>
                <w:highlight w:val="none"/>
              </w:rPr>
              <w:t>详见本招标文件投标人须知第</w:t>
            </w:r>
            <w:r>
              <w:rPr>
                <w:rFonts w:hint="eastAsia" w:ascii="宋体" w:hAnsi="宋体" w:cs="宋体"/>
                <w:color w:val="auto"/>
                <w:spacing w:val="-4"/>
                <w:highlight w:val="none"/>
                <w:lang w:val="en-US" w:eastAsia="zh-CN"/>
              </w:rPr>
              <w:t>22</w:t>
            </w:r>
            <w:r>
              <w:rPr>
                <w:rFonts w:hint="eastAsia" w:ascii="宋体" w:hAnsi="宋体" w:cs="宋体"/>
                <w:color w:val="auto"/>
                <w:spacing w:val="-4"/>
                <w:highlight w:val="none"/>
              </w:rPr>
              <w:t>条。</w:t>
            </w:r>
          </w:p>
        </w:tc>
      </w:tr>
      <w:tr w14:paraId="4D4841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77FDA4A3">
            <w:pPr>
              <w:spacing w:line="300" w:lineRule="exact"/>
              <w:jc w:val="center"/>
              <w:rPr>
                <w:rFonts w:ascii="宋体" w:hAnsi="宋体" w:cs="Arial"/>
                <w:bCs/>
                <w:color w:val="auto"/>
                <w:highlight w:val="none"/>
              </w:rPr>
            </w:pPr>
            <w:r>
              <w:rPr>
                <w:rFonts w:hint="eastAsia" w:hAnsi="宋体" w:cs="Arial"/>
                <w:bCs/>
                <w:color w:val="auto"/>
                <w:highlight w:val="none"/>
              </w:rPr>
              <w:t>23</w:t>
            </w:r>
          </w:p>
        </w:tc>
        <w:tc>
          <w:tcPr>
            <w:tcW w:w="1528" w:type="dxa"/>
            <w:tcBorders>
              <w:top w:val="single" w:color="auto" w:sz="4" w:space="0"/>
              <w:left w:val="single" w:color="auto" w:sz="4" w:space="0"/>
              <w:bottom w:val="single" w:color="auto" w:sz="4" w:space="0"/>
              <w:right w:val="single" w:color="auto" w:sz="4" w:space="0"/>
            </w:tcBorders>
            <w:vAlign w:val="center"/>
          </w:tcPr>
          <w:p w14:paraId="3BC8460E">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923" w:type="dxa"/>
            <w:tcBorders>
              <w:top w:val="single" w:color="auto" w:sz="4" w:space="0"/>
              <w:left w:val="single" w:color="auto" w:sz="4" w:space="0"/>
              <w:bottom w:val="single" w:color="auto" w:sz="4" w:space="0"/>
              <w:right w:val="single" w:color="auto" w:sz="4" w:space="0"/>
            </w:tcBorders>
            <w:vAlign w:val="center"/>
          </w:tcPr>
          <w:p w14:paraId="322EBA68">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textAlignment w:val="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14:paraId="1312B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1" w:hRule="atLeast"/>
          <w:jc w:val="center"/>
        </w:trPr>
        <w:tc>
          <w:tcPr>
            <w:tcW w:w="567" w:type="dxa"/>
            <w:tcBorders>
              <w:top w:val="single" w:color="auto" w:sz="4" w:space="0"/>
              <w:left w:val="single" w:color="auto" w:sz="4" w:space="0"/>
              <w:right w:val="single" w:color="auto" w:sz="4" w:space="0"/>
            </w:tcBorders>
            <w:vAlign w:val="center"/>
          </w:tcPr>
          <w:p w14:paraId="5257D3BC">
            <w:pPr>
              <w:spacing w:line="300" w:lineRule="exact"/>
              <w:jc w:val="center"/>
              <w:rPr>
                <w:rFonts w:hAnsi="宋体" w:cs="Arial"/>
                <w:bCs/>
                <w:color w:val="auto"/>
                <w:highlight w:val="none"/>
              </w:rPr>
            </w:pPr>
            <w:r>
              <w:rPr>
                <w:rFonts w:hint="eastAsia" w:hAnsi="宋体" w:cs="Arial"/>
                <w:bCs/>
                <w:color w:val="auto"/>
                <w:highlight w:val="none"/>
              </w:rPr>
              <w:t>24</w:t>
            </w:r>
          </w:p>
        </w:tc>
        <w:tc>
          <w:tcPr>
            <w:tcW w:w="1528" w:type="dxa"/>
            <w:tcBorders>
              <w:top w:val="single" w:color="auto" w:sz="4" w:space="0"/>
              <w:left w:val="single" w:color="auto" w:sz="4" w:space="0"/>
              <w:right w:val="single" w:color="auto" w:sz="4" w:space="0"/>
            </w:tcBorders>
            <w:vAlign w:val="center"/>
          </w:tcPr>
          <w:p w14:paraId="5D83380D">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p>
        </w:tc>
        <w:tc>
          <w:tcPr>
            <w:tcW w:w="6923" w:type="dxa"/>
            <w:tcBorders>
              <w:top w:val="single" w:color="auto" w:sz="4" w:space="0"/>
              <w:left w:val="single" w:color="auto" w:sz="4" w:space="0"/>
              <w:bottom w:val="single" w:color="auto" w:sz="4" w:space="0"/>
              <w:right w:val="single" w:color="auto" w:sz="4" w:space="0"/>
            </w:tcBorders>
            <w:vAlign w:val="center"/>
          </w:tcPr>
          <w:p w14:paraId="0368351B">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textAlignment w:val="auto"/>
              <w:rPr>
                <w:b w:val="0"/>
                <w:bCs w:val="0"/>
                <w:color w:val="auto"/>
                <w:highlight w:val="none"/>
              </w:rPr>
            </w:pPr>
            <w:r>
              <w:rPr>
                <w:rFonts w:hint="eastAsia"/>
                <w:color w:val="auto"/>
                <w:highlight w:val="none"/>
              </w:rPr>
              <w:t>1.根据《国家市场监督管理总局关于</w:t>
            </w:r>
            <w:r>
              <w:rPr>
                <w:rFonts w:hint="eastAsia"/>
                <w:color w:val="auto"/>
                <w:highlight w:val="none"/>
                <w:lang w:eastAsia="zh-CN"/>
              </w:rPr>
              <w:t>发布强制性产品认证目录描述与界定表的公告</w:t>
            </w:r>
            <w:r>
              <w:rPr>
                <w:rFonts w:hint="eastAsia"/>
                <w:color w:val="auto"/>
                <w:highlight w:val="none"/>
              </w:rPr>
              <w:t>》</w:t>
            </w:r>
            <w:r>
              <w:rPr>
                <w:rFonts w:hint="eastAsia"/>
                <w:color w:val="auto"/>
                <w:highlight w:val="none"/>
                <w:lang w:eastAsia="zh-CN"/>
              </w:rPr>
              <w:t>（</w:t>
            </w:r>
            <w:r>
              <w:rPr>
                <w:rFonts w:hint="eastAsia"/>
                <w:color w:val="auto"/>
                <w:highlight w:val="none"/>
                <w:lang w:val="en-US" w:eastAsia="zh-CN"/>
              </w:rPr>
              <w:t>2023年第36号</w:t>
            </w:r>
            <w:r>
              <w:rPr>
                <w:rFonts w:hint="eastAsia"/>
                <w:color w:val="auto"/>
                <w:highlight w:val="none"/>
                <w:lang w:eastAsia="zh-CN"/>
              </w:rPr>
              <w:t>）</w:t>
            </w:r>
            <w:r>
              <w:rPr>
                <w:rFonts w:hint="eastAsia"/>
                <w:color w:val="auto"/>
                <w:highlight w:val="none"/>
              </w:rPr>
              <w:t>要求，</w:t>
            </w:r>
            <w:r>
              <w:rPr>
                <w:rFonts w:hint="eastAsia"/>
                <w:color w:val="auto"/>
                <w:highlight w:val="none"/>
                <w:lang w:val="en-US" w:eastAsia="zh-CN"/>
              </w:rPr>
              <w:t>如</w:t>
            </w:r>
            <w:r>
              <w:rPr>
                <w:rFonts w:hint="eastAsia"/>
                <w:color w:val="auto"/>
                <w:highlight w:val="none"/>
              </w:rPr>
              <w:t>本项目采购产品属于《强制性产品认证目录》、《强制性产品认证目录描述与界定表（202</w:t>
            </w:r>
            <w:r>
              <w:rPr>
                <w:rFonts w:hint="eastAsia"/>
                <w:color w:val="auto"/>
                <w:highlight w:val="none"/>
                <w:lang w:val="en-US" w:eastAsia="zh-CN"/>
              </w:rPr>
              <w:t>3</w:t>
            </w:r>
            <w:r>
              <w:rPr>
                <w:rFonts w:hint="eastAsia"/>
                <w:color w:val="auto"/>
                <w:highlight w:val="none"/>
              </w:rPr>
              <w:t>年修订）》范围内产品的，应取得有效期内的强制性认证证书（CCC认证证书），</w:t>
            </w:r>
            <w:r>
              <w:rPr>
                <w:rFonts w:hint="eastAsia"/>
                <w:color w:val="auto"/>
                <w:highlight w:val="none"/>
                <w:lang w:eastAsia="zh-CN"/>
              </w:rPr>
              <w:t>供应商应在投标文件中提供认证证书复印件（加盖公章），否则视为无效投标。</w:t>
            </w:r>
          </w:p>
          <w:p w14:paraId="10EBEEFE">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textAlignment w:val="auto"/>
              <w:rPr>
                <w:color w:val="auto"/>
                <w:highlight w:val="none"/>
              </w:rPr>
            </w:pPr>
            <w:r>
              <w:rPr>
                <w:rFonts w:hint="eastAsia"/>
                <w:color w:val="auto"/>
                <w:highlight w:val="none"/>
              </w:rPr>
              <w:t>2.根据财政部、发展改革委、生态环境部、市场监管总局联合发布的《关于调整优化节能产品、环境标志产品政府采购执行机制的通知》(财库[2019]9号)要求</w:t>
            </w:r>
            <w:r>
              <w:rPr>
                <w:rFonts w:hint="eastAsia"/>
                <w:color w:val="auto"/>
                <w:highlight w:val="none"/>
                <w:lang w:eastAsia="zh-CN"/>
              </w:rPr>
              <w:t>，</w:t>
            </w:r>
            <w:r>
              <w:rPr>
                <w:rFonts w:hint="eastAsia"/>
                <w:color w:val="auto"/>
                <w:highlight w:val="none"/>
              </w:rPr>
              <w:t>本项目采购产品如属于《关于印发节能产品政府采购品目清单的通知》（财库[2019]19号）范围内的政府强制采购产品的，应取得有效期内的节能产品认证证书，</w:t>
            </w:r>
            <w:r>
              <w:rPr>
                <w:rFonts w:hint="eastAsia"/>
                <w:color w:val="auto"/>
                <w:highlight w:val="none"/>
                <w:lang w:eastAsia="zh-CN"/>
              </w:rPr>
              <w:t>供应商应在投标文件中提供认证证书复印件（加盖公章），否则视为无效投标。</w:t>
            </w:r>
          </w:p>
          <w:p w14:paraId="71EE5BA8">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textAlignment w:val="auto"/>
              <w:rPr>
                <w:color w:val="auto"/>
                <w:highlight w:val="none"/>
              </w:rPr>
            </w:pPr>
            <w:r>
              <w:rPr>
                <w:rFonts w:hint="eastAsia"/>
                <w:color w:val="auto"/>
                <w:highlight w:val="none"/>
              </w:rPr>
              <w:t>3.根据财政部、发展改革委、生态环境部、市场监管总局联合发布的《关于调整优化节能产品、环境标志产品政府采购执行机制的通知》(财库[2019]9号)要求、本项目采购产品如属于《关于印发环境标志产品政府采购品目清单的通知》（财库[2019]18号）范围内的政府优先采购产品的，应取得有效期内的环境标志产品认证证书，</w:t>
            </w:r>
            <w:r>
              <w:rPr>
                <w:rFonts w:hint="eastAsia"/>
                <w:color w:val="auto"/>
                <w:highlight w:val="none"/>
                <w:lang w:eastAsia="zh-CN"/>
              </w:rPr>
              <w:t>供应商</w:t>
            </w:r>
            <w:r>
              <w:rPr>
                <w:rFonts w:hint="eastAsia"/>
                <w:color w:val="auto"/>
                <w:highlight w:val="none"/>
              </w:rPr>
              <w:t>须在投标文件中提供认证证书复印件（加盖公章），否则不予认定。</w:t>
            </w:r>
          </w:p>
        </w:tc>
      </w:tr>
      <w:tr w14:paraId="63BD3E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7D909C6F">
            <w:pPr>
              <w:spacing w:line="300" w:lineRule="exact"/>
              <w:jc w:val="center"/>
              <w:rPr>
                <w:rFonts w:hAnsi="宋体" w:cs="Arial"/>
                <w:bCs/>
                <w:color w:val="auto"/>
                <w:highlight w:val="none"/>
              </w:rPr>
            </w:pPr>
            <w:r>
              <w:rPr>
                <w:rFonts w:hint="eastAsia" w:hAnsi="宋体" w:cs="Arial"/>
                <w:bCs/>
                <w:color w:val="auto"/>
                <w:highlight w:val="none"/>
              </w:rPr>
              <w:t>25</w:t>
            </w:r>
          </w:p>
        </w:tc>
        <w:tc>
          <w:tcPr>
            <w:tcW w:w="1528" w:type="dxa"/>
            <w:tcBorders>
              <w:top w:val="single" w:color="auto" w:sz="4" w:space="0"/>
              <w:left w:val="single" w:color="auto" w:sz="4" w:space="0"/>
              <w:bottom w:val="single" w:color="auto" w:sz="4" w:space="0"/>
              <w:right w:val="single" w:color="auto" w:sz="4" w:space="0"/>
            </w:tcBorders>
            <w:vAlign w:val="center"/>
          </w:tcPr>
          <w:p w14:paraId="0C915F47">
            <w:pPr>
              <w:spacing w:line="288" w:lineRule="auto"/>
              <w:jc w:val="center"/>
              <w:rPr>
                <w:rFonts w:ascii="宋体" w:hAnsi="宋体" w:cs="Arial"/>
                <w:bCs/>
                <w:color w:val="auto"/>
                <w:highlight w:val="none"/>
              </w:rPr>
            </w:pPr>
            <w:r>
              <w:rPr>
                <w:rFonts w:hint="eastAsia" w:cs="Arial"/>
                <w:bCs/>
                <w:color w:val="auto"/>
                <w:highlight w:val="none"/>
              </w:rPr>
              <w:t>代理服务费用</w:t>
            </w:r>
          </w:p>
        </w:tc>
        <w:tc>
          <w:tcPr>
            <w:tcW w:w="6923" w:type="dxa"/>
            <w:tcBorders>
              <w:top w:val="single" w:color="auto" w:sz="4" w:space="0"/>
              <w:left w:val="single" w:color="auto" w:sz="4" w:space="0"/>
              <w:bottom w:val="single" w:color="auto" w:sz="4" w:space="0"/>
              <w:right w:val="single" w:color="auto" w:sz="4" w:space="0"/>
            </w:tcBorders>
            <w:vAlign w:val="center"/>
          </w:tcPr>
          <w:p w14:paraId="61C4E045">
            <w:pPr>
              <w:keepNext w:val="0"/>
              <w:keepLines w:val="0"/>
              <w:pageBreakBefore w:val="0"/>
              <w:kinsoku/>
              <w:wordWrap/>
              <w:overflowPunct/>
              <w:topLinePunct w:val="0"/>
              <w:autoSpaceDE/>
              <w:autoSpaceDN/>
              <w:bidi w:val="0"/>
              <w:adjustRightInd/>
              <w:snapToGrid/>
              <w:spacing w:line="360" w:lineRule="exact"/>
              <w:jc w:val="left"/>
              <w:textAlignment w:val="auto"/>
              <w:rPr>
                <w:rFonts w:ascii="宋体" w:hAnsi="宋体" w:cs="Arial"/>
                <w:bCs/>
                <w:color w:val="auto"/>
                <w:highlight w:val="none"/>
              </w:rPr>
            </w:pPr>
            <w:r>
              <w:rPr>
                <w:rFonts w:hint="eastAsia" w:hAnsi="宋体" w:cs="Arial"/>
                <w:bCs/>
                <w:color w:val="auto"/>
                <w:highlight w:val="none"/>
              </w:rPr>
              <w:t>参照国家发展改革委员会发改价格【2011】534号、发改办价格【2003】857号文件和国家发展改革委“发改价格”和《招标代理服务收费管理暂行办法》（计价格【2002】1980号）下浮20%收取，由中标单位支付。</w:t>
            </w:r>
          </w:p>
        </w:tc>
      </w:tr>
      <w:tr w14:paraId="0C1A9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767DE2D8">
            <w:pPr>
              <w:spacing w:line="300" w:lineRule="exact"/>
              <w:jc w:val="center"/>
              <w:rPr>
                <w:rFonts w:hAnsi="宋体" w:cs="Arial"/>
                <w:bCs/>
                <w:color w:val="auto"/>
                <w:highlight w:val="none"/>
              </w:rPr>
            </w:pPr>
            <w:r>
              <w:rPr>
                <w:rFonts w:hint="eastAsia" w:cs="Arial"/>
                <w:bCs/>
                <w:color w:val="auto"/>
                <w:highlight w:val="none"/>
              </w:rPr>
              <w:t>26</w:t>
            </w:r>
          </w:p>
        </w:tc>
        <w:tc>
          <w:tcPr>
            <w:tcW w:w="1528" w:type="dxa"/>
            <w:tcBorders>
              <w:top w:val="single" w:color="auto" w:sz="4" w:space="0"/>
              <w:left w:val="single" w:color="auto" w:sz="4" w:space="0"/>
              <w:bottom w:val="single" w:color="auto" w:sz="4" w:space="0"/>
              <w:right w:val="single" w:color="auto" w:sz="4" w:space="0"/>
            </w:tcBorders>
            <w:vAlign w:val="center"/>
          </w:tcPr>
          <w:p w14:paraId="683AAC86">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Arial"/>
                <w:bCs/>
                <w:color w:val="auto"/>
                <w:highlight w:val="none"/>
              </w:rPr>
              <w:t>低于成本价不正当竞争预防措施</w:t>
            </w:r>
          </w:p>
        </w:tc>
        <w:tc>
          <w:tcPr>
            <w:tcW w:w="6923" w:type="dxa"/>
            <w:tcBorders>
              <w:top w:val="single" w:color="auto" w:sz="4" w:space="0"/>
              <w:left w:val="single" w:color="auto" w:sz="4" w:space="0"/>
              <w:bottom w:val="single" w:color="auto" w:sz="4" w:space="0"/>
              <w:right w:val="single" w:color="auto" w:sz="4" w:space="0"/>
            </w:tcBorders>
            <w:vAlign w:val="center"/>
          </w:tcPr>
          <w:p w14:paraId="132CE325">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hint="default" w:ascii="宋体" w:hAnsi="宋体" w:cs="宋体"/>
                <w:color w:val="auto"/>
                <w:spacing w:val="-4"/>
                <w:highlight w:val="none"/>
                <w:lang w:val="en-US" w:eastAsia="zh-CN"/>
              </w:rPr>
            </w:pPr>
            <w:r>
              <w:rPr>
                <w:rFonts w:hint="eastAsia" w:ascii="宋体" w:hAnsi="宋体" w:cs="宋体"/>
                <w:color w:val="auto"/>
                <w:spacing w:val="-4"/>
                <w:highlight w:val="none"/>
                <w:lang w:val="en-US" w:eastAsia="zh-CN"/>
              </w:rPr>
              <w:t>1.</w:t>
            </w:r>
            <w:r>
              <w:rPr>
                <w:rFonts w:hint="eastAsia" w:ascii="宋体" w:hAnsi="宋体" w:cs="宋体"/>
                <w:color w:val="auto"/>
                <w:spacing w:val="-4"/>
                <w:highlight w:val="none"/>
              </w:rPr>
              <w:t>在评标过程中，</w:t>
            </w:r>
            <w:r>
              <w:rPr>
                <w:rFonts w:hint="eastAsia" w:ascii="宋体" w:hAnsi="宋体" w:cs="宋体"/>
                <w:color w:val="auto"/>
                <w:spacing w:val="-4"/>
                <w:highlight w:val="none"/>
                <w:lang w:val="en-US"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0826FCC">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ascii="宋体" w:hAnsi="宋体" w:cs="宋体"/>
                <w:color w:val="auto"/>
                <w:spacing w:val="-4"/>
                <w:highlight w:val="none"/>
              </w:rPr>
            </w:pPr>
            <w:r>
              <w:rPr>
                <w:rFonts w:hint="eastAsia" w:ascii="宋体" w:hAnsi="宋体" w:cs="宋体"/>
                <w:color w:val="auto"/>
                <w:spacing w:val="-4"/>
                <w:highlight w:val="none"/>
                <w:lang w:val="en-US" w:eastAsia="zh-CN"/>
              </w:rPr>
              <w:t>2.</w:t>
            </w:r>
            <w:r>
              <w:rPr>
                <w:rFonts w:hint="eastAsia" w:ascii="宋体" w:hAnsi="宋体" w:cs="宋体"/>
                <w:color w:val="auto"/>
                <w:spacing w:val="-4"/>
                <w:highlight w:val="none"/>
              </w:rPr>
              <w:t>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14:paraId="0D680823">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ascii="宋体" w:hAnsi="宋体" w:cs="宋体"/>
                <w:color w:val="auto"/>
                <w:spacing w:val="-4"/>
                <w:highlight w:val="none"/>
              </w:rPr>
            </w:pPr>
            <w:r>
              <w:rPr>
                <w:rFonts w:hint="eastAsia" w:ascii="宋体" w:hAnsi="宋体" w:cs="宋体"/>
                <w:color w:val="auto"/>
                <w:spacing w:val="-4"/>
                <w:highlight w:val="none"/>
                <w:lang w:val="en-US" w:eastAsia="zh-CN"/>
              </w:rPr>
              <w:t>3.</w:t>
            </w:r>
            <w:r>
              <w:rPr>
                <w:rFonts w:hint="eastAsia" w:ascii="宋体" w:hAnsi="宋体" w:cs="宋体"/>
                <w:color w:val="auto"/>
                <w:spacing w:val="-4"/>
                <w:highlight w:val="none"/>
              </w:rPr>
              <w:t>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14:paraId="1856A9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2508AAE6">
            <w:pPr>
              <w:spacing w:line="300" w:lineRule="exact"/>
              <w:jc w:val="center"/>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7</w:t>
            </w:r>
          </w:p>
        </w:tc>
        <w:tc>
          <w:tcPr>
            <w:tcW w:w="1528" w:type="dxa"/>
            <w:tcBorders>
              <w:top w:val="single" w:color="auto" w:sz="4" w:space="0"/>
              <w:left w:val="single" w:color="auto" w:sz="4" w:space="0"/>
              <w:bottom w:val="single" w:color="auto" w:sz="4" w:space="0"/>
              <w:right w:val="single" w:color="auto" w:sz="4" w:space="0"/>
            </w:tcBorders>
            <w:vAlign w:val="center"/>
          </w:tcPr>
          <w:p w14:paraId="15D7262D">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923" w:type="dxa"/>
            <w:tcBorders>
              <w:top w:val="single" w:color="auto" w:sz="4" w:space="0"/>
              <w:left w:val="single" w:color="auto" w:sz="4" w:space="0"/>
              <w:bottom w:val="single" w:color="auto" w:sz="4" w:space="0"/>
              <w:right w:val="single" w:color="auto" w:sz="4" w:space="0"/>
            </w:tcBorders>
            <w:vAlign w:val="center"/>
          </w:tcPr>
          <w:p w14:paraId="42D1BA9B">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ascii="宋体" w:hAnsi="宋体" w:cs="宋体"/>
                <w:color w:val="auto"/>
                <w:spacing w:val="-4"/>
                <w:highlight w:val="none"/>
              </w:rPr>
            </w:pPr>
            <w:r>
              <w:rPr>
                <w:rFonts w:hint="eastAsia" w:ascii="宋体" w:hAnsi="宋体" w:cs="宋体"/>
                <w:color w:val="auto"/>
                <w:spacing w:val="-4"/>
                <w:highlight w:val="none"/>
              </w:rPr>
              <w:t>本项目采购标的对应的中小企业划分标准所属行业：</w:t>
            </w:r>
            <w:r>
              <w:rPr>
                <w:rFonts w:hint="eastAsia" w:ascii="宋体" w:hAnsi="宋体" w:cs="宋体"/>
                <w:b/>
                <w:bCs/>
                <w:color w:val="auto"/>
                <w:spacing w:val="-4"/>
                <w:highlight w:val="none"/>
              </w:rPr>
              <w:t>工业</w:t>
            </w:r>
            <w:r>
              <w:rPr>
                <w:rFonts w:hint="eastAsia" w:ascii="宋体" w:hAnsi="宋体" w:cs="宋体"/>
                <w:color w:val="auto"/>
                <w:spacing w:val="-4"/>
                <w:highlight w:val="none"/>
              </w:rPr>
              <w:t xml:space="preserve">（根据工信部联企业〔2011〕300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14:paraId="53779F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731D5B4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8</w:t>
            </w:r>
          </w:p>
        </w:tc>
        <w:tc>
          <w:tcPr>
            <w:tcW w:w="1528" w:type="dxa"/>
            <w:tcBorders>
              <w:top w:val="single" w:color="auto" w:sz="4" w:space="0"/>
              <w:left w:val="single" w:color="auto" w:sz="4" w:space="0"/>
              <w:bottom w:val="single" w:color="auto" w:sz="4" w:space="0"/>
              <w:right w:val="single" w:color="auto" w:sz="4" w:space="0"/>
            </w:tcBorders>
            <w:vAlign w:val="center"/>
          </w:tcPr>
          <w:p w14:paraId="3C2B5BD0">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ascii="宋体" w:hAnsi="宋体" w:cs="宋体"/>
                <w:color w:val="auto"/>
                <w:spacing w:val="-4"/>
                <w:highlight w:val="none"/>
              </w:rPr>
            </w:pPr>
            <w:r>
              <w:rPr>
                <w:rFonts w:hint="eastAsia" w:ascii="宋体" w:hAnsi="宋体" w:cs="宋体"/>
                <w:color w:val="auto"/>
                <w:spacing w:val="-4"/>
                <w:highlight w:val="none"/>
              </w:rPr>
              <w:t>中小企业</w:t>
            </w:r>
          </w:p>
          <w:p w14:paraId="04F6A573">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ascii="宋体" w:hAnsi="宋体" w:cs="宋体"/>
                <w:color w:val="auto"/>
                <w:spacing w:val="-4"/>
                <w:highlight w:val="none"/>
              </w:rPr>
            </w:pPr>
            <w:r>
              <w:rPr>
                <w:rFonts w:hint="eastAsia" w:ascii="宋体" w:hAnsi="宋体" w:cs="宋体"/>
                <w:color w:val="auto"/>
                <w:spacing w:val="-4"/>
                <w:highlight w:val="none"/>
              </w:rPr>
              <w:t>声明函</w:t>
            </w:r>
          </w:p>
        </w:tc>
        <w:tc>
          <w:tcPr>
            <w:tcW w:w="6923" w:type="dxa"/>
            <w:tcBorders>
              <w:top w:val="single" w:color="auto" w:sz="4" w:space="0"/>
              <w:left w:val="single" w:color="auto" w:sz="4" w:space="0"/>
              <w:bottom w:val="single" w:color="auto" w:sz="4" w:space="0"/>
              <w:right w:val="single" w:color="auto" w:sz="4" w:space="0"/>
            </w:tcBorders>
            <w:vAlign w:val="center"/>
          </w:tcPr>
          <w:p w14:paraId="72B40556">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1.本项目专门面向中小企业采购，价格不再进行财政政策扣除；</w:t>
            </w:r>
            <w:r>
              <w:rPr>
                <w:rFonts w:hint="eastAsia"/>
                <w:color w:val="auto"/>
                <w:highlight w:val="none"/>
                <w:lang w:val="zh-CN"/>
              </w:rPr>
              <w:t xml:space="preserve"> </w:t>
            </w:r>
          </w:p>
          <w:p w14:paraId="18C8B2CA">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2.残疾人福利性单位、监狱和戒毒企业（简称监狱企业）视同小型、微型企业</w:t>
            </w:r>
            <w:r>
              <w:rPr>
                <w:rFonts w:hint="eastAsia" w:cs="Times New Roman"/>
                <w:color w:val="auto"/>
                <w:highlight w:val="none"/>
                <w:lang w:val="en-US" w:eastAsia="zh-CN"/>
              </w:rPr>
              <w:t>；残疾人福利单位、监狱企业同时属于小型、微型企业的，不重复享受财政政策。</w:t>
            </w:r>
          </w:p>
          <w:p w14:paraId="64AC80BA">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3.根据《政府采购促进中小企业发展管理办法》（财库[2020]46号）和《财政部关于进一步加大政府采购支持中小企业力度的通知》要求，供应商应提供合格的《中小企业声明函》，如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提供的《中小企业声明函》不合格或未提供《中小企业声明函》的，不得享受相关中小微企业扶持政策。</w:t>
            </w:r>
          </w:p>
          <w:p w14:paraId="22E4F974">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4.根据《关于政府采购支持监狱企业发展有关问题的通知》（财库[2014]68号）和本</w:t>
            </w:r>
            <w:r>
              <w:rPr>
                <w:rFonts w:hint="eastAsia" w:cs="Times New Roman"/>
                <w:color w:val="auto"/>
                <w:highlight w:val="none"/>
                <w:lang w:val="en-US" w:eastAsia="zh-CN"/>
              </w:rPr>
              <w:t>招标文件</w:t>
            </w:r>
            <w:r>
              <w:rPr>
                <w:rFonts w:hint="eastAsia" w:ascii="Times New Roman" w:hAnsi="Times New Roman" w:eastAsia="宋体" w:cs="Times New Roman"/>
                <w:color w:val="auto"/>
                <w:highlight w:val="none"/>
                <w:lang w:val="en-US" w:eastAsia="zh-CN"/>
              </w:rPr>
              <w:t>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应提供合格的《监狱企业声明函》，如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提供的《监狱企业声明函》不合格或未提供《监狱企业声明函》的，不得享受相关中小微企业扶持政策。</w:t>
            </w:r>
          </w:p>
          <w:p w14:paraId="31DBF67C">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hint="default"/>
                <w:color w:val="auto"/>
                <w:highlight w:val="none"/>
                <w:lang w:val="en-US"/>
              </w:rPr>
            </w:pPr>
            <w:r>
              <w:rPr>
                <w:rFonts w:hint="eastAsia" w:ascii="Times New Roman" w:hAnsi="Times New Roman" w:eastAsia="宋体" w:cs="Times New Roman"/>
                <w:color w:val="auto"/>
                <w:highlight w:val="none"/>
                <w:lang w:val="en-US" w:eastAsia="zh-CN"/>
              </w:rPr>
              <w:t>5.根据《关于促进残疾人就业政府采购政策的通知》（财库[2017]141号）要求，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应提供合格的《残疾人福利性单位声明函》，如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提供的《残疾人福利性单位声明函》不合格或未提供《残疾人福利性单位声明函》的，不得享受相关中小微企业扶持政策。</w:t>
            </w:r>
          </w:p>
        </w:tc>
      </w:tr>
      <w:tr w14:paraId="4BB1DE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00E95F56">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eastAsia="宋体" w:cs="Arial"/>
                <w:bCs/>
                <w:color w:val="auto"/>
                <w:highlight w:val="none"/>
                <w:lang w:val="en-US" w:eastAsia="zh-CN"/>
              </w:rPr>
            </w:pPr>
            <w:r>
              <w:rPr>
                <w:rFonts w:hint="eastAsia" w:cs="Arial"/>
                <w:bCs/>
                <w:color w:val="auto"/>
                <w:highlight w:val="none"/>
                <w:lang w:val="en-US" w:eastAsia="zh-CN"/>
              </w:rPr>
              <w:t>29</w:t>
            </w:r>
          </w:p>
        </w:tc>
        <w:tc>
          <w:tcPr>
            <w:tcW w:w="1528" w:type="dxa"/>
            <w:tcBorders>
              <w:top w:val="single" w:color="auto" w:sz="4" w:space="0"/>
              <w:left w:val="single" w:color="auto" w:sz="4" w:space="0"/>
              <w:bottom w:val="single" w:color="auto" w:sz="4" w:space="0"/>
              <w:right w:val="single" w:color="auto" w:sz="4" w:space="0"/>
            </w:tcBorders>
            <w:vAlign w:val="center"/>
          </w:tcPr>
          <w:p w14:paraId="12451A45">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ascii="宋体" w:hAnsi="宋体" w:cs="宋体"/>
                <w:color w:val="auto"/>
                <w:spacing w:val="-4"/>
                <w:highlight w:val="none"/>
              </w:rPr>
            </w:pPr>
            <w:r>
              <w:rPr>
                <w:rFonts w:hint="eastAsia" w:ascii="宋体" w:hAnsi="宋体" w:cs="宋体"/>
                <w:color w:val="auto"/>
                <w:spacing w:val="-4"/>
                <w:highlight w:val="none"/>
              </w:rPr>
              <w:t>检验检测报告</w:t>
            </w:r>
          </w:p>
        </w:tc>
        <w:tc>
          <w:tcPr>
            <w:tcW w:w="6923" w:type="dxa"/>
            <w:tcBorders>
              <w:top w:val="single" w:color="auto" w:sz="4" w:space="0"/>
              <w:left w:val="single" w:color="auto" w:sz="4" w:space="0"/>
              <w:bottom w:val="single" w:color="auto" w:sz="4" w:space="0"/>
              <w:right w:val="single" w:color="auto" w:sz="4" w:space="0"/>
            </w:tcBorders>
            <w:vAlign w:val="center"/>
          </w:tcPr>
          <w:p w14:paraId="7385B150">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hint="default" w:ascii="宋体" w:hAnsi="宋体" w:cs="宋体"/>
                <w:color w:val="auto"/>
                <w:spacing w:val="-4"/>
                <w:highlight w:val="none"/>
                <w:lang w:val="en-US" w:eastAsia="zh-CN"/>
              </w:rPr>
            </w:pPr>
            <w:r>
              <w:rPr>
                <w:rFonts w:hint="eastAsia" w:ascii="宋体" w:hAnsi="宋体" w:cs="宋体"/>
                <w:color w:val="auto"/>
                <w:spacing w:val="-4"/>
                <w:highlight w:val="none"/>
                <w:lang w:val="en-US" w:eastAsia="zh-CN"/>
              </w:rPr>
              <w:t>1.</w:t>
            </w:r>
            <w:r>
              <w:rPr>
                <w:rFonts w:hint="default" w:ascii="宋体" w:hAnsi="宋体" w:cs="宋体"/>
                <w:color w:val="auto"/>
                <w:spacing w:val="-4"/>
                <w:highlight w:val="none"/>
                <w:lang w:val="en-US" w:eastAsia="zh-CN"/>
              </w:rPr>
              <w:t>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14:paraId="3EF236B9">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left"/>
              <w:textAlignment w:val="auto"/>
              <w:rPr>
                <w:rFonts w:ascii="宋体" w:hAnsi="宋体" w:cs="宋体"/>
                <w:color w:val="auto"/>
                <w:spacing w:val="-4"/>
                <w:highlight w:val="none"/>
              </w:rPr>
            </w:pPr>
            <w:r>
              <w:rPr>
                <w:rFonts w:hint="eastAsia" w:ascii="宋体" w:hAnsi="宋体" w:cs="宋体"/>
                <w:color w:val="auto"/>
                <w:spacing w:val="-4"/>
                <w:highlight w:val="none"/>
                <w:lang w:val="en-US" w:eastAsia="zh-CN"/>
              </w:rPr>
              <w:t>2</w:t>
            </w:r>
            <w:r>
              <w:rPr>
                <w:rFonts w:hint="default" w:ascii="宋体" w:hAnsi="宋体" w:cs="宋体"/>
                <w:color w:val="auto"/>
                <w:spacing w:val="-4"/>
                <w:highlight w:val="none"/>
                <w:lang w:val="en-US" w:eastAsia="zh-CN"/>
              </w:rPr>
              <w:t>.无国家或行业标准的产品投标时应提供国家认可的质量检验检测机构出具的检验检测报告（如有）；如投标时未提供，应在产品交付验收时提供国家认可的质量检验检测机构出具的检验检测报告。</w:t>
            </w:r>
          </w:p>
        </w:tc>
      </w:tr>
      <w:tr w14:paraId="455A63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17BFAF72">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cs="Arial"/>
                <w:bCs/>
                <w:color w:val="auto"/>
                <w:highlight w:val="none"/>
                <w:lang w:val="en-US" w:eastAsia="zh-CN"/>
              </w:rPr>
            </w:pPr>
            <w:r>
              <w:rPr>
                <w:rFonts w:hint="eastAsia" w:cs="Arial"/>
                <w:bCs/>
                <w:color w:val="auto"/>
                <w:highlight w:val="none"/>
                <w:lang w:val="en-US" w:eastAsia="zh-CN"/>
              </w:rPr>
              <w:t>30</w:t>
            </w:r>
          </w:p>
        </w:tc>
        <w:tc>
          <w:tcPr>
            <w:tcW w:w="1528" w:type="dxa"/>
            <w:tcBorders>
              <w:top w:val="single" w:color="auto" w:sz="4" w:space="0"/>
              <w:left w:val="single" w:color="auto" w:sz="4" w:space="0"/>
              <w:bottom w:val="single" w:color="auto" w:sz="4" w:space="0"/>
              <w:right w:val="single" w:color="auto" w:sz="4" w:space="0"/>
            </w:tcBorders>
            <w:vAlign w:val="center"/>
          </w:tcPr>
          <w:p w14:paraId="3AF2B251">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hint="eastAsia" w:ascii="宋体" w:hAnsi="宋体" w:cs="宋体"/>
                <w:color w:val="auto"/>
                <w:spacing w:val="-4"/>
                <w:highlight w:val="none"/>
              </w:rPr>
            </w:pPr>
            <w:r>
              <w:rPr>
                <w:rFonts w:hint="eastAsia" w:ascii="宋体" w:hAnsi="宋体" w:cs="宋体"/>
                <w:color w:val="auto"/>
                <w:spacing w:val="-4"/>
                <w:highlight w:val="none"/>
              </w:rPr>
              <w:t>样品</w:t>
            </w:r>
          </w:p>
        </w:tc>
        <w:tc>
          <w:tcPr>
            <w:tcW w:w="6923" w:type="dxa"/>
            <w:tcBorders>
              <w:top w:val="single" w:color="auto" w:sz="4" w:space="0"/>
              <w:left w:val="single" w:color="auto" w:sz="4" w:space="0"/>
              <w:bottom w:val="single" w:color="auto" w:sz="4" w:space="0"/>
              <w:right w:val="single" w:color="auto" w:sz="4" w:space="0"/>
            </w:tcBorders>
            <w:vAlign w:val="center"/>
          </w:tcPr>
          <w:p w14:paraId="639BBB92">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color w:val="auto"/>
                <w:highlight w:val="none"/>
              </w:rPr>
            </w:pPr>
            <w:r>
              <w:rPr>
                <w:rFonts w:hint="eastAsia" w:ascii="宋体" w:hAnsi="宋体" w:cs="宋体"/>
                <w:color w:val="auto"/>
                <w:spacing w:val="-4"/>
                <w:highlight w:val="none"/>
                <w:lang w:val="en-US" w:eastAsia="zh-CN"/>
              </w:rPr>
              <w:t>1.</w:t>
            </w:r>
            <w:r>
              <w:rPr>
                <w:rFonts w:hint="eastAsia" w:ascii="宋体" w:hAnsi="宋体" w:cs="宋体"/>
                <w:color w:val="auto"/>
                <w:spacing w:val="-4"/>
                <w:highlight w:val="none"/>
              </w:rPr>
              <w:t>样品</w:t>
            </w:r>
            <w:r>
              <w:rPr>
                <w:rFonts w:hint="eastAsia"/>
                <w:color w:val="auto"/>
                <w:highlight w:val="none"/>
              </w:rPr>
              <w:t>：</w:t>
            </w:r>
          </w:p>
          <w:p w14:paraId="50C0C016">
            <w:pPr>
              <w:pStyle w:val="4"/>
              <w:keepNext w:val="0"/>
              <w:keepLines w:val="0"/>
              <w:pageBreakBefore w:val="0"/>
              <w:kinsoku/>
              <w:wordWrap/>
              <w:overflowPunct/>
              <w:topLinePunct w:val="0"/>
              <w:autoSpaceDE/>
              <w:autoSpaceDN/>
              <w:bidi w:val="0"/>
              <w:adjustRightInd/>
              <w:snapToGrid/>
              <w:spacing w:line="320" w:lineRule="exact"/>
              <w:ind w:firstLine="0"/>
              <w:rPr>
                <w:rFonts w:hint="default"/>
                <w:b/>
                <w:bCs/>
                <w:color w:val="auto"/>
                <w:sz w:val="22"/>
                <w:szCs w:val="22"/>
                <w:highlight w:val="none"/>
                <w:lang w:val="en-US"/>
              </w:rPr>
            </w:pPr>
            <w:r>
              <w:rPr>
                <w:rFonts w:hint="eastAsia"/>
                <w:b/>
                <w:bCs/>
                <w:color w:val="auto"/>
                <w:sz w:val="22"/>
                <w:szCs w:val="22"/>
                <w:highlight w:val="none"/>
              </w:rPr>
              <w:t>第</w:t>
            </w:r>
            <w:r>
              <w:rPr>
                <w:rFonts w:hint="eastAsia"/>
                <w:b/>
                <w:bCs/>
                <w:color w:val="auto"/>
                <w:sz w:val="22"/>
                <w:szCs w:val="22"/>
                <w:highlight w:val="none"/>
                <w:lang w:val="en-US" w:eastAsia="zh-CN"/>
              </w:rPr>
              <w:t>九</w:t>
            </w:r>
            <w:r>
              <w:rPr>
                <w:rFonts w:hint="eastAsia"/>
                <w:b/>
                <w:bCs/>
                <w:color w:val="auto"/>
                <w:sz w:val="22"/>
                <w:szCs w:val="22"/>
                <w:highlight w:val="none"/>
              </w:rPr>
              <w:t>包</w:t>
            </w:r>
            <w:r>
              <w:rPr>
                <w:rFonts w:hint="eastAsia"/>
                <w:b/>
                <w:bCs/>
                <w:color w:val="auto"/>
                <w:sz w:val="22"/>
                <w:szCs w:val="22"/>
                <w:highlight w:val="none"/>
                <w:lang w:eastAsia="zh-CN"/>
              </w:rPr>
              <w:t>：</w:t>
            </w:r>
            <w:r>
              <w:rPr>
                <w:rFonts w:hint="eastAsia"/>
                <w:b/>
                <w:bCs/>
                <w:color w:val="auto"/>
                <w:sz w:val="22"/>
                <w:szCs w:val="22"/>
                <w:highlight w:val="none"/>
                <w:lang w:val="en-US" w:eastAsia="zh-CN"/>
              </w:rPr>
              <w:t>无；</w:t>
            </w:r>
          </w:p>
          <w:p w14:paraId="2E785D0E">
            <w:pPr>
              <w:pStyle w:val="4"/>
              <w:keepNext w:val="0"/>
              <w:keepLines w:val="0"/>
              <w:pageBreakBefore w:val="0"/>
              <w:kinsoku/>
              <w:wordWrap/>
              <w:overflowPunct/>
              <w:topLinePunct w:val="0"/>
              <w:autoSpaceDE/>
              <w:autoSpaceDN/>
              <w:bidi w:val="0"/>
              <w:adjustRightInd/>
              <w:snapToGrid/>
              <w:spacing w:line="320" w:lineRule="exact"/>
              <w:ind w:firstLine="0"/>
              <w:rPr>
                <w:rFonts w:hint="default"/>
                <w:b/>
                <w:bCs/>
                <w:color w:val="auto"/>
                <w:sz w:val="22"/>
                <w:szCs w:val="22"/>
                <w:highlight w:val="none"/>
                <w:lang w:val="en-US" w:eastAsia="zh-CN"/>
              </w:rPr>
            </w:pPr>
            <w:r>
              <w:rPr>
                <w:rFonts w:hint="eastAsia"/>
                <w:b/>
                <w:bCs/>
                <w:color w:val="auto"/>
                <w:sz w:val="22"/>
                <w:szCs w:val="22"/>
                <w:highlight w:val="none"/>
              </w:rPr>
              <w:t>第</w:t>
            </w:r>
            <w:r>
              <w:rPr>
                <w:rFonts w:hint="eastAsia"/>
                <w:b/>
                <w:bCs/>
                <w:color w:val="auto"/>
                <w:sz w:val="22"/>
                <w:szCs w:val="22"/>
                <w:highlight w:val="none"/>
                <w:lang w:val="en-US" w:eastAsia="zh-CN"/>
              </w:rPr>
              <w:t>十</w:t>
            </w:r>
            <w:r>
              <w:rPr>
                <w:rFonts w:hint="eastAsia"/>
                <w:b/>
                <w:bCs/>
                <w:color w:val="auto"/>
                <w:sz w:val="22"/>
                <w:szCs w:val="22"/>
                <w:highlight w:val="none"/>
              </w:rPr>
              <w:t>包</w:t>
            </w:r>
            <w:r>
              <w:rPr>
                <w:rFonts w:hint="eastAsia"/>
                <w:b/>
                <w:bCs/>
                <w:color w:val="auto"/>
                <w:sz w:val="22"/>
                <w:szCs w:val="22"/>
                <w:highlight w:val="none"/>
                <w:lang w:eastAsia="zh-CN"/>
              </w:rPr>
              <w:t>：</w:t>
            </w:r>
            <w:r>
              <w:rPr>
                <w:rFonts w:hint="eastAsia"/>
                <w:b/>
                <w:bCs/>
                <w:color w:val="auto"/>
                <w:sz w:val="22"/>
                <w:szCs w:val="22"/>
                <w:highlight w:val="none"/>
                <w:lang w:val="en-US" w:eastAsia="zh-CN"/>
              </w:rPr>
              <w:t>多功能消防水枪；</w:t>
            </w:r>
          </w:p>
          <w:p w14:paraId="1A813A0D">
            <w:pPr>
              <w:pStyle w:val="4"/>
              <w:keepNext w:val="0"/>
              <w:keepLines w:val="0"/>
              <w:pageBreakBefore w:val="0"/>
              <w:kinsoku/>
              <w:wordWrap/>
              <w:overflowPunct/>
              <w:topLinePunct w:val="0"/>
              <w:autoSpaceDE/>
              <w:autoSpaceDN/>
              <w:bidi w:val="0"/>
              <w:adjustRightInd/>
              <w:snapToGrid/>
              <w:spacing w:line="320" w:lineRule="exact"/>
              <w:ind w:firstLine="0"/>
              <w:rPr>
                <w:rFonts w:hint="default" w:eastAsia="宋体"/>
                <w:b/>
                <w:bCs/>
                <w:color w:val="auto"/>
                <w:sz w:val="22"/>
                <w:szCs w:val="22"/>
                <w:highlight w:val="none"/>
                <w:lang w:val="en-US" w:eastAsia="zh-CN"/>
              </w:rPr>
            </w:pPr>
            <w:r>
              <w:rPr>
                <w:rFonts w:hint="eastAsia"/>
                <w:b/>
                <w:bCs/>
                <w:color w:val="auto"/>
                <w:sz w:val="22"/>
                <w:szCs w:val="22"/>
                <w:highlight w:val="none"/>
              </w:rPr>
              <w:t>第</w:t>
            </w:r>
            <w:r>
              <w:rPr>
                <w:rFonts w:hint="eastAsia"/>
                <w:b/>
                <w:bCs/>
                <w:color w:val="auto"/>
                <w:sz w:val="22"/>
                <w:szCs w:val="22"/>
                <w:highlight w:val="none"/>
                <w:lang w:val="en-US" w:eastAsia="zh-CN"/>
              </w:rPr>
              <w:t>十一</w:t>
            </w:r>
            <w:r>
              <w:rPr>
                <w:rFonts w:hint="eastAsia"/>
                <w:b/>
                <w:bCs/>
                <w:color w:val="auto"/>
                <w:sz w:val="22"/>
                <w:szCs w:val="22"/>
                <w:highlight w:val="none"/>
              </w:rPr>
              <w:t>包：</w:t>
            </w:r>
            <w:r>
              <w:rPr>
                <w:rFonts w:hint="eastAsia"/>
                <w:b/>
                <w:bCs/>
                <w:color w:val="auto"/>
                <w:sz w:val="22"/>
                <w:szCs w:val="22"/>
                <w:highlight w:val="none"/>
                <w:lang w:val="en-US" w:eastAsia="zh-CN"/>
              </w:rPr>
              <w:t>电动链锯；</w:t>
            </w:r>
          </w:p>
          <w:p w14:paraId="03C9F7E5">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eastAsia="宋体"/>
                <w:b/>
                <w:bCs/>
                <w:color w:val="auto"/>
                <w:sz w:val="22"/>
                <w:szCs w:val="22"/>
                <w:highlight w:val="none"/>
                <w:lang w:val="en-US" w:eastAsia="zh-CN"/>
              </w:rPr>
            </w:pPr>
            <w:r>
              <w:rPr>
                <w:rFonts w:hint="eastAsia"/>
                <w:b/>
                <w:bCs/>
                <w:color w:val="auto"/>
                <w:sz w:val="22"/>
                <w:szCs w:val="22"/>
                <w:highlight w:val="none"/>
              </w:rPr>
              <w:t>第</w:t>
            </w:r>
            <w:r>
              <w:rPr>
                <w:rFonts w:hint="eastAsia"/>
                <w:b/>
                <w:bCs/>
                <w:color w:val="auto"/>
                <w:sz w:val="22"/>
                <w:szCs w:val="22"/>
                <w:highlight w:val="none"/>
                <w:lang w:val="en-US" w:eastAsia="zh-CN"/>
              </w:rPr>
              <w:t>十二</w:t>
            </w:r>
            <w:r>
              <w:rPr>
                <w:rFonts w:hint="eastAsia"/>
                <w:b/>
                <w:bCs/>
                <w:color w:val="auto"/>
                <w:sz w:val="22"/>
                <w:szCs w:val="22"/>
                <w:highlight w:val="none"/>
              </w:rPr>
              <w:t>包：</w:t>
            </w:r>
            <w:r>
              <w:rPr>
                <w:rFonts w:hint="eastAsia"/>
                <w:b/>
                <w:bCs/>
                <w:color w:val="auto"/>
                <w:sz w:val="22"/>
                <w:szCs w:val="22"/>
                <w:highlight w:val="none"/>
                <w:lang w:val="en-US" w:eastAsia="zh-CN"/>
              </w:rPr>
              <w:t>单兵携行包（箱）；</w:t>
            </w:r>
          </w:p>
          <w:p w14:paraId="01BB878A">
            <w:pPr>
              <w:spacing w:line="288" w:lineRule="auto"/>
              <w:rPr>
                <w:rFonts w:hint="default" w:eastAsia="宋体"/>
                <w:b/>
                <w:bCs/>
                <w:color w:val="auto"/>
                <w:sz w:val="22"/>
                <w:szCs w:val="22"/>
                <w:highlight w:val="none"/>
                <w:lang w:val="en-US" w:eastAsia="zh-CN"/>
              </w:rPr>
            </w:pPr>
            <w:r>
              <w:rPr>
                <w:rFonts w:hint="eastAsia"/>
                <w:b/>
                <w:bCs/>
                <w:color w:val="auto"/>
                <w:sz w:val="22"/>
                <w:szCs w:val="22"/>
                <w:highlight w:val="none"/>
              </w:rPr>
              <w:t>第</w:t>
            </w:r>
            <w:r>
              <w:rPr>
                <w:rFonts w:hint="eastAsia"/>
                <w:b/>
                <w:bCs/>
                <w:color w:val="auto"/>
                <w:sz w:val="22"/>
                <w:szCs w:val="22"/>
                <w:highlight w:val="none"/>
                <w:lang w:val="en-US" w:eastAsia="zh-CN"/>
              </w:rPr>
              <w:t>十三</w:t>
            </w:r>
            <w:r>
              <w:rPr>
                <w:rFonts w:hint="eastAsia"/>
                <w:b/>
                <w:bCs/>
                <w:color w:val="auto"/>
                <w:sz w:val="22"/>
                <w:szCs w:val="22"/>
                <w:highlight w:val="none"/>
              </w:rPr>
              <w:t>包：</w:t>
            </w:r>
            <w:r>
              <w:rPr>
                <w:rFonts w:hint="eastAsia"/>
                <w:b/>
                <w:bCs/>
                <w:color w:val="auto"/>
                <w:sz w:val="22"/>
                <w:szCs w:val="22"/>
                <w:highlight w:val="none"/>
                <w:lang w:val="en-US" w:eastAsia="zh-CN"/>
              </w:rPr>
              <w:t>水域救生套装、干式水域救援服、湿式水域救援服；</w:t>
            </w:r>
          </w:p>
          <w:p w14:paraId="0D24F2C8">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default" w:eastAsia="宋体"/>
                <w:color w:val="auto"/>
                <w:highlight w:val="none"/>
                <w:lang w:val="en-US" w:eastAsia="zh-CN"/>
              </w:rPr>
            </w:pPr>
            <w:r>
              <w:rPr>
                <w:rFonts w:hint="eastAsia"/>
                <w:color w:val="auto"/>
                <w:highlight w:val="none"/>
              </w:rPr>
              <w:t>仅凭书面方式不能准确描述采购需求或者需要对样品进行主观判断以确认是否满足</w:t>
            </w:r>
            <w:r>
              <w:rPr>
                <w:rFonts w:hint="eastAsia"/>
                <w:color w:val="auto"/>
                <w:highlight w:val="none"/>
                <w:lang w:val="en-US" w:eastAsia="zh-CN"/>
              </w:rPr>
              <w:t>采购需求。</w:t>
            </w:r>
          </w:p>
          <w:p w14:paraId="66053E44">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color w:val="auto"/>
                <w:highlight w:val="none"/>
              </w:rPr>
            </w:pPr>
            <w:r>
              <w:rPr>
                <w:rFonts w:hint="eastAsia"/>
                <w:color w:val="auto"/>
                <w:highlight w:val="none"/>
                <w:lang w:val="en-US" w:eastAsia="zh-CN"/>
              </w:rPr>
              <w:t>2.</w:t>
            </w:r>
            <w:r>
              <w:rPr>
                <w:rFonts w:hint="eastAsia"/>
                <w:color w:val="auto"/>
                <w:highlight w:val="none"/>
              </w:rPr>
              <w:t>（1）样品递交时间和地点：投标文件递交截止时间前</w:t>
            </w:r>
            <w:r>
              <w:rPr>
                <w:rFonts w:hint="eastAsia"/>
                <w:color w:val="auto"/>
                <w:highlight w:val="none"/>
                <w:lang w:val="en-US" w:eastAsia="zh-CN"/>
              </w:rPr>
              <w:t>1</w:t>
            </w:r>
            <w:r>
              <w:rPr>
                <w:rFonts w:hint="eastAsia"/>
                <w:color w:val="auto"/>
                <w:highlight w:val="none"/>
              </w:rPr>
              <w:t>日（</w:t>
            </w:r>
            <w:r>
              <w:rPr>
                <w:rFonts w:hint="eastAsia"/>
                <w:color w:val="auto"/>
                <w:highlight w:val="none"/>
                <w:lang w:val="en-US" w:eastAsia="zh-CN"/>
              </w:rPr>
              <w:t>2024</w:t>
            </w:r>
            <w:r>
              <w:rPr>
                <w:rFonts w:hint="eastAsia"/>
                <w:color w:val="auto"/>
                <w:highlight w:val="none"/>
              </w:rPr>
              <w:t>年</w:t>
            </w:r>
            <w:r>
              <w:rPr>
                <w:rFonts w:hint="eastAsia"/>
                <w:color w:val="auto"/>
                <w:highlight w:val="none"/>
                <w:lang w:val="en-US" w:eastAsia="zh-CN"/>
              </w:rPr>
              <w:t>10</w:t>
            </w:r>
            <w:r>
              <w:rPr>
                <w:rFonts w:hint="eastAsia"/>
                <w:color w:val="auto"/>
                <w:highlight w:val="none"/>
              </w:rPr>
              <w:t>月</w:t>
            </w:r>
            <w:r>
              <w:rPr>
                <w:rFonts w:hint="eastAsia"/>
                <w:color w:val="auto"/>
                <w:highlight w:val="none"/>
                <w:lang w:val="en-US" w:eastAsia="zh-CN"/>
              </w:rPr>
              <w:t>15</w:t>
            </w:r>
            <w:r>
              <w:rPr>
                <w:rFonts w:hint="eastAsia"/>
                <w:color w:val="auto"/>
                <w:highlight w:val="none"/>
              </w:rPr>
              <w:t>日），投标人应将样品递交至</w:t>
            </w:r>
            <w:r>
              <w:rPr>
                <w:rFonts w:hint="eastAsia"/>
                <w:color w:val="auto"/>
                <w:highlight w:val="none"/>
                <w:lang w:val="en-US" w:eastAsia="zh-CN"/>
              </w:rPr>
              <w:t>新疆元泓工程项目管理咨询有限公司</w:t>
            </w:r>
            <w:r>
              <w:rPr>
                <w:rFonts w:hint="eastAsia"/>
                <w:color w:val="auto"/>
                <w:highlight w:val="none"/>
              </w:rPr>
              <w:t>（地址：</w:t>
            </w:r>
            <w:r>
              <w:rPr>
                <w:rFonts w:hint="eastAsia"/>
                <w:color w:val="auto"/>
                <w:highlight w:val="none"/>
                <w:lang w:val="en-US" w:eastAsia="zh-CN"/>
              </w:rPr>
              <w:t>乌鲁木齐市经济技术开发区乌昌路252号九方财富广场A座525</w:t>
            </w:r>
            <w:r>
              <w:rPr>
                <w:rFonts w:hint="eastAsia"/>
                <w:color w:val="auto"/>
                <w:highlight w:val="none"/>
              </w:rPr>
              <w:t>）。注：如未按上述方式将样品递交至采购代理机构，也可在投标文件递交截止时间前，随投标文件一并现场递交。</w:t>
            </w:r>
          </w:p>
          <w:p w14:paraId="674094D2">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color w:val="auto"/>
                <w:highlight w:val="none"/>
              </w:rPr>
            </w:pPr>
            <w:r>
              <w:rPr>
                <w:rFonts w:hint="eastAsia"/>
                <w:color w:val="auto"/>
                <w:highlight w:val="none"/>
              </w:rPr>
              <w:t>（2）样品递交截止时间：同投标文件递交截止时间。</w:t>
            </w:r>
          </w:p>
          <w:p w14:paraId="0BB6C7AA">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3.样品制作的标准和要求：按采购文件第六章“项目需求”的要求制作。所递交样品上不得体现投标人或制造商名称或其他标识，相应位置须一律空白。</w:t>
            </w:r>
          </w:p>
          <w:p w14:paraId="5D6E543C">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4.是否需要随样品提交相关检测报告：相关检测报告无需随样品提交。</w:t>
            </w:r>
          </w:p>
          <w:p w14:paraId="013183FB">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5.样品的评审方法以及评审标准：详见第三章“评分办法及评分标准”。</w:t>
            </w:r>
          </w:p>
          <w:p w14:paraId="48D47932">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6.样品的密封及包装：所提交样品须分包装箱密封，并在外包装上粘贴A4纸注明项目名称、项目编号、包号、投标人名称、样品名称。密封箱中须随样品附样品清单一份（样品清单表格自拟，须包含项目名称、项目编号、包号、投标人名称、样品名称等信息），并附样品正面、背面、左侧面 45 度角清晰照片三张。</w:t>
            </w:r>
          </w:p>
          <w:p w14:paraId="1AAE4C9B">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特别说明：</w:t>
            </w:r>
          </w:p>
          <w:p w14:paraId="59F29648">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（1）若不满足以上样品制作的标准和要求，样品评分为0分。</w:t>
            </w:r>
          </w:p>
          <w:p w14:paraId="2A1EA258">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（2）投标人代表须随身携带加盖投标人公章的备用密封条（密封条形式不做要求，每包提供4个密封条）。</w:t>
            </w:r>
          </w:p>
          <w:p w14:paraId="2083FF7B">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（3）投标人应具有所投标包样品的所有权，并确保采购人和采购代理机构免于受到第三方基于样品所有权产生的起诉。</w:t>
            </w:r>
          </w:p>
          <w:p w14:paraId="23232725">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（4）现场根据评标委员会的要求可以对样品进行破坏性测试，采购人及采购代理机构不承担任何责任。</w:t>
            </w:r>
          </w:p>
          <w:p w14:paraId="258FD3AE">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宋体" w:hAnsi="宋体" w:cs="宋体"/>
                <w:color w:val="auto"/>
                <w:spacing w:val="-4"/>
                <w:highlight w:val="none"/>
                <w:lang w:val="en-US" w:eastAsia="zh-CN"/>
              </w:rPr>
            </w:pPr>
            <w:r>
              <w:rPr>
                <w:rFonts w:hint="eastAsia" w:ascii="Times New Roman" w:hAnsi="Times New Roman" w:eastAsia="宋体" w:cs="Times New Roman"/>
                <w:color w:val="auto"/>
                <w:highlight w:val="none"/>
              </w:rPr>
              <w:t xml:space="preserve">（5）评审结束后，中标人的样品经密封封存于指定位置，作为履约验收的参考，待交货验收完毕后退还。未中标人的投标样品应在中标公告发布之日起7个工作日由投标人自行联系采购代理机构取回，或自行委托采购代理机构邮寄退回，邮寄样品所产生的费用由投标人自行承担。若未中标人未按时取回样品又拒绝以邮寄方式退回样品，则视为同意采购代理机构有权自行处置相关样品。 </w:t>
            </w:r>
            <w:r>
              <w:rPr>
                <w:rFonts w:hint="eastAsia" w:ascii="宋体" w:hAnsi="宋体" w:cs="宋体"/>
                <w:color w:val="auto"/>
                <w:spacing w:val="-4"/>
                <w:highlight w:val="none"/>
              </w:rPr>
              <w:t xml:space="preserve"> </w:t>
            </w:r>
          </w:p>
        </w:tc>
      </w:tr>
      <w:tr w14:paraId="740FCA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2F3063D2">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eastAsia="宋体" w:cs="Arial"/>
                <w:bCs/>
                <w:color w:val="auto"/>
                <w:highlight w:val="none"/>
                <w:lang w:val="en-US" w:eastAsia="zh-CN"/>
              </w:rPr>
            </w:pPr>
            <w:r>
              <w:rPr>
                <w:rFonts w:hint="eastAsia" w:cs="Arial"/>
                <w:bCs/>
                <w:color w:val="auto"/>
                <w:highlight w:val="none"/>
                <w:lang w:val="en-US" w:eastAsia="zh-CN"/>
              </w:rPr>
              <w:t>31</w:t>
            </w:r>
          </w:p>
        </w:tc>
        <w:tc>
          <w:tcPr>
            <w:tcW w:w="1528" w:type="dxa"/>
            <w:tcBorders>
              <w:top w:val="single" w:color="auto" w:sz="4" w:space="0"/>
              <w:left w:val="single" w:color="auto" w:sz="4" w:space="0"/>
              <w:bottom w:val="single" w:color="auto" w:sz="4" w:space="0"/>
              <w:right w:val="single" w:color="auto" w:sz="4" w:space="0"/>
            </w:tcBorders>
            <w:vAlign w:val="center"/>
          </w:tcPr>
          <w:p w14:paraId="3EC8BD55">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hint="eastAsia" w:ascii="宋体" w:hAnsi="宋体" w:cs="宋体"/>
                <w:color w:val="auto"/>
                <w:spacing w:val="-4"/>
                <w:highlight w:val="none"/>
              </w:rPr>
            </w:pPr>
            <w:r>
              <w:rPr>
                <w:rFonts w:hint="eastAsia" w:ascii="宋体" w:hAnsi="宋体" w:cs="宋体"/>
                <w:color w:val="auto"/>
                <w:spacing w:val="-4"/>
                <w:highlight w:val="none"/>
              </w:rPr>
              <w:t>其他</w:t>
            </w:r>
          </w:p>
        </w:tc>
        <w:tc>
          <w:tcPr>
            <w:tcW w:w="6923" w:type="dxa"/>
            <w:tcBorders>
              <w:top w:val="single" w:color="auto" w:sz="4" w:space="0"/>
              <w:left w:val="single" w:color="auto" w:sz="4" w:space="0"/>
              <w:bottom w:val="single" w:color="auto" w:sz="4" w:space="0"/>
              <w:right w:val="single" w:color="auto" w:sz="4" w:space="0"/>
            </w:tcBorders>
            <w:vAlign w:val="center"/>
          </w:tcPr>
          <w:p w14:paraId="091CDF11">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default"/>
                <w:color w:val="auto"/>
                <w:highlight w:val="none"/>
                <w:lang w:val="en-US" w:eastAsia="zh-CN"/>
              </w:rPr>
            </w:pPr>
            <w:r>
              <w:rPr>
                <w:rFonts w:hint="eastAsia"/>
                <w:color w:val="auto"/>
                <w:highlight w:val="none"/>
                <w:lang w:val="en-US" w:eastAsia="zh-CN"/>
              </w:rPr>
              <w:t>1、根据《国家消防救援局办公室关于推广应用新版消防装备管理系统的通知》要求，中标投标人在交付装备时须附着由“消防装备物资信息采集系统”统一发行的装备物资二维码和RFID。</w:t>
            </w:r>
          </w:p>
          <w:p w14:paraId="600CC536">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spacing w:val="0"/>
                <w:highlight w:val="none"/>
                <w:lang w:eastAsia="zh-CN"/>
              </w:rPr>
            </w:pPr>
            <w:r>
              <w:rPr>
                <w:rFonts w:hint="eastAsia"/>
                <w:color w:val="auto"/>
                <w:highlight w:val="none"/>
                <w:lang w:val="en-US" w:eastAsia="zh-CN"/>
              </w:rPr>
              <w:t>2、</w:t>
            </w:r>
            <w:r>
              <w:rPr>
                <w:rFonts w:hint="eastAsia"/>
                <w:color w:val="auto"/>
                <w:highlight w:val="none"/>
              </w:rPr>
              <w:t>除法律、法规和规章规定外，招标文件中用“拒绝”“不接受”“无效”“不得”“必须”“应当”等文字规定的条款为实质性要求条款（即重要条款），对其中任何一条偏离的，在评标时将其视为无效投标。</w:t>
            </w:r>
          </w:p>
        </w:tc>
      </w:tr>
      <w:tr w14:paraId="07B29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385CDBAD">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cs="Arial"/>
                <w:bCs/>
                <w:color w:val="auto"/>
                <w:highlight w:val="none"/>
                <w:lang w:val="en-US" w:eastAsia="zh-CN"/>
              </w:rPr>
            </w:pPr>
            <w:r>
              <w:rPr>
                <w:rFonts w:hint="eastAsia" w:cs="Arial"/>
                <w:bCs/>
                <w:color w:val="auto"/>
                <w:highlight w:val="none"/>
                <w:lang w:val="en-US" w:eastAsia="zh-CN"/>
              </w:rPr>
              <w:t>32</w:t>
            </w:r>
          </w:p>
        </w:tc>
        <w:tc>
          <w:tcPr>
            <w:tcW w:w="1528" w:type="dxa"/>
            <w:tcBorders>
              <w:top w:val="single" w:color="auto" w:sz="4" w:space="0"/>
              <w:left w:val="single" w:color="auto" w:sz="4" w:space="0"/>
              <w:bottom w:val="single" w:color="auto" w:sz="4" w:space="0"/>
              <w:right w:val="single" w:color="auto" w:sz="4" w:space="0"/>
            </w:tcBorders>
            <w:vAlign w:val="center"/>
          </w:tcPr>
          <w:p w14:paraId="61946D46">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pacing w:val="-4"/>
                <w:highlight w:val="none"/>
                <w:lang w:val="en-US" w:eastAsia="zh-CN"/>
              </w:rPr>
            </w:pPr>
            <w:r>
              <w:rPr>
                <w:rFonts w:hint="eastAsia" w:ascii="宋体" w:hAnsi="宋体" w:cs="宋体"/>
                <w:color w:val="auto"/>
                <w:spacing w:val="-4"/>
                <w:highlight w:val="none"/>
                <w:lang w:val="en-US" w:eastAsia="zh-CN"/>
              </w:rPr>
              <w:t>场地设施服务费</w:t>
            </w:r>
          </w:p>
        </w:tc>
        <w:tc>
          <w:tcPr>
            <w:tcW w:w="6923" w:type="dxa"/>
            <w:tcBorders>
              <w:top w:val="single" w:color="auto" w:sz="4" w:space="0"/>
              <w:left w:val="single" w:color="auto" w:sz="4" w:space="0"/>
              <w:bottom w:val="single" w:color="auto" w:sz="4" w:space="0"/>
              <w:right w:val="single" w:color="auto" w:sz="4" w:space="0"/>
            </w:tcBorders>
            <w:vAlign w:val="center"/>
          </w:tcPr>
          <w:p w14:paraId="1F6EC907">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default"/>
                <w:color w:val="auto"/>
                <w:highlight w:val="none"/>
                <w:lang w:val="en-US" w:eastAsia="zh-CN"/>
              </w:rPr>
            </w:pPr>
            <w:r>
              <w:rPr>
                <w:rFonts w:hint="eastAsia"/>
                <w:color w:val="auto"/>
                <w:highlight w:val="none"/>
                <w:lang w:val="en-US" w:eastAsia="zh-CN"/>
              </w:rPr>
              <w:t>按发改服价（2020）578号文执行。</w:t>
            </w:r>
          </w:p>
        </w:tc>
      </w:tr>
      <w:tr w14:paraId="471D66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567" w:type="dxa"/>
            <w:tcBorders>
              <w:top w:val="single" w:color="auto" w:sz="4" w:space="0"/>
              <w:left w:val="single" w:color="auto" w:sz="4" w:space="0"/>
              <w:bottom w:val="single" w:color="auto" w:sz="4" w:space="0"/>
              <w:right w:val="single" w:color="auto" w:sz="4" w:space="0"/>
            </w:tcBorders>
            <w:vAlign w:val="center"/>
          </w:tcPr>
          <w:p w14:paraId="58CD06D1">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cs="Arial"/>
                <w:bCs/>
                <w:color w:val="auto"/>
                <w:highlight w:val="none"/>
                <w:lang w:val="en-US" w:eastAsia="zh-CN"/>
              </w:rPr>
            </w:pPr>
            <w:r>
              <w:rPr>
                <w:rFonts w:hint="eastAsia" w:cs="Arial"/>
                <w:bCs/>
                <w:color w:val="auto"/>
                <w:highlight w:val="none"/>
                <w:lang w:val="en-US" w:eastAsia="zh-CN"/>
              </w:rPr>
              <w:t>33</w:t>
            </w:r>
          </w:p>
        </w:tc>
        <w:tc>
          <w:tcPr>
            <w:tcW w:w="1528" w:type="dxa"/>
            <w:tcBorders>
              <w:top w:val="single" w:color="auto" w:sz="4" w:space="0"/>
              <w:left w:val="single" w:color="auto" w:sz="4" w:space="0"/>
              <w:bottom w:val="single" w:color="auto" w:sz="4" w:space="0"/>
              <w:right w:val="single" w:color="auto" w:sz="4" w:space="0"/>
            </w:tcBorders>
            <w:vAlign w:val="center"/>
          </w:tcPr>
          <w:p w14:paraId="17AE7D66">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pacing w:val="-4"/>
                <w:highlight w:val="none"/>
                <w:lang w:val="en-US" w:eastAsia="zh-CN"/>
              </w:rPr>
            </w:pPr>
            <w:r>
              <w:rPr>
                <w:rFonts w:hint="eastAsia" w:ascii="宋体" w:hAnsi="宋体" w:cs="宋体"/>
                <w:color w:val="auto"/>
                <w:spacing w:val="-4"/>
                <w:highlight w:val="none"/>
                <w:lang w:val="en-US" w:eastAsia="zh-CN"/>
              </w:rPr>
              <w:t>兼投兼中</w:t>
            </w:r>
          </w:p>
        </w:tc>
        <w:tc>
          <w:tcPr>
            <w:tcW w:w="6923" w:type="dxa"/>
            <w:tcBorders>
              <w:top w:val="single" w:color="auto" w:sz="4" w:space="0"/>
              <w:left w:val="single" w:color="auto" w:sz="4" w:space="0"/>
              <w:bottom w:val="single" w:color="auto" w:sz="4" w:space="0"/>
              <w:right w:val="single" w:color="auto" w:sz="4" w:space="0"/>
            </w:tcBorders>
            <w:vAlign w:val="center"/>
          </w:tcPr>
          <w:p w14:paraId="3D6E861A">
            <w:pPr>
              <w:keepNext w:val="0"/>
              <w:keepLines w:val="0"/>
              <w:pageBreakBefore w:val="0"/>
              <w:widowControl/>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40" w:lineRule="exact"/>
              <w:jc w:val="left"/>
              <w:textAlignment w:val="auto"/>
              <w:rPr>
                <w:rFonts w:hint="eastAsia"/>
                <w:color w:val="auto"/>
                <w:highlight w:val="none"/>
                <w:lang w:val="en-US" w:eastAsia="zh-CN"/>
              </w:rPr>
            </w:pPr>
            <w:r>
              <w:rPr>
                <w:rFonts w:hint="eastAsia"/>
                <w:color w:val="auto"/>
                <w:highlight w:val="none"/>
                <w:lang w:val="en-US" w:eastAsia="zh-CN"/>
              </w:rPr>
              <w:t>本项目是否允许兼投兼中：</w:t>
            </w:r>
          </w:p>
          <w:p w14:paraId="0ACE19CC">
            <w:pPr>
              <w:pStyle w:val="7"/>
              <w:keepNext w:val="0"/>
              <w:keepLines w:val="0"/>
              <w:pageBreakBefore w:val="0"/>
              <w:kinsoku/>
              <w:wordWrap/>
              <w:overflowPunct/>
              <w:topLinePunct w:val="0"/>
              <w:autoSpaceDE/>
              <w:autoSpaceDN/>
              <w:bidi w:val="0"/>
              <w:adjustRightInd/>
              <w:snapToGrid/>
              <w:spacing w:line="340" w:lineRule="exact"/>
              <w:ind w:left="0" w:leftChars="0" w:firstLine="0" w:firstLineChars="0"/>
              <w:textAlignment w:val="auto"/>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sym w:font="Wingdings" w:char="00FE"/>
            </w:r>
            <w:r>
              <w:rPr>
                <w:rFonts w:hint="eastAsia" w:ascii="Times New Roman" w:hAnsi="Times New Roman" w:eastAsia="宋体" w:cs="Times New Roman"/>
                <w:b w:val="0"/>
                <w:color w:val="auto"/>
                <w:kern w:val="2"/>
                <w:sz w:val="21"/>
                <w:szCs w:val="21"/>
                <w:highlight w:val="none"/>
                <w:lang w:val="en-US" w:eastAsia="zh-CN" w:bidi="ar-SA"/>
              </w:rPr>
              <w:t>允许</w:t>
            </w:r>
          </w:p>
          <w:p w14:paraId="4FFCDB27">
            <w:pPr>
              <w:keepNext w:val="0"/>
              <w:keepLines w:val="0"/>
              <w:pageBreakBefore w:val="0"/>
              <w:kinsoku/>
              <w:wordWrap/>
              <w:overflowPunct/>
              <w:topLinePunct w:val="0"/>
              <w:autoSpaceDE/>
              <w:autoSpaceDN/>
              <w:bidi w:val="0"/>
              <w:adjustRightInd/>
              <w:snapToGrid/>
              <w:spacing w:line="340" w:lineRule="exact"/>
              <w:textAlignment w:val="auto"/>
              <w:rPr>
                <w:rFonts w:hint="default"/>
                <w:color w:val="auto"/>
                <w:highlight w:val="none"/>
                <w:lang w:val="en-US" w:eastAsia="zh-CN"/>
              </w:rPr>
            </w:pPr>
            <w:r>
              <w:rPr>
                <w:rFonts w:hint="eastAsia"/>
                <w:color w:val="auto"/>
                <w:highlight w:val="none"/>
                <w:lang w:val="en-US" w:eastAsia="zh-CN"/>
              </w:rPr>
              <w:sym w:font="Wingdings" w:char="00A8"/>
            </w:r>
            <w:r>
              <w:rPr>
                <w:rFonts w:hint="eastAsia"/>
                <w:color w:val="auto"/>
                <w:highlight w:val="none"/>
                <w:lang w:val="en-US" w:eastAsia="zh-CN"/>
              </w:rPr>
              <w:t>不允许</w:t>
            </w:r>
          </w:p>
        </w:tc>
      </w:tr>
      <w:tr w14:paraId="391615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14:paraId="7645350A">
            <w:pPr>
              <w:keepNext w:val="0"/>
              <w:keepLines w:val="0"/>
              <w:pageBreakBefore w:val="0"/>
              <w:kinsoku/>
              <w:wordWrap/>
              <w:overflowPunct/>
              <w:topLinePunct w:val="0"/>
              <w:autoSpaceDE/>
              <w:autoSpaceDN/>
              <w:bidi w:val="0"/>
              <w:adjustRightInd/>
              <w:snapToGrid/>
              <w:spacing w:line="360" w:lineRule="exact"/>
              <w:jc w:val="left"/>
              <w:textAlignment w:val="auto"/>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14:paraId="69E229F8">
      <w:pPr>
        <w:rPr>
          <w:color w:val="auto"/>
          <w:highlight w:val="none"/>
        </w:rPr>
      </w:pPr>
      <w:r>
        <w:rPr>
          <w:rFonts w:hint="eastAsia"/>
          <w:color w:val="auto"/>
          <w:highlight w:val="none"/>
        </w:rPr>
        <w:br w:type="page"/>
      </w:r>
    </w:p>
    <w:p w14:paraId="1721A432">
      <w:pPr>
        <w:pStyle w:val="3"/>
        <w:rPr>
          <w:color w:val="auto"/>
          <w:highlight w:val="none"/>
        </w:rPr>
      </w:pPr>
      <w:bookmarkStart w:id="13" w:name="_Toc32510"/>
      <w:r>
        <w:rPr>
          <w:rFonts w:hint="eastAsia"/>
          <w:color w:val="auto"/>
          <w:highlight w:val="none"/>
        </w:rPr>
        <w:t xml:space="preserve">第一章 </w:t>
      </w:r>
      <w:bookmarkEnd w:id="0"/>
      <w:bookmarkEnd w:id="1"/>
      <w:bookmarkEnd w:id="10"/>
      <w:r>
        <w:rPr>
          <w:rFonts w:hint="eastAsia"/>
          <w:color w:val="auto"/>
          <w:highlight w:val="none"/>
        </w:rPr>
        <w:t>招标邀请</w:t>
      </w:r>
      <w:bookmarkEnd w:id="11"/>
      <w:bookmarkEnd w:id="12"/>
      <w:bookmarkEnd w:id="13"/>
    </w:p>
    <w:bookmarkEnd w:id="2"/>
    <w:bookmarkEnd w:id="3"/>
    <w:bookmarkEnd w:id="4"/>
    <w:bookmarkEnd w:id="5"/>
    <w:bookmarkEnd w:id="6"/>
    <w:p w14:paraId="0BEE38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color w:val="auto"/>
          <w:sz w:val="24"/>
          <w:szCs w:val="24"/>
          <w:highlight w:val="none"/>
        </w:rPr>
      </w:pPr>
      <w:bookmarkStart w:id="14" w:name="_Toc120614211"/>
      <w:bookmarkStart w:id="15" w:name="_Toc534725597"/>
      <w:bookmarkStart w:id="16" w:name="_Toc120614221"/>
      <w:bookmarkStart w:id="17" w:name="_Toc479757207"/>
      <w:bookmarkStart w:id="18" w:name="_Toc494375079"/>
      <w:bookmarkStart w:id="19" w:name="_Toc513029242"/>
      <w:bookmarkStart w:id="20" w:name="_Toc16938558"/>
      <w:bookmarkStart w:id="21" w:name="_Toc20823314"/>
      <w:r>
        <w:rPr>
          <w:rFonts w:hint="eastAsia"/>
          <w:color w:val="auto"/>
          <w:sz w:val="24"/>
          <w:szCs w:val="24"/>
          <w:highlight w:val="none"/>
          <w:lang w:val="en-US" w:eastAsia="zh-CN"/>
        </w:rPr>
        <w:t>新疆消防救援总队昌吉支队“自然灾害应急能力提升工程”装备配备项目（二批次）（三）</w:t>
      </w:r>
      <w:r>
        <w:rPr>
          <w:rFonts w:hint="eastAsia"/>
          <w:color w:val="auto"/>
          <w:sz w:val="24"/>
          <w:szCs w:val="24"/>
          <w:highlight w:val="none"/>
        </w:rPr>
        <w:t>公开</w:t>
      </w:r>
      <w:r>
        <w:rPr>
          <w:color w:val="auto"/>
          <w:sz w:val="24"/>
          <w:szCs w:val="24"/>
          <w:highlight w:val="none"/>
        </w:rPr>
        <w:t>招标</w:t>
      </w:r>
      <w:r>
        <w:rPr>
          <w:rFonts w:hint="eastAsia"/>
          <w:color w:val="auto"/>
          <w:sz w:val="24"/>
          <w:szCs w:val="24"/>
          <w:highlight w:val="none"/>
        </w:rPr>
        <w:t>公告</w:t>
      </w:r>
    </w:p>
    <w:p w14:paraId="79356ECC">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项目概况</w:t>
      </w:r>
    </w:p>
    <w:p w14:paraId="1D04147C">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lang w:val="en-US" w:eastAsia="zh-CN"/>
        </w:rPr>
        <w:t>新疆消防救援总队昌吉支队“自然灾害应急能力提升工程”装备配备项目（二批次）（三）</w:t>
      </w:r>
      <w:r>
        <w:rPr>
          <w:rFonts w:hint="eastAsia" w:ascii="宋体" w:hAnsi="宋体" w:cs="宋体"/>
          <w:color w:val="auto"/>
          <w:sz w:val="24"/>
          <w:szCs w:val="24"/>
          <w:highlight w:val="none"/>
        </w:rPr>
        <w:t>的潜在供应商应在</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10"/>
          <w:sz w:val="24"/>
          <w:szCs w:val="24"/>
          <w:highlight w:val="none"/>
          <w:u w:val="single"/>
          <w:lang w:val="en-US" w:eastAsia="zh-CN"/>
        </w:rPr>
        <w:t xml:space="preserve">线上 </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u w:val="single"/>
          <w:lang w:val="en-US" w:eastAsia="zh-CN"/>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16</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10点30分</w:t>
      </w:r>
      <w:r>
        <w:rPr>
          <w:rFonts w:hint="eastAsia" w:ascii="宋体" w:hAnsi="宋体" w:cs="宋体"/>
          <w:bCs/>
          <w:color w:val="auto"/>
          <w:sz w:val="24"/>
          <w:szCs w:val="24"/>
          <w:highlight w:val="none"/>
        </w:rPr>
        <w:t>（北京时间）前提交投标文件</w:t>
      </w:r>
      <w:r>
        <w:rPr>
          <w:rFonts w:hint="eastAsia" w:ascii="宋体" w:hAnsi="宋体" w:cs="宋体"/>
          <w:color w:val="auto"/>
          <w:sz w:val="24"/>
          <w:szCs w:val="24"/>
          <w:highlight w:val="none"/>
        </w:rPr>
        <w:t>。</w:t>
      </w:r>
    </w:p>
    <w:p w14:paraId="5FE8603B">
      <w:pPr>
        <w:pStyle w:val="5"/>
        <w:rPr>
          <w:rFonts w:ascii="宋体" w:hAnsi="宋体" w:cs="宋体"/>
          <w:color w:val="auto"/>
          <w:sz w:val="24"/>
          <w:szCs w:val="24"/>
          <w:highlight w:val="none"/>
        </w:rPr>
      </w:pPr>
      <w:r>
        <w:rPr>
          <w:rFonts w:hint="eastAsia"/>
          <w:color w:val="auto"/>
          <w:highlight w:val="none"/>
        </w:rPr>
        <w:t>一、项目基本情况</w:t>
      </w:r>
    </w:p>
    <w:p w14:paraId="5C3ED989">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项目编号：</w:t>
      </w:r>
      <w:r>
        <w:rPr>
          <w:rFonts w:hint="eastAsia" w:ascii="宋体" w:hAnsi="宋体" w:cs="宋体"/>
          <w:color w:val="auto"/>
          <w:sz w:val="24"/>
          <w:szCs w:val="24"/>
          <w:highlight w:val="none"/>
          <w:lang w:val="en-US" w:eastAsia="zh-CN"/>
        </w:rPr>
        <w:t>XJYHZB2024-262</w:t>
      </w:r>
    </w:p>
    <w:p w14:paraId="1FB69DD2">
      <w:pPr>
        <w:keepNext w:val="0"/>
        <w:keepLines w:val="0"/>
        <w:pageBreakBefore w:val="0"/>
        <w:widowControl w:val="0"/>
        <w:kinsoku/>
        <w:wordWrap/>
        <w:overflowPunct/>
        <w:topLinePunct w:val="0"/>
        <w:autoSpaceDE/>
        <w:autoSpaceDN/>
        <w:bidi w:val="0"/>
        <w:adjustRightInd/>
        <w:snapToGrid/>
        <w:spacing w:line="460" w:lineRule="exact"/>
        <w:ind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r>
        <w:rPr>
          <w:rFonts w:hint="eastAsia" w:ascii="宋体" w:hAnsi="宋体" w:cs="宋体"/>
          <w:color w:val="auto"/>
          <w:sz w:val="24"/>
          <w:szCs w:val="24"/>
          <w:highlight w:val="none"/>
          <w:u w:val="none"/>
          <w:lang w:val="en-US" w:eastAsia="zh-CN"/>
        </w:rPr>
        <w:t>新疆消防救援总队昌吉支队“自然灾害应急能力提升工程”装备配备项目（二批次）（三）</w:t>
      </w:r>
    </w:p>
    <w:p w14:paraId="2AD114B1">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预算金额：</w:t>
      </w:r>
      <w:r>
        <w:rPr>
          <w:rFonts w:hint="eastAsia" w:ascii="宋体" w:hAnsi="宋体" w:cs="宋体"/>
          <w:color w:val="auto"/>
          <w:sz w:val="24"/>
          <w:szCs w:val="24"/>
          <w:highlight w:val="none"/>
          <w:lang w:val="en-US" w:eastAsia="zh-CN"/>
        </w:rPr>
        <w:t>509.63</w:t>
      </w:r>
      <w:r>
        <w:rPr>
          <w:rFonts w:hint="eastAsia" w:ascii="宋体" w:hAnsi="宋体" w:eastAsia="宋体" w:cs="宋体"/>
          <w:color w:val="auto"/>
          <w:sz w:val="24"/>
          <w:szCs w:val="24"/>
          <w:highlight w:val="none"/>
          <w:lang w:val="en-US" w:eastAsia="zh-CN"/>
        </w:rPr>
        <w:t>万元（人民币）</w:t>
      </w:r>
    </w:p>
    <w:p w14:paraId="641C1CBE">
      <w:pPr>
        <w:spacing w:line="460" w:lineRule="exact"/>
        <w:jc w:val="left"/>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最</w:t>
      </w:r>
      <w:r>
        <w:rPr>
          <w:rFonts w:hint="eastAsia" w:ascii="宋体" w:hAnsi="宋体" w:cs="宋体"/>
          <w:color w:val="auto"/>
          <w:sz w:val="24"/>
          <w:szCs w:val="24"/>
          <w:highlight w:val="none"/>
          <w:lang w:val="en-US" w:eastAsia="zh-CN"/>
        </w:rPr>
        <w:t>高限价：509.63万元（人民币</w:t>
      </w:r>
      <w:r>
        <w:rPr>
          <w:rFonts w:hint="eastAsia" w:ascii="宋体" w:hAnsi="宋体" w:cs="宋体"/>
          <w:color w:val="auto"/>
          <w:sz w:val="24"/>
          <w:szCs w:val="24"/>
          <w:highlight w:val="none"/>
          <w:lang w:val="zh-CN" w:eastAsia="zh-CN"/>
        </w:rPr>
        <w:t>）</w:t>
      </w:r>
    </w:p>
    <w:p w14:paraId="66286A43">
      <w:pPr>
        <w:spacing w:line="460" w:lineRule="exact"/>
        <w:jc w:val="left"/>
        <w:rPr>
          <w:rFonts w:hint="eastAsia"/>
          <w:color w:val="auto"/>
          <w:highlight w:val="none"/>
        </w:rPr>
      </w:pPr>
      <w:r>
        <w:rPr>
          <w:rFonts w:hint="eastAsia" w:ascii="宋体" w:hAnsi="宋体" w:cs="宋体"/>
          <w:b/>
          <w:bCs/>
          <w:color w:val="auto"/>
          <w:sz w:val="24"/>
          <w:szCs w:val="24"/>
          <w:highlight w:val="none"/>
        </w:rPr>
        <w:t>采购需求：</w:t>
      </w:r>
    </w:p>
    <w:tbl>
      <w:tblPr>
        <w:tblStyle w:val="39"/>
        <w:tblpPr w:leftFromText="180" w:rightFromText="180" w:vertAnchor="text" w:horzAnchor="page" w:tblpX="1804" w:tblpY="730"/>
        <w:tblOverlap w:val="never"/>
        <w:tblW w:w="85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5"/>
        <w:gridCol w:w="2430"/>
        <w:gridCol w:w="732"/>
        <w:gridCol w:w="1236"/>
        <w:gridCol w:w="1801"/>
        <w:gridCol w:w="1651"/>
      </w:tblGrid>
      <w:tr w14:paraId="2961F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695" w:type="dxa"/>
            <w:tcBorders>
              <w:top w:val="single" w:color="auto" w:sz="4" w:space="0"/>
              <w:left w:val="single" w:color="auto" w:sz="4" w:space="0"/>
              <w:bottom w:val="nil"/>
              <w:right w:val="single" w:color="auto" w:sz="4" w:space="0"/>
            </w:tcBorders>
            <w:shd w:val="clear" w:color="auto" w:fill="auto"/>
            <w:noWrap/>
            <w:vAlign w:val="center"/>
          </w:tcPr>
          <w:p w14:paraId="5D80FAEF">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包号</w:t>
            </w:r>
          </w:p>
        </w:tc>
        <w:tc>
          <w:tcPr>
            <w:tcW w:w="2430" w:type="dxa"/>
            <w:tcBorders>
              <w:top w:val="single" w:color="auto" w:sz="4" w:space="0"/>
              <w:left w:val="single" w:color="auto" w:sz="4" w:space="0"/>
              <w:bottom w:val="nil"/>
              <w:right w:val="single" w:color="auto" w:sz="4" w:space="0"/>
            </w:tcBorders>
            <w:shd w:val="clear" w:color="auto" w:fill="auto"/>
            <w:noWrap/>
            <w:vAlign w:val="center"/>
          </w:tcPr>
          <w:p w14:paraId="26F7BD5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装备名称</w:t>
            </w:r>
          </w:p>
        </w:tc>
        <w:tc>
          <w:tcPr>
            <w:tcW w:w="732" w:type="dxa"/>
            <w:tcBorders>
              <w:top w:val="single" w:color="auto" w:sz="4" w:space="0"/>
              <w:left w:val="single" w:color="auto" w:sz="4" w:space="0"/>
              <w:bottom w:val="nil"/>
              <w:right w:val="single" w:color="auto" w:sz="4" w:space="0"/>
            </w:tcBorders>
            <w:shd w:val="clear" w:color="auto" w:fill="auto"/>
            <w:noWrap/>
            <w:vAlign w:val="center"/>
          </w:tcPr>
          <w:p w14:paraId="050B0463">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数量</w:t>
            </w:r>
          </w:p>
        </w:tc>
        <w:tc>
          <w:tcPr>
            <w:tcW w:w="1236" w:type="dxa"/>
            <w:tcBorders>
              <w:top w:val="single" w:color="auto" w:sz="4" w:space="0"/>
              <w:left w:val="single" w:color="auto" w:sz="4" w:space="0"/>
              <w:bottom w:val="nil"/>
              <w:right w:val="single" w:color="auto" w:sz="4" w:space="0"/>
            </w:tcBorders>
            <w:shd w:val="clear" w:color="auto" w:fill="auto"/>
            <w:noWrap/>
            <w:vAlign w:val="center"/>
          </w:tcPr>
          <w:p w14:paraId="5E054CBF">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计量单位</w:t>
            </w:r>
          </w:p>
        </w:tc>
        <w:tc>
          <w:tcPr>
            <w:tcW w:w="18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A3DBF9">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单价（万元）</w:t>
            </w:r>
          </w:p>
        </w:tc>
        <w:tc>
          <w:tcPr>
            <w:tcW w:w="16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967E0C">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合价（万元）</w:t>
            </w:r>
          </w:p>
        </w:tc>
      </w:tr>
      <w:tr w14:paraId="67D2E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695" w:type="dxa"/>
            <w:vMerge w:val="restart"/>
            <w:tcBorders>
              <w:top w:val="single" w:color="000000" w:sz="4" w:space="0"/>
              <w:left w:val="single" w:color="000000" w:sz="4" w:space="0"/>
              <w:right w:val="single" w:color="000000" w:sz="4" w:space="0"/>
            </w:tcBorders>
            <w:shd w:val="clear" w:color="auto" w:fill="auto"/>
            <w:vAlign w:val="center"/>
          </w:tcPr>
          <w:p w14:paraId="606DA699">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eastAsia" w:cs="Times New Roman"/>
                <w:i w:val="0"/>
                <w:iCs w:val="0"/>
                <w:color w:val="auto"/>
                <w:kern w:val="0"/>
                <w:sz w:val="24"/>
                <w:szCs w:val="24"/>
                <w:highlight w:val="none"/>
                <w:u w:val="none"/>
                <w:lang w:val="en-US" w:eastAsia="zh-CN" w:bidi="ar"/>
              </w:rPr>
              <w:t>九包</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D8B43">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坑道小型空气输送机</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BBF3B">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18</w:t>
            </w:r>
          </w:p>
        </w:tc>
        <w:tc>
          <w:tcPr>
            <w:tcW w:w="1236" w:type="dxa"/>
            <w:tcBorders>
              <w:top w:val="single" w:color="000000" w:sz="4" w:space="0"/>
              <w:left w:val="single" w:color="000000" w:sz="4" w:space="0"/>
              <w:bottom w:val="single" w:color="000000" w:sz="4" w:space="0"/>
              <w:right w:val="single" w:color="auto" w:sz="4" w:space="0"/>
            </w:tcBorders>
            <w:shd w:val="clear" w:color="auto" w:fill="auto"/>
            <w:vAlign w:val="center"/>
          </w:tcPr>
          <w:p w14:paraId="71E36F31">
            <w:pPr>
              <w:jc w:val="cente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台</w:t>
            </w:r>
          </w:p>
        </w:tc>
        <w:tc>
          <w:tcPr>
            <w:tcW w:w="1801" w:type="dxa"/>
            <w:tcBorders>
              <w:top w:val="single" w:color="auto" w:sz="4" w:space="0"/>
              <w:left w:val="single" w:color="auto" w:sz="4" w:space="0"/>
              <w:bottom w:val="single" w:color="000000" w:sz="4" w:space="0"/>
              <w:right w:val="single" w:color="auto" w:sz="4" w:space="0"/>
            </w:tcBorders>
            <w:shd w:val="clear" w:color="auto" w:fill="auto"/>
            <w:vAlign w:val="center"/>
          </w:tcPr>
          <w:p w14:paraId="3059CB04">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0.6</w:t>
            </w:r>
          </w:p>
        </w:tc>
        <w:tc>
          <w:tcPr>
            <w:tcW w:w="1651" w:type="dxa"/>
            <w:vMerge w:val="restart"/>
            <w:tcBorders>
              <w:top w:val="single" w:color="auto" w:sz="4" w:space="0"/>
              <w:left w:val="single" w:color="auto" w:sz="4" w:space="0"/>
              <w:right w:val="single" w:color="auto" w:sz="4" w:space="0"/>
            </w:tcBorders>
            <w:shd w:val="clear" w:color="auto" w:fill="auto"/>
            <w:vAlign w:val="center"/>
          </w:tcPr>
          <w:p w14:paraId="450EFF8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default" w:ascii="Times New Roman" w:hAnsi="Times New Roman" w:eastAsia="宋体" w:cs="Times New Roman"/>
                <w:i w:val="0"/>
                <w:iCs w:val="0"/>
                <w:color w:val="auto"/>
                <w:kern w:val="0"/>
                <w:sz w:val="20"/>
                <w:szCs w:val="20"/>
                <w:highlight w:val="none"/>
                <w:u w:val="none"/>
                <w:lang w:val="en-US" w:eastAsia="zh-CN" w:bidi="ar"/>
              </w:rPr>
              <w:t>87.1</w:t>
            </w:r>
          </w:p>
        </w:tc>
      </w:tr>
      <w:tr w14:paraId="39D42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695" w:type="dxa"/>
            <w:vMerge w:val="continue"/>
            <w:tcBorders>
              <w:left w:val="single" w:color="000000" w:sz="4" w:space="0"/>
              <w:right w:val="single" w:color="000000" w:sz="4" w:space="0"/>
            </w:tcBorders>
            <w:shd w:val="clear" w:color="auto" w:fill="auto"/>
            <w:vAlign w:val="center"/>
          </w:tcPr>
          <w:p w14:paraId="7411B061">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7B6FC">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空气充填泵</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69461">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7</w:t>
            </w:r>
          </w:p>
        </w:tc>
        <w:tc>
          <w:tcPr>
            <w:tcW w:w="1236" w:type="dxa"/>
            <w:tcBorders>
              <w:top w:val="single" w:color="000000" w:sz="4" w:space="0"/>
              <w:left w:val="single" w:color="000000" w:sz="4" w:space="0"/>
              <w:bottom w:val="single" w:color="000000" w:sz="4" w:space="0"/>
              <w:right w:val="single" w:color="auto" w:sz="4" w:space="0"/>
            </w:tcBorders>
            <w:shd w:val="clear" w:color="auto" w:fill="auto"/>
            <w:vAlign w:val="center"/>
          </w:tcPr>
          <w:p w14:paraId="570E9546">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台</w:t>
            </w:r>
          </w:p>
        </w:tc>
        <w:tc>
          <w:tcPr>
            <w:tcW w:w="1801" w:type="dxa"/>
            <w:tcBorders>
              <w:top w:val="single" w:color="auto" w:sz="4" w:space="0"/>
              <w:left w:val="single" w:color="auto" w:sz="4" w:space="0"/>
              <w:bottom w:val="single" w:color="000000" w:sz="4" w:space="0"/>
              <w:right w:val="single" w:color="auto" w:sz="4" w:space="0"/>
            </w:tcBorders>
            <w:shd w:val="clear" w:color="auto" w:fill="auto"/>
            <w:vAlign w:val="center"/>
          </w:tcPr>
          <w:p w14:paraId="6051D770">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9</w:t>
            </w:r>
          </w:p>
        </w:tc>
        <w:tc>
          <w:tcPr>
            <w:tcW w:w="1651" w:type="dxa"/>
            <w:vMerge w:val="continue"/>
            <w:tcBorders>
              <w:left w:val="single" w:color="auto" w:sz="4" w:space="0"/>
              <w:right w:val="single" w:color="auto" w:sz="4" w:space="0"/>
            </w:tcBorders>
            <w:shd w:val="clear" w:color="auto" w:fill="auto"/>
            <w:vAlign w:val="center"/>
          </w:tcPr>
          <w:p w14:paraId="1D715E8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p>
        </w:tc>
      </w:tr>
      <w:tr w14:paraId="1CF89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695" w:type="dxa"/>
            <w:vMerge w:val="continue"/>
            <w:tcBorders>
              <w:left w:val="single" w:color="000000" w:sz="4" w:space="0"/>
              <w:right w:val="single" w:color="000000" w:sz="4" w:space="0"/>
            </w:tcBorders>
            <w:shd w:val="clear" w:color="auto" w:fill="auto"/>
            <w:vAlign w:val="center"/>
          </w:tcPr>
          <w:p w14:paraId="718F5FE1">
            <w:pPr>
              <w:keepNext w:val="0"/>
              <w:keepLines w:val="0"/>
              <w:widowControl/>
              <w:suppressLineNumbers w:val="0"/>
              <w:jc w:val="center"/>
              <w:textAlignment w:val="center"/>
              <w:rPr>
                <w:rFonts w:hint="eastAsia" w:cs="Times New Roman"/>
                <w:i w:val="0"/>
                <w:iCs w:val="0"/>
                <w:color w:val="auto"/>
                <w:kern w:val="0"/>
                <w:sz w:val="24"/>
                <w:szCs w:val="24"/>
                <w:highlight w:val="none"/>
                <w:u w:val="none"/>
                <w:lang w:val="en-US" w:eastAsia="zh-CN" w:bidi="ar"/>
              </w:rPr>
            </w:pP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5129D">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强制送风机</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B4347">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38</w:t>
            </w:r>
          </w:p>
        </w:tc>
        <w:tc>
          <w:tcPr>
            <w:tcW w:w="1236" w:type="dxa"/>
            <w:tcBorders>
              <w:top w:val="single" w:color="000000" w:sz="4" w:space="0"/>
              <w:left w:val="single" w:color="000000" w:sz="4" w:space="0"/>
              <w:bottom w:val="single" w:color="000000" w:sz="4" w:space="0"/>
              <w:right w:val="single" w:color="auto" w:sz="4" w:space="0"/>
            </w:tcBorders>
            <w:shd w:val="clear" w:color="auto" w:fill="auto"/>
            <w:vAlign w:val="center"/>
          </w:tcPr>
          <w:p w14:paraId="10684E2E">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台</w:t>
            </w:r>
          </w:p>
        </w:tc>
        <w:tc>
          <w:tcPr>
            <w:tcW w:w="1801" w:type="dxa"/>
            <w:tcBorders>
              <w:top w:val="single" w:color="auto" w:sz="4" w:space="0"/>
              <w:left w:val="single" w:color="auto" w:sz="4" w:space="0"/>
              <w:bottom w:val="single" w:color="000000" w:sz="4" w:space="0"/>
              <w:right w:val="single" w:color="auto" w:sz="4" w:space="0"/>
            </w:tcBorders>
            <w:shd w:val="clear" w:color="auto" w:fill="auto"/>
            <w:vAlign w:val="center"/>
          </w:tcPr>
          <w:p w14:paraId="6A71864D">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0.35</w:t>
            </w:r>
          </w:p>
        </w:tc>
        <w:tc>
          <w:tcPr>
            <w:tcW w:w="1651" w:type="dxa"/>
            <w:vMerge w:val="continue"/>
            <w:tcBorders>
              <w:left w:val="single" w:color="auto" w:sz="4" w:space="0"/>
              <w:right w:val="single" w:color="auto" w:sz="4" w:space="0"/>
            </w:tcBorders>
            <w:shd w:val="clear" w:color="auto" w:fill="auto"/>
            <w:vAlign w:val="center"/>
          </w:tcPr>
          <w:p w14:paraId="38C172AC">
            <w:pPr>
              <w:jc w:val="center"/>
              <w:rPr>
                <w:rFonts w:hint="eastAsia" w:ascii="宋体" w:hAnsi="宋体" w:eastAsia="宋体" w:cs="宋体"/>
                <w:i w:val="0"/>
                <w:iCs w:val="0"/>
                <w:color w:val="auto"/>
                <w:sz w:val="24"/>
                <w:szCs w:val="24"/>
                <w:highlight w:val="none"/>
                <w:u w:val="none"/>
                <w:lang w:val="en-US" w:eastAsia="zh-CN"/>
              </w:rPr>
            </w:pPr>
          </w:p>
        </w:tc>
      </w:tr>
      <w:tr w14:paraId="09283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695" w:type="dxa"/>
            <w:vMerge w:val="restart"/>
            <w:tcBorders>
              <w:top w:val="single" w:color="000000" w:sz="4" w:space="0"/>
              <w:left w:val="single" w:color="000000" w:sz="4" w:space="0"/>
              <w:right w:val="single" w:color="000000" w:sz="4" w:space="0"/>
            </w:tcBorders>
            <w:shd w:val="clear" w:color="auto" w:fill="auto"/>
            <w:vAlign w:val="center"/>
          </w:tcPr>
          <w:p w14:paraId="364D7DE8">
            <w:pPr>
              <w:keepNext w:val="0"/>
              <w:keepLines w:val="0"/>
              <w:widowControl/>
              <w:suppressLineNumbers w:val="0"/>
              <w:jc w:val="center"/>
              <w:textAlignment w:val="center"/>
              <w:rPr>
                <w:rFonts w:hint="default" w:cs="Times New Roman"/>
                <w:i w:val="0"/>
                <w:iCs w:val="0"/>
                <w:color w:val="auto"/>
                <w:kern w:val="0"/>
                <w:sz w:val="24"/>
                <w:szCs w:val="24"/>
                <w:highlight w:val="none"/>
                <w:u w:val="none"/>
                <w:lang w:val="en-US" w:eastAsia="zh-CN" w:bidi="ar"/>
              </w:rPr>
            </w:pPr>
            <w:r>
              <w:rPr>
                <w:rFonts w:hint="eastAsia" w:cs="Times New Roman"/>
                <w:i w:val="0"/>
                <w:iCs w:val="0"/>
                <w:color w:val="auto"/>
                <w:kern w:val="0"/>
                <w:sz w:val="24"/>
                <w:szCs w:val="24"/>
                <w:highlight w:val="none"/>
                <w:u w:val="none"/>
                <w:lang w:val="en-US" w:eastAsia="zh-CN" w:bidi="ar"/>
              </w:rPr>
              <w:t>十包</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9173F">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多功能消防水枪</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5F5F1">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94</w:t>
            </w:r>
          </w:p>
        </w:tc>
        <w:tc>
          <w:tcPr>
            <w:tcW w:w="1236" w:type="dxa"/>
            <w:tcBorders>
              <w:top w:val="single" w:color="000000" w:sz="4" w:space="0"/>
              <w:left w:val="single" w:color="000000" w:sz="4" w:space="0"/>
              <w:bottom w:val="single" w:color="000000" w:sz="4" w:space="0"/>
              <w:right w:val="single" w:color="auto" w:sz="4" w:space="0"/>
            </w:tcBorders>
            <w:shd w:val="clear" w:color="auto" w:fill="auto"/>
            <w:vAlign w:val="center"/>
          </w:tcPr>
          <w:p w14:paraId="74621D9F">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把</w:t>
            </w:r>
          </w:p>
        </w:tc>
        <w:tc>
          <w:tcPr>
            <w:tcW w:w="1801" w:type="dxa"/>
            <w:tcBorders>
              <w:top w:val="single" w:color="auto" w:sz="4" w:space="0"/>
              <w:left w:val="single" w:color="auto" w:sz="4" w:space="0"/>
              <w:bottom w:val="single" w:color="000000" w:sz="4" w:space="0"/>
              <w:right w:val="single" w:color="auto" w:sz="4" w:space="0"/>
            </w:tcBorders>
            <w:shd w:val="clear" w:color="auto" w:fill="auto"/>
            <w:vAlign w:val="center"/>
          </w:tcPr>
          <w:p w14:paraId="6D4DB84E">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0.6</w:t>
            </w:r>
          </w:p>
        </w:tc>
        <w:tc>
          <w:tcPr>
            <w:tcW w:w="1651" w:type="dxa"/>
            <w:vMerge w:val="restart"/>
            <w:tcBorders>
              <w:top w:val="single" w:color="auto" w:sz="4" w:space="0"/>
              <w:left w:val="single" w:color="auto" w:sz="4" w:space="0"/>
              <w:right w:val="single" w:color="auto" w:sz="4" w:space="0"/>
            </w:tcBorders>
            <w:shd w:val="clear" w:color="auto" w:fill="auto"/>
            <w:vAlign w:val="center"/>
          </w:tcPr>
          <w:p w14:paraId="2785378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default" w:ascii="Times New Roman" w:hAnsi="Times New Roman" w:eastAsia="宋体" w:cs="Times New Roman"/>
                <w:i w:val="0"/>
                <w:iCs w:val="0"/>
                <w:color w:val="auto"/>
                <w:kern w:val="0"/>
                <w:sz w:val="20"/>
                <w:szCs w:val="20"/>
                <w:highlight w:val="none"/>
                <w:u w:val="none"/>
                <w:lang w:val="en-US" w:eastAsia="zh-CN" w:bidi="ar"/>
              </w:rPr>
              <w:t>79.4</w:t>
            </w:r>
          </w:p>
        </w:tc>
      </w:tr>
      <w:tr w14:paraId="26496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695" w:type="dxa"/>
            <w:vMerge w:val="continue"/>
            <w:tcBorders>
              <w:left w:val="single" w:color="000000" w:sz="4" w:space="0"/>
              <w:right w:val="single" w:color="000000" w:sz="4" w:space="0"/>
            </w:tcBorders>
            <w:shd w:val="clear" w:color="auto" w:fill="auto"/>
            <w:vAlign w:val="center"/>
          </w:tcPr>
          <w:p w14:paraId="11C36C09">
            <w:pPr>
              <w:keepNext w:val="0"/>
              <w:keepLines w:val="0"/>
              <w:widowControl/>
              <w:suppressLineNumbers w:val="0"/>
              <w:jc w:val="center"/>
              <w:textAlignment w:val="center"/>
              <w:rPr>
                <w:rFonts w:hint="eastAsia" w:cs="Times New Roman"/>
                <w:i w:val="0"/>
                <w:iCs w:val="0"/>
                <w:color w:val="auto"/>
                <w:kern w:val="0"/>
                <w:sz w:val="24"/>
                <w:szCs w:val="24"/>
                <w:highlight w:val="none"/>
                <w:u w:val="none"/>
                <w:lang w:val="en-US" w:eastAsia="zh-CN" w:bidi="ar"/>
              </w:rPr>
            </w:pP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1F848">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穿刺式破拆水枪</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09E6">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10</w:t>
            </w:r>
          </w:p>
        </w:tc>
        <w:tc>
          <w:tcPr>
            <w:tcW w:w="1236" w:type="dxa"/>
            <w:tcBorders>
              <w:top w:val="single" w:color="000000" w:sz="4" w:space="0"/>
              <w:left w:val="single" w:color="000000" w:sz="4" w:space="0"/>
              <w:bottom w:val="single" w:color="000000" w:sz="4" w:space="0"/>
              <w:right w:val="single" w:color="auto" w:sz="4" w:space="0"/>
            </w:tcBorders>
            <w:shd w:val="clear" w:color="auto" w:fill="auto"/>
            <w:vAlign w:val="center"/>
          </w:tcPr>
          <w:p w14:paraId="058011CF">
            <w:pPr>
              <w:jc w:val="cente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把</w:t>
            </w:r>
          </w:p>
        </w:tc>
        <w:tc>
          <w:tcPr>
            <w:tcW w:w="1801" w:type="dxa"/>
            <w:tcBorders>
              <w:top w:val="single" w:color="auto" w:sz="4" w:space="0"/>
              <w:left w:val="single" w:color="auto" w:sz="4" w:space="0"/>
              <w:bottom w:val="single" w:color="000000" w:sz="4" w:space="0"/>
              <w:right w:val="single" w:color="auto" w:sz="4" w:space="0"/>
            </w:tcBorders>
            <w:shd w:val="clear" w:color="auto" w:fill="auto"/>
            <w:vAlign w:val="center"/>
          </w:tcPr>
          <w:p w14:paraId="674F3ECF">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0.8</w:t>
            </w:r>
          </w:p>
        </w:tc>
        <w:tc>
          <w:tcPr>
            <w:tcW w:w="1651" w:type="dxa"/>
            <w:vMerge w:val="continue"/>
            <w:tcBorders>
              <w:left w:val="single" w:color="auto" w:sz="4" w:space="0"/>
              <w:right w:val="single" w:color="auto" w:sz="4" w:space="0"/>
            </w:tcBorders>
            <w:shd w:val="clear" w:color="auto" w:fill="auto"/>
            <w:vAlign w:val="center"/>
          </w:tcPr>
          <w:p w14:paraId="14C47682">
            <w:pPr>
              <w:jc w:val="center"/>
              <w:rPr>
                <w:rFonts w:hint="eastAsia" w:ascii="宋体" w:hAnsi="宋体" w:cs="宋体"/>
                <w:i w:val="0"/>
                <w:iCs w:val="0"/>
                <w:color w:val="auto"/>
                <w:sz w:val="24"/>
                <w:szCs w:val="24"/>
                <w:highlight w:val="none"/>
                <w:u w:val="none"/>
                <w:lang w:val="en-US" w:eastAsia="zh-CN"/>
              </w:rPr>
            </w:pPr>
          </w:p>
        </w:tc>
      </w:tr>
      <w:tr w14:paraId="21670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695" w:type="dxa"/>
            <w:vMerge w:val="continue"/>
            <w:tcBorders>
              <w:left w:val="single" w:color="000000" w:sz="4" w:space="0"/>
              <w:bottom w:val="single" w:color="000000" w:sz="4" w:space="0"/>
              <w:right w:val="single" w:color="000000" w:sz="4" w:space="0"/>
            </w:tcBorders>
            <w:shd w:val="clear" w:color="auto" w:fill="auto"/>
            <w:vAlign w:val="center"/>
          </w:tcPr>
          <w:p w14:paraId="0B78F85A">
            <w:pPr>
              <w:keepNext w:val="0"/>
              <w:keepLines w:val="0"/>
              <w:widowControl/>
              <w:suppressLineNumbers w:val="0"/>
              <w:jc w:val="center"/>
              <w:textAlignment w:val="center"/>
              <w:rPr>
                <w:rFonts w:hint="eastAsia" w:cs="Times New Roman"/>
                <w:i w:val="0"/>
                <w:iCs w:val="0"/>
                <w:color w:val="auto"/>
                <w:kern w:val="0"/>
                <w:sz w:val="24"/>
                <w:szCs w:val="24"/>
                <w:highlight w:val="none"/>
                <w:u w:val="none"/>
                <w:lang w:val="en-US" w:eastAsia="zh-CN" w:bidi="ar"/>
              </w:rPr>
            </w:pP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B743">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高倍数泡沫发生器</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06F6D">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10</w:t>
            </w:r>
          </w:p>
        </w:tc>
        <w:tc>
          <w:tcPr>
            <w:tcW w:w="1236" w:type="dxa"/>
            <w:tcBorders>
              <w:top w:val="single" w:color="000000" w:sz="4" w:space="0"/>
              <w:left w:val="single" w:color="000000" w:sz="4" w:space="0"/>
              <w:bottom w:val="single" w:color="000000" w:sz="4" w:space="0"/>
              <w:right w:val="single" w:color="auto" w:sz="4" w:space="0"/>
            </w:tcBorders>
            <w:shd w:val="clear" w:color="auto" w:fill="auto"/>
            <w:vAlign w:val="center"/>
          </w:tcPr>
          <w:p w14:paraId="7ADD8F22">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具</w:t>
            </w:r>
          </w:p>
        </w:tc>
        <w:tc>
          <w:tcPr>
            <w:tcW w:w="1801" w:type="dxa"/>
            <w:tcBorders>
              <w:top w:val="single" w:color="auto" w:sz="4" w:space="0"/>
              <w:left w:val="single" w:color="auto" w:sz="4" w:space="0"/>
              <w:bottom w:val="single" w:color="000000" w:sz="4" w:space="0"/>
              <w:right w:val="single" w:color="auto" w:sz="4" w:space="0"/>
            </w:tcBorders>
            <w:shd w:val="clear" w:color="auto" w:fill="auto"/>
            <w:vAlign w:val="center"/>
          </w:tcPr>
          <w:p w14:paraId="02CBBE35">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1.5</w:t>
            </w:r>
          </w:p>
        </w:tc>
        <w:tc>
          <w:tcPr>
            <w:tcW w:w="1651" w:type="dxa"/>
            <w:vMerge w:val="continue"/>
            <w:tcBorders>
              <w:left w:val="single" w:color="auto" w:sz="4" w:space="0"/>
              <w:bottom w:val="single" w:color="000000" w:sz="4" w:space="0"/>
              <w:right w:val="single" w:color="auto" w:sz="4" w:space="0"/>
            </w:tcBorders>
            <w:shd w:val="clear" w:color="auto" w:fill="auto"/>
            <w:vAlign w:val="center"/>
          </w:tcPr>
          <w:p w14:paraId="5D33FA02">
            <w:pPr>
              <w:jc w:val="center"/>
              <w:rPr>
                <w:rFonts w:hint="default" w:ascii="宋体" w:hAnsi="宋体" w:eastAsia="宋体" w:cs="宋体"/>
                <w:i w:val="0"/>
                <w:iCs w:val="0"/>
                <w:color w:val="auto"/>
                <w:sz w:val="24"/>
                <w:szCs w:val="24"/>
                <w:highlight w:val="none"/>
                <w:u w:val="none"/>
                <w:lang w:val="en-US" w:eastAsia="zh-CN"/>
              </w:rPr>
            </w:pPr>
          </w:p>
        </w:tc>
      </w:tr>
      <w:tr w14:paraId="07ADD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695" w:type="dxa"/>
            <w:vMerge w:val="restart"/>
            <w:tcBorders>
              <w:top w:val="single" w:color="000000" w:sz="4" w:space="0"/>
              <w:left w:val="single" w:color="000000" w:sz="4" w:space="0"/>
              <w:right w:val="single" w:color="000000" w:sz="4" w:space="0"/>
            </w:tcBorders>
            <w:shd w:val="clear" w:color="auto" w:fill="auto"/>
            <w:vAlign w:val="center"/>
          </w:tcPr>
          <w:p w14:paraId="7CA06072">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eastAsia" w:cs="Times New Roman"/>
                <w:i w:val="0"/>
                <w:iCs w:val="0"/>
                <w:color w:val="auto"/>
                <w:kern w:val="0"/>
                <w:sz w:val="24"/>
                <w:szCs w:val="24"/>
                <w:highlight w:val="none"/>
                <w:u w:val="none"/>
                <w:lang w:val="en-US" w:eastAsia="zh-CN" w:bidi="ar"/>
              </w:rPr>
              <w:t>十一包</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6EF9">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电动链锯</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41A86">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37</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4183">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台</w:t>
            </w:r>
          </w:p>
        </w:tc>
        <w:tc>
          <w:tcPr>
            <w:tcW w:w="1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E7CB">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w:t>
            </w:r>
          </w:p>
        </w:tc>
        <w:tc>
          <w:tcPr>
            <w:tcW w:w="1651" w:type="dxa"/>
            <w:vMerge w:val="restart"/>
            <w:tcBorders>
              <w:top w:val="single" w:color="000000" w:sz="4" w:space="0"/>
              <w:left w:val="single" w:color="000000" w:sz="4" w:space="0"/>
              <w:right w:val="single" w:color="000000" w:sz="4" w:space="0"/>
            </w:tcBorders>
            <w:shd w:val="clear" w:color="auto" w:fill="auto"/>
            <w:vAlign w:val="center"/>
          </w:tcPr>
          <w:p w14:paraId="6CC3FDB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default" w:ascii="Times New Roman" w:hAnsi="Times New Roman" w:eastAsia="宋体" w:cs="Times New Roman"/>
                <w:i w:val="0"/>
                <w:iCs w:val="0"/>
                <w:color w:val="auto"/>
                <w:kern w:val="0"/>
                <w:sz w:val="20"/>
                <w:szCs w:val="20"/>
                <w:highlight w:val="none"/>
                <w:u w:val="none"/>
                <w:lang w:val="en-US" w:eastAsia="zh-CN" w:bidi="ar"/>
              </w:rPr>
              <w:t>144.53</w:t>
            </w:r>
          </w:p>
        </w:tc>
      </w:tr>
      <w:tr w14:paraId="2716F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95" w:type="dxa"/>
            <w:vMerge w:val="continue"/>
            <w:tcBorders>
              <w:left w:val="single" w:color="000000" w:sz="4" w:space="0"/>
              <w:right w:val="single" w:color="000000" w:sz="4" w:space="0"/>
            </w:tcBorders>
            <w:shd w:val="clear" w:color="auto" w:fill="auto"/>
            <w:vAlign w:val="center"/>
          </w:tcPr>
          <w:p w14:paraId="202B05CB">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000000" w:sz="4" w:space="0"/>
              <w:bottom w:val="single" w:color="auto" w:sz="4" w:space="0"/>
              <w:right w:val="single" w:color="000000" w:sz="4" w:space="0"/>
            </w:tcBorders>
            <w:shd w:val="clear" w:color="auto" w:fill="auto"/>
            <w:vAlign w:val="center"/>
          </w:tcPr>
          <w:p w14:paraId="6B4BEF3F">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哈利根铁铤</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666DB">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53</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4A71">
            <w:pPr>
              <w:jc w:val="center"/>
              <w:rPr>
                <w:rFonts w:hint="default" w:ascii="Times New Roman" w:hAnsi="Times New Roman" w:eastAsia="宋体"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根</w:t>
            </w:r>
          </w:p>
        </w:tc>
        <w:tc>
          <w:tcPr>
            <w:tcW w:w="1801" w:type="dxa"/>
            <w:tcBorders>
              <w:top w:val="single" w:color="000000" w:sz="4" w:space="0"/>
              <w:left w:val="single" w:color="000000" w:sz="4" w:space="0"/>
              <w:bottom w:val="single" w:color="auto" w:sz="4" w:space="0"/>
              <w:right w:val="single" w:color="000000" w:sz="4" w:space="0"/>
            </w:tcBorders>
            <w:shd w:val="clear" w:color="auto" w:fill="auto"/>
            <w:vAlign w:val="center"/>
          </w:tcPr>
          <w:p w14:paraId="6C70ADA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0.31</w:t>
            </w:r>
          </w:p>
        </w:tc>
        <w:tc>
          <w:tcPr>
            <w:tcW w:w="1651" w:type="dxa"/>
            <w:vMerge w:val="continue"/>
            <w:tcBorders>
              <w:left w:val="single" w:color="000000" w:sz="4" w:space="0"/>
              <w:right w:val="single" w:color="000000" w:sz="4" w:space="0"/>
            </w:tcBorders>
            <w:shd w:val="clear" w:color="auto" w:fill="auto"/>
            <w:vAlign w:val="center"/>
          </w:tcPr>
          <w:p w14:paraId="789C4095">
            <w:pPr>
              <w:jc w:val="center"/>
              <w:rPr>
                <w:rFonts w:hint="default" w:ascii="Times New Roman" w:hAnsi="Times New Roman" w:eastAsia="宋体" w:cs="Times New Roman"/>
                <w:i w:val="0"/>
                <w:iCs w:val="0"/>
                <w:color w:val="auto"/>
                <w:sz w:val="24"/>
                <w:szCs w:val="24"/>
                <w:highlight w:val="none"/>
                <w:u w:val="none"/>
              </w:rPr>
            </w:pPr>
          </w:p>
        </w:tc>
      </w:tr>
      <w:tr w14:paraId="70AF1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695" w:type="dxa"/>
            <w:vMerge w:val="continue"/>
            <w:tcBorders>
              <w:left w:val="single" w:color="000000" w:sz="4" w:space="0"/>
              <w:bottom w:val="single" w:color="auto" w:sz="4" w:space="0"/>
              <w:right w:val="single" w:color="000000" w:sz="4" w:space="0"/>
            </w:tcBorders>
            <w:shd w:val="clear" w:color="auto" w:fill="auto"/>
            <w:vAlign w:val="center"/>
          </w:tcPr>
          <w:p w14:paraId="2D3B3914">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000000" w:sz="4" w:space="0"/>
              <w:bottom w:val="single" w:color="auto" w:sz="4" w:space="0"/>
              <w:right w:val="single" w:color="000000" w:sz="4" w:space="0"/>
            </w:tcBorders>
            <w:shd w:val="clear" w:color="auto" w:fill="auto"/>
            <w:vAlign w:val="center"/>
          </w:tcPr>
          <w:p w14:paraId="7AD57A50">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液压破拆工具组A</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5F3A">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9</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7E4C">
            <w:pPr>
              <w:jc w:val="cente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套</w:t>
            </w:r>
          </w:p>
        </w:tc>
        <w:tc>
          <w:tcPr>
            <w:tcW w:w="1801" w:type="dxa"/>
            <w:tcBorders>
              <w:top w:val="single" w:color="000000" w:sz="4" w:space="0"/>
              <w:left w:val="single" w:color="000000" w:sz="4" w:space="0"/>
              <w:bottom w:val="single" w:color="auto" w:sz="4" w:space="0"/>
              <w:right w:val="single" w:color="000000" w:sz="4" w:space="0"/>
            </w:tcBorders>
            <w:shd w:val="clear" w:color="auto" w:fill="auto"/>
            <w:vAlign w:val="center"/>
          </w:tcPr>
          <w:p w14:paraId="4DF37EE0">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13</w:t>
            </w:r>
          </w:p>
        </w:tc>
        <w:tc>
          <w:tcPr>
            <w:tcW w:w="1651" w:type="dxa"/>
            <w:vMerge w:val="continue"/>
            <w:tcBorders>
              <w:left w:val="single" w:color="000000" w:sz="4" w:space="0"/>
              <w:bottom w:val="single" w:color="auto" w:sz="4" w:space="0"/>
              <w:right w:val="single" w:color="000000" w:sz="4" w:space="0"/>
            </w:tcBorders>
            <w:shd w:val="clear" w:color="auto" w:fill="auto"/>
            <w:vAlign w:val="center"/>
          </w:tcPr>
          <w:p w14:paraId="31047D8E">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p>
        </w:tc>
      </w:tr>
      <w:tr w14:paraId="63B08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69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B776AC">
            <w:pPr>
              <w:jc w:val="center"/>
              <w:rPr>
                <w:rFonts w:hint="eastAsia" w:ascii="Times New Roman" w:hAnsi="Times New Roman" w:eastAsia="宋体"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十二包</w:t>
            </w:r>
          </w:p>
        </w:tc>
        <w:tc>
          <w:tcPr>
            <w:tcW w:w="2430" w:type="dxa"/>
            <w:tcBorders>
              <w:top w:val="single" w:color="auto" w:sz="4" w:space="0"/>
              <w:left w:val="single" w:color="auto" w:sz="4" w:space="0"/>
              <w:bottom w:val="single" w:color="000000" w:sz="4" w:space="0"/>
              <w:right w:val="single" w:color="000000" w:sz="4" w:space="0"/>
            </w:tcBorders>
            <w:shd w:val="clear" w:color="auto" w:fill="auto"/>
            <w:vAlign w:val="center"/>
          </w:tcPr>
          <w:p w14:paraId="4B7D0443">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单兵携行包（箱）</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93880">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180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F30F9">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套</w:t>
            </w:r>
          </w:p>
        </w:tc>
        <w:tc>
          <w:tcPr>
            <w:tcW w:w="1801" w:type="dxa"/>
            <w:tcBorders>
              <w:top w:val="single" w:color="auto" w:sz="4" w:space="0"/>
              <w:left w:val="single" w:color="000000" w:sz="4" w:space="0"/>
              <w:bottom w:val="single" w:color="000000" w:sz="4" w:space="0"/>
              <w:right w:val="single" w:color="auto" w:sz="4" w:space="0"/>
            </w:tcBorders>
            <w:shd w:val="clear" w:color="auto" w:fill="auto"/>
            <w:vAlign w:val="center"/>
          </w:tcPr>
          <w:p w14:paraId="070D7476">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w:t>
            </w:r>
          </w:p>
        </w:tc>
        <w:tc>
          <w:tcPr>
            <w:tcW w:w="16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E1C451E">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lang w:val="en-US" w:eastAsia="zh-CN"/>
              </w:rPr>
            </w:pPr>
            <w:r>
              <w:rPr>
                <w:rFonts w:hint="default" w:ascii="Times New Roman" w:hAnsi="Times New Roman" w:eastAsia="宋体" w:cs="Times New Roman"/>
                <w:i w:val="0"/>
                <w:iCs w:val="0"/>
                <w:color w:val="auto"/>
                <w:kern w:val="0"/>
                <w:sz w:val="20"/>
                <w:szCs w:val="20"/>
                <w:highlight w:val="none"/>
                <w:u w:val="none"/>
                <w:lang w:val="en-US" w:eastAsia="zh-CN" w:bidi="ar"/>
              </w:rPr>
              <w:t>85.8</w:t>
            </w:r>
          </w:p>
        </w:tc>
      </w:tr>
      <w:tr w14:paraId="7691C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6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A48A479">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auto" w:sz="4" w:space="0"/>
              <w:bottom w:val="single" w:color="000000" w:sz="4" w:space="0"/>
              <w:right w:val="single" w:color="000000" w:sz="4" w:space="0"/>
            </w:tcBorders>
            <w:shd w:val="clear" w:color="auto" w:fill="auto"/>
            <w:vAlign w:val="center"/>
          </w:tcPr>
          <w:p w14:paraId="49AD91C8">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便携式推车</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631C">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21</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E517F">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辆</w:t>
            </w:r>
          </w:p>
        </w:tc>
        <w:tc>
          <w:tcPr>
            <w:tcW w:w="1801" w:type="dxa"/>
            <w:tcBorders>
              <w:top w:val="single" w:color="000000" w:sz="4" w:space="0"/>
              <w:left w:val="single" w:color="000000" w:sz="4" w:space="0"/>
              <w:bottom w:val="single" w:color="000000" w:sz="4" w:space="0"/>
              <w:right w:val="single" w:color="auto" w:sz="4" w:space="0"/>
            </w:tcBorders>
            <w:shd w:val="clear" w:color="auto" w:fill="auto"/>
            <w:vAlign w:val="center"/>
          </w:tcPr>
          <w:p w14:paraId="5F45397B">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0.8</w:t>
            </w:r>
          </w:p>
        </w:tc>
        <w:tc>
          <w:tcPr>
            <w:tcW w:w="16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330D2D">
            <w:pPr>
              <w:jc w:val="center"/>
              <w:rPr>
                <w:rFonts w:hint="default" w:ascii="Times New Roman" w:hAnsi="Times New Roman" w:eastAsia="宋体" w:cs="Times New Roman"/>
                <w:i w:val="0"/>
                <w:iCs w:val="0"/>
                <w:color w:val="auto"/>
                <w:sz w:val="24"/>
                <w:szCs w:val="24"/>
                <w:highlight w:val="none"/>
                <w:u w:val="none"/>
              </w:rPr>
            </w:pPr>
          </w:p>
        </w:tc>
      </w:tr>
      <w:tr w14:paraId="51D8A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6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63D7415">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auto" w:sz="4" w:space="0"/>
              <w:bottom w:val="single" w:color="000000" w:sz="4" w:space="0"/>
              <w:right w:val="single" w:color="000000" w:sz="4" w:space="0"/>
            </w:tcBorders>
            <w:shd w:val="clear" w:color="auto" w:fill="auto"/>
            <w:vAlign w:val="center"/>
          </w:tcPr>
          <w:p w14:paraId="4AE30642">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移动水囊</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3436">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10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4DDA2">
            <w:pPr>
              <w:jc w:val="center"/>
              <w:rPr>
                <w:rFonts w:hint="default" w:ascii="Times New Roman" w:hAnsi="Times New Roman" w:eastAsia="宋体"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个</w:t>
            </w:r>
          </w:p>
        </w:tc>
        <w:tc>
          <w:tcPr>
            <w:tcW w:w="1801" w:type="dxa"/>
            <w:tcBorders>
              <w:top w:val="single" w:color="000000" w:sz="4" w:space="0"/>
              <w:left w:val="single" w:color="000000" w:sz="4" w:space="0"/>
              <w:bottom w:val="single" w:color="000000" w:sz="4" w:space="0"/>
              <w:right w:val="single" w:color="auto" w:sz="4" w:space="0"/>
            </w:tcBorders>
            <w:shd w:val="clear" w:color="auto" w:fill="auto"/>
            <w:vAlign w:val="center"/>
          </w:tcPr>
          <w:p w14:paraId="0C0E2B23">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1.5</w:t>
            </w:r>
          </w:p>
        </w:tc>
        <w:tc>
          <w:tcPr>
            <w:tcW w:w="16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1BA71D">
            <w:pPr>
              <w:jc w:val="center"/>
              <w:rPr>
                <w:rFonts w:hint="default" w:ascii="Times New Roman" w:hAnsi="Times New Roman" w:eastAsia="宋体" w:cs="Times New Roman"/>
                <w:i w:val="0"/>
                <w:iCs w:val="0"/>
                <w:color w:val="auto"/>
                <w:sz w:val="24"/>
                <w:szCs w:val="24"/>
                <w:highlight w:val="none"/>
                <w:u w:val="none"/>
              </w:rPr>
            </w:pPr>
          </w:p>
        </w:tc>
      </w:tr>
      <w:tr w14:paraId="70E92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69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DE886F7">
            <w:pPr>
              <w:jc w:val="center"/>
              <w:rPr>
                <w:rFonts w:hint="default" w:ascii="Times New Roman" w:hAnsi="Times New Roman" w:eastAsia="宋体" w:cs="Times New Roman"/>
                <w:i w:val="0"/>
                <w:iCs w:val="0"/>
                <w:color w:val="auto"/>
                <w:sz w:val="24"/>
                <w:szCs w:val="24"/>
                <w:highlight w:val="none"/>
                <w:u w:val="none"/>
              </w:rPr>
            </w:pPr>
            <w:r>
              <w:rPr>
                <w:rFonts w:hint="eastAsia" w:cs="Times New Roman"/>
                <w:i w:val="0"/>
                <w:iCs w:val="0"/>
                <w:color w:val="auto"/>
                <w:sz w:val="24"/>
                <w:szCs w:val="24"/>
                <w:highlight w:val="none"/>
                <w:u w:val="none"/>
                <w:lang w:val="en-US" w:eastAsia="zh-CN"/>
              </w:rPr>
              <w:t>十三包</w:t>
            </w:r>
          </w:p>
        </w:tc>
        <w:tc>
          <w:tcPr>
            <w:tcW w:w="2430" w:type="dxa"/>
            <w:tcBorders>
              <w:top w:val="single" w:color="000000" w:sz="4" w:space="0"/>
              <w:left w:val="single" w:color="auto" w:sz="4" w:space="0"/>
              <w:bottom w:val="single" w:color="000000" w:sz="4" w:space="0"/>
              <w:right w:val="single" w:color="000000" w:sz="4" w:space="0"/>
            </w:tcBorders>
            <w:shd w:val="clear" w:color="auto" w:fill="auto"/>
            <w:vAlign w:val="center"/>
          </w:tcPr>
          <w:p w14:paraId="7FC7F20A">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水域救生套装</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BC960">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209</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2BF58">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套</w:t>
            </w:r>
          </w:p>
        </w:tc>
        <w:tc>
          <w:tcPr>
            <w:tcW w:w="1801" w:type="dxa"/>
            <w:tcBorders>
              <w:top w:val="single" w:color="000000" w:sz="4" w:space="0"/>
              <w:left w:val="single" w:color="000000" w:sz="4" w:space="0"/>
              <w:bottom w:val="single" w:color="000000" w:sz="4" w:space="0"/>
              <w:right w:val="single" w:color="auto" w:sz="4" w:space="0"/>
            </w:tcBorders>
            <w:shd w:val="clear" w:color="auto" w:fill="auto"/>
            <w:vAlign w:val="center"/>
          </w:tcPr>
          <w:p w14:paraId="2848D95C">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0.2</w:t>
            </w:r>
          </w:p>
        </w:tc>
        <w:tc>
          <w:tcPr>
            <w:tcW w:w="16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B603D75">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0"/>
                <w:szCs w:val="20"/>
                <w:highlight w:val="none"/>
                <w:u w:val="none"/>
                <w:lang w:val="en-US" w:eastAsia="zh-CN" w:bidi="ar"/>
              </w:rPr>
              <w:t>112.8</w:t>
            </w:r>
          </w:p>
        </w:tc>
      </w:tr>
      <w:tr w14:paraId="7522A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6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23594B3">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auto" w:sz="4" w:space="0"/>
              <w:bottom w:val="single" w:color="000000" w:sz="4" w:space="0"/>
              <w:right w:val="single" w:color="000000" w:sz="4" w:space="0"/>
            </w:tcBorders>
            <w:shd w:val="clear" w:color="auto" w:fill="auto"/>
            <w:vAlign w:val="center"/>
          </w:tcPr>
          <w:p w14:paraId="7B0E2DE8">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干式水域救援服</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DB8CC">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28</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C737">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件</w:t>
            </w:r>
          </w:p>
        </w:tc>
        <w:tc>
          <w:tcPr>
            <w:tcW w:w="1801" w:type="dxa"/>
            <w:tcBorders>
              <w:top w:val="single" w:color="000000" w:sz="4" w:space="0"/>
              <w:left w:val="single" w:color="000000" w:sz="4" w:space="0"/>
              <w:bottom w:val="single" w:color="000000" w:sz="4" w:space="0"/>
              <w:right w:val="single" w:color="auto" w:sz="4" w:space="0"/>
            </w:tcBorders>
            <w:shd w:val="clear" w:color="auto" w:fill="auto"/>
            <w:vAlign w:val="center"/>
          </w:tcPr>
          <w:p w14:paraId="103BBF35">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0.5</w:t>
            </w:r>
          </w:p>
        </w:tc>
        <w:tc>
          <w:tcPr>
            <w:tcW w:w="16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FC8A6C9">
            <w:pPr>
              <w:jc w:val="center"/>
              <w:rPr>
                <w:rFonts w:hint="default" w:ascii="Times New Roman" w:hAnsi="Times New Roman" w:eastAsia="宋体" w:cs="Times New Roman"/>
                <w:i w:val="0"/>
                <w:iCs w:val="0"/>
                <w:color w:val="auto"/>
                <w:sz w:val="24"/>
                <w:szCs w:val="24"/>
                <w:highlight w:val="none"/>
                <w:u w:val="none"/>
              </w:rPr>
            </w:pPr>
          </w:p>
        </w:tc>
      </w:tr>
      <w:tr w14:paraId="7B419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6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D340DB">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auto" w:sz="4" w:space="0"/>
              <w:bottom w:val="single" w:color="000000" w:sz="4" w:space="0"/>
              <w:right w:val="single" w:color="000000" w:sz="4" w:space="0"/>
            </w:tcBorders>
            <w:shd w:val="clear" w:color="auto" w:fill="auto"/>
            <w:vAlign w:val="center"/>
          </w:tcPr>
          <w:p w14:paraId="11E31B8E">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湿式水域救援服</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7F84">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28</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E3FDC">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套</w:t>
            </w:r>
          </w:p>
        </w:tc>
        <w:tc>
          <w:tcPr>
            <w:tcW w:w="1801" w:type="dxa"/>
            <w:tcBorders>
              <w:top w:val="single" w:color="000000" w:sz="4" w:space="0"/>
              <w:left w:val="single" w:color="000000" w:sz="4" w:space="0"/>
              <w:bottom w:val="single" w:color="000000" w:sz="4" w:space="0"/>
              <w:right w:val="single" w:color="auto" w:sz="4" w:space="0"/>
            </w:tcBorders>
            <w:shd w:val="clear" w:color="auto" w:fill="auto"/>
            <w:vAlign w:val="center"/>
          </w:tcPr>
          <w:p w14:paraId="6614DA99">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w:t>
            </w:r>
          </w:p>
        </w:tc>
        <w:tc>
          <w:tcPr>
            <w:tcW w:w="16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5608F5B">
            <w:pPr>
              <w:jc w:val="center"/>
              <w:rPr>
                <w:rFonts w:hint="default" w:ascii="Times New Roman" w:hAnsi="Times New Roman" w:eastAsia="宋体" w:cs="Times New Roman"/>
                <w:i w:val="0"/>
                <w:iCs w:val="0"/>
                <w:color w:val="auto"/>
                <w:sz w:val="24"/>
                <w:szCs w:val="24"/>
                <w:highlight w:val="none"/>
                <w:u w:val="none"/>
              </w:rPr>
            </w:pPr>
          </w:p>
        </w:tc>
      </w:tr>
      <w:tr w14:paraId="6B38A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6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E78F12">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auto" w:sz="4" w:space="0"/>
              <w:bottom w:val="single" w:color="000000" w:sz="4" w:space="0"/>
              <w:right w:val="single" w:color="000000" w:sz="4" w:space="0"/>
            </w:tcBorders>
            <w:shd w:val="clear" w:color="auto" w:fill="auto"/>
            <w:vAlign w:val="center"/>
          </w:tcPr>
          <w:p w14:paraId="12E4BAD2">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冰面救援服</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15720">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17</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AD83">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件</w:t>
            </w:r>
          </w:p>
        </w:tc>
        <w:tc>
          <w:tcPr>
            <w:tcW w:w="1801" w:type="dxa"/>
            <w:tcBorders>
              <w:top w:val="single" w:color="000000" w:sz="4" w:space="0"/>
              <w:left w:val="single" w:color="000000" w:sz="4" w:space="0"/>
              <w:bottom w:val="single" w:color="000000" w:sz="4" w:space="0"/>
              <w:right w:val="single" w:color="auto" w:sz="4" w:space="0"/>
            </w:tcBorders>
            <w:shd w:val="clear" w:color="auto" w:fill="auto"/>
            <w:vAlign w:val="center"/>
          </w:tcPr>
          <w:p w14:paraId="16C7529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1.2</w:t>
            </w:r>
          </w:p>
        </w:tc>
        <w:tc>
          <w:tcPr>
            <w:tcW w:w="16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68BD08">
            <w:pPr>
              <w:jc w:val="center"/>
              <w:rPr>
                <w:rFonts w:hint="default" w:ascii="Times New Roman" w:hAnsi="Times New Roman" w:eastAsia="宋体" w:cs="Times New Roman"/>
                <w:i w:val="0"/>
                <w:iCs w:val="0"/>
                <w:color w:val="auto"/>
                <w:sz w:val="24"/>
                <w:szCs w:val="24"/>
                <w:highlight w:val="none"/>
                <w:u w:val="none"/>
              </w:rPr>
            </w:pPr>
          </w:p>
        </w:tc>
      </w:tr>
      <w:tr w14:paraId="7FC12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6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F6C8926">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auto" w:sz="4" w:space="0"/>
              <w:bottom w:val="single" w:color="000000" w:sz="4" w:space="0"/>
              <w:right w:val="single" w:color="000000" w:sz="4" w:space="0"/>
            </w:tcBorders>
            <w:shd w:val="clear" w:color="auto" w:fill="auto"/>
            <w:vAlign w:val="center"/>
          </w:tcPr>
          <w:p w14:paraId="0C863326">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水面漂浮救生</w:t>
            </w:r>
            <w:r>
              <w:rPr>
                <w:rFonts w:hint="eastAsia" w:ascii="宋体" w:hAnsi="宋体" w:eastAsia="宋体" w:cs="宋体"/>
                <w:i w:val="0"/>
                <w:iCs w:val="0"/>
                <w:color w:val="auto"/>
                <w:sz w:val="24"/>
                <w:szCs w:val="24"/>
                <w:highlight w:val="none"/>
                <w:u w:val="none"/>
                <w:lang w:val="en-US" w:eastAsia="zh-CN"/>
              </w:rPr>
              <w:t>绳</w:t>
            </w:r>
            <w:r>
              <w:rPr>
                <w:rFonts w:hint="default" w:ascii="宋体" w:hAnsi="宋体" w:eastAsia="宋体" w:cs="宋体"/>
                <w:i w:val="0"/>
                <w:iCs w:val="0"/>
                <w:color w:val="auto"/>
                <w:sz w:val="24"/>
                <w:szCs w:val="24"/>
                <w:highlight w:val="none"/>
                <w:u w:val="none"/>
                <w:lang w:val="en-US" w:eastAsia="zh-CN"/>
              </w:rPr>
              <w:t>（200米）</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253F3">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28</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56EE">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盘</w:t>
            </w:r>
          </w:p>
        </w:tc>
        <w:tc>
          <w:tcPr>
            <w:tcW w:w="1801" w:type="dxa"/>
            <w:tcBorders>
              <w:top w:val="single" w:color="000000" w:sz="4" w:space="0"/>
              <w:left w:val="single" w:color="000000" w:sz="4" w:space="0"/>
              <w:bottom w:val="single" w:color="000000" w:sz="4" w:space="0"/>
              <w:right w:val="single" w:color="auto" w:sz="4" w:space="0"/>
            </w:tcBorders>
            <w:shd w:val="clear" w:color="auto" w:fill="auto"/>
            <w:vAlign w:val="center"/>
          </w:tcPr>
          <w:p w14:paraId="3C7A8AE0">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0.35</w:t>
            </w:r>
          </w:p>
        </w:tc>
        <w:tc>
          <w:tcPr>
            <w:tcW w:w="16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0CBDE5">
            <w:pPr>
              <w:jc w:val="center"/>
              <w:rPr>
                <w:rFonts w:hint="default" w:ascii="Times New Roman" w:hAnsi="Times New Roman" w:eastAsia="宋体" w:cs="Times New Roman"/>
                <w:i w:val="0"/>
                <w:iCs w:val="0"/>
                <w:color w:val="auto"/>
                <w:sz w:val="24"/>
                <w:szCs w:val="24"/>
                <w:highlight w:val="none"/>
                <w:u w:val="none"/>
              </w:rPr>
            </w:pPr>
          </w:p>
        </w:tc>
      </w:tr>
      <w:tr w14:paraId="79772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6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1DA0DC2">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auto" w:sz="4" w:space="0"/>
              <w:bottom w:val="single" w:color="000000" w:sz="4" w:space="0"/>
              <w:right w:val="single" w:color="000000" w:sz="4" w:space="0"/>
            </w:tcBorders>
            <w:shd w:val="clear" w:color="auto" w:fill="auto"/>
            <w:vAlign w:val="center"/>
          </w:tcPr>
          <w:p w14:paraId="658686BE">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充气救生筏</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22B59">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4</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8F7EC">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部</w:t>
            </w:r>
          </w:p>
        </w:tc>
        <w:tc>
          <w:tcPr>
            <w:tcW w:w="1801" w:type="dxa"/>
            <w:tcBorders>
              <w:top w:val="single" w:color="000000" w:sz="4" w:space="0"/>
              <w:left w:val="single" w:color="000000" w:sz="4" w:space="0"/>
              <w:bottom w:val="single" w:color="000000" w:sz="4" w:space="0"/>
              <w:right w:val="single" w:color="auto" w:sz="4" w:space="0"/>
            </w:tcBorders>
            <w:shd w:val="clear" w:color="auto" w:fill="auto"/>
            <w:vAlign w:val="center"/>
          </w:tcPr>
          <w:p w14:paraId="1C21495E">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2.6</w:t>
            </w:r>
          </w:p>
        </w:tc>
        <w:tc>
          <w:tcPr>
            <w:tcW w:w="16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B9A842">
            <w:pPr>
              <w:jc w:val="center"/>
              <w:rPr>
                <w:rFonts w:hint="default" w:ascii="Times New Roman" w:hAnsi="Times New Roman" w:eastAsia="宋体" w:cs="Times New Roman"/>
                <w:i w:val="0"/>
                <w:iCs w:val="0"/>
                <w:color w:val="auto"/>
                <w:sz w:val="24"/>
                <w:szCs w:val="24"/>
                <w:highlight w:val="none"/>
                <w:u w:val="none"/>
              </w:rPr>
            </w:pPr>
          </w:p>
        </w:tc>
      </w:tr>
      <w:tr w14:paraId="7C8E8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6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60546B9">
            <w:pPr>
              <w:jc w:val="center"/>
              <w:rPr>
                <w:rFonts w:hint="default" w:ascii="Times New Roman" w:hAnsi="Times New Roman" w:eastAsia="宋体" w:cs="Times New Roman"/>
                <w:i w:val="0"/>
                <w:iCs w:val="0"/>
                <w:color w:val="auto"/>
                <w:sz w:val="24"/>
                <w:szCs w:val="24"/>
                <w:highlight w:val="none"/>
                <w:u w:val="none"/>
              </w:rPr>
            </w:pPr>
          </w:p>
        </w:tc>
        <w:tc>
          <w:tcPr>
            <w:tcW w:w="2430" w:type="dxa"/>
            <w:tcBorders>
              <w:top w:val="single" w:color="000000" w:sz="4" w:space="0"/>
              <w:left w:val="single" w:color="auto" w:sz="4" w:space="0"/>
              <w:bottom w:val="single" w:color="000000" w:sz="4" w:space="0"/>
              <w:right w:val="single" w:color="000000" w:sz="4" w:space="0"/>
            </w:tcBorders>
            <w:shd w:val="clear" w:color="auto" w:fill="auto"/>
            <w:vAlign w:val="center"/>
          </w:tcPr>
          <w:p w14:paraId="34941FD4">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冰面救援滑板</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0246D">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10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070F5">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部</w:t>
            </w:r>
          </w:p>
        </w:tc>
        <w:tc>
          <w:tcPr>
            <w:tcW w:w="1801" w:type="dxa"/>
            <w:tcBorders>
              <w:top w:val="single" w:color="000000" w:sz="4" w:space="0"/>
              <w:left w:val="single" w:color="000000" w:sz="4" w:space="0"/>
              <w:bottom w:val="single" w:color="000000" w:sz="4" w:space="0"/>
              <w:right w:val="single" w:color="auto" w:sz="4" w:space="0"/>
            </w:tcBorders>
            <w:shd w:val="clear" w:color="auto" w:fill="auto"/>
            <w:vAlign w:val="center"/>
          </w:tcPr>
          <w:p w14:paraId="66F8A7DF">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0.8</w:t>
            </w:r>
          </w:p>
        </w:tc>
        <w:tc>
          <w:tcPr>
            <w:tcW w:w="16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83C98E">
            <w:pPr>
              <w:jc w:val="center"/>
              <w:rPr>
                <w:rFonts w:hint="default" w:ascii="Times New Roman" w:hAnsi="Times New Roman" w:eastAsia="宋体" w:cs="Times New Roman"/>
                <w:i w:val="0"/>
                <w:iCs w:val="0"/>
                <w:color w:val="auto"/>
                <w:sz w:val="24"/>
                <w:szCs w:val="24"/>
                <w:highlight w:val="none"/>
                <w:u w:val="none"/>
              </w:rPr>
            </w:pPr>
          </w:p>
        </w:tc>
      </w:tr>
    </w:tbl>
    <w:p w14:paraId="238A1EC7">
      <w:pPr>
        <w:pStyle w:val="7"/>
        <w:rPr>
          <w:rFonts w:hint="eastAsia" w:ascii="宋体" w:hAnsi="宋体" w:cs="宋体"/>
          <w:b/>
          <w:bCs/>
          <w:color w:val="auto"/>
          <w:sz w:val="24"/>
          <w:szCs w:val="24"/>
          <w:highlight w:val="none"/>
        </w:rPr>
      </w:pPr>
    </w:p>
    <w:p w14:paraId="75050E38">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供货地点：</w:t>
      </w:r>
      <w:r>
        <w:rPr>
          <w:rFonts w:hint="eastAsia" w:ascii="宋体" w:hAnsi="宋体" w:cs="宋体"/>
          <w:color w:val="auto"/>
          <w:sz w:val="24"/>
          <w:szCs w:val="24"/>
          <w:highlight w:val="none"/>
        </w:rPr>
        <w:t>招标人指定地点。</w:t>
      </w:r>
    </w:p>
    <w:p w14:paraId="0381410A">
      <w:pPr>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合同履行期限</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签订合同后30日内交付。</w:t>
      </w:r>
    </w:p>
    <w:p w14:paraId="54B819D3">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14:paraId="56E75ED1">
      <w:pPr>
        <w:pStyle w:val="5"/>
        <w:rPr>
          <w:color w:val="auto"/>
          <w:highlight w:val="none"/>
        </w:rPr>
      </w:pPr>
      <w:r>
        <w:rPr>
          <w:rFonts w:hint="eastAsia"/>
          <w:color w:val="auto"/>
          <w:highlight w:val="none"/>
        </w:rPr>
        <w:t>二、申请人的资格要求</w:t>
      </w:r>
    </w:p>
    <w:p w14:paraId="092C38A8">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1.满足《中华人民共和国政府采购法》第二十二条规定；</w:t>
      </w:r>
    </w:p>
    <w:p w14:paraId="3C8689CD">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2.落实政府采购政策需满足的资格要求：</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val="zh-CN" w:eastAsia="zh-CN"/>
        </w:rPr>
        <w:t>本项目</w:t>
      </w:r>
      <w:r>
        <w:rPr>
          <w:rFonts w:hint="eastAsia" w:ascii="宋体" w:hAnsi="宋体" w:cs="宋体"/>
          <w:color w:val="auto"/>
          <w:sz w:val="24"/>
          <w:szCs w:val="24"/>
          <w:highlight w:val="none"/>
          <w:lang w:val="zh-CN"/>
        </w:rPr>
        <w:t>专门面向中小企业采购，价格不再进行财政政策扣除；</w:t>
      </w:r>
      <w:r>
        <w:rPr>
          <w:rFonts w:hint="eastAsia"/>
          <w:color w:val="auto"/>
          <w:highlight w:val="none"/>
          <w:lang w:val="zh-CN"/>
        </w:rPr>
        <w:t xml:space="preserve"> </w:t>
      </w:r>
      <w:r>
        <w:rPr>
          <w:rFonts w:hint="eastAsia" w:ascii="宋体" w:hAnsi="宋体" w:cs="宋体"/>
          <w:color w:val="auto"/>
          <w:sz w:val="24"/>
          <w:szCs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080A0D0F">
      <w:pPr>
        <w:spacing w:line="46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eastAsia="宋体" w:cs="宋体"/>
          <w:color w:val="auto"/>
          <w:sz w:val="24"/>
          <w:szCs w:val="24"/>
          <w:highlight w:val="none"/>
          <w:lang w:val="zh-CN"/>
        </w:rPr>
        <w:t>.本项目的特定资格要求：</w:t>
      </w:r>
    </w:p>
    <w:p w14:paraId="35E77C34">
      <w:pPr>
        <w:spacing w:line="46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与招标人存在利害关系可能影响招标公正性的法人、其他组织或者个人，不得参加同一标段投标或者未划分标段的同一招标项目投标；</w:t>
      </w:r>
    </w:p>
    <w:p w14:paraId="55C67B2C">
      <w:pPr>
        <w:spacing w:line="460" w:lineRule="exact"/>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 xml:space="preserve"> 投标人负责人为同一人或者存在控股、管理关系的不同单位，不得同时参加本项目的投标；</w:t>
      </w:r>
    </w:p>
    <w:p w14:paraId="46114347">
      <w:pPr>
        <w:spacing w:line="46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 xml:space="preserve">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w:t>
      </w:r>
      <w:r>
        <w:rPr>
          <w:rFonts w:hint="eastAsia" w:ascii="宋体" w:hAnsi="宋体" w:cs="宋体"/>
          <w:color w:val="auto"/>
          <w:sz w:val="24"/>
          <w:szCs w:val="24"/>
          <w:highlight w:val="none"/>
          <w:lang w:val="en-US" w:eastAsia="zh-CN"/>
        </w:rPr>
        <w:t>失信主体</w:t>
      </w:r>
      <w:r>
        <w:rPr>
          <w:rFonts w:hint="eastAsia" w:ascii="宋体" w:hAnsi="宋体" w:cs="宋体"/>
          <w:color w:val="auto"/>
          <w:sz w:val="24"/>
          <w:szCs w:val="24"/>
          <w:highlight w:val="none"/>
        </w:rPr>
        <w:t>、政府采购严重违法失信行为记录名单的（尚在处罚期内的），将拒绝其参加本次项目投标；</w:t>
      </w:r>
    </w:p>
    <w:p w14:paraId="7D7309B3">
      <w:pPr>
        <w:spacing w:line="460" w:lineRule="exact"/>
        <w:ind w:firstLine="480" w:firstLineChars="200"/>
        <w:jc w:val="left"/>
        <w:rPr>
          <w:rFonts w:hint="eastAsia" w:eastAsia="宋体"/>
          <w:color w:val="auto"/>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本项目不接受联合体投标。</w:t>
      </w:r>
    </w:p>
    <w:p w14:paraId="6FA7D863">
      <w:pPr>
        <w:pStyle w:val="5"/>
        <w:rPr>
          <w:color w:val="auto"/>
          <w:highlight w:val="none"/>
        </w:rPr>
      </w:pPr>
      <w:r>
        <w:rPr>
          <w:rFonts w:hint="eastAsia"/>
          <w:color w:val="auto"/>
          <w:highlight w:val="none"/>
        </w:rPr>
        <w:t>三、获取招标文件</w:t>
      </w:r>
    </w:p>
    <w:p w14:paraId="0A61AE74">
      <w:pPr>
        <w:keepNext w:val="0"/>
        <w:keepLines w:val="0"/>
        <w:pageBreakBefore w:val="0"/>
        <w:kinsoku/>
        <w:wordWrap/>
        <w:overflowPunct/>
        <w:topLinePunct w:val="0"/>
        <w:autoSpaceDE/>
        <w:autoSpaceDN/>
        <w:bidi w:val="0"/>
        <w:adjustRightInd/>
        <w:snapToGrid/>
        <w:spacing w:line="460" w:lineRule="exact"/>
        <w:ind w:firstLine="54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时间</w:t>
      </w:r>
      <w:r>
        <w:rPr>
          <w:rFonts w:hint="eastAsia" w:ascii="宋体" w:hAnsi="宋体" w:cs="宋体"/>
          <w:color w:val="auto"/>
          <w:sz w:val="24"/>
          <w:szCs w:val="24"/>
          <w:highlight w:val="none"/>
          <w:u w:val="single"/>
          <w:lang w:val="en-US" w:eastAsia="zh-CN"/>
        </w:rPr>
        <w:t>2024</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u w:val="single"/>
          <w:lang w:val="en-US" w:eastAsia="zh-CN"/>
        </w:rPr>
        <w:t>2024</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none"/>
          <w:lang w:eastAsia="zh-CN"/>
        </w:rPr>
        <w:t>，</w:t>
      </w:r>
      <w:r>
        <w:rPr>
          <w:rFonts w:hint="eastAsia" w:ascii="宋体" w:hAnsi="宋体" w:eastAsia="宋体" w:cs="宋体"/>
          <w:color w:val="auto"/>
          <w:sz w:val="24"/>
          <w:szCs w:val="24"/>
          <w:highlight w:val="none"/>
        </w:rPr>
        <w:t>每天上午</w:t>
      </w:r>
      <w:r>
        <w:rPr>
          <w:rFonts w:hint="eastAsia" w:ascii="宋体" w:hAnsi="宋体" w:cs="宋体"/>
          <w:color w:val="auto"/>
          <w:sz w:val="24"/>
          <w:szCs w:val="24"/>
          <w:highlight w:val="none"/>
          <w:u w:val="single"/>
          <w:lang w:val="en-US" w:eastAsia="zh-CN"/>
        </w:rPr>
        <w:t>08:00</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u w:val="single"/>
          <w:lang w:val="en-US" w:eastAsia="zh-CN"/>
        </w:rPr>
        <w:t>14:00</w:t>
      </w:r>
      <w:r>
        <w:rPr>
          <w:rFonts w:hint="eastAsia" w:ascii="宋体" w:hAnsi="宋体" w:eastAsia="宋体" w:cs="宋体"/>
          <w:color w:val="auto"/>
          <w:sz w:val="24"/>
          <w:szCs w:val="24"/>
          <w:highlight w:val="none"/>
        </w:rPr>
        <w:t>，下午</w:t>
      </w:r>
      <w:r>
        <w:rPr>
          <w:rFonts w:hint="eastAsia" w:ascii="宋体" w:hAnsi="宋体" w:cs="宋体"/>
          <w:color w:val="auto"/>
          <w:sz w:val="24"/>
          <w:szCs w:val="24"/>
          <w:highlight w:val="none"/>
          <w:u w:val="single"/>
          <w:lang w:val="en-US" w:eastAsia="zh-CN"/>
        </w:rPr>
        <w:t>14:00</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u w:val="single"/>
          <w:lang w:val="en-US" w:eastAsia="zh-CN"/>
        </w:rPr>
        <w:t>21:00</w:t>
      </w:r>
      <w:r>
        <w:rPr>
          <w:rFonts w:hint="eastAsia" w:ascii="宋体" w:hAnsi="宋体" w:eastAsia="宋体" w:cs="宋体"/>
          <w:color w:val="auto"/>
          <w:sz w:val="24"/>
          <w:szCs w:val="24"/>
          <w:highlight w:val="none"/>
        </w:rPr>
        <w:t>（北京时间，法定节假日除外）</w:t>
      </w:r>
    </w:p>
    <w:p w14:paraId="3EE026D8">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lang w:val="en-US" w:eastAsia="zh-CN"/>
        </w:rPr>
        <w:t>线上</w:t>
      </w:r>
    </w:p>
    <w:p w14:paraId="3AF65B5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color w:val="auto"/>
          <w:highlight w:val="none"/>
        </w:rPr>
      </w:pPr>
      <w:r>
        <w:rPr>
          <w:rFonts w:hint="eastAsia" w:ascii="宋体" w:hAnsi="宋体" w:cs="宋体"/>
          <w:color w:val="auto"/>
          <w:sz w:val="24"/>
          <w:szCs w:val="24"/>
          <w:highlight w:val="none"/>
        </w:rPr>
        <w:t>方式：</w:t>
      </w:r>
      <w:r>
        <w:rPr>
          <w:rFonts w:hint="eastAsia" w:ascii="Times New Roman" w:hAnsi="Times New Roman" w:cs="Times New Roman"/>
          <w:b w:val="0"/>
          <w:bCs w:val="0"/>
          <w:color w:val="auto"/>
          <w:sz w:val="24"/>
          <w:szCs w:val="24"/>
          <w:highlight w:val="none"/>
        </w:rPr>
        <w:t>领取招标文件时：需将单位名称、所投项目名称、</w:t>
      </w:r>
      <w:r>
        <w:rPr>
          <w:rFonts w:hint="eastAsia" w:cs="Times New Roman"/>
          <w:b w:val="0"/>
          <w:bCs w:val="0"/>
          <w:color w:val="auto"/>
          <w:sz w:val="24"/>
          <w:szCs w:val="24"/>
          <w:highlight w:val="none"/>
          <w:lang w:val="en-US" w:eastAsia="zh-CN"/>
        </w:rPr>
        <w:t>项目编号、标包编号、</w:t>
      </w:r>
      <w:r>
        <w:rPr>
          <w:rFonts w:hint="eastAsia" w:ascii="Times New Roman" w:hAnsi="Times New Roman" w:cs="Times New Roman"/>
          <w:b w:val="0"/>
          <w:bCs w:val="0"/>
          <w:color w:val="auto"/>
          <w:sz w:val="24"/>
          <w:szCs w:val="24"/>
          <w:highlight w:val="none"/>
        </w:rPr>
        <w:t>联系人、联系方式和电子邮箱号书写在一张A4纸上并加盖公章，扫描后发送至指定邮箱</w:t>
      </w:r>
      <w:r>
        <w:rPr>
          <w:rFonts w:hint="eastAsia" w:cs="Times New Roman"/>
          <w:b w:val="0"/>
          <w:bCs w:val="0"/>
          <w:color w:val="auto"/>
          <w:sz w:val="24"/>
          <w:szCs w:val="24"/>
          <w:highlight w:val="none"/>
          <w:lang w:val="en-US" w:eastAsia="zh-CN"/>
        </w:rPr>
        <w:t>:1669422132</w:t>
      </w:r>
      <w:r>
        <w:rPr>
          <w:rFonts w:hint="eastAsia" w:ascii="Times New Roman" w:hAnsi="Times New Roman" w:cs="Times New Roman"/>
          <w:b w:val="0"/>
          <w:bCs w:val="0"/>
          <w:color w:val="auto"/>
          <w:sz w:val="24"/>
          <w:szCs w:val="24"/>
          <w:highlight w:val="none"/>
        </w:rPr>
        <w:t>@qq.com。</w:t>
      </w:r>
    </w:p>
    <w:p w14:paraId="58E92EDF">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4"/>
          <w:highlight w:val="none"/>
          <w:u w:val="single"/>
        </w:rPr>
      </w:pPr>
      <w:r>
        <w:rPr>
          <w:rFonts w:hint="eastAsia" w:ascii="仿宋" w:hAnsi="仿宋" w:cs="宋体"/>
          <w:color w:val="auto"/>
          <w:kern w:val="0"/>
          <w:sz w:val="24"/>
          <w:szCs w:val="24"/>
          <w:highlight w:val="none"/>
        </w:rPr>
        <w:t>售价：</w:t>
      </w:r>
      <w:r>
        <w:rPr>
          <w:rFonts w:ascii="宋体" w:hAnsi="宋体" w:cs="宋体"/>
          <w:color w:val="auto"/>
          <w:kern w:val="0"/>
          <w:sz w:val="24"/>
          <w:szCs w:val="24"/>
          <w:highlight w:val="none"/>
        </w:rPr>
        <w:t>¥</w:t>
      </w:r>
      <w:r>
        <w:rPr>
          <w:rFonts w:hint="eastAsia" w:ascii="仿宋" w:hAnsi="仿宋" w:cs="宋体"/>
          <w:color w:val="auto"/>
          <w:kern w:val="0"/>
          <w:sz w:val="24"/>
          <w:szCs w:val="24"/>
          <w:highlight w:val="none"/>
        </w:rPr>
        <w:t>0元</w:t>
      </w:r>
    </w:p>
    <w:p w14:paraId="60CA3735">
      <w:pPr>
        <w:pStyle w:val="5"/>
        <w:rPr>
          <w:rFonts w:hint="eastAsia"/>
          <w:color w:val="auto"/>
          <w:highlight w:val="none"/>
        </w:rPr>
      </w:pPr>
      <w:r>
        <w:rPr>
          <w:rFonts w:hint="eastAsia"/>
          <w:color w:val="auto"/>
          <w:highlight w:val="none"/>
        </w:rPr>
        <w:t>四、提交投标文件截止时间、开标时间和地点</w:t>
      </w:r>
    </w:p>
    <w:p w14:paraId="0875897B">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提交投标文件截止时间：</w:t>
      </w:r>
      <w:r>
        <w:rPr>
          <w:rFonts w:hint="eastAsia" w:ascii="宋体" w:hAnsi="宋体" w:cs="宋体"/>
          <w:color w:val="auto"/>
          <w:sz w:val="24"/>
          <w:szCs w:val="24"/>
          <w:highlight w:val="none"/>
          <w:u w:val="single"/>
          <w:lang w:val="en-US" w:eastAsia="zh-CN"/>
        </w:rPr>
        <w:t>2024年10月16日10点30分（北京时间）</w:t>
      </w:r>
    </w:p>
    <w:p w14:paraId="602F3C9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开标时间：</w:t>
      </w:r>
      <w:r>
        <w:rPr>
          <w:rFonts w:hint="eastAsia" w:ascii="宋体" w:hAnsi="宋体" w:cs="宋体"/>
          <w:color w:val="auto"/>
          <w:sz w:val="24"/>
          <w:szCs w:val="24"/>
          <w:highlight w:val="none"/>
          <w:u w:val="single"/>
          <w:lang w:val="en-US" w:eastAsia="zh-CN"/>
        </w:rPr>
        <w:t>2024年10月16日10点30分（北京时间）</w:t>
      </w:r>
    </w:p>
    <w:p w14:paraId="04D0B4C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地点：昌吉回族自治州政务服务和公共资源交易中心公共资源交易大厅负一楼第三开标大厅</w:t>
      </w:r>
    </w:p>
    <w:p w14:paraId="3112CB32">
      <w:pPr>
        <w:pStyle w:val="5"/>
        <w:keepNext/>
        <w:keepLines/>
        <w:pageBreakBefore w:val="0"/>
        <w:widowControl w:val="0"/>
        <w:kinsoku/>
        <w:wordWrap/>
        <w:overflowPunct/>
        <w:topLinePunct w:val="0"/>
        <w:autoSpaceDE/>
        <w:autoSpaceDN/>
        <w:bidi w:val="0"/>
        <w:adjustRightInd/>
        <w:snapToGrid/>
        <w:textAlignment w:val="auto"/>
        <w:rPr>
          <w:color w:val="auto"/>
          <w:highlight w:val="none"/>
        </w:rPr>
      </w:pPr>
      <w:r>
        <w:rPr>
          <w:rFonts w:hint="eastAsia"/>
          <w:color w:val="auto"/>
          <w:highlight w:val="none"/>
          <w:lang w:val="en-US" w:eastAsia="zh-CN"/>
        </w:rPr>
        <w:t>五</w:t>
      </w:r>
      <w:r>
        <w:rPr>
          <w:rFonts w:hint="eastAsia"/>
          <w:color w:val="auto"/>
          <w:highlight w:val="none"/>
        </w:rPr>
        <w:t>、公告期限</w:t>
      </w:r>
    </w:p>
    <w:p w14:paraId="49220453">
      <w:pPr>
        <w:spacing w:line="50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w:t>
      </w:r>
      <w:r>
        <w:rPr>
          <w:rFonts w:hint="eastAsia" w:ascii="宋体" w:hAnsi="宋体" w:cs="宋体"/>
          <w:color w:val="auto"/>
          <w:kern w:val="0"/>
          <w:sz w:val="24"/>
          <w:szCs w:val="24"/>
          <w:highlight w:val="none"/>
          <w:lang w:val="en-US" w:eastAsia="zh-CN"/>
        </w:rPr>
        <w:t>5个工作日</w:t>
      </w:r>
      <w:r>
        <w:rPr>
          <w:rFonts w:hint="eastAsia" w:ascii="宋体" w:hAnsi="宋体" w:cs="宋体"/>
          <w:color w:val="auto"/>
          <w:kern w:val="0"/>
          <w:sz w:val="24"/>
          <w:szCs w:val="24"/>
          <w:highlight w:val="none"/>
        </w:rPr>
        <w:t>。</w:t>
      </w:r>
    </w:p>
    <w:p w14:paraId="69B4ED65">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313" w:afterLines="100" w:line="500" w:lineRule="exact"/>
        <w:jc w:val="left"/>
        <w:textAlignment w:val="auto"/>
        <w:rPr>
          <w:rFonts w:hint="eastAsia" w:ascii="Arial" w:hAnsi="Arial" w:eastAsia="宋体" w:cs="Arial"/>
          <w:b/>
          <w:bCs/>
          <w:color w:val="auto"/>
          <w:kern w:val="2"/>
          <w:sz w:val="30"/>
          <w:szCs w:val="30"/>
          <w:highlight w:val="none"/>
          <w:lang w:val="en-US" w:eastAsia="zh-CN" w:bidi="ar-SA"/>
        </w:rPr>
      </w:pPr>
      <w:r>
        <w:rPr>
          <w:rFonts w:hint="eastAsia" w:ascii="Arial" w:hAnsi="Arial" w:cs="Arial"/>
          <w:b/>
          <w:bCs/>
          <w:color w:val="auto"/>
          <w:kern w:val="2"/>
          <w:sz w:val="30"/>
          <w:szCs w:val="30"/>
          <w:highlight w:val="none"/>
          <w:lang w:val="en-US" w:eastAsia="zh-CN" w:bidi="ar-SA"/>
        </w:rPr>
        <w:t>六</w:t>
      </w:r>
      <w:r>
        <w:rPr>
          <w:rFonts w:hint="eastAsia" w:ascii="Arial" w:hAnsi="Arial" w:eastAsia="宋体" w:cs="Arial"/>
          <w:b/>
          <w:bCs/>
          <w:color w:val="auto"/>
          <w:kern w:val="2"/>
          <w:sz w:val="30"/>
          <w:szCs w:val="30"/>
          <w:highlight w:val="none"/>
          <w:lang w:val="en-US" w:eastAsia="zh-CN" w:bidi="ar-SA"/>
        </w:rPr>
        <w:t>、其他补充事宜</w:t>
      </w:r>
    </w:p>
    <w:p w14:paraId="7231C977">
      <w:pPr>
        <w:pStyle w:val="7"/>
        <w:rPr>
          <w:rFonts w:hint="default"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无</w:t>
      </w:r>
    </w:p>
    <w:p w14:paraId="552CFE5F">
      <w:pPr>
        <w:pStyle w:val="5"/>
        <w:rPr>
          <w:color w:val="auto"/>
          <w:highlight w:val="none"/>
        </w:rPr>
      </w:pPr>
      <w:r>
        <w:rPr>
          <w:rFonts w:hint="eastAsia"/>
          <w:color w:val="auto"/>
          <w:highlight w:val="none"/>
          <w:lang w:val="en-US" w:eastAsia="zh-CN"/>
        </w:rPr>
        <w:t>七</w:t>
      </w:r>
      <w:r>
        <w:rPr>
          <w:rFonts w:hint="eastAsia"/>
          <w:color w:val="auto"/>
          <w:highlight w:val="none"/>
        </w:rPr>
        <w:t>、凡对本次采购提出询问，请按以下方式联系</w:t>
      </w:r>
    </w:p>
    <w:p w14:paraId="2D591AA7">
      <w:pPr>
        <w:spacing w:line="50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采购人信息</w:t>
      </w:r>
    </w:p>
    <w:p w14:paraId="2B2F0B6A">
      <w:pPr>
        <w:spacing w:line="460" w:lineRule="exact"/>
        <w:ind w:firstLine="240" w:firstLineChars="1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名    称：</w:t>
      </w:r>
      <w:r>
        <w:rPr>
          <w:rFonts w:hint="eastAsia" w:ascii="宋体" w:hAnsi="宋体" w:eastAsia="宋体" w:cs="宋体"/>
          <w:color w:val="auto"/>
          <w:sz w:val="24"/>
          <w:szCs w:val="24"/>
          <w:highlight w:val="none"/>
          <w:u w:val="none"/>
          <w:lang w:val="en-US" w:eastAsia="zh-CN"/>
        </w:rPr>
        <w:t>昌吉回族自治州消防救援支队</w:t>
      </w:r>
      <w:r>
        <w:rPr>
          <w:rFonts w:hint="eastAsia" w:ascii="宋体" w:hAnsi="宋体" w:eastAsia="宋体" w:cs="宋体"/>
          <w:color w:val="auto"/>
          <w:sz w:val="24"/>
          <w:szCs w:val="24"/>
          <w:highlight w:val="none"/>
          <w:u w:val="none"/>
        </w:rPr>
        <w:t xml:space="preserve"> </w:t>
      </w:r>
      <w:r>
        <w:rPr>
          <w:rFonts w:hint="eastAsia" w:ascii="宋体" w:hAnsi="宋体" w:cs="宋体"/>
          <w:color w:val="auto"/>
          <w:sz w:val="24"/>
          <w:szCs w:val="24"/>
          <w:highlight w:val="none"/>
          <w:u w:val="single"/>
        </w:rPr>
        <w:t xml:space="preserve">   </w:t>
      </w:r>
    </w:p>
    <w:p w14:paraId="01A080E3">
      <w:pPr>
        <w:spacing w:line="460" w:lineRule="exact"/>
        <w:ind w:firstLine="240" w:firstLineChars="100"/>
        <w:jc w:val="left"/>
        <w:rPr>
          <w:rFonts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eastAsia="宋体" w:cs="宋体"/>
          <w:color w:val="auto"/>
          <w:sz w:val="24"/>
          <w:szCs w:val="24"/>
          <w:highlight w:val="none"/>
          <w:u w:val="none"/>
          <w:lang w:val="en-US" w:eastAsia="zh-CN"/>
        </w:rPr>
        <w:t>昌吉市世纪大道131号</w:t>
      </w:r>
      <w:r>
        <w:rPr>
          <w:rFonts w:hint="eastAsia" w:ascii="宋体" w:hAnsi="宋体" w:cs="宋体"/>
          <w:color w:val="auto"/>
          <w:sz w:val="24"/>
          <w:szCs w:val="24"/>
          <w:highlight w:val="none"/>
          <w:u w:val="single"/>
        </w:rPr>
        <w:t xml:space="preserve">        </w:t>
      </w:r>
    </w:p>
    <w:p w14:paraId="75FA6485">
      <w:pPr>
        <w:spacing w:line="460" w:lineRule="exact"/>
        <w:ind w:firstLine="240" w:firstLineChars="100"/>
        <w:jc w:val="left"/>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val="zh-CN"/>
        </w:rPr>
        <w:t>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人：</w:t>
      </w:r>
      <w:r>
        <w:rPr>
          <w:rFonts w:hint="eastAsia" w:ascii="宋体" w:hAnsi="宋体" w:cs="宋体"/>
          <w:color w:val="auto"/>
          <w:sz w:val="24"/>
          <w:szCs w:val="24"/>
          <w:highlight w:val="none"/>
          <w:lang w:val="zh-CN" w:eastAsia="zh-CN"/>
        </w:rPr>
        <w:t>米</w:t>
      </w:r>
      <w:r>
        <w:rPr>
          <w:rFonts w:hint="eastAsia" w:ascii="宋体" w:hAnsi="宋体" w:cs="宋体"/>
          <w:color w:val="auto"/>
          <w:sz w:val="24"/>
          <w:szCs w:val="24"/>
          <w:highlight w:val="none"/>
          <w:lang w:val="en-US" w:eastAsia="zh-CN"/>
        </w:rPr>
        <w:t>女士</w:t>
      </w:r>
      <w:r>
        <w:rPr>
          <w:rFonts w:hint="eastAsia" w:ascii="宋体" w:hAnsi="宋体" w:cs="宋体"/>
          <w:color w:val="auto"/>
          <w:sz w:val="24"/>
          <w:szCs w:val="24"/>
          <w:highlight w:val="none"/>
          <w:lang w:val="zh-CN" w:eastAsia="zh-CN"/>
        </w:rPr>
        <w:t>、郭</w:t>
      </w:r>
      <w:r>
        <w:rPr>
          <w:rFonts w:hint="eastAsia" w:ascii="宋体" w:hAnsi="宋体" w:cs="宋体"/>
          <w:color w:val="auto"/>
          <w:sz w:val="24"/>
          <w:szCs w:val="24"/>
          <w:highlight w:val="none"/>
          <w:lang w:val="en-US" w:eastAsia="zh-CN"/>
        </w:rPr>
        <w:t>先生</w:t>
      </w:r>
    </w:p>
    <w:p w14:paraId="5DB17AF0">
      <w:pPr>
        <w:pStyle w:val="124"/>
        <w:widowControl w:val="0"/>
        <w:spacing w:line="460" w:lineRule="exact"/>
        <w:ind w:left="0" w:leftChars="0" w:firstLine="240" w:firstLineChars="100"/>
        <w:rPr>
          <w:rFonts w:hint="default" w:ascii="宋体" w:hAnsi="宋体" w:cs="宋体"/>
          <w:color w:val="auto"/>
          <w:kern w:val="2"/>
          <w:highlight w:val="none"/>
          <w:u w:val="single"/>
          <w:lang w:val="en-US" w:eastAsia="zh-CN" w:bidi="ar-SA"/>
        </w:rPr>
      </w:pPr>
      <w:r>
        <w:rPr>
          <w:rFonts w:hint="eastAsia" w:ascii="宋体" w:hAnsi="宋体" w:cs="宋体"/>
          <w:color w:val="auto"/>
          <w:highlight w:val="none"/>
          <w:lang w:eastAsia="zh-CN"/>
        </w:rPr>
        <w:t>联</w:t>
      </w:r>
      <w:r>
        <w:rPr>
          <w:rFonts w:hint="eastAsia" w:ascii="宋体" w:hAnsi="宋体" w:cs="宋体"/>
          <w:color w:val="auto"/>
          <w:kern w:val="2"/>
          <w:highlight w:val="none"/>
          <w:lang w:eastAsia="zh-CN" w:bidi="ar-SA"/>
        </w:rPr>
        <w:t>系方式：</w:t>
      </w:r>
      <w:r>
        <w:rPr>
          <w:rFonts w:hint="eastAsia" w:ascii="宋体" w:hAnsi="宋体" w:cs="宋体"/>
          <w:color w:val="auto"/>
          <w:kern w:val="2"/>
          <w:highlight w:val="none"/>
          <w:lang w:val="en-US" w:eastAsia="zh-CN" w:bidi="ar-SA"/>
        </w:rPr>
        <w:t>13031398090、15769051697</w:t>
      </w:r>
    </w:p>
    <w:p w14:paraId="25089EAD">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1EA14072">
      <w:pPr>
        <w:spacing w:line="460" w:lineRule="exact"/>
        <w:ind w:firstLine="240" w:firstLineChars="1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新疆元泓工程项目管理咨询有限公司</w:t>
      </w:r>
    </w:p>
    <w:p w14:paraId="15DC1750">
      <w:pPr>
        <w:spacing w:line="460" w:lineRule="exact"/>
        <w:ind w:firstLine="240" w:firstLineChars="100"/>
        <w:jc w:val="lef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val="en-US" w:eastAsia="zh-CN"/>
        </w:rPr>
        <w:t>乌鲁木齐市经济技术开发区乌昌路252号九方财富广场A座525</w:t>
      </w:r>
    </w:p>
    <w:p w14:paraId="7BBF47A0">
      <w:pPr>
        <w:spacing w:line="460" w:lineRule="exact"/>
        <w:ind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CN"/>
        </w:rPr>
        <w:t>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人：</w:t>
      </w:r>
      <w:r>
        <w:rPr>
          <w:rFonts w:hint="eastAsia" w:ascii="宋体" w:hAnsi="宋体" w:cs="宋体"/>
          <w:color w:val="auto"/>
          <w:sz w:val="24"/>
          <w:szCs w:val="24"/>
          <w:highlight w:val="none"/>
          <w:lang w:val="en-US" w:eastAsia="zh-CN"/>
        </w:rPr>
        <w:t xml:space="preserve">吴女士、高女士、刘先生 </w:t>
      </w:r>
    </w:p>
    <w:p w14:paraId="5CCB935F">
      <w:pPr>
        <w:spacing w:line="460" w:lineRule="exact"/>
        <w:ind w:firstLine="240" w:firstLineChars="100"/>
        <w:jc w:val="left"/>
        <w:rPr>
          <w:rFonts w:ascii="宋体" w:hAnsi="宋体" w:cs="宋体"/>
          <w:color w:val="auto"/>
          <w:spacing w:val="-6"/>
          <w:sz w:val="24"/>
          <w:szCs w:val="24"/>
          <w:highlight w:val="none"/>
          <w:u w:val="single"/>
        </w:rPr>
      </w:pPr>
      <w:r>
        <w:rPr>
          <w:rFonts w:hint="eastAsia" w:ascii="宋体" w:hAnsi="宋体" w:cs="宋体"/>
          <w:color w:val="auto"/>
          <w:sz w:val="24"/>
          <w:szCs w:val="24"/>
          <w:highlight w:val="none"/>
        </w:rPr>
        <w:t>联</w:t>
      </w:r>
      <w:r>
        <w:rPr>
          <w:rFonts w:hint="eastAsia" w:ascii="宋体" w:hAnsi="宋体" w:cs="宋体"/>
          <w:color w:val="auto"/>
          <w:sz w:val="24"/>
          <w:szCs w:val="24"/>
          <w:highlight w:val="none"/>
          <w:lang w:val="en-US" w:eastAsia="zh-CN"/>
        </w:rPr>
        <w:t>系方式：13565831720、15199190588、13150337117</w:t>
      </w:r>
    </w:p>
    <w:p w14:paraId="32D43EF5">
      <w:pPr>
        <w:pStyle w:val="124"/>
        <w:ind w:left="432" w:right="130"/>
        <w:jc w:val="right"/>
        <w:rPr>
          <w:rFonts w:ascii="宋体" w:hAnsi="宋体" w:cs="宋体"/>
          <w:color w:val="auto"/>
          <w:spacing w:val="10"/>
          <w:highlight w:val="none"/>
          <w:lang w:eastAsia="zh-CN"/>
        </w:rPr>
      </w:pPr>
      <w:r>
        <w:rPr>
          <w:rFonts w:hint="eastAsia" w:ascii="宋体" w:hAnsi="宋体" w:cs="宋体"/>
          <w:color w:val="auto"/>
          <w:spacing w:val="10"/>
          <w:highlight w:val="none"/>
          <w:lang w:val="en-US" w:eastAsia="zh-CN"/>
        </w:rPr>
        <w:t>2024</w:t>
      </w:r>
      <w:r>
        <w:rPr>
          <w:rFonts w:hint="eastAsia" w:ascii="宋体" w:hAnsi="宋体" w:cs="宋体"/>
          <w:color w:val="auto"/>
          <w:spacing w:val="10"/>
          <w:highlight w:val="none"/>
          <w:lang w:eastAsia="zh-CN"/>
        </w:rPr>
        <w:t>年</w:t>
      </w:r>
      <w:r>
        <w:rPr>
          <w:rFonts w:hint="eastAsia" w:ascii="宋体" w:hAnsi="宋体" w:cs="宋体"/>
          <w:color w:val="auto"/>
          <w:spacing w:val="10"/>
          <w:highlight w:val="none"/>
          <w:lang w:val="en-US" w:eastAsia="zh-CN"/>
        </w:rPr>
        <w:t>09</w:t>
      </w:r>
      <w:r>
        <w:rPr>
          <w:rFonts w:hint="eastAsia" w:ascii="宋体" w:hAnsi="宋体" w:cs="宋体"/>
          <w:color w:val="auto"/>
          <w:spacing w:val="10"/>
          <w:highlight w:val="none"/>
          <w:lang w:eastAsia="zh-CN"/>
        </w:rPr>
        <w:t>月</w:t>
      </w:r>
      <w:r>
        <w:rPr>
          <w:rFonts w:hint="eastAsia" w:ascii="宋体" w:hAnsi="宋体" w:cs="宋体"/>
          <w:color w:val="auto"/>
          <w:spacing w:val="10"/>
          <w:highlight w:val="none"/>
          <w:lang w:val="en-US" w:eastAsia="zh-CN"/>
        </w:rPr>
        <w:t>15</w:t>
      </w:r>
      <w:r>
        <w:rPr>
          <w:rFonts w:hint="eastAsia" w:ascii="宋体" w:hAnsi="宋体" w:cs="宋体"/>
          <w:color w:val="auto"/>
          <w:spacing w:val="10"/>
          <w:highlight w:val="none"/>
          <w:lang w:eastAsia="zh-CN"/>
        </w:rPr>
        <w:t>日</w:t>
      </w:r>
    </w:p>
    <w:p w14:paraId="3028E3B9">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4"/>
    <w:p w14:paraId="6B7D8C79">
      <w:pPr>
        <w:pStyle w:val="3"/>
        <w:rPr>
          <w:color w:val="auto"/>
          <w:highlight w:val="none"/>
        </w:rPr>
      </w:pPr>
      <w:bookmarkStart w:id="22" w:name="_Toc13939"/>
      <w:bookmarkStart w:id="23" w:name="_Toc513029202"/>
      <w:bookmarkStart w:id="24" w:name="_Toc16938518"/>
      <w:bookmarkStart w:id="25" w:name="_Toc20823274"/>
      <w:bookmarkStart w:id="26" w:name="_Toc26763"/>
      <w:bookmarkStart w:id="27" w:name="_Toc120614213"/>
      <w:bookmarkStart w:id="28" w:name="_Toc9359"/>
      <w:r>
        <w:rPr>
          <w:rFonts w:hint="eastAsia"/>
          <w:color w:val="auto"/>
          <w:highlight w:val="none"/>
        </w:rPr>
        <w:t>第二章 投标人须知</w:t>
      </w:r>
      <w:bookmarkEnd w:id="15"/>
      <w:bookmarkEnd w:id="22"/>
      <w:bookmarkEnd w:id="23"/>
      <w:bookmarkEnd w:id="24"/>
      <w:bookmarkEnd w:id="25"/>
      <w:bookmarkEnd w:id="26"/>
      <w:bookmarkEnd w:id="27"/>
      <w:bookmarkEnd w:id="28"/>
    </w:p>
    <w:p w14:paraId="012DD388">
      <w:pPr>
        <w:pStyle w:val="5"/>
        <w:rPr>
          <w:color w:val="auto"/>
          <w:highlight w:val="none"/>
        </w:rPr>
      </w:pPr>
      <w:bookmarkStart w:id="29" w:name="_Toc21065"/>
      <w:bookmarkStart w:id="30" w:name="_Toc19352"/>
      <w:bookmarkStart w:id="31" w:name="_Toc534725606"/>
      <w:r>
        <w:rPr>
          <w:rFonts w:hint="eastAsia"/>
          <w:color w:val="auto"/>
          <w:highlight w:val="none"/>
        </w:rPr>
        <w:t xml:space="preserve">一、总  </w:t>
      </w:r>
      <w:bookmarkStart w:id="32" w:name="_Toc9510635"/>
      <w:r>
        <w:rPr>
          <w:rFonts w:hint="eastAsia"/>
          <w:color w:val="auto"/>
          <w:highlight w:val="none"/>
        </w:rPr>
        <w:t>则</w:t>
      </w:r>
      <w:bookmarkEnd w:id="29"/>
      <w:bookmarkEnd w:id="30"/>
    </w:p>
    <w:p w14:paraId="56F611A3">
      <w:pPr>
        <w:pStyle w:val="6"/>
        <w:rPr>
          <w:color w:val="auto"/>
          <w:highlight w:val="none"/>
        </w:rPr>
      </w:pPr>
      <w:bookmarkStart w:id="33" w:name="_Toc26214"/>
      <w:r>
        <w:rPr>
          <w:rFonts w:hint="eastAsia"/>
          <w:color w:val="auto"/>
          <w:highlight w:val="none"/>
        </w:rPr>
        <w:t>1、适用</w:t>
      </w:r>
      <w:bookmarkEnd w:id="32"/>
      <w:r>
        <w:rPr>
          <w:rFonts w:hint="eastAsia"/>
          <w:color w:val="auto"/>
          <w:highlight w:val="none"/>
        </w:rPr>
        <w:t>范围</w:t>
      </w:r>
      <w:bookmarkEnd w:id="33"/>
    </w:p>
    <w:p w14:paraId="3FAC815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14:paraId="55423B95">
      <w:pPr>
        <w:pStyle w:val="6"/>
        <w:rPr>
          <w:color w:val="auto"/>
          <w:highlight w:val="none"/>
        </w:rPr>
      </w:pPr>
      <w:bookmarkStart w:id="34" w:name="_Toc24800"/>
      <w:r>
        <w:rPr>
          <w:rFonts w:hint="eastAsia"/>
          <w:color w:val="auto"/>
          <w:highlight w:val="none"/>
        </w:rPr>
        <w:t>2、定义</w:t>
      </w:r>
      <w:bookmarkEnd w:id="34"/>
    </w:p>
    <w:p w14:paraId="75C597EA">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14:paraId="54A7366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14:paraId="610ABA7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14:paraId="77797AA1">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14:paraId="635977BA">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14:paraId="2A998D58">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14:paraId="120A56F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14:paraId="3C27F897">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14:paraId="4159405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14:paraId="55C1CD89">
      <w:pPr>
        <w:pStyle w:val="6"/>
        <w:rPr>
          <w:color w:val="auto"/>
          <w:highlight w:val="none"/>
        </w:rPr>
      </w:pPr>
      <w:bookmarkStart w:id="35" w:name="_Toc17392"/>
      <w:r>
        <w:rPr>
          <w:rFonts w:hint="eastAsia"/>
          <w:color w:val="auto"/>
          <w:highlight w:val="none"/>
        </w:rPr>
        <w:t>3、招标方式</w:t>
      </w:r>
      <w:bookmarkEnd w:id="35"/>
    </w:p>
    <w:p w14:paraId="58447E39">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14:paraId="65403227">
      <w:pPr>
        <w:pStyle w:val="6"/>
        <w:rPr>
          <w:color w:val="auto"/>
          <w:highlight w:val="none"/>
        </w:rPr>
      </w:pPr>
      <w:bookmarkStart w:id="36" w:name="_Toc32376"/>
      <w:r>
        <w:rPr>
          <w:rFonts w:hint="eastAsia"/>
          <w:color w:val="auto"/>
          <w:highlight w:val="none"/>
        </w:rPr>
        <w:t>4、投标委托</w:t>
      </w:r>
      <w:bookmarkEnd w:id="36"/>
    </w:p>
    <w:p w14:paraId="05E07BF8">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14:paraId="170F41B2">
      <w:pPr>
        <w:pStyle w:val="6"/>
        <w:rPr>
          <w:color w:val="auto"/>
          <w:highlight w:val="none"/>
        </w:rPr>
      </w:pPr>
      <w:bookmarkStart w:id="37" w:name="_Toc21031"/>
      <w:r>
        <w:rPr>
          <w:rFonts w:hint="eastAsia"/>
          <w:color w:val="auto"/>
          <w:highlight w:val="none"/>
        </w:rPr>
        <w:t>5、投标费用</w:t>
      </w:r>
      <w:bookmarkEnd w:id="37"/>
    </w:p>
    <w:p w14:paraId="2C232623">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14:paraId="345C8E11">
      <w:pPr>
        <w:pStyle w:val="6"/>
        <w:rPr>
          <w:color w:val="auto"/>
          <w:highlight w:val="none"/>
        </w:rPr>
      </w:pPr>
      <w:bookmarkStart w:id="38" w:name="_Toc505"/>
      <w:r>
        <w:rPr>
          <w:rFonts w:hint="eastAsia"/>
          <w:color w:val="auto"/>
          <w:highlight w:val="none"/>
        </w:rPr>
        <w:t>6、分包转包</w:t>
      </w:r>
      <w:bookmarkEnd w:id="38"/>
    </w:p>
    <w:p w14:paraId="2F729546">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14:paraId="308FF67A">
      <w:pPr>
        <w:pStyle w:val="6"/>
        <w:rPr>
          <w:color w:val="auto"/>
          <w:highlight w:val="none"/>
        </w:rPr>
      </w:pPr>
      <w:bookmarkStart w:id="39" w:name="_Toc5076"/>
      <w:r>
        <w:rPr>
          <w:rFonts w:hint="eastAsia"/>
          <w:color w:val="auto"/>
          <w:highlight w:val="none"/>
        </w:rPr>
        <w:t>7、提供相同品牌产品处理</w:t>
      </w:r>
      <w:bookmarkEnd w:id="39"/>
    </w:p>
    <w:p w14:paraId="4EE7BF7C">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14:paraId="0A626A79">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14:paraId="77F47CC0">
      <w:pPr>
        <w:pStyle w:val="6"/>
        <w:rPr>
          <w:color w:val="auto"/>
          <w:highlight w:val="none"/>
        </w:rPr>
      </w:pPr>
      <w:bookmarkStart w:id="40" w:name="_Toc21631"/>
      <w:r>
        <w:rPr>
          <w:rFonts w:hint="eastAsia"/>
          <w:color w:val="auto"/>
          <w:highlight w:val="none"/>
        </w:rPr>
        <w:t>8、特别说明：</w:t>
      </w:r>
      <w:bookmarkEnd w:id="40"/>
    </w:p>
    <w:p w14:paraId="3B4FBC81">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w:t>
      </w:r>
    </w:p>
    <w:p w14:paraId="3B287B5D">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14:paraId="28D6EAF5">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14:paraId="0E51F79F">
      <w:pPr>
        <w:pStyle w:val="6"/>
        <w:rPr>
          <w:color w:val="auto"/>
          <w:highlight w:val="none"/>
        </w:rPr>
      </w:pPr>
      <w:bookmarkStart w:id="41" w:name="_Toc24888"/>
      <w:r>
        <w:rPr>
          <w:rFonts w:hint="eastAsia"/>
          <w:color w:val="auto"/>
          <w:highlight w:val="none"/>
        </w:rPr>
        <w:t>9、质疑</w:t>
      </w:r>
      <w:bookmarkEnd w:id="41"/>
    </w:p>
    <w:p w14:paraId="230E9B8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lang w:val="en-US" w:eastAsia="zh-CN"/>
        </w:rPr>
        <w:t>投标人应在法定质疑期内一次性提出针对同一采购程序环节的质疑。</w:t>
      </w:r>
    </w:p>
    <w:p w14:paraId="228E33F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14:paraId="64454ED8">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14:paraId="7BF43DA6">
      <w:pPr>
        <w:adjustRightInd w:val="0"/>
        <w:snapToGrid w:val="0"/>
        <w:spacing w:line="500" w:lineRule="exact"/>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14:paraId="21FB828A">
      <w:pPr>
        <w:adjustRightInd w:val="0"/>
        <w:snapToGrid w:val="0"/>
        <w:spacing w:line="500" w:lineRule="exact"/>
        <w:ind w:firstLine="480" w:firstLineChars="200"/>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9.4接收质疑函的方式、联系部门、联系电话和通讯地址：以书面形式递交到新疆元泓工程项目管理咨询有限公司（联系人：吴女士，联系电话：13565831720，邮箱：1669422132@qq.com，地址：</w:t>
      </w:r>
      <w:r>
        <w:rPr>
          <w:rFonts w:hint="eastAsia" w:ascii="宋体" w:hAnsi="宋体" w:eastAsia="宋体" w:cs="Times New Roman"/>
          <w:color w:val="auto"/>
          <w:kern w:val="2"/>
          <w:sz w:val="24"/>
          <w:szCs w:val="21"/>
          <w:highlight w:val="none"/>
          <w:lang w:val="en-US" w:eastAsia="zh-CN" w:bidi="ar-SA"/>
        </w:rPr>
        <w:t>乌鲁木齐市经济技术开发区乌昌路252号九方财富广场A座525室</w:t>
      </w:r>
      <w:r>
        <w:rPr>
          <w:rFonts w:hint="eastAsia" w:asciiTheme="majorEastAsia" w:hAnsiTheme="majorEastAsia" w:eastAsiaTheme="majorEastAsia" w:cstheme="majorEastAsia"/>
          <w:bCs/>
          <w:color w:val="auto"/>
          <w:sz w:val="24"/>
          <w:szCs w:val="24"/>
          <w:highlight w:val="none"/>
          <w:lang w:val="en-US" w:eastAsia="zh-CN"/>
        </w:rPr>
        <w:t>）。</w:t>
      </w:r>
    </w:p>
    <w:p w14:paraId="40423C54">
      <w:pPr>
        <w:pStyle w:val="31"/>
        <w:rPr>
          <w:rFonts w:hint="default"/>
          <w:color w:val="auto"/>
          <w:highlight w:val="none"/>
          <w:lang w:val="en-US" w:eastAsia="zh-CN"/>
        </w:rPr>
      </w:pPr>
    </w:p>
    <w:p w14:paraId="0A029525">
      <w:pPr>
        <w:pStyle w:val="5"/>
        <w:rPr>
          <w:color w:val="auto"/>
          <w:highlight w:val="none"/>
        </w:rPr>
      </w:pPr>
      <w:bookmarkStart w:id="42" w:name="_Toc31383"/>
      <w:bookmarkStart w:id="43" w:name="_Toc12925"/>
      <w:r>
        <w:rPr>
          <w:rFonts w:hint="eastAsia"/>
          <w:color w:val="auto"/>
          <w:highlight w:val="none"/>
        </w:rPr>
        <w:t>二、</w:t>
      </w:r>
      <w:bookmarkEnd w:id="42"/>
      <w:bookmarkEnd w:id="43"/>
      <w:bookmarkStart w:id="44" w:name="_Toc9510636"/>
      <w:r>
        <w:rPr>
          <w:rFonts w:hint="eastAsia"/>
          <w:color w:val="auto"/>
          <w:highlight w:val="none"/>
        </w:rPr>
        <w:t>招标文件</w:t>
      </w:r>
    </w:p>
    <w:p w14:paraId="0C8977C9">
      <w:pPr>
        <w:pStyle w:val="6"/>
        <w:rPr>
          <w:color w:val="auto"/>
          <w:highlight w:val="none"/>
        </w:rPr>
      </w:pPr>
      <w:bookmarkStart w:id="45" w:name="_Toc11465"/>
      <w:r>
        <w:rPr>
          <w:rFonts w:hint="eastAsia"/>
          <w:color w:val="auto"/>
          <w:highlight w:val="none"/>
        </w:rPr>
        <w:t>10、</w:t>
      </w:r>
      <w:bookmarkEnd w:id="44"/>
      <w:r>
        <w:rPr>
          <w:rFonts w:hint="eastAsia"/>
          <w:color w:val="auto"/>
          <w:highlight w:val="none"/>
        </w:rPr>
        <w:t>招标文件的构成</w:t>
      </w:r>
      <w:bookmarkEnd w:id="45"/>
      <w:r>
        <w:rPr>
          <w:rFonts w:hint="eastAsia" w:asciiTheme="majorEastAsia" w:hAnsiTheme="majorEastAsia" w:eastAsiaTheme="majorEastAsia" w:cstheme="majorEastAsia"/>
          <w:b w:val="0"/>
          <w:bCs w:val="0"/>
          <w:color w:val="auto"/>
          <w:sz w:val="24"/>
          <w:szCs w:val="24"/>
          <w:highlight w:val="none"/>
        </w:rPr>
        <w:t>（详见本招标文件目录明细）</w:t>
      </w:r>
    </w:p>
    <w:p w14:paraId="583F474E">
      <w:pPr>
        <w:pStyle w:val="6"/>
        <w:rPr>
          <w:color w:val="auto"/>
          <w:highlight w:val="none"/>
        </w:rPr>
      </w:pPr>
      <w:bookmarkStart w:id="46" w:name="_Toc9329"/>
      <w:r>
        <w:rPr>
          <w:rFonts w:hint="eastAsia"/>
          <w:color w:val="auto"/>
          <w:highlight w:val="none"/>
        </w:rPr>
        <w:t>11、投标人的风险</w:t>
      </w:r>
      <w:bookmarkEnd w:id="46"/>
    </w:p>
    <w:p w14:paraId="085C419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14:paraId="6E2A898B">
      <w:pPr>
        <w:pStyle w:val="6"/>
        <w:rPr>
          <w:color w:val="auto"/>
          <w:highlight w:val="none"/>
        </w:rPr>
      </w:pPr>
      <w:bookmarkStart w:id="47" w:name="_Toc14128"/>
      <w:r>
        <w:rPr>
          <w:rFonts w:hint="eastAsia"/>
          <w:color w:val="auto"/>
          <w:highlight w:val="none"/>
        </w:rPr>
        <w:t>1</w:t>
      </w:r>
      <w:bookmarkStart w:id="48" w:name="_Toc9510637"/>
      <w:r>
        <w:rPr>
          <w:rFonts w:hint="eastAsia"/>
          <w:color w:val="auto"/>
          <w:highlight w:val="none"/>
        </w:rPr>
        <w:t>2、招标文件的澄清与修改</w:t>
      </w:r>
      <w:bookmarkEnd w:id="47"/>
    </w:p>
    <w:p w14:paraId="2E6AFCF8">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14:paraId="74C99A91">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551D748">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14:paraId="7724DC71">
      <w:pPr>
        <w:pStyle w:val="5"/>
        <w:rPr>
          <w:color w:val="auto"/>
          <w:highlight w:val="none"/>
        </w:rPr>
      </w:pPr>
      <w:bookmarkStart w:id="49" w:name="_Toc3009"/>
      <w:bookmarkStart w:id="50" w:name="_Toc25731"/>
      <w:r>
        <w:rPr>
          <w:rFonts w:hint="eastAsia"/>
          <w:color w:val="auto"/>
          <w:highlight w:val="none"/>
        </w:rPr>
        <w:t>三、投标文件的编制</w:t>
      </w:r>
      <w:bookmarkEnd w:id="49"/>
      <w:bookmarkEnd w:id="50"/>
    </w:p>
    <w:bookmarkEnd w:id="48"/>
    <w:p w14:paraId="5A082770">
      <w:pPr>
        <w:adjustRightInd w:val="0"/>
        <w:snapToGrid w:val="0"/>
        <w:spacing w:line="500" w:lineRule="exact"/>
        <w:ind w:firstLine="472" w:firstLineChars="196"/>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14:paraId="11913260">
      <w:pPr>
        <w:pStyle w:val="6"/>
        <w:ind w:firstLine="281" w:firstLineChars="100"/>
        <w:rPr>
          <w:color w:val="auto"/>
          <w:highlight w:val="none"/>
        </w:rPr>
      </w:pPr>
      <w:bookmarkStart w:id="51" w:name="_Toc29638"/>
      <w:r>
        <w:rPr>
          <w:rFonts w:hint="eastAsia"/>
          <w:color w:val="auto"/>
          <w:highlight w:val="none"/>
        </w:rPr>
        <w:t>13、投标文件的组成</w:t>
      </w:r>
      <w:bookmarkEnd w:id="51"/>
    </w:p>
    <w:p w14:paraId="3B207F12">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投标文件由报价文件、商务技术文件组成，其中报价文件单独装订成一册（正本1份，副本4份）；</w:t>
      </w:r>
      <w:r>
        <w:rPr>
          <w:rFonts w:hint="eastAsia" w:asciiTheme="majorEastAsia" w:hAnsiTheme="majorEastAsia" w:eastAsiaTheme="majorEastAsia" w:cstheme="majorEastAsia"/>
          <w:b/>
          <w:color w:val="auto"/>
          <w:sz w:val="24"/>
          <w:szCs w:val="24"/>
          <w:highlight w:val="none"/>
          <w:lang w:val="en-US" w:eastAsia="zh-CN"/>
        </w:rPr>
        <w:t>商务技术</w:t>
      </w:r>
      <w:r>
        <w:rPr>
          <w:rFonts w:hint="eastAsia" w:asciiTheme="majorEastAsia" w:hAnsiTheme="majorEastAsia" w:eastAsiaTheme="majorEastAsia" w:cstheme="majorEastAsia"/>
          <w:b/>
          <w:color w:val="auto"/>
          <w:sz w:val="24"/>
          <w:szCs w:val="24"/>
          <w:highlight w:val="none"/>
        </w:rPr>
        <w:t>文件装订成一册（正本1份，副本4份）。</w:t>
      </w:r>
    </w:p>
    <w:p w14:paraId="2279AC5F">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报价文件</w:t>
      </w:r>
    </w:p>
    <w:p w14:paraId="6E7953D2">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14:paraId="61423524">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14:paraId="196876C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14:paraId="1E00B88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p>
    <w:p w14:paraId="1F39F12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14:paraId="0F09B095">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13.2商务</w:t>
      </w:r>
      <w:r>
        <w:rPr>
          <w:rFonts w:hint="eastAsia" w:asciiTheme="majorEastAsia" w:hAnsiTheme="majorEastAsia" w:eastAsiaTheme="majorEastAsia" w:cstheme="majorEastAsia"/>
          <w:b/>
          <w:color w:val="auto"/>
          <w:sz w:val="24"/>
          <w:szCs w:val="24"/>
          <w:highlight w:val="none"/>
          <w:lang w:eastAsia="zh-CN"/>
        </w:rPr>
        <w:t>部分</w:t>
      </w:r>
    </w:p>
    <w:p w14:paraId="2C2B4943">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14:paraId="2BCE5F28">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14:paraId="2EBF5F8F">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（3）有效的营业执照（事业单位法人证书、民办非企业单位登记证书、社会团体法人登记证书、基金会法人登记证书、自然人身份证）副本复印件；</w:t>
      </w:r>
    </w:p>
    <w:p w14:paraId="55C40AAD">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14:paraId="2CD2293E">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2021、2022、2023</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lang w:val="en-US" w:eastAsia="zh-CN"/>
        </w:rPr>
        <w:t>度中任意连续两年</w:t>
      </w:r>
      <w:r>
        <w:rPr>
          <w:rFonts w:hint="eastAsia" w:asciiTheme="majorEastAsia" w:hAnsiTheme="majorEastAsia" w:eastAsiaTheme="majorEastAsia" w:cstheme="majorEastAsia"/>
          <w:color w:val="auto"/>
          <w:sz w:val="24"/>
          <w:szCs w:val="24"/>
          <w:highlight w:val="none"/>
        </w:rPr>
        <w:t>经审计的财务</w:t>
      </w:r>
      <w:r>
        <w:rPr>
          <w:rFonts w:hint="eastAsia" w:asciiTheme="majorEastAsia" w:hAnsiTheme="majorEastAsia" w:eastAsiaTheme="majorEastAsia" w:cstheme="majorEastAsia"/>
          <w:color w:val="auto"/>
          <w:sz w:val="24"/>
          <w:szCs w:val="24"/>
          <w:highlight w:val="none"/>
          <w:lang w:eastAsia="zh-CN"/>
        </w:rPr>
        <w:t>报告（注册不满</w:t>
      </w:r>
      <w:r>
        <w:rPr>
          <w:rFonts w:hint="eastAsia" w:asciiTheme="majorEastAsia" w:hAnsiTheme="majorEastAsia" w:eastAsiaTheme="majorEastAsia" w:cstheme="majorEastAsia"/>
          <w:color w:val="auto"/>
          <w:sz w:val="24"/>
          <w:szCs w:val="24"/>
          <w:highlight w:val="none"/>
          <w:lang w:val="en-US" w:eastAsia="zh-CN"/>
        </w:rPr>
        <w:t>1年的企业无需提供</w:t>
      </w:r>
      <w:r>
        <w:rPr>
          <w:rFonts w:hint="eastAsia" w:asciiTheme="majorEastAsia" w:hAnsiTheme="majorEastAsia" w:eastAsiaTheme="majorEastAsia" w:cstheme="majorEastAsia"/>
          <w:color w:val="auto"/>
          <w:sz w:val="24"/>
          <w:szCs w:val="24"/>
          <w:highlight w:val="none"/>
          <w:lang w:eastAsia="zh-CN"/>
        </w:rPr>
        <w:t>）</w:t>
      </w:r>
    </w:p>
    <w:p w14:paraId="3FCB5228">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须具有履行合同所必需的设备和专业技术能力，须附相关证明材料或声明；</w:t>
      </w:r>
    </w:p>
    <w:p w14:paraId="3D85E44C">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14:paraId="3EE35928">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）前三年内在经营活动中没有重大违法记录的书面声明（格式见附件）；</w:t>
      </w:r>
    </w:p>
    <w:p w14:paraId="05523A2F">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未被列入失信被执行人、</w:t>
      </w:r>
      <w:r>
        <w:rPr>
          <w:rFonts w:hint="eastAsia" w:asciiTheme="majorEastAsia" w:hAnsiTheme="majorEastAsia" w:eastAsiaTheme="majorEastAsia" w:cstheme="majorEastAsia"/>
          <w:color w:val="auto"/>
          <w:sz w:val="24"/>
          <w:szCs w:val="24"/>
          <w:highlight w:val="none"/>
          <w:lang w:val="zh-CN"/>
        </w:rPr>
        <w:t>重大税收违法</w:t>
      </w:r>
      <w:r>
        <w:rPr>
          <w:rFonts w:hint="eastAsia" w:asciiTheme="majorEastAsia" w:hAnsiTheme="majorEastAsia" w:eastAsiaTheme="majorEastAsia" w:cstheme="majorEastAsia"/>
          <w:color w:val="auto"/>
          <w:sz w:val="24"/>
          <w:szCs w:val="24"/>
          <w:highlight w:val="none"/>
          <w:lang w:val="en-US" w:eastAsia="zh-CN"/>
        </w:rPr>
        <w:t>失信主体</w:t>
      </w:r>
      <w:r>
        <w:rPr>
          <w:rFonts w:hint="eastAsia" w:asciiTheme="majorEastAsia" w:hAnsiTheme="majorEastAsia" w:eastAsiaTheme="majorEastAsia" w:cstheme="majorEastAsia"/>
          <w:color w:val="auto"/>
          <w:sz w:val="24"/>
          <w:szCs w:val="24"/>
          <w:highlight w:val="none"/>
        </w:rPr>
        <w:t>、政府采购严重违法失信行为记录名单</w:t>
      </w:r>
      <w:r>
        <w:rPr>
          <w:rFonts w:hint="eastAsia" w:asciiTheme="majorEastAsia" w:hAnsiTheme="majorEastAsia" w:eastAsiaTheme="majorEastAsia" w:cstheme="majorEastAsia"/>
          <w:color w:val="auto"/>
          <w:sz w:val="24"/>
          <w:szCs w:val="24"/>
          <w:highlight w:val="none"/>
          <w:lang w:eastAsia="zh-CN"/>
        </w:rPr>
        <w:t>；</w:t>
      </w:r>
    </w:p>
    <w:p w14:paraId="2FB49732">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已取得的各种有效认证证书、政府部门（企业）或第三方权威鉴定机构出具的信用等级证书或证明复印件；</w:t>
      </w:r>
    </w:p>
    <w:p w14:paraId="327C520F">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11</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lang w:val="en-US" w:eastAsia="zh-CN"/>
        </w:rPr>
        <w:t>2021</w:t>
      </w:r>
      <w:r>
        <w:rPr>
          <w:rFonts w:hint="eastAsia" w:asciiTheme="majorEastAsia" w:hAnsiTheme="majorEastAsia" w:eastAsiaTheme="majorEastAsia" w:cstheme="majorEastAsia"/>
          <w:color w:val="auto"/>
          <w:sz w:val="24"/>
          <w:szCs w:val="24"/>
          <w:highlight w:val="none"/>
          <w:lang w:eastAsia="zh-CN"/>
        </w:rPr>
        <w:t>年</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lang w:eastAsia="zh-CN"/>
        </w:rPr>
        <w:t>月</w:t>
      </w:r>
      <w:r>
        <w:rPr>
          <w:rFonts w:hint="eastAsia" w:asciiTheme="majorEastAsia" w:hAnsiTheme="majorEastAsia" w:eastAsiaTheme="majorEastAsia" w:cstheme="majorEastAsia"/>
          <w:color w:val="auto"/>
          <w:sz w:val="24"/>
          <w:szCs w:val="24"/>
          <w:highlight w:val="none"/>
          <w:lang w:val="en-US" w:eastAsia="zh-CN"/>
        </w:rPr>
        <w:t>1日</w:t>
      </w:r>
      <w:r>
        <w:rPr>
          <w:rFonts w:hint="eastAsia" w:asciiTheme="majorEastAsia" w:hAnsiTheme="majorEastAsia" w:eastAsiaTheme="majorEastAsia" w:cstheme="majorEastAsia"/>
          <w:color w:val="auto"/>
          <w:sz w:val="24"/>
          <w:szCs w:val="24"/>
          <w:highlight w:val="none"/>
          <w:lang w:eastAsia="zh-CN"/>
        </w:rPr>
        <w:t>至今做过与本项目类似的业绩</w:t>
      </w:r>
      <w:r>
        <w:rPr>
          <w:rFonts w:hint="eastAsia" w:asciiTheme="majorEastAsia" w:hAnsiTheme="majorEastAsia" w:eastAsiaTheme="majorEastAsia" w:cstheme="majorEastAsia"/>
          <w:color w:val="auto"/>
          <w:sz w:val="24"/>
          <w:szCs w:val="24"/>
          <w:highlight w:val="none"/>
        </w:rPr>
        <w:t>；</w:t>
      </w:r>
    </w:p>
    <w:p w14:paraId="04B5501D">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政府采购政策扶持证明材料；</w:t>
      </w:r>
    </w:p>
    <w:p w14:paraId="7550C398">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其他证明文件或供应商认为应提交的商务文件（如有）</w:t>
      </w:r>
      <w:r>
        <w:rPr>
          <w:rFonts w:hint="eastAsia" w:asciiTheme="majorEastAsia" w:hAnsiTheme="majorEastAsia" w:eastAsiaTheme="majorEastAsia" w:cstheme="majorEastAsia"/>
          <w:color w:val="auto"/>
          <w:sz w:val="24"/>
          <w:szCs w:val="24"/>
          <w:highlight w:val="none"/>
        </w:rPr>
        <w:t>。</w:t>
      </w:r>
    </w:p>
    <w:p w14:paraId="36C55DB4">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w:t>
      </w:r>
      <w:r>
        <w:rPr>
          <w:rFonts w:hint="eastAsia" w:asciiTheme="majorEastAsia" w:hAnsiTheme="majorEastAsia" w:eastAsiaTheme="majorEastAsia" w:cstheme="majorEastAsia"/>
          <w:b/>
          <w:color w:val="auto"/>
          <w:sz w:val="24"/>
          <w:szCs w:val="24"/>
          <w:highlight w:val="none"/>
          <w:lang w:val="en-US" w:eastAsia="zh-CN"/>
        </w:rPr>
        <w:t>3</w:t>
      </w:r>
      <w:r>
        <w:rPr>
          <w:rFonts w:hint="eastAsia" w:asciiTheme="majorEastAsia" w:hAnsiTheme="majorEastAsia" w:eastAsiaTheme="majorEastAsia" w:cstheme="majorEastAsia"/>
          <w:b/>
          <w:color w:val="auto"/>
          <w:sz w:val="24"/>
          <w:szCs w:val="24"/>
          <w:highlight w:val="none"/>
          <w:lang w:eastAsia="zh-CN"/>
        </w:rPr>
        <w:t>技术部分</w:t>
      </w:r>
    </w:p>
    <w:p w14:paraId="377FA937">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（14）技术响应偏离表（格式见附件）；</w:t>
      </w:r>
    </w:p>
    <w:p w14:paraId="182C405D">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（15）产品详细技术规格书（包括产品详细配置、技术性能指标等）（格式自拟）；</w:t>
      </w:r>
    </w:p>
    <w:p w14:paraId="7DFA9D79">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（16）与产品相关的由国家认可的检测机构出具的检测报告（如有）；</w:t>
      </w:r>
    </w:p>
    <w:p w14:paraId="7A4FEF4E">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（17）针对项目的组织方案：</w:t>
      </w:r>
      <w:r>
        <w:rPr>
          <w:rFonts w:hint="eastAsia" w:asciiTheme="majorEastAsia" w:hAnsiTheme="majorEastAsia" w:eastAsiaTheme="majorEastAsia" w:cstheme="majorEastAsia"/>
          <w:color w:val="auto"/>
          <w:sz w:val="24"/>
          <w:szCs w:val="24"/>
          <w:highlight w:val="none"/>
        </w:rPr>
        <w:t>包括（但不限于）项目人员安排、项目供货方案、质量管控方案、测试（调试）方案等内容（格式自拟）</w:t>
      </w:r>
      <w:r>
        <w:rPr>
          <w:rFonts w:hint="eastAsia" w:asciiTheme="majorEastAsia" w:hAnsiTheme="majorEastAsia" w:eastAsiaTheme="majorEastAsia" w:cstheme="majorEastAsia"/>
          <w:color w:val="auto"/>
          <w:sz w:val="24"/>
          <w:szCs w:val="24"/>
          <w:highlight w:val="none"/>
          <w:lang w:val="en-US" w:eastAsia="zh-CN"/>
        </w:rPr>
        <w:t>；</w:t>
      </w:r>
    </w:p>
    <w:p w14:paraId="707CEA36">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（18）针对本项目的技术培训方案：包括（但不限于）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培训团队人员配置等</w:t>
      </w:r>
      <w:r>
        <w:rPr>
          <w:rFonts w:hint="eastAsia" w:asciiTheme="majorEastAsia" w:hAnsiTheme="majorEastAsia" w:eastAsiaTheme="majorEastAsia" w:cstheme="majorEastAsia"/>
          <w:color w:val="auto"/>
          <w:sz w:val="24"/>
          <w:szCs w:val="24"/>
          <w:highlight w:val="none"/>
          <w:lang w:val="en-US" w:eastAsia="zh-CN"/>
        </w:rPr>
        <w:t>内容（格式自拟）；</w:t>
      </w:r>
    </w:p>
    <w:p w14:paraId="452AC5B1">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（19）针对本项目的售后服务方案：包括（但不限于）售后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质保外服务措施等</w:t>
      </w:r>
      <w:r>
        <w:rPr>
          <w:rFonts w:hint="eastAsia" w:asciiTheme="majorEastAsia" w:hAnsiTheme="majorEastAsia" w:eastAsiaTheme="majorEastAsia" w:cstheme="majorEastAsia"/>
          <w:color w:val="auto"/>
          <w:sz w:val="24"/>
          <w:szCs w:val="24"/>
          <w:highlight w:val="none"/>
          <w:lang w:val="en-US" w:eastAsia="zh-CN"/>
        </w:rPr>
        <w:t>内容（格式自拟）；</w:t>
      </w:r>
    </w:p>
    <w:p w14:paraId="1BB39ECA">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（20）其他优惠条件（如有）：投标人承诺给予采购人的各种优惠条件，包括备品备件、专用耗材等；</w:t>
      </w:r>
    </w:p>
    <w:p w14:paraId="71E8818B">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（21）投标人需要提供的其他文件或资料（如有）。</w:t>
      </w:r>
    </w:p>
    <w:p w14:paraId="1406B35F">
      <w:pPr>
        <w:adjustRightInd w:val="0"/>
        <w:snapToGrid w:val="0"/>
        <w:spacing w:line="500" w:lineRule="exact"/>
        <w:ind w:firstLine="482" w:firstLineChars="200"/>
        <w:jc w:val="left"/>
        <w:rPr>
          <w:rFonts w:ascii="宋体" w:hAnsi="宋体" w:eastAsia="宋体" w:cs="宋体"/>
          <w:b/>
          <w:bCs/>
          <w:color w:val="auto"/>
          <w:sz w:val="24"/>
          <w:szCs w:val="24"/>
          <w:highlight w:val="none"/>
        </w:rPr>
      </w:pPr>
      <w:bookmarkStart w:id="52" w:name="_Toc26745"/>
      <w:r>
        <w:rPr>
          <w:rFonts w:hint="eastAsia" w:ascii="宋体" w:hAnsi="宋体" w:eastAsia="宋体" w:cs="宋体"/>
          <w:b/>
          <w:bCs/>
          <w:color w:val="auto"/>
          <w:sz w:val="24"/>
          <w:szCs w:val="24"/>
          <w:highlight w:val="none"/>
        </w:rPr>
        <w:t>注：a、授权委托书、投标声明书、投标函、开标一览表必须由法定代表人（负责人、自然人）或其授权代表签名（按格式要求）并加盖单位公章。</w:t>
      </w:r>
    </w:p>
    <w:p w14:paraId="71C1AA91">
      <w:pPr>
        <w:adjustRightInd w:val="0"/>
        <w:snapToGrid w:val="0"/>
        <w:spacing w:line="500" w:lineRule="exact"/>
        <w:ind w:firstLine="944" w:firstLineChars="39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b、以上提供的各种证书、证件、证明资料如是复印件，须在复印件上加盖有效公章，原件备查。投标人如不能在规定时间内提供原件核实，即其投标文件中提供的复印件无效，如发现有造假嫌疑的，将根据有关规定以“提供虚假材料谋取中标”予以处罚。</w:t>
      </w:r>
    </w:p>
    <w:p w14:paraId="05732EA7">
      <w:pPr>
        <w:adjustRightInd w:val="0"/>
        <w:snapToGrid w:val="0"/>
        <w:spacing w:line="500" w:lineRule="exact"/>
        <w:ind w:firstLine="944" w:firstLineChars="39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c、《报价文件》单独装订成册，投标供应商须按要求单独递交《报价文件》；投标文件中除《报价文件》外，其他部分不得有任何涉及本次投标报价的信息。</w:t>
      </w:r>
    </w:p>
    <w:p w14:paraId="786433C5">
      <w:pPr>
        <w:adjustRightInd w:val="0"/>
        <w:snapToGrid w:val="0"/>
        <w:spacing w:line="500" w:lineRule="exact"/>
        <w:ind w:firstLine="944" w:firstLineChars="39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d、以上材料须加盖单位公章，投标人需将投标文件按上述顺序装订成一整册，请投标人编制投标文件的目录及页码。</w:t>
      </w:r>
    </w:p>
    <w:p w14:paraId="7015C5C3">
      <w:pPr>
        <w:pStyle w:val="6"/>
        <w:rPr>
          <w:color w:val="auto"/>
          <w:highlight w:val="none"/>
        </w:rPr>
      </w:pPr>
      <w:r>
        <w:rPr>
          <w:rFonts w:hint="eastAsia"/>
          <w:color w:val="auto"/>
          <w:highlight w:val="none"/>
        </w:rPr>
        <w:t>14、投标文件的语言及计量</w:t>
      </w:r>
      <w:bookmarkEnd w:id="52"/>
    </w:p>
    <w:p w14:paraId="0EFE553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14:paraId="612FB391">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14:paraId="2D303F94">
      <w:pPr>
        <w:pStyle w:val="6"/>
        <w:rPr>
          <w:color w:val="auto"/>
          <w:highlight w:val="none"/>
        </w:rPr>
      </w:pPr>
      <w:bookmarkStart w:id="53" w:name="_Toc10847"/>
      <w:r>
        <w:rPr>
          <w:rFonts w:hint="eastAsia"/>
          <w:color w:val="auto"/>
          <w:highlight w:val="none"/>
        </w:rPr>
        <w:t>15、投标报价</w:t>
      </w:r>
      <w:bookmarkEnd w:id="53"/>
    </w:p>
    <w:p w14:paraId="6E4557E1">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color w:val="auto"/>
          <w:sz w:val="24"/>
          <w:szCs w:val="24"/>
          <w:highlight w:val="none"/>
        </w:rPr>
        <w:t>同型号产品参与不同标包投标的，则其报价必须相同，否则视为有选择性报价，按无效标处理</w:t>
      </w:r>
      <w:r>
        <w:rPr>
          <w:rFonts w:hint="eastAsia" w:asciiTheme="majorEastAsia" w:hAnsiTheme="majorEastAsia" w:eastAsiaTheme="majorEastAsia" w:cstheme="majorEastAsia"/>
          <w:color w:val="auto"/>
          <w:sz w:val="24"/>
          <w:szCs w:val="24"/>
          <w:highlight w:val="none"/>
        </w:rPr>
        <w:t>。</w:t>
      </w:r>
    </w:p>
    <w:p w14:paraId="5F860F1E">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14:paraId="5E4CC7FA">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14:paraId="0A12B1DF">
      <w:pPr>
        <w:pStyle w:val="6"/>
        <w:rPr>
          <w:color w:val="auto"/>
          <w:highlight w:val="none"/>
        </w:rPr>
      </w:pPr>
      <w:bookmarkStart w:id="54" w:name="_Toc11872"/>
      <w:r>
        <w:rPr>
          <w:rFonts w:hint="eastAsia"/>
          <w:color w:val="auto"/>
          <w:highlight w:val="none"/>
        </w:rPr>
        <w:t>16、投标文件的有效期</w:t>
      </w:r>
      <w:bookmarkEnd w:id="54"/>
    </w:p>
    <w:p w14:paraId="06B373CE">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14:paraId="243E8A88">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14:paraId="754DC2CF">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14:paraId="220489AE">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14:paraId="6D9BD6D6">
      <w:pPr>
        <w:pStyle w:val="6"/>
        <w:rPr>
          <w:color w:val="auto"/>
          <w:highlight w:val="none"/>
        </w:rPr>
      </w:pPr>
      <w:bookmarkStart w:id="55" w:name="_Toc2098"/>
      <w:r>
        <w:rPr>
          <w:rFonts w:hint="eastAsia"/>
          <w:color w:val="auto"/>
          <w:highlight w:val="none"/>
        </w:rPr>
        <w:t>17、投标保证金</w:t>
      </w:r>
      <w:bookmarkEnd w:id="55"/>
    </w:p>
    <w:p w14:paraId="739481C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14:paraId="323B3CEF">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14:paraId="78501848">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14:paraId="43A06EA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14:paraId="281D7E82">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14:paraId="56D14B5E">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14:paraId="50AD4EF5">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14:paraId="390D9775">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14:paraId="207A4C8C">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14:paraId="28322747">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（5）拒绝履行合同义务的；</w:t>
      </w:r>
    </w:p>
    <w:p w14:paraId="7FFF2F8B">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（6）其他严重扰乱招投标程序的。</w:t>
      </w:r>
    </w:p>
    <w:p w14:paraId="07ADA39C">
      <w:pPr>
        <w:pStyle w:val="6"/>
        <w:rPr>
          <w:rFonts w:asciiTheme="majorEastAsia" w:hAnsiTheme="majorEastAsia" w:eastAsiaTheme="majorEastAsia" w:cstheme="majorEastAsia"/>
          <w:color w:val="auto"/>
          <w:sz w:val="24"/>
          <w:szCs w:val="24"/>
          <w:highlight w:val="none"/>
        </w:rPr>
      </w:pPr>
      <w:bookmarkStart w:id="56" w:name="_Toc16494"/>
      <w:r>
        <w:rPr>
          <w:rFonts w:hint="eastAsia" w:asciiTheme="majorEastAsia" w:hAnsiTheme="majorEastAsia" w:eastAsiaTheme="majorEastAsia" w:cstheme="majorEastAsia"/>
          <w:color w:val="auto"/>
          <w:sz w:val="24"/>
          <w:szCs w:val="24"/>
          <w:highlight w:val="none"/>
        </w:rPr>
        <w:t>18、投标文件</w:t>
      </w:r>
      <w:r>
        <w:rPr>
          <w:rStyle w:val="84"/>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56"/>
    </w:p>
    <w:p w14:paraId="7F2B0F70">
      <w:pPr>
        <w:adjustRightInd w:val="0"/>
        <w:snapToGrid w:val="0"/>
        <w:spacing w:line="500" w:lineRule="exact"/>
        <w:ind w:firstLine="480" w:firstLineChars="200"/>
        <w:jc w:val="left"/>
        <w:rPr>
          <w:rFonts w:ascii="宋体" w:hAnsi="宋体" w:eastAsia="宋体" w:cs="宋体"/>
          <w:color w:val="auto"/>
          <w:sz w:val="24"/>
          <w:szCs w:val="24"/>
          <w:highlight w:val="none"/>
        </w:rPr>
      </w:pPr>
      <w:bookmarkStart w:id="57" w:name="_Toc5085"/>
      <w:r>
        <w:rPr>
          <w:rFonts w:hint="eastAsia" w:ascii="宋体" w:hAnsi="宋体" w:eastAsia="宋体" w:cs="宋体"/>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14:paraId="09CFE168">
      <w:pPr>
        <w:adjustRightInd w:val="0"/>
        <w:snapToGrid w:val="0"/>
        <w:spacing w:line="50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18.2投标人递交的纸质投标文件包括“正本”一份、“副本”四份。报价文件单独装订成一册“正本”一份、“副本”四份；技术和商务文件内容不得体现价格并分别装订。</w:t>
      </w:r>
      <w:r>
        <w:rPr>
          <w:rFonts w:hint="eastAsia" w:ascii="宋体" w:hAnsi="宋体" w:eastAsia="宋体" w:cs="宋体"/>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宋体" w:hAnsi="宋体" w:eastAsia="宋体" w:cs="宋体"/>
          <w:color w:val="auto"/>
          <w:sz w:val="24"/>
          <w:szCs w:val="24"/>
          <w:highlight w:val="none"/>
        </w:rPr>
        <w:t>在投标文件封面的须清楚的注明“正本”或“副本”。</w:t>
      </w:r>
    </w:p>
    <w:p w14:paraId="7DC7F275">
      <w:pPr>
        <w:adjustRightInd w:val="0"/>
        <w:snapToGrid w:val="0"/>
        <w:spacing w:line="50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18.3 投标文件的正本需打印或用不褪色的墨水填写，投标文件正本除本《投标人须知》中规定的可提供复印件外均须提供原件。副本可为正本的复印件。</w:t>
      </w:r>
    </w:p>
    <w:p w14:paraId="208CDBDB">
      <w:pPr>
        <w:adjustRightInd w:val="0"/>
        <w:snapToGrid w:val="0"/>
        <w:spacing w:line="50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18.4 投标文件须由投标人在规定位置盖章并由法定代表人（负责人、自然人）或法定代表人（负责人、自然人）的授权代表签署，投标人应写全称。</w:t>
      </w:r>
    </w:p>
    <w:p w14:paraId="2CEBD26A">
      <w:pPr>
        <w:adjustRightInd w:val="0"/>
        <w:snapToGrid w:val="0"/>
        <w:spacing w:line="50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14:paraId="2199FE92">
      <w:pPr>
        <w:adjustRightInd w:val="0"/>
        <w:snapToGrid w:val="0"/>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18.6</w:t>
      </w:r>
      <w:bookmarkStart w:id="58" w:name="_Toc86216991"/>
      <w:bookmarkStart w:id="59" w:name="_Toc233618975"/>
      <w:r>
        <w:rPr>
          <w:rFonts w:hint="eastAsia" w:ascii="宋体" w:hAnsi="宋体" w:eastAsia="宋体" w:cs="宋体"/>
          <w:color w:val="auto"/>
          <w:sz w:val="24"/>
          <w:szCs w:val="24"/>
          <w:highlight w:val="none"/>
        </w:rPr>
        <w:t>电子文件（1份光盘，1份U盘）U盘和1份电子版光盘中须包含投标文件的全部内容，包括报价文件</w:t>
      </w:r>
      <w:bookmarkStart w:id="60" w:name="_Hlt68073093"/>
      <w:bookmarkEnd w:id="60"/>
      <w:bookmarkStart w:id="61" w:name="_Hlt68403820"/>
      <w:bookmarkEnd w:id="61"/>
      <w:bookmarkStart w:id="62" w:name="_Hlt68072998"/>
      <w:bookmarkEnd w:id="62"/>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商务技术文件，格式为WORD版和签章后的投标文件正本扫描件PDF版两种。光盘上须注明投标人名称及所投标包及内容。光盘上的内容应与投标人纸制投标文件一致。</w:t>
      </w:r>
    </w:p>
    <w:bookmarkEnd w:id="58"/>
    <w:bookmarkEnd w:id="59"/>
    <w:p w14:paraId="49EE020E">
      <w:pPr>
        <w:snapToGrid w:val="0"/>
        <w:spacing w:line="500" w:lineRule="exact"/>
        <w:ind w:firstLine="480" w:firstLineChars="200"/>
        <w:rPr>
          <w:rFonts w:ascii="宋体" w:hAnsi="宋体" w:eastAsia="宋体" w:cs="宋体"/>
          <w:color w:val="auto"/>
          <w:sz w:val="24"/>
          <w:szCs w:val="24"/>
          <w:highlight w:val="none"/>
        </w:rPr>
      </w:pPr>
      <w:bookmarkStart w:id="63" w:name="_Toc8464"/>
      <w:r>
        <w:rPr>
          <w:rFonts w:hint="eastAsia" w:ascii="宋体" w:hAnsi="宋体" w:eastAsia="宋体" w:cs="宋体"/>
          <w:color w:val="auto"/>
          <w:sz w:val="24"/>
          <w:szCs w:val="24"/>
          <w:highlight w:val="none"/>
        </w:rPr>
        <w:t>18.7</w:t>
      </w:r>
      <w:r>
        <w:rPr>
          <w:rFonts w:hint="eastAsia" w:ascii="宋体" w:hAnsi="宋体" w:eastAsia="宋体" w:cs="宋体"/>
          <w:b/>
          <w:color w:val="auto"/>
          <w:sz w:val="24"/>
          <w:szCs w:val="24"/>
          <w:highlight w:val="none"/>
        </w:rPr>
        <w:t>商务和技术文件须合并装订，报价文件单独装订成一册，在投标文件封面上列明项目编号</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标包编号</w:t>
      </w:r>
      <w:r>
        <w:rPr>
          <w:rFonts w:hint="eastAsia" w:ascii="宋体" w:hAnsi="宋体" w:eastAsia="宋体" w:cs="宋体"/>
          <w:b/>
          <w:color w:val="auto"/>
          <w:sz w:val="24"/>
          <w:szCs w:val="24"/>
          <w:highlight w:val="none"/>
        </w:rPr>
        <w:t>，商务和技术文件的书脊处须写明投标单位公司全称。</w:t>
      </w:r>
    </w:p>
    <w:p w14:paraId="51DBA417">
      <w:pPr>
        <w:pStyle w:val="6"/>
        <w:rPr>
          <w:color w:val="auto"/>
          <w:highlight w:val="none"/>
        </w:rPr>
      </w:pPr>
      <w:r>
        <w:rPr>
          <w:rFonts w:hint="eastAsia"/>
          <w:color w:val="auto"/>
          <w:highlight w:val="none"/>
        </w:rPr>
        <w:t>19、投标文件的包装、递交、修改和撤回</w:t>
      </w:r>
      <w:bookmarkEnd w:id="63"/>
    </w:p>
    <w:p w14:paraId="58EFEA22">
      <w:pPr>
        <w:adjustRightInd w:val="0"/>
        <w:snapToGrid w:val="0"/>
        <w:spacing w:line="500" w:lineRule="exact"/>
        <w:ind w:firstLine="420"/>
        <w:jc w:val="lef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19.1投标人应将</w:t>
      </w:r>
      <w:r>
        <w:rPr>
          <w:rFonts w:hint="eastAsia" w:ascii="宋体" w:hAnsi="宋体" w:eastAsia="宋体" w:cs="宋体"/>
          <w:b/>
          <w:color w:val="auto"/>
          <w:sz w:val="24"/>
          <w:szCs w:val="24"/>
          <w:highlight w:val="none"/>
        </w:rPr>
        <w:t>报价文件单独装订成一册,商务和技术文件合并装订，分别密封包装，包装封面上应注明“商务和技术文件”“报价文件”及投标人名称、投项目名称、项目编号</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标包编号</w:t>
      </w:r>
      <w:r>
        <w:rPr>
          <w:rFonts w:hint="eastAsia" w:ascii="宋体" w:hAnsi="宋体" w:eastAsia="宋体" w:cs="宋体"/>
          <w:b/>
          <w:color w:val="auto"/>
          <w:sz w:val="24"/>
          <w:szCs w:val="24"/>
          <w:highlight w:val="none"/>
        </w:rPr>
        <w:t>及“开标时启封”字样，并加盖投标人公章。电子U盘单独密封并递交，包装上也应注明投标人名称、投标文件名称、项目名称、项目编号</w:t>
      </w:r>
      <w:r>
        <w:rPr>
          <w:rFonts w:hint="eastAsia" w:ascii="宋体" w:hAnsi="宋体" w:eastAsia="宋体" w:cs="宋体"/>
          <w:b/>
          <w:color w:val="auto"/>
          <w:sz w:val="24"/>
          <w:szCs w:val="24"/>
          <w:highlight w:val="none"/>
          <w:lang w:eastAsia="zh-CN"/>
        </w:rPr>
        <w:t>、</w:t>
      </w:r>
      <w:r>
        <w:rPr>
          <w:rFonts w:hint="eastAsia" w:ascii="宋体" w:hAnsi="宋体" w:cs="宋体"/>
          <w:b/>
          <w:color w:val="auto"/>
          <w:sz w:val="24"/>
          <w:szCs w:val="24"/>
          <w:highlight w:val="none"/>
          <w:lang w:val="en-US" w:eastAsia="zh-CN"/>
        </w:rPr>
        <w:t>标包编号</w:t>
      </w:r>
      <w:r>
        <w:rPr>
          <w:rFonts w:hint="eastAsia" w:ascii="宋体" w:hAnsi="宋体" w:eastAsia="宋体" w:cs="宋体"/>
          <w:b/>
          <w:color w:val="auto"/>
          <w:sz w:val="24"/>
          <w:szCs w:val="24"/>
          <w:highlight w:val="none"/>
          <w:lang w:val="en-US" w:eastAsia="zh-CN"/>
        </w:rPr>
        <w:t>及</w:t>
      </w:r>
      <w:r>
        <w:rPr>
          <w:rFonts w:hint="eastAsia" w:ascii="宋体" w:hAnsi="宋体" w:eastAsia="宋体" w:cs="宋体"/>
          <w:b/>
          <w:color w:val="auto"/>
          <w:sz w:val="24"/>
          <w:szCs w:val="24"/>
          <w:highlight w:val="none"/>
        </w:rPr>
        <w:t>“开标时启</w:t>
      </w:r>
      <w:r>
        <w:rPr>
          <w:rFonts w:hint="eastAsia" w:ascii="宋体" w:hAnsi="宋体" w:cs="宋体"/>
          <w:b/>
          <w:color w:val="auto"/>
          <w:sz w:val="24"/>
          <w:szCs w:val="24"/>
          <w:highlight w:val="none"/>
          <w:lang w:eastAsia="zh-CN"/>
        </w:rPr>
        <w:t>上</w:t>
      </w:r>
      <w:r>
        <w:rPr>
          <w:rFonts w:hint="eastAsia" w:ascii="宋体" w:hAnsi="宋体" w:eastAsia="宋体" w:cs="宋体"/>
          <w:b/>
          <w:color w:val="auto"/>
          <w:sz w:val="24"/>
          <w:szCs w:val="24"/>
          <w:highlight w:val="none"/>
        </w:rPr>
        <w:t>封”字样，并加盖投标人公章。</w:t>
      </w:r>
    </w:p>
    <w:p w14:paraId="24069E3A">
      <w:pPr>
        <w:pStyle w:val="194"/>
        <w:snapToGrid w:val="0"/>
        <w:spacing w:before="0" w:line="500" w:lineRule="exact"/>
        <w:ind w:left="0"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19.2</w:t>
      </w:r>
      <w:r>
        <w:rPr>
          <w:rFonts w:hint="eastAsia" w:ascii="宋体" w:hAnsi="宋体" w:eastAsia="宋体" w:cs="宋体"/>
          <w:color w:val="auto"/>
          <w:kern w:val="2"/>
          <w:sz w:val="24"/>
          <w:szCs w:val="24"/>
          <w:highlight w:val="none"/>
          <w:lang w:val="en-US" w:eastAsia="zh-CN"/>
        </w:rPr>
        <w:t>如果投标文件的包装没有按上述规定密封并加写标志，采购人或采购代理机构将拒绝接收。</w:t>
      </w:r>
    </w:p>
    <w:p w14:paraId="4D83C512">
      <w:pPr>
        <w:pStyle w:val="194"/>
        <w:snapToGrid w:val="0"/>
        <w:spacing w:before="0" w:line="500" w:lineRule="exact"/>
        <w:ind w:left="0"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14:paraId="76DF2F35">
      <w:pPr>
        <w:pStyle w:val="195"/>
        <w:adjustRightInd w:val="0"/>
        <w:snapToGrid w:val="0"/>
        <w:spacing w:before="0" w:line="500" w:lineRule="exact"/>
        <w:ind w:firstLine="482"/>
        <w:rPr>
          <w:rFonts w:ascii="宋体" w:hAnsi="宋体" w:eastAsia="宋体" w:cs="宋体"/>
          <w:b/>
          <w:color w:val="auto"/>
          <w:szCs w:val="24"/>
          <w:highlight w:val="none"/>
        </w:rPr>
      </w:pPr>
      <w:r>
        <w:rPr>
          <w:rFonts w:hint="eastAsia" w:ascii="宋体" w:hAnsi="宋体" w:eastAsia="宋体" w:cs="宋体"/>
          <w:b/>
          <w:color w:val="auto"/>
          <w:szCs w:val="24"/>
          <w:highlight w:val="none"/>
        </w:rPr>
        <w:t>19.4投标文件有下列情况之一的将不予接受：</w:t>
      </w:r>
    </w:p>
    <w:p w14:paraId="28562129">
      <w:pPr>
        <w:pStyle w:val="194"/>
        <w:snapToGrid w:val="0"/>
        <w:spacing w:before="0" w:line="500" w:lineRule="exact"/>
        <w:ind w:left="0"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19.4.1在投标文件递交截止时间以后送达的投标文件；</w:t>
      </w:r>
    </w:p>
    <w:p w14:paraId="1BD937D4">
      <w:pPr>
        <w:pStyle w:val="19"/>
        <w:adjustRightInd w:val="0"/>
        <w:snapToGrid w:val="0"/>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19.4.2投标文件没有密封包装或者由于包装不妥，在递交时严重破损或失散的投标文件；</w:t>
      </w:r>
    </w:p>
    <w:p w14:paraId="0C6A1211">
      <w:pPr>
        <w:pStyle w:val="19"/>
        <w:adjustRightInd w:val="0"/>
        <w:snapToGrid w:val="0"/>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19.4.3投标文件未按19.1条款密封包装的；</w:t>
      </w:r>
    </w:p>
    <w:p w14:paraId="69E22C24">
      <w:pPr>
        <w:pStyle w:val="194"/>
        <w:snapToGrid w:val="0"/>
        <w:spacing w:before="0" w:line="500" w:lineRule="exact"/>
        <w:ind w:left="0"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19.4.4仅以非纸制文本形式的投标文件</w:t>
      </w:r>
      <w:r>
        <w:rPr>
          <w:rFonts w:hint="eastAsia" w:ascii="宋体" w:hAnsi="宋体" w:eastAsia="宋体" w:cs="宋体"/>
          <w:color w:val="auto"/>
          <w:kern w:val="2"/>
          <w:sz w:val="24"/>
          <w:szCs w:val="24"/>
          <w:highlight w:val="none"/>
          <w:lang w:eastAsia="zh-CN"/>
        </w:rPr>
        <w:t>。</w:t>
      </w:r>
    </w:p>
    <w:p w14:paraId="271BC83E">
      <w:pPr>
        <w:pStyle w:val="6"/>
        <w:rPr>
          <w:color w:val="auto"/>
          <w:highlight w:val="none"/>
        </w:rPr>
      </w:pPr>
      <w:r>
        <w:rPr>
          <w:rFonts w:hint="eastAsia"/>
          <w:color w:val="auto"/>
          <w:highlight w:val="none"/>
        </w:rPr>
        <w:t>20、投标截止期</w:t>
      </w:r>
      <w:bookmarkEnd w:id="57"/>
    </w:p>
    <w:p w14:paraId="2B604071">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14:paraId="2A64DE64">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14:paraId="6DB3D7C2">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14:paraId="1FAE35FB">
      <w:pPr>
        <w:pStyle w:val="6"/>
        <w:rPr>
          <w:color w:val="auto"/>
          <w:highlight w:val="none"/>
        </w:rPr>
      </w:pPr>
      <w:bookmarkStart w:id="64" w:name="_Toc11084"/>
      <w:r>
        <w:rPr>
          <w:rFonts w:hint="eastAsia"/>
          <w:color w:val="auto"/>
          <w:highlight w:val="none"/>
        </w:rPr>
        <w:t>21、投标无效的情形</w:t>
      </w:r>
      <w:bookmarkEnd w:id="64"/>
    </w:p>
    <w:p w14:paraId="1C975383">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14:paraId="4349F2B0">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14:paraId="1E47890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14:paraId="2CDA34EC">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14:paraId="657FA9C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14:paraId="55DCA1C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14:paraId="2BA762D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14:paraId="3787930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w:t>
      </w:r>
      <w:r>
        <w:rPr>
          <w:rFonts w:hint="eastAsia" w:asciiTheme="majorEastAsia" w:hAnsiTheme="majorEastAsia" w:eastAsiaTheme="majorEastAsia" w:cstheme="majorEastAsia"/>
          <w:color w:val="auto"/>
          <w:sz w:val="24"/>
          <w:szCs w:val="24"/>
          <w:highlight w:val="none"/>
          <w:lang w:val="en-US" w:eastAsia="zh-CN"/>
        </w:rPr>
        <w:t>投标人的报价明显低于其他通过符合性审查投标人的报价，有可能影响产品质量或者不能诚信履约的</w:t>
      </w:r>
      <w:r>
        <w:rPr>
          <w:rFonts w:hint="eastAsia" w:asciiTheme="majorEastAsia" w:hAnsiTheme="majorEastAsia" w:eastAsiaTheme="majorEastAsia" w:cstheme="majorEastAsia"/>
          <w:color w:val="auto"/>
          <w:sz w:val="24"/>
          <w:szCs w:val="24"/>
          <w:highlight w:val="none"/>
        </w:rPr>
        <w:t>，投标人又不能在规定时间内作出合理说明或提供相关证明材料；</w:t>
      </w:r>
    </w:p>
    <w:p w14:paraId="7F90279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标包以赠送方式投标的、对一个标包提供两个投标方案或两个报价的；</w:t>
      </w:r>
    </w:p>
    <w:p w14:paraId="590D1C6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14:paraId="13AEC61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65" w:name="_Toc12370"/>
      <w:bookmarkStart w:id="66" w:name="_Toc19368"/>
      <w:r>
        <w:rPr>
          <w:rFonts w:hint="eastAsia" w:asciiTheme="majorEastAsia" w:hAnsiTheme="majorEastAsia" w:eastAsiaTheme="majorEastAsia" w:cstheme="majorEastAsia"/>
          <w:color w:val="auto"/>
          <w:sz w:val="24"/>
          <w:szCs w:val="24"/>
          <w:highlight w:val="none"/>
        </w:rPr>
        <w:t>21.9 投标报价超出最高限价的；</w:t>
      </w:r>
    </w:p>
    <w:p w14:paraId="369A19F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投标人不能在规定时间内提供原件核实或提供相关证明材料；</w:t>
      </w:r>
    </w:p>
    <w:p w14:paraId="02EE6BF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不符合法律、法规和本招标文件明确规定的其他实质性要求的。</w:t>
      </w:r>
    </w:p>
    <w:p w14:paraId="577075DC">
      <w:pPr>
        <w:pStyle w:val="5"/>
        <w:rPr>
          <w:color w:val="auto"/>
          <w:highlight w:val="none"/>
        </w:rPr>
      </w:pPr>
      <w:r>
        <w:rPr>
          <w:rFonts w:hint="eastAsia"/>
          <w:color w:val="auto"/>
          <w:highlight w:val="none"/>
        </w:rPr>
        <w:t>四、开标</w:t>
      </w:r>
      <w:bookmarkEnd w:id="65"/>
      <w:bookmarkEnd w:id="66"/>
    </w:p>
    <w:p w14:paraId="3FA24935">
      <w:pPr>
        <w:pStyle w:val="6"/>
        <w:rPr>
          <w:color w:val="auto"/>
          <w:highlight w:val="none"/>
        </w:rPr>
      </w:pPr>
      <w:bookmarkStart w:id="67" w:name="_Toc9510638"/>
      <w:bookmarkStart w:id="68" w:name="_Toc21515"/>
      <w:r>
        <w:rPr>
          <w:rFonts w:hint="eastAsia"/>
          <w:color w:val="auto"/>
          <w:highlight w:val="none"/>
        </w:rPr>
        <w:t>22、开</w:t>
      </w:r>
      <w:bookmarkEnd w:id="67"/>
      <w:r>
        <w:rPr>
          <w:rFonts w:hint="eastAsia"/>
          <w:color w:val="auto"/>
          <w:highlight w:val="none"/>
        </w:rPr>
        <w:t>标准备</w:t>
      </w:r>
      <w:bookmarkEnd w:id="68"/>
    </w:p>
    <w:p w14:paraId="02DF685C">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14:paraId="76983D39">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w:t>
      </w:r>
      <w:r>
        <w:rPr>
          <w:rFonts w:hint="eastAsia" w:asciiTheme="majorEastAsia" w:hAnsiTheme="majorEastAsia" w:eastAsiaTheme="majorEastAsia" w:cstheme="majorEastAsia"/>
          <w:bCs/>
          <w:color w:val="auto"/>
          <w:sz w:val="24"/>
          <w:szCs w:val="24"/>
          <w:highlight w:val="none"/>
          <w:lang w:val="en-US" w:eastAsia="zh-CN"/>
        </w:rPr>
        <w:t>，</w:t>
      </w:r>
      <w:r>
        <w:rPr>
          <w:rFonts w:hint="eastAsia" w:asciiTheme="majorEastAsia" w:hAnsiTheme="majorEastAsia" w:eastAsiaTheme="majorEastAsia" w:cstheme="majorEastAsia"/>
          <w:bCs/>
          <w:color w:val="auto"/>
          <w:sz w:val="24"/>
          <w:szCs w:val="24"/>
          <w:highlight w:val="none"/>
        </w:rPr>
        <w:t>投标人代表未对开标结果签字确认或者拒绝签字确认的，不影响评标过程。</w:t>
      </w:r>
    </w:p>
    <w:p w14:paraId="1A227E18">
      <w:pPr>
        <w:pStyle w:val="6"/>
        <w:rPr>
          <w:color w:val="auto"/>
          <w:highlight w:val="none"/>
        </w:rPr>
      </w:pPr>
      <w:bookmarkStart w:id="69" w:name="_Toc26159"/>
      <w:r>
        <w:rPr>
          <w:rFonts w:hint="eastAsia"/>
          <w:color w:val="auto"/>
          <w:highlight w:val="none"/>
        </w:rPr>
        <w:t>23、开标程序：</w:t>
      </w:r>
      <w:bookmarkEnd w:id="69"/>
    </w:p>
    <w:p w14:paraId="7BECC6BA">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 开标会由采购代理机构主持，主持人宣布开标会议开始；</w:t>
      </w:r>
    </w:p>
    <w:p w14:paraId="73DDA14F">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 主持人介绍参加开标会的投标人名单；</w:t>
      </w:r>
    </w:p>
    <w:p w14:paraId="2D4AC028">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0" w:name="_Toc14026"/>
      <w:r>
        <w:rPr>
          <w:rFonts w:hint="eastAsia" w:asciiTheme="majorEastAsia" w:hAnsiTheme="majorEastAsia" w:eastAsiaTheme="majorEastAsia" w:cstheme="majorEastAsia"/>
          <w:bCs/>
          <w:color w:val="auto"/>
          <w:sz w:val="24"/>
          <w:szCs w:val="24"/>
          <w:highlight w:val="none"/>
        </w:rPr>
        <w:t>23.3投标人法定代表人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w:t>
      </w:r>
      <w:r>
        <w:rPr>
          <w:rFonts w:hint="eastAsia" w:asciiTheme="majorEastAsia" w:hAnsiTheme="majorEastAsia" w:eastAsiaTheme="majorEastAsia" w:cstheme="majorEastAsia"/>
          <w:bCs/>
          <w:color w:val="auto"/>
          <w:sz w:val="24"/>
          <w:szCs w:val="24"/>
          <w:highlight w:val="none"/>
          <w:lang w:eastAsia="zh-CN"/>
        </w:rPr>
        <w:t>、公证员</w:t>
      </w:r>
      <w:r>
        <w:rPr>
          <w:rFonts w:hint="eastAsia" w:asciiTheme="majorEastAsia" w:hAnsiTheme="majorEastAsia" w:eastAsiaTheme="majorEastAsia" w:cstheme="majorEastAsia"/>
          <w:bCs/>
          <w:color w:val="auto"/>
          <w:sz w:val="24"/>
          <w:szCs w:val="24"/>
          <w:highlight w:val="none"/>
          <w:lang w:val="en-US" w:eastAsia="zh-CN"/>
        </w:rPr>
        <w:t>/律师（如有）</w:t>
      </w:r>
      <w:r>
        <w:rPr>
          <w:rFonts w:hint="eastAsia" w:asciiTheme="majorEastAsia" w:hAnsiTheme="majorEastAsia" w:eastAsiaTheme="majorEastAsia" w:cstheme="majorEastAsia"/>
          <w:bCs/>
          <w:color w:val="auto"/>
          <w:sz w:val="24"/>
          <w:szCs w:val="24"/>
          <w:highlight w:val="none"/>
        </w:rPr>
        <w:t>检查投标文件密封的完整性并签字确认；</w:t>
      </w:r>
    </w:p>
    <w:p w14:paraId="477E142B">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23.4开标时，核对授权代表身份后清点投标文件的正副本及电子文件，然后按递交标书的顺序进行唱标，采购人</w:t>
      </w:r>
      <w:r>
        <w:rPr>
          <w:rFonts w:hint="eastAsia" w:asciiTheme="majorEastAsia" w:hAnsiTheme="majorEastAsia" w:eastAsiaTheme="majorEastAsia" w:cstheme="majorEastAsia"/>
          <w:bCs/>
          <w:color w:val="auto"/>
          <w:sz w:val="24"/>
          <w:szCs w:val="24"/>
          <w:highlight w:val="none"/>
          <w:lang w:eastAsia="zh-CN"/>
        </w:rPr>
        <w:t>或</w:t>
      </w:r>
      <w:r>
        <w:rPr>
          <w:rFonts w:hint="eastAsia" w:asciiTheme="majorEastAsia" w:hAnsiTheme="majorEastAsia" w:eastAsiaTheme="majorEastAsia" w:cstheme="majorEastAsia"/>
          <w:bCs/>
          <w:color w:val="auto"/>
          <w:sz w:val="24"/>
          <w:szCs w:val="24"/>
          <w:highlight w:val="none"/>
        </w:rPr>
        <w:t>采购代理机构工作人员即当众拆封，宣读</w:t>
      </w:r>
      <w:r>
        <w:rPr>
          <w:rFonts w:hint="eastAsia" w:asciiTheme="majorEastAsia" w:hAnsiTheme="majorEastAsia" w:eastAsiaTheme="majorEastAsia" w:cstheme="majorEastAsia"/>
          <w:bCs/>
          <w:color w:val="auto"/>
          <w:sz w:val="24"/>
          <w:szCs w:val="24"/>
          <w:highlight w:val="none"/>
          <w:lang w:eastAsia="zh-CN"/>
        </w:rPr>
        <w:t>《开标一览表》的内容并做记录</w:t>
      </w:r>
      <w:r>
        <w:rPr>
          <w:rFonts w:hint="eastAsia" w:asciiTheme="majorEastAsia" w:hAnsiTheme="majorEastAsia" w:eastAsiaTheme="majorEastAsia" w:cstheme="majorEastAsia"/>
          <w:bCs/>
          <w:color w:val="auto"/>
          <w:sz w:val="24"/>
          <w:szCs w:val="24"/>
          <w:highlight w:val="none"/>
        </w:rPr>
        <w:t>；</w:t>
      </w:r>
    </w:p>
    <w:p w14:paraId="4C552638">
      <w:pPr>
        <w:pStyle w:val="195"/>
        <w:adjustRightInd w:val="0"/>
        <w:snapToGrid w:val="0"/>
        <w:spacing w:before="0" w:line="500" w:lineRule="exact"/>
        <w:ind w:firstLine="480"/>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23.5开标后投标人代表当场对开标结果进行签字确认，投标人代表未在开标记录上签字的，均视为对开标结果予以默认；</w:t>
      </w:r>
    </w:p>
    <w:p w14:paraId="7D5352AA">
      <w:pPr>
        <w:adjustRightInd w:val="0"/>
        <w:snapToGrid w:val="0"/>
        <w:spacing w:line="500" w:lineRule="exact"/>
        <w:ind w:firstLine="523" w:firstLineChars="218"/>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23.6</w:t>
      </w:r>
      <w:r>
        <w:rPr>
          <w:rFonts w:hint="eastAsia" w:asciiTheme="majorEastAsia" w:hAnsiTheme="majorEastAsia" w:eastAsiaTheme="majorEastAsia" w:cstheme="majorEastAsia"/>
          <w:bCs/>
          <w:color w:val="auto"/>
          <w:sz w:val="24"/>
          <w:szCs w:val="24"/>
          <w:highlight w:val="none"/>
          <w:lang w:eastAsia="zh-CN"/>
        </w:rPr>
        <w:t>投标人代表对开标过程和开标记录有异议，以及认为采购人、采购代理机构相关工作人员</w:t>
      </w:r>
      <w:r>
        <w:rPr>
          <w:rFonts w:hint="eastAsia" w:asciiTheme="majorEastAsia" w:hAnsiTheme="majorEastAsia" w:eastAsiaTheme="majorEastAsia" w:cstheme="majorEastAsia"/>
          <w:bCs/>
          <w:color w:val="auto"/>
          <w:sz w:val="24"/>
          <w:szCs w:val="24"/>
          <w:highlight w:val="none"/>
          <w:lang w:val="en-US" w:eastAsia="zh-CN"/>
        </w:rPr>
        <w:t>有</w:t>
      </w:r>
      <w:r>
        <w:rPr>
          <w:rFonts w:hint="eastAsia" w:asciiTheme="majorEastAsia" w:hAnsiTheme="majorEastAsia" w:eastAsiaTheme="majorEastAsia" w:cstheme="majorEastAsia"/>
          <w:bCs/>
          <w:color w:val="auto"/>
          <w:sz w:val="24"/>
          <w:szCs w:val="24"/>
          <w:highlight w:val="none"/>
          <w:lang w:eastAsia="zh-CN"/>
        </w:rPr>
        <w:t>需要回避的情形的，应当场提出询问或者回避申请，采购人、采购代理机构将对投标人代表提出的询问或者回避申请及时处理</w:t>
      </w:r>
      <w:r>
        <w:rPr>
          <w:rFonts w:hint="eastAsia" w:asciiTheme="majorEastAsia" w:hAnsiTheme="majorEastAsia" w:eastAsiaTheme="majorEastAsia" w:cstheme="majorEastAsia"/>
          <w:bCs/>
          <w:color w:val="auto"/>
          <w:sz w:val="24"/>
          <w:szCs w:val="24"/>
          <w:highlight w:val="none"/>
        </w:rPr>
        <w:t>。</w:t>
      </w:r>
    </w:p>
    <w:p w14:paraId="0436B65C">
      <w:pPr>
        <w:pStyle w:val="6"/>
        <w:rPr>
          <w:color w:val="auto"/>
          <w:highlight w:val="none"/>
        </w:rPr>
      </w:pPr>
      <w:r>
        <w:rPr>
          <w:rFonts w:hint="eastAsia"/>
          <w:color w:val="auto"/>
          <w:highlight w:val="none"/>
        </w:rPr>
        <w:t>24、资格审查</w:t>
      </w:r>
      <w:bookmarkEnd w:id="70"/>
    </w:p>
    <w:p w14:paraId="75530BCC">
      <w:pPr>
        <w:adjustRightInd w:val="0"/>
        <w:snapToGrid w:val="0"/>
        <w:spacing w:line="500" w:lineRule="exact"/>
        <w:ind w:firstLine="523" w:firstLineChars="218"/>
        <w:rPr>
          <w:rFonts w:hint="eastAsia" w:asciiTheme="majorEastAsia" w:hAnsiTheme="majorEastAsia" w:eastAsiaTheme="majorEastAsia" w:cstheme="majorEastAsia"/>
          <w:bCs/>
          <w:color w:val="auto"/>
          <w:sz w:val="24"/>
          <w:szCs w:val="24"/>
          <w:highlight w:val="none"/>
        </w:rPr>
      </w:pPr>
      <w:bookmarkStart w:id="71" w:name="_Toc21778"/>
      <w:bookmarkStart w:id="72" w:name="_Toc25332"/>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14:paraId="7A41A4AC">
      <w:pPr>
        <w:pStyle w:val="31"/>
        <w:rPr>
          <w:rFonts w:hint="eastAsia"/>
          <w:color w:val="auto"/>
          <w:highlight w:val="none"/>
        </w:rPr>
      </w:pPr>
    </w:p>
    <w:tbl>
      <w:tblPr>
        <w:tblStyle w:val="39"/>
        <w:tblpPr w:leftFromText="180" w:rightFromText="180" w:vertAnchor="text" w:horzAnchor="page" w:tblpX="1698" w:tblpY="208"/>
        <w:tblOverlap w:val="never"/>
        <w:tblW w:w="8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7807"/>
      </w:tblGrid>
      <w:tr w14:paraId="5D40F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trPr>
        <w:tc>
          <w:tcPr>
            <w:tcW w:w="889" w:type="dxa"/>
            <w:tcMar>
              <w:left w:w="108" w:type="dxa"/>
              <w:right w:w="108" w:type="dxa"/>
            </w:tcMar>
            <w:vAlign w:val="center"/>
          </w:tcPr>
          <w:p w14:paraId="32986591">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7807" w:type="dxa"/>
            <w:tcMar>
              <w:left w:w="108" w:type="dxa"/>
              <w:right w:w="108" w:type="dxa"/>
            </w:tcMar>
            <w:vAlign w:val="center"/>
          </w:tcPr>
          <w:p w14:paraId="77A1B19B">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5D36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9" w:hRule="atLeast"/>
        </w:trPr>
        <w:tc>
          <w:tcPr>
            <w:tcW w:w="889" w:type="dxa"/>
            <w:tcMar>
              <w:left w:w="108" w:type="dxa"/>
              <w:right w:w="108" w:type="dxa"/>
            </w:tcMar>
            <w:vAlign w:val="center"/>
          </w:tcPr>
          <w:p w14:paraId="53C9401C">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7807" w:type="dxa"/>
            <w:tcMar>
              <w:left w:w="108" w:type="dxa"/>
              <w:right w:w="108" w:type="dxa"/>
            </w:tcMar>
            <w:vAlign w:val="center"/>
          </w:tcPr>
          <w:p w14:paraId="0619FC13">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14:paraId="1D60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14:paraId="511E5CCA">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p>
        </w:tc>
        <w:tc>
          <w:tcPr>
            <w:tcW w:w="7807" w:type="dxa"/>
            <w:tcMar>
              <w:left w:w="108" w:type="dxa"/>
              <w:right w:w="108" w:type="dxa"/>
            </w:tcMar>
            <w:vAlign w:val="center"/>
          </w:tcPr>
          <w:p w14:paraId="26BCF8F2">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与采购人存在利害关系可能影响招标公正性的法人、其他组织或者个人，</w:t>
            </w:r>
            <w:r>
              <w:rPr>
                <w:rFonts w:hint="eastAsia" w:ascii="宋体" w:hAnsi="宋体" w:cs="宋体"/>
                <w:color w:val="auto"/>
                <w:sz w:val="24"/>
                <w:szCs w:val="24"/>
                <w:highlight w:val="none"/>
              </w:rPr>
              <w:t>不得参加同一标段投标或者未划分标段的同一招标项目投标</w:t>
            </w:r>
            <w:r>
              <w:rPr>
                <w:rFonts w:hint="eastAsia" w:asciiTheme="majorEastAsia" w:hAnsiTheme="majorEastAsia" w:eastAsiaTheme="majorEastAsia" w:cstheme="majorEastAsia"/>
                <w:color w:val="auto"/>
                <w:sz w:val="24"/>
                <w:szCs w:val="24"/>
                <w:highlight w:val="none"/>
                <w:lang w:eastAsia="zh-CN"/>
              </w:rPr>
              <w:t>。</w:t>
            </w:r>
          </w:p>
        </w:tc>
      </w:tr>
      <w:tr w14:paraId="1844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14:paraId="10807266">
            <w:pPr>
              <w:snapToGrid w:val="0"/>
              <w:spacing w:line="400" w:lineRule="exac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w:t>
            </w:r>
          </w:p>
        </w:tc>
        <w:tc>
          <w:tcPr>
            <w:tcW w:w="7807" w:type="dxa"/>
            <w:tcMar>
              <w:left w:w="108" w:type="dxa"/>
              <w:right w:w="108" w:type="dxa"/>
            </w:tcMar>
            <w:vAlign w:val="center"/>
          </w:tcPr>
          <w:p w14:paraId="198CD2A0">
            <w:pPr>
              <w:snapToGrid w:val="0"/>
              <w:spacing w:line="400" w:lineRule="exact"/>
              <w:rPr>
                <w:rFonts w:hint="eastAsia" w:ascii="宋体" w:hAnsi="宋体" w:cs="宋体" w:eastAsiaTheme="majorEastAsia"/>
                <w:color w:val="auto"/>
                <w:kern w:val="2"/>
                <w:sz w:val="24"/>
                <w:szCs w:val="24"/>
                <w:highlight w:val="none"/>
                <w:lang w:val="en-US" w:eastAsia="zh-CN" w:bidi="ar-SA"/>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p>
        </w:tc>
      </w:tr>
      <w:tr w14:paraId="370F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4" w:hRule="atLeast"/>
        </w:trPr>
        <w:tc>
          <w:tcPr>
            <w:tcW w:w="889" w:type="dxa"/>
            <w:tcMar>
              <w:left w:w="108" w:type="dxa"/>
              <w:right w:w="108" w:type="dxa"/>
            </w:tcMar>
            <w:vAlign w:val="center"/>
          </w:tcPr>
          <w:p w14:paraId="7A893584">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4</w:t>
            </w:r>
          </w:p>
        </w:tc>
        <w:tc>
          <w:tcPr>
            <w:tcW w:w="7807" w:type="dxa"/>
            <w:tcMar>
              <w:left w:w="108" w:type="dxa"/>
              <w:right w:w="108" w:type="dxa"/>
            </w:tcMar>
            <w:vAlign w:val="center"/>
          </w:tcPr>
          <w:p w14:paraId="0EDA4D11">
            <w:pPr>
              <w:snapToGrid w:val="0"/>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投标单位未被列入失信被执行人、</w:t>
            </w:r>
            <w:r>
              <w:rPr>
                <w:rFonts w:hint="eastAsia" w:asciiTheme="majorEastAsia" w:hAnsiTheme="majorEastAsia" w:eastAsiaTheme="majorEastAsia" w:cstheme="majorEastAsia"/>
                <w:color w:val="auto"/>
                <w:sz w:val="24"/>
                <w:szCs w:val="24"/>
                <w:highlight w:val="none"/>
                <w:lang w:eastAsia="zh-CN"/>
              </w:rPr>
              <w:t>重大税收违法</w:t>
            </w:r>
            <w:r>
              <w:rPr>
                <w:rFonts w:hint="eastAsia" w:asciiTheme="majorEastAsia" w:hAnsiTheme="majorEastAsia" w:eastAsiaTheme="majorEastAsia" w:cstheme="majorEastAsia"/>
                <w:color w:val="auto"/>
                <w:sz w:val="24"/>
                <w:szCs w:val="24"/>
                <w:highlight w:val="none"/>
                <w:lang w:val="en-US" w:eastAsia="zh-CN"/>
              </w:rPr>
              <w:t>失信主体</w:t>
            </w:r>
            <w:r>
              <w:rPr>
                <w:rFonts w:hint="eastAsia" w:asciiTheme="majorEastAsia" w:hAnsiTheme="majorEastAsia" w:eastAsiaTheme="majorEastAsia" w:cstheme="majorEastAsia"/>
                <w:color w:val="auto"/>
                <w:sz w:val="24"/>
                <w:szCs w:val="24"/>
                <w:highlight w:val="none"/>
              </w:rPr>
              <w:t>、政府采购严重违法失信行为记录名单。</w:t>
            </w:r>
          </w:p>
          <w:p w14:paraId="14582EF9">
            <w:pPr>
              <w:snapToGrid w:val="0"/>
              <w:spacing w:line="400" w:lineRule="exact"/>
              <w:rPr>
                <w:rFonts w:ascii="宋体" w:hAnsi="宋体" w:eastAsia="宋体" w:cs="宋体"/>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注：开标当天采购代理机构将通过“信用中国”网站（</w:t>
            </w:r>
            <w:r>
              <w:rPr>
                <w:rFonts w:hint="eastAsia" w:asciiTheme="majorEastAsia" w:hAnsiTheme="majorEastAsia" w:eastAsiaTheme="majorEastAsia" w:cstheme="majorEastAsia"/>
                <w:color w:val="auto"/>
                <w:spacing w:val="-34"/>
                <w:sz w:val="24"/>
                <w:szCs w:val="24"/>
                <w:highlight w:val="none"/>
              </w:rPr>
              <w:t>www.creditchina.gov.cn</w:t>
            </w:r>
            <w:r>
              <w:rPr>
                <w:rFonts w:hint="eastAsia" w:asciiTheme="majorEastAsia" w:hAnsiTheme="majorEastAsia" w:eastAsiaTheme="majorEastAsia" w:cstheme="majorEastAsia"/>
                <w:color w:val="auto"/>
                <w:sz w:val="24"/>
                <w:szCs w:val="24"/>
                <w:highlight w:val="none"/>
              </w:rPr>
              <w:t>）和中国政府采购网（</w:t>
            </w:r>
            <w:r>
              <w:rPr>
                <w:rFonts w:hint="eastAsia" w:asciiTheme="majorEastAsia" w:hAnsiTheme="majorEastAsia" w:eastAsiaTheme="majorEastAsia" w:cstheme="majorEastAsia"/>
                <w:color w:val="auto"/>
                <w:spacing w:val="-34"/>
                <w:sz w:val="24"/>
                <w:szCs w:val="24"/>
                <w:highlight w:val="none"/>
              </w:rPr>
              <w:t>www.ccgp.gov.cn</w:t>
            </w:r>
            <w:r>
              <w:rPr>
                <w:rFonts w:hint="eastAsia" w:asciiTheme="majorEastAsia" w:hAnsiTheme="majorEastAsia" w:eastAsiaTheme="majorEastAsia" w:cstheme="majorEastAsia"/>
                <w:color w:val="auto"/>
                <w:sz w:val="24"/>
                <w:szCs w:val="24"/>
                <w:highlight w:val="none"/>
              </w:rPr>
              <w:t>）对投标人的信用信息进行查询，查询截止时间点即投标截止时间。</w:t>
            </w:r>
          </w:p>
        </w:tc>
      </w:tr>
      <w:tr w14:paraId="153B8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trPr>
        <w:tc>
          <w:tcPr>
            <w:tcW w:w="889" w:type="dxa"/>
            <w:tcMar>
              <w:left w:w="108" w:type="dxa"/>
              <w:right w:w="108" w:type="dxa"/>
            </w:tcMar>
            <w:vAlign w:val="center"/>
          </w:tcPr>
          <w:p w14:paraId="3601229B">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5</w:t>
            </w:r>
          </w:p>
        </w:tc>
        <w:tc>
          <w:tcPr>
            <w:tcW w:w="7807" w:type="dxa"/>
            <w:tcMar>
              <w:left w:w="108" w:type="dxa"/>
              <w:right w:w="108" w:type="dxa"/>
            </w:tcMar>
            <w:vAlign w:val="center"/>
          </w:tcPr>
          <w:p w14:paraId="534DEC99">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按招标文件要求</w:t>
            </w:r>
            <w:r>
              <w:rPr>
                <w:rFonts w:hint="eastAsia" w:ascii="宋体" w:hAnsi="宋体" w:cs="宋体"/>
                <w:color w:val="auto"/>
                <w:sz w:val="24"/>
                <w:szCs w:val="24"/>
                <w:highlight w:val="none"/>
                <w:lang w:val="en-US" w:eastAsia="zh-CN"/>
              </w:rPr>
              <w:t>缴纳投标保证金</w:t>
            </w:r>
            <w:r>
              <w:rPr>
                <w:rFonts w:hint="eastAsia" w:ascii="宋体" w:hAnsi="宋体" w:cs="宋体"/>
                <w:color w:val="auto"/>
                <w:sz w:val="24"/>
                <w:szCs w:val="24"/>
                <w:highlight w:val="none"/>
                <w:lang w:eastAsia="zh-CN"/>
              </w:rPr>
              <w:t>。</w:t>
            </w:r>
          </w:p>
        </w:tc>
      </w:tr>
      <w:tr w14:paraId="7B86D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0" w:hRule="atLeast"/>
        </w:trPr>
        <w:tc>
          <w:tcPr>
            <w:tcW w:w="8696" w:type="dxa"/>
            <w:gridSpan w:val="2"/>
            <w:tcMar>
              <w:left w:w="108" w:type="dxa"/>
              <w:right w:w="108" w:type="dxa"/>
            </w:tcMar>
            <w:vAlign w:val="center"/>
          </w:tcPr>
          <w:p w14:paraId="746CAE42">
            <w:pPr>
              <w:adjustRightInd w:val="0"/>
              <w:snapToGrid w:val="0"/>
              <w:spacing w:line="400" w:lineRule="exact"/>
              <w:ind w:firstLine="33" w:firstLineChars="14"/>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备注：</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如果资格评审中有一项不满足审查标准的，将认定该投标人不通过资格审查，不得进入下一阶段评审，并且不允许供应商通过修改或撤销其不符合要求的差异或保留，使其成为实质性响应。</w:t>
            </w:r>
          </w:p>
          <w:p w14:paraId="287B5915">
            <w:pPr>
              <w:adjustRightInd w:val="0"/>
              <w:snapToGrid w:val="0"/>
              <w:spacing w:line="400" w:lineRule="exact"/>
              <w:ind w:firstLine="751" w:firstLineChars="313"/>
              <w:rPr>
                <w:rFonts w:hint="default"/>
                <w:color w:val="auto"/>
                <w:highlight w:val="none"/>
                <w:lang w:val="en-US"/>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合格投标人不足3家的，不得评标。</w:t>
            </w:r>
          </w:p>
        </w:tc>
      </w:tr>
    </w:tbl>
    <w:p w14:paraId="1CF682A3">
      <w:pPr>
        <w:pStyle w:val="31"/>
        <w:rPr>
          <w:rFonts w:hint="eastAsia"/>
          <w:color w:val="auto"/>
          <w:highlight w:val="none"/>
        </w:rPr>
      </w:pPr>
    </w:p>
    <w:p w14:paraId="3E9C7315">
      <w:pPr>
        <w:pStyle w:val="5"/>
        <w:rPr>
          <w:color w:val="auto"/>
          <w:highlight w:val="none"/>
        </w:rPr>
      </w:pPr>
      <w:r>
        <w:rPr>
          <w:rFonts w:hint="eastAsia"/>
          <w:color w:val="auto"/>
          <w:highlight w:val="none"/>
        </w:rPr>
        <w:t>五、评标</w:t>
      </w:r>
      <w:bookmarkEnd w:id="71"/>
      <w:bookmarkEnd w:id="72"/>
    </w:p>
    <w:p w14:paraId="0AD40F96">
      <w:pPr>
        <w:pStyle w:val="6"/>
        <w:rPr>
          <w:color w:val="auto"/>
          <w:highlight w:val="none"/>
        </w:rPr>
      </w:pPr>
      <w:bookmarkStart w:id="73" w:name="_Toc9510639"/>
      <w:bookmarkStart w:id="74" w:name="_Toc6750"/>
      <w:r>
        <w:rPr>
          <w:rFonts w:hint="eastAsia"/>
          <w:color w:val="auto"/>
          <w:highlight w:val="none"/>
        </w:rPr>
        <w:t>25、组</w:t>
      </w:r>
      <w:bookmarkEnd w:id="73"/>
      <w:r>
        <w:rPr>
          <w:rFonts w:hint="eastAsia"/>
          <w:color w:val="auto"/>
          <w:highlight w:val="none"/>
        </w:rPr>
        <w:t>建评标委员会</w:t>
      </w:r>
      <w:bookmarkEnd w:id="74"/>
    </w:p>
    <w:p w14:paraId="727F3EB1">
      <w:pPr>
        <w:adjustRightInd w:val="0"/>
        <w:snapToGrid w:val="0"/>
        <w:spacing w:line="360" w:lineRule="auto"/>
        <w:ind w:firstLine="480" w:firstLineChars="200"/>
        <w:rPr>
          <w:rFonts w:ascii="宋体" w:hAnsi="宋体" w:cs="宋体"/>
          <w:color w:val="auto"/>
          <w:sz w:val="24"/>
          <w:szCs w:val="24"/>
          <w:highlight w:val="none"/>
        </w:rPr>
      </w:pPr>
      <w:bookmarkStart w:id="75" w:name="_Toc14527"/>
      <w:r>
        <w:rPr>
          <w:rFonts w:hint="eastAsia" w:ascii="宋体" w:hAnsi="宋体" w:cs="宋体"/>
          <w:color w:val="auto"/>
          <w:sz w:val="24"/>
          <w:szCs w:val="24"/>
          <w:highlight w:val="none"/>
        </w:rPr>
        <w:t>按《中华人民共和国政府采购法》相关要求，</w:t>
      </w:r>
      <w:r>
        <w:rPr>
          <w:rFonts w:hint="eastAsia" w:ascii="宋体" w:hAnsi="宋体" w:cs="宋体"/>
          <w:color w:val="auto"/>
          <w:sz w:val="24"/>
          <w:szCs w:val="24"/>
          <w:highlight w:val="none"/>
          <w:lang w:eastAsia="zh-CN"/>
        </w:rPr>
        <w:t>本项目</w:t>
      </w:r>
      <w:r>
        <w:rPr>
          <w:rFonts w:hint="eastAsia" w:ascii="宋体" w:hAnsi="宋体" w:cs="宋体"/>
          <w:color w:val="auto"/>
          <w:sz w:val="24"/>
          <w:szCs w:val="24"/>
          <w:highlight w:val="none"/>
        </w:rPr>
        <w:t>评标委员会由</w:t>
      </w:r>
      <w:r>
        <w:rPr>
          <w:rFonts w:hint="eastAsia" w:ascii="宋体" w:hAnsi="宋体" w:cs="宋体"/>
          <w:color w:val="auto"/>
          <w:sz w:val="24"/>
          <w:szCs w:val="24"/>
          <w:highlight w:val="none"/>
          <w:lang w:val="en-US" w:eastAsia="zh-CN"/>
        </w:rPr>
        <w:t>新疆政府采购网</w:t>
      </w:r>
      <w:r>
        <w:rPr>
          <w:rFonts w:hint="eastAsia" w:ascii="宋体" w:hAnsi="宋体" w:cs="宋体"/>
          <w:color w:val="auto"/>
          <w:sz w:val="24"/>
          <w:szCs w:val="24"/>
          <w:highlight w:val="none"/>
        </w:rPr>
        <w:t>专家库随机抽取</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lang w:val="en-US" w:eastAsia="zh-CN"/>
        </w:rPr>
        <w:t>5名评审</w:t>
      </w:r>
      <w:r>
        <w:rPr>
          <w:rFonts w:hint="eastAsia" w:ascii="宋体" w:hAnsi="宋体" w:cs="宋体"/>
          <w:color w:val="auto"/>
          <w:sz w:val="24"/>
          <w:szCs w:val="24"/>
          <w:highlight w:val="none"/>
        </w:rPr>
        <w:t>专家和</w:t>
      </w:r>
      <w:r>
        <w:rPr>
          <w:rFonts w:hint="eastAsia" w:ascii="宋体" w:hAnsi="宋体" w:cs="宋体"/>
          <w:color w:val="auto"/>
          <w:sz w:val="24"/>
          <w:szCs w:val="24"/>
          <w:highlight w:val="none"/>
          <w:lang w:val="en-US" w:eastAsia="zh-CN"/>
        </w:rPr>
        <w:t>2名采购人代表</w:t>
      </w:r>
      <w:r>
        <w:rPr>
          <w:rFonts w:hint="eastAsia" w:ascii="宋体" w:hAnsi="宋体" w:cs="宋体"/>
          <w:color w:val="auto"/>
          <w:sz w:val="24"/>
          <w:szCs w:val="24"/>
          <w:highlight w:val="none"/>
        </w:rPr>
        <w:t>组成</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其中随机抽取专家人数不少于成员总数的三分之二。</w:t>
      </w:r>
    </w:p>
    <w:p w14:paraId="03BCE26D">
      <w:pPr>
        <w:pStyle w:val="6"/>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75"/>
    </w:p>
    <w:p w14:paraId="2F608030">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1</w:t>
      </w:r>
      <w:r>
        <w:rPr>
          <w:rFonts w:hint="eastAsia" w:asciiTheme="majorEastAsia" w:hAnsiTheme="majorEastAsia" w:eastAsiaTheme="majorEastAsia" w:cstheme="majorEastAsia"/>
          <w:b/>
          <w:bCs/>
          <w:color w:val="auto"/>
          <w:sz w:val="24"/>
          <w:szCs w:val="24"/>
          <w:highlight w:val="none"/>
        </w:rPr>
        <w:t>符合性审查</w:t>
      </w:r>
    </w:p>
    <w:p w14:paraId="4EF151AA">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14:paraId="24DB92DA">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9"/>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14:paraId="05DD3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14:paraId="26F9950F">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14:paraId="6E9ABDBC">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2F4B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7F2C272C">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1</w:t>
            </w:r>
          </w:p>
        </w:tc>
        <w:tc>
          <w:tcPr>
            <w:tcW w:w="7832" w:type="dxa"/>
            <w:vAlign w:val="center"/>
          </w:tcPr>
          <w:p w14:paraId="14A70124">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14:paraId="76E14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0042F448">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2</w:t>
            </w:r>
          </w:p>
        </w:tc>
        <w:tc>
          <w:tcPr>
            <w:tcW w:w="7832" w:type="dxa"/>
            <w:vAlign w:val="center"/>
          </w:tcPr>
          <w:p w14:paraId="4F22ED21">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14:paraId="4CB0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14:paraId="43374999">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3</w:t>
            </w:r>
          </w:p>
        </w:tc>
        <w:tc>
          <w:tcPr>
            <w:tcW w:w="7832" w:type="dxa"/>
            <w:vAlign w:val="center"/>
          </w:tcPr>
          <w:p w14:paraId="00DE2A12">
            <w:pPr>
              <w:adjustRightInd w:val="0"/>
              <w:snapToGrid w:val="0"/>
              <w:spacing w:line="400" w:lineRule="exact"/>
              <w:ind w:firstLine="33" w:firstLineChars="14"/>
              <w:rPr>
                <w:color w:val="auto"/>
                <w:highlight w:val="none"/>
              </w:rPr>
            </w:pPr>
            <w:r>
              <w:rPr>
                <w:rFonts w:hint="eastAsia" w:ascii="宋体" w:hAnsi="宋体" w:cs="宋体"/>
                <w:color w:val="auto"/>
                <w:sz w:val="24"/>
                <w:szCs w:val="24"/>
                <w:highlight w:val="none"/>
                <w:lang w:val="en-US" w:eastAsia="zh-CN"/>
              </w:rPr>
              <w:t>投标人的报价明显低于其他通过符合性审查投标人的报价，有可能影响产品质量或者不能诚信履约的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若有时，投标人能在规定时间内作出合理说明或提供相关证明材料。</w:t>
            </w:r>
          </w:p>
        </w:tc>
      </w:tr>
      <w:tr w14:paraId="31A6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14:paraId="58D5F320">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4</w:t>
            </w:r>
          </w:p>
        </w:tc>
        <w:tc>
          <w:tcPr>
            <w:tcW w:w="7832" w:type="dxa"/>
            <w:vAlign w:val="center"/>
          </w:tcPr>
          <w:p w14:paraId="189B17D3">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投标文件必须按招标文件规定格式完整提供，并要盖投标人章、法定代表人</w:t>
            </w:r>
            <w:r>
              <w:rPr>
                <w:rFonts w:hint="eastAsia" w:asciiTheme="majorEastAsia" w:hAnsiTheme="majorEastAsia" w:eastAsiaTheme="majorEastAsia" w:cstheme="majorEastAsia"/>
                <w:color w:val="auto"/>
                <w:sz w:val="24"/>
                <w:szCs w:val="24"/>
                <w:highlight w:val="none"/>
              </w:rPr>
              <w:t>（负责人、自然人）</w:t>
            </w:r>
            <w:r>
              <w:rPr>
                <w:rFonts w:hint="eastAsia" w:ascii="宋体" w:hAnsi="宋体" w:cs="宋体"/>
                <w:color w:val="auto"/>
                <w:sz w:val="24"/>
                <w:szCs w:val="24"/>
                <w:highlight w:val="none"/>
              </w:rPr>
              <w:t>或被授权人签字或盖章。</w:t>
            </w:r>
          </w:p>
        </w:tc>
      </w:tr>
      <w:tr w14:paraId="1C7A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14:paraId="3AB8C842">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5</w:t>
            </w:r>
          </w:p>
        </w:tc>
        <w:tc>
          <w:tcPr>
            <w:tcW w:w="7832" w:type="dxa"/>
            <w:vAlign w:val="center"/>
          </w:tcPr>
          <w:p w14:paraId="009E1B8A">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14:paraId="70F0E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exact"/>
          <w:jc w:val="center"/>
        </w:trPr>
        <w:tc>
          <w:tcPr>
            <w:tcW w:w="850" w:type="dxa"/>
            <w:vAlign w:val="center"/>
          </w:tcPr>
          <w:p w14:paraId="3208F448">
            <w:pPr>
              <w:snapToGrid w:val="0"/>
              <w:spacing w:line="400" w:lineRule="exact"/>
              <w:jc w:val="center"/>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6</w:t>
            </w:r>
          </w:p>
        </w:tc>
        <w:tc>
          <w:tcPr>
            <w:tcW w:w="7832" w:type="dxa"/>
            <w:vAlign w:val="center"/>
          </w:tcPr>
          <w:p w14:paraId="53EA37DB">
            <w:pPr>
              <w:snapToGrid w:val="0"/>
              <w:spacing w:line="400" w:lineRule="exact"/>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kern w:val="2"/>
                <w:sz w:val="24"/>
                <w:szCs w:val="24"/>
                <w:highlight w:val="none"/>
                <w:lang w:val="en-US" w:eastAsia="zh-CN" w:bidi="ar-SA"/>
              </w:rPr>
              <w:t>按招标文件要求提供《中小企业声明函》。</w:t>
            </w:r>
          </w:p>
        </w:tc>
      </w:tr>
      <w:tr w14:paraId="04AC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1C83A539">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7</w:t>
            </w:r>
          </w:p>
        </w:tc>
        <w:tc>
          <w:tcPr>
            <w:tcW w:w="7832" w:type="dxa"/>
            <w:vAlign w:val="center"/>
          </w:tcPr>
          <w:p w14:paraId="7D7F79AE">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14:paraId="531D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0CD70648">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8</w:t>
            </w:r>
          </w:p>
        </w:tc>
        <w:tc>
          <w:tcPr>
            <w:tcW w:w="7832" w:type="dxa"/>
            <w:vAlign w:val="center"/>
          </w:tcPr>
          <w:p w14:paraId="67585B7B">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w:t>
            </w:r>
          </w:p>
        </w:tc>
      </w:tr>
      <w:tr w14:paraId="757FB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579F10E5">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9</w:t>
            </w:r>
          </w:p>
        </w:tc>
        <w:tc>
          <w:tcPr>
            <w:tcW w:w="7832" w:type="dxa"/>
            <w:vAlign w:val="center"/>
          </w:tcPr>
          <w:p w14:paraId="0FD30A57">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w:t>
            </w:r>
            <w:r>
              <w:rPr>
                <w:rFonts w:hint="eastAsia" w:asciiTheme="majorEastAsia" w:hAnsiTheme="majorEastAsia" w:eastAsiaTheme="majorEastAsia" w:cstheme="majorEastAsia"/>
                <w:color w:val="auto"/>
                <w:sz w:val="24"/>
                <w:szCs w:val="24"/>
                <w:highlight w:val="none"/>
                <w:lang w:val="en-US" w:eastAsia="zh-CN"/>
              </w:rPr>
              <w:t>产品单价</w:t>
            </w:r>
            <w:r>
              <w:rPr>
                <w:rFonts w:hint="eastAsia" w:asciiTheme="majorEastAsia" w:hAnsiTheme="majorEastAsia" w:eastAsiaTheme="majorEastAsia" w:cstheme="majorEastAsia"/>
                <w:color w:val="auto"/>
                <w:sz w:val="24"/>
                <w:szCs w:val="24"/>
                <w:highlight w:val="none"/>
              </w:rPr>
              <w:t>没有超过最高</w:t>
            </w:r>
            <w:r>
              <w:rPr>
                <w:rFonts w:hint="eastAsia" w:asciiTheme="majorEastAsia" w:hAnsiTheme="majorEastAsia" w:eastAsiaTheme="majorEastAsia" w:cstheme="majorEastAsia"/>
                <w:color w:val="auto"/>
                <w:sz w:val="24"/>
                <w:szCs w:val="24"/>
                <w:highlight w:val="none"/>
                <w:lang w:val="en-US" w:eastAsia="zh-CN"/>
              </w:rPr>
              <w:t>限价</w:t>
            </w:r>
            <w:r>
              <w:rPr>
                <w:rFonts w:hint="eastAsia" w:asciiTheme="majorEastAsia" w:hAnsiTheme="majorEastAsia" w:eastAsiaTheme="majorEastAsia" w:cstheme="majorEastAsia"/>
                <w:color w:val="auto"/>
                <w:sz w:val="24"/>
                <w:szCs w:val="24"/>
                <w:highlight w:val="none"/>
              </w:rPr>
              <w:t>。</w:t>
            </w:r>
          </w:p>
        </w:tc>
      </w:tr>
      <w:tr w14:paraId="29E85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5E0C4B49">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10</w:t>
            </w:r>
          </w:p>
        </w:tc>
        <w:tc>
          <w:tcPr>
            <w:tcW w:w="7832" w:type="dxa"/>
            <w:vAlign w:val="center"/>
          </w:tcPr>
          <w:p w14:paraId="57DF7A39">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14:paraId="10EDB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311F6CAF">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11</w:t>
            </w:r>
          </w:p>
        </w:tc>
        <w:tc>
          <w:tcPr>
            <w:tcW w:w="7832" w:type="dxa"/>
            <w:vAlign w:val="center"/>
          </w:tcPr>
          <w:p w14:paraId="6CF64CF2">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14:paraId="3AE85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3FDECDF6">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12</w:t>
            </w:r>
          </w:p>
        </w:tc>
        <w:tc>
          <w:tcPr>
            <w:tcW w:w="7832" w:type="dxa"/>
            <w:vAlign w:val="center"/>
          </w:tcPr>
          <w:p w14:paraId="2EF97165">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14:paraId="46DE2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14:paraId="4FED961F">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eastAsia="zh-CN"/>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14:paraId="5428CAD4">
      <w:pPr>
        <w:pStyle w:val="23"/>
        <w:rPr>
          <w:color w:val="auto"/>
          <w:highlight w:val="none"/>
        </w:rPr>
      </w:pPr>
    </w:p>
    <w:p w14:paraId="468529AE">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2</w:t>
      </w:r>
      <w:r>
        <w:rPr>
          <w:rFonts w:hint="eastAsia" w:asciiTheme="majorEastAsia" w:hAnsiTheme="majorEastAsia" w:eastAsiaTheme="majorEastAsia" w:cstheme="majorEastAsia"/>
          <w:b/>
          <w:bCs/>
          <w:color w:val="auto"/>
          <w:sz w:val="24"/>
          <w:szCs w:val="24"/>
          <w:highlight w:val="none"/>
        </w:rPr>
        <w:t xml:space="preserve"> 实质审查与比较</w:t>
      </w:r>
    </w:p>
    <w:p w14:paraId="50D7BF2C">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评标委员会审查投标文件的实质性内容是否符合招标文件的实质性要求。</w:t>
      </w:r>
    </w:p>
    <w:p w14:paraId="44BD72D0">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评标委员会将根据投标人的投标文件进行审查、核对,如有疑问,将对投标人进行询标,投标人要向评标委员会澄清有关问题,并最终以书面形式进行答复。</w:t>
      </w:r>
    </w:p>
    <w:p w14:paraId="68029F09">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.3</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各投标人的技术得分为所有评委的有效评分的算术平均数，由指定专人进行计算复核。</w:t>
      </w:r>
    </w:p>
    <w:p w14:paraId="7B3DB92C">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.4</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采购代理机构工作人员协助评标委员会根据本项目的评分标准计算各投标人的商务报价得分。</w:t>
      </w:r>
    </w:p>
    <w:p w14:paraId="3C482D4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.5</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评标委员会完成评标后,评委对各部分得分汇总,计算出本项目最终得分等。评标委员会按评标原则推荐中标候选人，同时起草评标报告。</w:t>
      </w:r>
    </w:p>
    <w:p w14:paraId="6149C7C7">
      <w:pPr>
        <w:pStyle w:val="6"/>
        <w:rPr>
          <w:color w:val="auto"/>
          <w:highlight w:val="none"/>
        </w:rPr>
      </w:pPr>
      <w:bookmarkStart w:id="76" w:name="_Toc26304"/>
      <w:r>
        <w:rPr>
          <w:rFonts w:hint="eastAsia"/>
          <w:color w:val="auto"/>
          <w:highlight w:val="none"/>
        </w:rPr>
        <w:t>27、澄清问题的形式</w:t>
      </w:r>
      <w:bookmarkEnd w:id="76"/>
    </w:p>
    <w:p w14:paraId="507F8E7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14:paraId="4B016276">
      <w:pPr>
        <w:pStyle w:val="6"/>
        <w:rPr>
          <w:color w:val="auto"/>
          <w:highlight w:val="none"/>
        </w:rPr>
      </w:pPr>
      <w:bookmarkStart w:id="77" w:name="_Toc1409"/>
      <w:r>
        <w:rPr>
          <w:rFonts w:hint="eastAsia"/>
          <w:color w:val="auto"/>
          <w:highlight w:val="none"/>
        </w:rPr>
        <w:t>28、错误修正</w:t>
      </w:r>
      <w:bookmarkEnd w:id="77"/>
    </w:p>
    <w:p w14:paraId="07FF22A3">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14:paraId="454A0CB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14:paraId="6523236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14:paraId="4272116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14:paraId="17F6DA9F">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14:paraId="53D2A4D3">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14:paraId="57DAEC71">
      <w:pPr>
        <w:pStyle w:val="6"/>
        <w:rPr>
          <w:color w:val="auto"/>
          <w:highlight w:val="none"/>
        </w:rPr>
      </w:pPr>
      <w:bookmarkStart w:id="78" w:name="_Toc8797"/>
      <w:r>
        <w:rPr>
          <w:rFonts w:hint="eastAsia"/>
          <w:color w:val="auto"/>
          <w:highlight w:val="none"/>
        </w:rPr>
        <w:t>29、评标原则和评标办法</w:t>
      </w:r>
      <w:bookmarkEnd w:id="78"/>
    </w:p>
    <w:p w14:paraId="3AA5BEA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D75EF89">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14:paraId="6CE8812B">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废标</w:t>
      </w:r>
    </w:p>
    <w:p w14:paraId="5A04E247">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在采购中，出现下列情形之一的，本项目或标包应予废标：</w:t>
      </w:r>
    </w:p>
    <w:p w14:paraId="139B35F7">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14:paraId="1C45CD36">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14:paraId="3F2FBABD">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14:paraId="556EA289">
      <w:pPr>
        <w:pStyle w:val="5"/>
        <w:rPr>
          <w:color w:val="auto"/>
          <w:highlight w:val="none"/>
        </w:rPr>
      </w:pPr>
      <w:bookmarkStart w:id="79" w:name="_Toc17951"/>
      <w:bookmarkStart w:id="80" w:name="_Toc5562"/>
      <w:r>
        <w:rPr>
          <w:rFonts w:hint="eastAsia"/>
          <w:color w:val="auto"/>
          <w:highlight w:val="none"/>
        </w:rPr>
        <w:t>六、定标及</w:t>
      </w:r>
      <w:bookmarkStart w:id="81" w:name="_Toc9510640"/>
      <w:r>
        <w:rPr>
          <w:rFonts w:hint="eastAsia"/>
          <w:color w:val="auto"/>
          <w:highlight w:val="none"/>
        </w:rPr>
        <w:t>合同授予</w:t>
      </w:r>
      <w:bookmarkEnd w:id="79"/>
      <w:bookmarkEnd w:id="80"/>
    </w:p>
    <w:p w14:paraId="486385F3">
      <w:pPr>
        <w:pStyle w:val="6"/>
        <w:rPr>
          <w:color w:val="auto"/>
          <w:highlight w:val="none"/>
        </w:rPr>
      </w:pPr>
      <w:bookmarkStart w:id="82" w:name="_Toc31428"/>
      <w:r>
        <w:rPr>
          <w:rFonts w:hint="eastAsia"/>
          <w:color w:val="auto"/>
          <w:highlight w:val="none"/>
        </w:rPr>
        <w:t>30、确</w:t>
      </w:r>
      <w:bookmarkEnd w:id="81"/>
      <w:r>
        <w:rPr>
          <w:rFonts w:hint="eastAsia"/>
          <w:color w:val="auto"/>
          <w:highlight w:val="none"/>
        </w:rPr>
        <w:t>定中标人</w:t>
      </w:r>
      <w:bookmarkEnd w:id="82"/>
    </w:p>
    <w:p w14:paraId="11E3C762">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14:paraId="52C01FFC">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30.1本项目由评标委员会推荐每个标包的中标候选人，</w:t>
      </w:r>
      <w:r>
        <w:rPr>
          <w:rFonts w:hint="eastAsia" w:cs="宋体" w:asciiTheme="minorEastAsia" w:hAnsiTheme="minorEastAsia"/>
          <w:color w:val="auto"/>
          <w:kern w:val="0"/>
          <w:sz w:val="24"/>
          <w:szCs w:val="24"/>
          <w:highlight w:val="none"/>
        </w:rPr>
        <w:t>采购代理机构应当自评审结束之日起2个工作日内将评审报告送交采购人。采购人应当自收到评审报告之日起5个工作日内在评审报告推荐的中标候选人中按顺序确定中标供应商。</w:t>
      </w:r>
    </w:p>
    <w:p w14:paraId="23AAB875">
      <w:pPr>
        <w:adjustRightInd w:val="0"/>
        <w:snapToGrid w:val="0"/>
        <w:spacing w:line="500" w:lineRule="exact"/>
        <w:ind w:firstLine="470" w:firstLineChars="196"/>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30.2</w:t>
      </w:r>
      <w:r>
        <w:rPr>
          <w:rFonts w:hint="eastAsia" w:cs="宋体" w:asciiTheme="minorEastAsia" w:hAnsiTheme="minorEastAsia"/>
          <w:color w:val="auto"/>
          <w:kern w:val="0"/>
          <w:sz w:val="24"/>
          <w:szCs w:val="24"/>
          <w:highlight w:val="none"/>
        </w:rPr>
        <w:t>采购人或者采购代理机构应当自中标供应商确定之日起2个工作日内，发出中标通知书，并在省级以上人民政府财政部门指定的媒体上公告中标结果</w:t>
      </w:r>
      <w:r>
        <w:rPr>
          <w:rFonts w:hint="eastAsia" w:asciiTheme="majorEastAsia" w:hAnsiTheme="majorEastAsia" w:eastAsiaTheme="majorEastAsia" w:cstheme="majorEastAsia"/>
          <w:color w:val="auto"/>
          <w:sz w:val="24"/>
          <w:szCs w:val="24"/>
          <w:highlight w:val="none"/>
        </w:rPr>
        <w:t>。投标人如对评审结果有质疑的，按照《中华人民共和国政府采购法》、《中华人民共和国政府采购法实施条例》等有关程序办理。</w:t>
      </w:r>
    </w:p>
    <w:p w14:paraId="755978B5">
      <w:pPr>
        <w:pStyle w:val="6"/>
        <w:rPr>
          <w:color w:val="auto"/>
          <w:highlight w:val="none"/>
        </w:rPr>
      </w:pPr>
      <w:bookmarkStart w:id="83" w:name="_Toc4164"/>
      <w:r>
        <w:rPr>
          <w:rFonts w:hint="eastAsia"/>
          <w:color w:val="auto"/>
          <w:highlight w:val="none"/>
        </w:rPr>
        <w:t>31、签订合同</w:t>
      </w:r>
      <w:bookmarkEnd w:id="83"/>
    </w:p>
    <w:p w14:paraId="2345E35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14:paraId="1848A39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14:paraId="326DF71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14:paraId="42D1FBDB">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w:t>
      </w:r>
      <w:r>
        <w:rPr>
          <w:rFonts w:hint="eastAsia" w:asciiTheme="majorEastAsia" w:hAnsiTheme="majorEastAsia" w:eastAsiaTheme="majorEastAsia" w:cstheme="majorEastAsia"/>
          <w:color w:val="auto"/>
          <w:sz w:val="24"/>
          <w:szCs w:val="24"/>
          <w:highlight w:val="none"/>
          <w:lang w:eastAsia="zh-CN"/>
        </w:rPr>
        <w:t>中国政府采购网（http://www.ccgp.gov.cn/）</w:t>
      </w:r>
      <w:r>
        <w:rPr>
          <w:rFonts w:hint="eastAsia" w:asciiTheme="majorEastAsia" w:hAnsiTheme="majorEastAsia" w:eastAsiaTheme="majorEastAsia" w:cstheme="majorEastAsia"/>
          <w:color w:val="auto"/>
          <w:sz w:val="24"/>
          <w:szCs w:val="24"/>
          <w:highlight w:val="none"/>
        </w:rPr>
        <w:t>上公告，但政府采购合同中涉及国家秘密、商业秘密的内容除外。</w:t>
      </w:r>
    </w:p>
    <w:p w14:paraId="53DB7DE6">
      <w:pPr>
        <w:pStyle w:val="38"/>
        <w:rPr>
          <w:rFonts w:hint="default" w:eastAsiaTheme="majorEastAsia"/>
          <w:color w:val="auto"/>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31.5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4477178E">
      <w:pPr>
        <w:pStyle w:val="6"/>
        <w:rPr>
          <w:color w:val="auto"/>
          <w:highlight w:val="none"/>
        </w:rPr>
      </w:pPr>
      <w:bookmarkStart w:id="84" w:name="_Toc15336"/>
      <w:r>
        <w:rPr>
          <w:rFonts w:hint="eastAsia"/>
          <w:color w:val="auto"/>
          <w:highlight w:val="none"/>
        </w:rPr>
        <w:t>32、其他说明</w:t>
      </w:r>
      <w:bookmarkEnd w:id="84"/>
    </w:p>
    <w:p w14:paraId="0ABB68E9">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14:paraId="772066FE">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14:paraId="29D93346">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14:paraId="049864DB">
      <w:pPr>
        <w:pStyle w:val="3"/>
        <w:rPr>
          <w:color w:val="auto"/>
          <w:highlight w:val="none"/>
        </w:rPr>
      </w:pPr>
      <w:bookmarkStart w:id="85" w:name="_Toc23127"/>
      <w:bookmarkStart w:id="86" w:name="_Toc8515"/>
      <w:bookmarkStart w:id="87" w:name="_Toc30905"/>
      <w:r>
        <w:rPr>
          <w:rFonts w:hint="eastAsia"/>
          <w:color w:val="auto"/>
          <w:highlight w:val="none"/>
        </w:rPr>
        <w:t>第三章 评分</w:t>
      </w:r>
      <w:bookmarkEnd w:id="85"/>
      <w:bookmarkEnd w:id="86"/>
      <w:r>
        <w:rPr>
          <w:rFonts w:hint="eastAsia"/>
          <w:color w:val="auto"/>
          <w:highlight w:val="none"/>
        </w:rPr>
        <w:t>办法及评分标准</w:t>
      </w:r>
      <w:bookmarkEnd w:id="87"/>
    </w:p>
    <w:p w14:paraId="1C0BAA0C">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14:paraId="6F984E1E">
      <w:pPr>
        <w:pStyle w:val="5"/>
        <w:rPr>
          <w:color w:val="auto"/>
          <w:highlight w:val="none"/>
        </w:rPr>
      </w:pPr>
      <w:bookmarkStart w:id="88" w:name="_Toc32479"/>
      <w:bookmarkStart w:id="89" w:name="_Toc29264"/>
      <w:r>
        <w:rPr>
          <w:rFonts w:hint="eastAsia"/>
          <w:color w:val="auto"/>
          <w:highlight w:val="none"/>
        </w:rPr>
        <w:t>一、评标组织</w:t>
      </w:r>
      <w:bookmarkEnd w:id="88"/>
      <w:bookmarkEnd w:id="89"/>
    </w:p>
    <w:p w14:paraId="5B6CCCBA">
      <w:pPr>
        <w:spacing w:line="500" w:lineRule="exact"/>
        <w:ind w:firstLine="480" w:firstLineChars="200"/>
        <w:rPr>
          <w:rFonts w:asciiTheme="minorEastAsia" w:hAnsiTheme="minorEastAsia" w:eastAsiaTheme="minorEastAsia" w:cstheme="minorEastAsia"/>
          <w:color w:val="auto"/>
          <w:sz w:val="24"/>
          <w:szCs w:val="24"/>
          <w:highlight w:val="none"/>
        </w:rPr>
      </w:pPr>
      <w:bookmarkStart w:id="90" w:name="_Toc251566663"/>
      <w:bookmarkStart w:id="91" w:name="_Toc405213814"/>
      <w:bookmarkStart w:id="92" w:name="_Toc249760792"/>
      <w:r>
        <w:rPr>
          <w:rFonts w:hint="eastAsia" w:asciiTheme="minorEastAsia" w:hAnsiTheme="minorEastAsia" w:eastAsiaTheme="minorEastAsia" w:cstheme="minorEastAsia"/>
          <w:color w:val="auto"/>
          <w:sz w:val="24"/>
          <w:szCs w:val="24"/>
          <w:highlight w:val="none"/>
        </w:rPr>
        <w:t>评标工作</w:t>
      </w:r>
      <w:bookmarkEnd w:id="90"/>
      <w:bookmarkEnd w:id="91"/>
      <w:bookmarkEnd w:id="92"/>
      <w:r>
        <w:rPr>
          <w:rFonts w:hint="eastAsia" w:asciiTheme="minorEastAsia" w:hAnsiTheme="minorEastAsia" w:eastAsiaTheme="minorEastAsia" w:cstheme="minorEastAsia"/>
          <w:color w:val="auto"/>
          <w:sz w:val="24"/>
          <w:szCs w:val="24"/>
          <w:highlight w:val="none"/>
        </w:rPr>
        <w:t>由</w:t>
      </w:r>
      <w:bookmarkStart w:id="93" w:name="_Toc249760793"/>
      <w:bookmarkStart w:id="94" w:name="_Toc251566664"/>
      <w:bookmarkStart w:id="95" w:name="_Toc405213815"/>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14:paraId="4301FD8D">
      <w:pPr>
        <w:pStyle w:val="5"/>
        <w:rPr>
          <w:color w:val="auto"/>
          <w:highlight w:val="none"/>
        </w:rPr>
      </w:pPr>
      <w:bookmarkStart w:id="96" w:name="_Toc24221"/>
      <w:bookmarkStart w:id="97" w:name="_Toc3581"/>
      <w:r>
        <w:rPr>
          <w:rFonts w:hint="eastAsia"/>
          <w:color w:val="auto"/>
          <w:highlight w:val="none"/>
        </w:rPr>
        <w:t>二、评标纪律</w:t>
      </w:r>
      <w:bookmarkEnd w:id="96"/>
      <w:bookmarkEnd w:id="97"/>
    </w:p>
    <w:p w14:paraId="6560A196">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93"/>
      <w:bookmarkEnd w:id="94"/>
      <w:bookmarkEnd w:id="95"/>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14:paraId="7222AC35">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14:paraId="075E9C25">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14:paraId="56AA0588">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14:paraId="3C29840C">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14:paraId="1106E852">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14:paraId="40655FEB">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14:paraId="4524C1CF">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14:paraId="6149280E">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56056FB9">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649FE852">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14:paraId="05347391">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14:paraId="69EDA629">
      <w:pPr>
        <w:pStyle w:val="5"/>
        <w:rPr>
          <w:color w:val="auto"/>
          <w:highlight w:val="none"/>
        </w:rPr>
      </w:pPr>
      <w:bookmarkStart w:id="98" w:name="_Toc10772"/>
      <w:bookmarkStart w:id="99" w:name="_Toc6124"/>
      <w:r>
        <w:rPr>
          <w:rFonts w:hint="eastAsia"/>
          <w:color w:val="auto"/>
          <w:highlight w:val="none"/>
        </w:rPr>
        <w:t>三、评分标准和细则</w:t>
      </w:r>
      <w:bookmarkEnd w:id="98"/>
      <w:bookmarkEnd w:id="99"/>
    </w:p>
    <w:p w14:paraId="6BBC58FE">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14:paraId="097D5D77">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w:t>
      </w:r>
      <w:r>
        <w:rPr>
          <w:rFonts w:hint="eastAsia" w:asciiTheme="minorEastAsia" w:hAnsiTheme="minorEastAsia" w:eastAsiaTheme="minorEastAsia" w:cstheme="minorEastAsia"/>
          <w:color w:val="auto"/>
          <w:sz w:val="24"/>
          <w:szCs w:val="24"/>
          <w:highlight w:val="none"/>
          <w:lang w:val="en-US" w:eastAsia="zh-CN"/>
        </w:rPr>
        <w:t>各成员独立</w:t>
      </w:r>
      <w:r>
        <w:rPr>
          <w:rFonts w:hint="eastAsia" w:asciiTheme="minorEastAsia" w:hAnsiTheme="minorEastAsia" w:eastAsiaTheme="minorEastAsia" w:cstheme="minorEastAsia"/>
          <w:color w:val="auto"/>
          <w:sz w:val="24"/>
          <w:szCs w:val="24"/>
          <w:highlight w:val="none"/>
        </w:rPr>
        <w:t>根据招标文件对各投标文件技术内容充分审核、评议后，评标委员会</w:t>
      </w:r>
      <w:r>
        <w:rPr>
          <w:rFonts w:hint="eastAsia" w:asciiTheme="minorEastAsia" w:hAnsiTheme="minorEastAsia" w:eastAsiaTheme="minorEastAsia" w:cstheme="minorEastAsia"/>
          <w:color w:val="auto"/>
          <w:sz w:val="24"/>
          <w:szCs w:val="24"/>
          <w:highlight w:val="none"/>
          <w:lang w:val="en-US" w:eastAsia="zh-CN"/>
        </w:rPr>
        <w:t>各成员独立</w:t>
      </w:r>
      <w:r>
        <w:rPr>
          <w:rFonts w:hint="eastAsia" w:asciiTheme="minorEastAsia" w:hAnsiTheme="minorEastAsia" w:eastAsiaTheme="minorEastAsia" w:cstheme="minorEastAsia"/>
          <w:color w:val="auto"/>
          <w:sz w:val="24"/>
          <w:szCs w:val="24"/>
          <w:highlight w:val="none"/>
        </w:rPr>
        <w:t>按评分细则，进行</w:t>
      </w:r>
      <w:r>
        <w:rPr>
          <w:rFonts w:hint="eastAsia" w:asciiTheme="minorEastAsia" w:hAnsiTheme="minorEastAsia" w:eastAsiaTheme="minorEastAsia" w:cstheme="minorEastAsia"/>
          <w:color w:val="auto"/>
          <w:sz w:val="24"/>
          <w:szCs w:val="24"/>
          <w:highlight w:val="none"/>
          <w:lang w:val="en-US" w:eastAsia="zh-CN"/>
        </w:rPr>
        <w:t>评审</w:t>
      </w:r>
      <w:r>
        <w:rPr>
          <w:rFonts w:hint="eastAsia" w:asciiTheme="minorEastAsia" w:hAnsiTheme="minorEastAsia" w:eastAsiaTheme="minorEastAsia" w:cstheme="minorEastAsia"/>
          <w:color w:val="auto"/>
          <w:sz w:val="24"/>
          <w:szCs w:val="24"/>
          <w:highlight w:val="none"/>
        </w:rPr>
        <w:t>，各投标人技术的最终评分值为评标委员会成员的有效评分票的算术平均值。</w:t>
      </w:r>
    </w:p>
    <w:p w14:paraId="3332C996">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w:t>
      </w:r>
      <w:r>
        <w:rPr>
          <w:rFonts w:hint="eastAsia" w:asciiTheme="minorEastAsia" w:hAnsiTheme="minorEastAsia" w:eastAsiaTheme="minorEastAsia" w:cstheme="minorEastAsia"/>
          <w:color w:val="auto"/>
          <w:sz w:val="24"/>
          <w:szCs w:val="24"/>
          <w:highlight w:val="none"/>
          <w:lang w:val="en-US" w:eastAsia="zh-CN"/>
        </w:rPr>
        <w:t>独立</w:t>
      </w:r>
      <w:r>
        <w:rPr>
          <w:rFonts w:hint="eastAsia" w:asciiTheme="minorEastAsia" w:hAnsiTheme="minorEastAsia" w:eastAsiaTheme="minorEastAsia" w:cstheme="minorEastAsia"/>
          <w:color w:val="auto"/>
          <w:sz w:val="24"/>
          <w:szCs w:val="24"/>
          <w:highlight w:val="none"/>
        </w:rPr>
        <w:t>按评</w:t>
      </w:r>
      <w:r>
        <w:rPr>
          <w:rFonts w:hint="eastAsia" w:asciiTheme="minorEastAsia" w:hAnsiTheme="minorEastAsia" w:eastAsiaTheme="minorEastAsia" w:cstheme="minorEastAsia"/>
          <w:color w:val="auto"/>
          <w:sz w:val="24"/>
          <w:szCs w:val="24"/>
          <w:highlight w:val="none"/>
          <w:lang w:val="en-US" w:eastAsia="zh-CN"/>
        </w:rPr>
        <w:t>分</w:t>
      </w:r>
      <w:r>
        <w:rPr>
          <w:rFonts w:hint="eastAsia" w:asciiTheme="minorEastAsia" w:hAnsiTheme="minorEastAsia" w:eastAsiaTheme="minorEastAsia" w:cstheme="minorEastAsia"/>
          <w:color w:val="auto"/>
          <w:sz w:val="24"/>
          <w:szCs w:val="24"/>
          <w:highlight w:val="none"/>
        </w:rPr>
        <w:t>细则对各投标人的最终报价进行统一评分，集体统一判定评分。</w:t>
      </w:r>
    </w:p>
    <w:p w14:paraId="3AC1C231">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14:paraId="4259011B">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14:paraId="65EC518C">
      <w:pP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九包</w:t>
      </w:r>
      <w:r>
        <w:rPr>
          <w:rFonts w:hint="eastAsia" w:asciiTheme="minorEastAsia" w:hAnsiTheme="minorEastAsia" w:eastAsiaTheme="minorEastAsia" w:cstheme="minorEastAsia"/>
          <w:b/>
          <w:color w:val="auto"/>
          <w:sz w:val="24"/>
          <w:szCs w:val="24"/>
          <w:highlight w:val="none"/>
        </w:rPr>
        <w:t>评分标准：</w:t>
      </w:r>
    </w:p>
    <w:tbl>
      <w:tblPr>
        <w:tblStyle w:val="39"/>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14:paraId="1447C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14:paraId="7AFCF12D">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评分因素及权重</w:t>
            </w:r>
          </w:p>
        </w:tc>
        <w:tc>
          <w:tcPr>
            <w:tcW w:w="1371" w:type="dxa"/>
            <w:tcMar>
              <w:top w:w="15" w:type="dxa"/>
              <w:left w:w="15" w:type="dxa"/>
              <w:right w:w="15" w:type="dxa"/>
            </w:tcMar>
            <w:vAlign w:val="center"/>
          </w:tcPr>
          <w:p w14:paraId="271CAE60">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评标因素</w:t>
            </w:r>
          </w:p>
        </w:tc>
        <w:tc>
          <w:tcPr>
            <w:tcW w:w="5954" w:type="dxa"/>
            <w:tcMar>
              <w:top w:w="15" w:type="dxa"/>
              <w:left w:w="15" w:type="dxa"/>
              <w:right w:w="15" w:type="dxa"/>
            </w:tcMar>
            <w:vAlign w:val="center"/>
          </w:tcPr>
          <w:p w14:paraId="5E8CE05D">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评分标准</w:t>
            </w:r>
          </w:p>
        </w:tc>
        <w:tc>
          <w:tcPr>
            <w:tcW w:w="687" w:type="dxa"/>
            <w:tcMar>
              <w:top w:w="15" w:type="dxa"/>
              <w:left w:w="15" w:type="dxa"/>
              <w:right w:w="15" w:type="dxa"/>
            </w:tcMar>
            <w:vAlign w:val="center"/>
          </w:tcPr>
          <w:p w14:paraId="5C83D769">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分值</w:t>
            </w:r>
          </w:p>
        </w:tc>
      </w:tr>
      <w:tr w14:paraId="38CB0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14:paraId="2D395A90">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价格部分（30分）</w:t>
            </w:r>
          </w:p>
        </w:tc>
        <w:tc>
          <w:tcPr>
            <w:tcW w:w="1371" w:type="dxa"/>
            <w:tcMar>
              <w:top w:w="15" w:type="dxa"/>
              <w:left w:w="15" w:type="dxa"/>
              <w:right w:w="15" w:type="dxa"/>
            </w:tcMar>
            <w:vAlign w:val="center"/>
          </w:tcPr>
          <w:p w14:paraId="605F54E4">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p>
          <w:p w14:paraId="7D6884D1">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w:t>
            </w:r>
          </w:p>
        </w:tc>
        <w:tc>
          <w:tcPr>
            <w:tcW w:w="5954" w:type="dxa"/>
            <w:tcMar>
              <w:top w:w="15" w:type="dxa"/>
              <w:left w:w="15" w:type="dxa"/>
              <w:right w:w="15" w:type="dxa"/>
            </w:tcMar>
            <w:vAlign w:val="center"/>
          </w:tcPr>
          <w:p w14:paraId="098F4BDD">
            <w:pPr>
              <w:widowControl/>
              <w:spacing w:line="400" w:lineRule="exac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p w14:paraId="429C7536">
            <w:pPr>
              <w:widowControl/>
              <w:spacing w:line="400" w:lineRule="exact"/>
              <w:textAlignment w:val="center"/>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rPr>
              <w:t>有效投标报价=投标单位的报价-政府采购政策优惠价格扣除。</w:t>
            </w:r>
          </w:p>
        </w:tc>
        <w:tc>
          <w:tcPr>
            <w:tcW w:w="687" w:type="dxa"/>
            <w:tcMar>
              <w:top w:w="15" w:type="dxa"/>
              <w:left w:w="15" w:type="dxa"/>
              <w:right w:w="15" w:type="dxa"/>
            </w:tcMar>
            <w:vAlign w:val="center"/>
          </w:tcPr>
          <w:p w14:paraId="1ECE9D42">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30</w:t>
            </w:r>
          </w:p>
        </w:tc>
      </w:tr>
      <w:tr w14:paraId="09CD8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14:paraId="47EF88C5">
            <w:pPr>
              <w:widowControl/>
              <w:spacing w:line="400" w:lineRule="exact"/>
              <w:jc w:val="center"/>
              <w:textAlignment w:val="center"/>
              <w:rPr>
                <w:rFonts w:hint="eastAsia" w:ascii="宋体" w:hAnsi="宋体" w:eastAsia="宋体" w:cs="宋体"/>
                <w:color w:val="auto"/>
                <w:kern w:val="0"/>
                <w:sz w:val="24"/>
                <w:szCs w:val="24"/>
                <w:highlight w:val="none"/>
              </w:rPr>
            </w:pPr>
          </w:p>
          <w:p w14:paraId="5400946C">
            <w:pPr>
              <w:widowControl/>
              <w:spacing w:line="400" w:lineRule="exact"/>
              <w:jc w:val="center"/>
              <w:textAlignment w:val="center"/>
              <w:rPr>
                <w:rFonts w:hint="eastAsia" w:ascii="宋体" w:hAnsi="宋体" w:eastAsia="宋体" w:cs="宋体"/>
                <w:color w:val="auto"/>
                <w:kern w:val="0"/>
                <w:sz w:val="24"/>
                <w:szCs w:val="24"/>
                <w:highlight w:val="none"/>
              </w:rPr>
            </w:pPr>
          </w:p>
          <w:p w14:paraId="3873E44F">
            <w:pPr>
              <w:widowControl/>
              <w:spacing w:line="400" w:lineRule="exact"/>
              <w:jc w:val="center"/>
              <w:textAlignment w:val="center"/>
              <w:rPr>
                <w:rFonts w:hint="eastAsia" w:ascii="宋体" w:hAnsi="宋体" w:eastAsia="宋体" w:cs="宋体"/>
                <w:color w:val="auto"/>
                <w:kern w:val="0"/>
                <w:sz w:val="24"/>
                <w:szCs w:val="24"/>
                <w:highlight w:val="none"/>
              </w:rPr>
            </w:pPr>
          </w:p>
          <w:p w14:paraId="392B68DB">
            <w:pPr>
              <w:widowControl/>
              <w:spacing w:line="400" w:lineRule="exact"/>
              <w:jc w:val="center"/>
              <w:textAlignment w:val="center"/>
              <w:rPr>
                <w:rFonts w:hint="eastAsia" w:ascii="宋体" w:hAnsi="宋体" w:eastAsia="宋体" w:cs="宋体"/>
                <w:color w:val="auto"/>
                <w:kern w:val="0"/>
                <w:sz w:val="24"/>
                <w:szCs w:val="24"/>
                <w:highlight w:val="none"/>
              </w:rPr>
            </w:pPr>
          </w:p>
          <w:p w14:paraId="1A49DFCE">
            <w:pPr>
              <w:widowControl/>
              <w:spacing w:line="400" w:lineRule="exact"/>
              <w:jc w:val="center"/>
              <w:textAlignment w:val="center"/>
              <w:rPr>
                <w:rFonts w:hint="eastAsia" w:ascii="宋体" w:hAnsi="宋体" w:eastAsia="宋体" w:cs="宋体"/>
                <w:color w:val="auto"/>
                <w:kern w:val="0"/>
                <w:sz w:val="24"/>
                <w:szCs w:val="24"/>
                <w:highlight w:val="none"/>
              </w:rPr>
            </w:pPr>
          </w:p>
          <w:p w14:paraId="30F27DC5">
            <w:pPr>
              <w:widowControl/>
              <w:spacing w:line="400" w:lineRule="exact"/>
              <w:jc w:val="center"/>
              <w:textAlignment w:val="center"/>
              <w:rPr>
                <w:rFonts w:hint="eastAsia" w:ascii="宋体" w:hAnsi="宋体" w:eastAsia="宋体" w:cs="宋体"/>
                <w:color w:val="auto"/>
                <w:kern w:val="0"/>
                <w:sz w:val="24"/>
                <w:szCs w:val="24"/>
                <w:highlight w:val="none"/>
              </w:rPr>
            </w:pPr>
          </w:p>
          <w:p w14:paraId="0FDB8A43">
            <w:pPr>
              <w:widowControl/>
              <w:spacing w:line="400" w:lineRule="exact"/>
              <w:jc w:val="center"/>
              <w:textAlignment w:val="center"/>
              <w:rPr>
                <w:rFonts w:hint="eastAsia" w:ascii="宋体" w:hAnsi="宋体" w:eastAsia="宋体" w:cs="宋体"/>
                <w:color w:val="auto"/>
                <w:kern w:val="0"/>
                <w:sz w:val="24"/>
                <w:szCs w:val="24"/>
                <w:highlight w:val="none"/>
              </w:rPr>
            </w:pPr>
          </w:p>
          <w:p w14:paraId="63147075">
            <w:pPr>
              <w:widowControl/>
              <w:spacing w:line="400" w:lineRule="exact"/>
              <w:jc w:val="center"/>
              <w:textAlignment w:val="center"/>
              <w:rPr>
                <w:rFonts w:hint="eastAsia" w:ascii="宋体" w:hAnsi="宋体" w:eastAsia="宋体" w:cs="宋体"/>
                <w:color w:val="auto"/>
                <w:kern w:val="0"/>
                <w:sz w:val="24"/>
                <w:szCs w:val="24"/>
                <w:highlight w:val="none"/>
              </w:rPr>
            </w:pPr>
          </w:p>
          <w:p w14:paraId="0C0DEBD2">
            <w:pPr>
              <w:widowControl/>
              <w:spacing w:line="400" w:lineRule="exact"/>
              <w:jc w:val="center"/>
              <w:textAlignment w:val="center"/>
              <w:rPr>
                <w:rFonts w:hint="eastAsia" w:ascii="宋体" w:hAnsi="宋体" w:eastAsia="宋体" w:cs="宋体"/>
                <w:color w:val="auto"/>
                <w:kern w:val="0"/>
                <w:sz w:val="24"/>
                <w:szCs w:val="24"/>
                <w:highlight w:val="none"/>
              </w:rPr>
            </w:pPr>
          </w:p>
          <w:p w14:paraId="4FB5BE13">
            <w:pPr>
              <w:widowControl/>
              <w:spacing w:line="400" w:lineRule="exact"/>
              <w:jc w:val="center"/>
              <w:textAlignment w:val="center"/>
              <w:rPr>
                <w:rFonts w:hint="eastAsia" w:ascii="宋体" w:hAnsi="宋体" w:eastAsia="宋体" w:cs="宋体"/>
                <w:color w:val="auto"/>
                <w:kern w:val="0"/>
                <w:sz w:val="24"/>
                <w:szCs w:val="24"/>
                <w:highlight w:val="none"/>
              </w:rPr>
            </w:pPr>
          </w:p>
          <w:p w14:paraId="2C6531C0">
            <w:pPr>
              <w:widowControl/>
              <w:spacing w:line="400" w:lineRule="exact"/>
              <w:jc w:val="center"/>
              <w:textAlignment w:val="center"/>
              <w:rPr>
                <w:rFonts w:hint="eastAsia" w:ascii="宋体" w:hAnsi="宋体" w:eastAsia="宋体" w:cs="宋体"/>
                <w:color w:val="auto"/>
                <w:kern w:val="0"/>
                <w:sz w:val="24"/>
                <w:szCs w:val="24"/>
                <w:highlight w:val="none"/>
              </w:rPr>
            </w:pPr>
          </w:p>
          <w:p w14:paraId="3F2ED6F2">
            <w:pPr>
              <w:widowControl/>
              <w:spacing w:line="400" w:lineRule="exact"/>
              <w:jc w:val="center"/>
              <w:textAlignment w:val="center"/>
              <w:rPr>
                <w:rFonts w:hint="eastAsia" w:ascii="宋体" w:hAnsi="宋体" w:eastAsia="宋体" w:cs="宋体"/>
                <w:color w:val="auto"/>
                <w:kern w:val="0"/>
                <w:sz w:val="24"/>
                <w:szCs w:val="24"/>
                <w:highlight w:val="none"/>
              </w:rPr>
            </w:pPr>
          </w:p>
          <w:p w14:paraId="290F581C">
            <w:pPr>
              <w:widowControl/>
              <w:spacing w:line="400" w:lineRule="exact"/>
              <w:jc w:val="center"/>
              <w:textAlignment w:val="center"/>
              <w:rPr>
                <w:rFonts w:hint="eastAsia" w:ascii="宋体" w:hAnsi="宋体" w:eastAsia="宋体" w:cs="宋体"/>
                <w:color w:val="auto"/>
                <w:kern w:val="0"/>
                <w:sz w:val="24"/>
                <w:szCs w:val="24"/>
                <w:highlight w:val="none"/>
              </w:rPr>
            </w:pPr>
          </w:p>
          <w:p w14:paraId="1CB1951A">
            <w:pPr>
              <w:widowControl/>
              <w:spacing w:line="400" w:lineRule="exact"/>
              <w:jc w:val="center"/>
              <w:textAlignment w:val="center"/>
              <w:rPr>
                <w:rFonts w:hint="eastAsia" w:ascii="宋体" w:hAnsi="宋体" w:eastAsia="宋体" w:cs="宋体"/>
                <w:color w:val="auto"/>
                <w:kern w:val="0"/>
                <w:sz w:val="24"/>
                <w:szCs w:val="24"/>
                <w:highlight w:val="none"/>
              </w:rPr>
            </w:pPr>
          </w:p>
          <w:p w14:paraId="5D575E50">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技术和商务部分（ 70分）</w:t>
            </w:r>
          </w:p>
        </w:tc>
        <w:tc>
          <w:tcPr>
            <w:tcW w:w="1371" w:type="dxa"/>
            <w:tcMar>
              <w:top w:w="15" w:type="dxa"/>
              <w:left w:w="15" w:type="dxa"/>
              <w:right w:w="15" w:type="dxa"/>
            </w:tcMar>
            <w:vAlign w:val="center"/>
          </w:tcPr>
          <w:p w14:paraId="557C6951">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技术要求</w:t>
            </w:r>
          </w:p>
          <w:p w14:paraId="1ACAC2E4">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响应评价</w:t>
            </w:r>
          </w:p>
        </w:tc>
        <w:tc>
          <w:tcPr>
            <w:tcW w:w="5954" w:type="dxa"/>
            <w:tcMar>
              <w:top w:w="15" w:type="dxa"/>
              <w:left w:w="15" w:type="dxa"/>
              <w:right w:w="15" w:type="dxa"/>
            </w:tcMar>
            <w:vAlign w:val="center"/>
          </w:tcPr>
          <w:p w14:paraId="3E5F1BD9">
            <w:pPr>
              <w:widowControl/>
              <w:spacing w:line="400" w:lineRule="exact"/>
              <w:ind w:firstLine="480" w:firstLineChars="200"/>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对照第六章“项目需求”第</w:t>
            </w:r>
            <w:r>
              <w:rPr>
                <w:rFonts w:hint="eastAsia" w:ascii="宋体" w:hAnsi="宋体" w:cs="宋体"/>
                <w:color w:val="auto"/>
                <w:kern w:val="0"/>
                <w:sz w:val="24"/>
                <w:szCs w:val="24"/>
                <w:highlight w:val="none"/>
                <w:lang w:val="en-US" w:eastAsia="zh-CN"/>
              </w:rPr>
              <w:t>九</w:t>
            </w:r>
            <w:r>
              <w:rPr>
                <w:rFonts w:hint="eastAsia" w:ascii="宋体" w:hAnsi="宋体" w:eastAsia="宋体" w:cs="宋体"/>
                <w:color w:val="auto"/>
                <w:kern w:val="0"/>
                <w:sz w:val="24"/>
                <w:szCs w:val="24"/>
                <w:highlight w:val="none"/>
                <w:lang w:val="en-US" w:eastAsia="zh-CN"/>
              </w:rPr>
              <w:t>包的技术参数（</w:t>
            </w:r>
            <w:r>
              <w:rPr>
                <w:rFonts w:hint="eastAsia" w:ascii="宋体" w:hAnsi="宋体" w:eastAsia="宋体" w:cs="宋体"/>
                <w:color w:val="auto"/>
                <w:kern w:val="0"/>
                <w:sz w:val="24"/>
                <w:szCs w:val="24"/>
                <w:highlight w:val="none"/>
              </w:rPr>
              <w:t>每条技术参数前标注“★”的为核心技术参数，标注“▲”的为主要技术参数，未标注的为一般</w:t>
            </w:r>
            <w:r>
              <w:rPr>
                <w:rFonts w:hint="eastAsia" w:ascii="宋体" w:hAnsi="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参数</w:t>
            </w:r>
            <w:r>
              <w:rPr>
                <w:rFonts w:hint="eastAsia" w:ascii="宋体" w:hAnsi="宋体" w:eastAsia="宋体" w:cs="宋体"/>
                <w:color w:val="auto"/>
                <w:kern w:val="0"/>
                <w:sz w:val="24"/>
                <w:szCs w:val="24"/>
                <w:highlight w:val="none"/>
                <w:lang w:val="en-US" w:eastAsia="zh-CN"/>
              </w:rPr>
              <w:t>），根据投标人提供的产品配置及技术性能指标的响应情况进行评审。</w:t>
            </w:r>
          </w:p>
          <w:p w14:paraId="4B482982">
            <w:pPr>
              <w:widowControl/>
              <w:numPr>
                <w:ilvl w:val="0"/>
                <w:numId w:val="0"/>
              </w:numPr>
              <w:spacing w:line="400" w:lineRule="exact"/>
              <w:ind w:firstLine="480" w:firstLineChars="200"/>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1.投标人所投产品技术参数完全响应招标文件要求的，得</w:t>
            </w:r>
            <w:r>
              <w:rPr>
                <w:rFonts w:hint="eastAsia" w:ascii="宋体" w:hAnsi="宋体" w:cs="宋体"/>
                <w:color w:val="auto"/>
                <w:kern w:val="2"/>
                <w:sz w:val="24"/>
                <w:szCs w:val="24"/>
                <w:highlight w:val="none"/>
                <w:lang w:val="en-US" w:eastAsia="zh-CN" w:bidi="ar-SA"/>
              </w:rPr>
              <w:t>36</w:t>
            </w:r>
            <w:r>
              <w:rPr>
                <w:rFonts w:hint="eastAsia" w:ascii="宋体" w:hAnsi="宋体" w:eastAsia="宋体" w:cs="宋体"/>
                <w:color w:val="auto"/>
                <w:kern w:val="2"/>
                <w:sz w:val="24"/>
                <w:szCs w:val="24"/>
                <w:highlight w:val="none"/>
                <w:lang w:val="en-US" w:eastAsia="zh-CN" w:bidi="ar-SA"/>
              </w:rPr>
              <w:t>分；</w:t>
            </w:r>
          </w:p>
          <w:p w14:paraId="0EDFD177">
            <w:pPr>
              <w:widowControl/>
              <w:numPr>
                <w:ilvl w:val="0"/>
                <w:numId w:val="0"/>
              </w:numPr>
              <w:spacing w:line="400" w:lineRule="exact"/>
              <w:ind w:firstLine="480" w:firstLineChars="200"/>
              <w:textAlignment w:val="center"/>
              <w:rPr>
                <w:rFonts w:hint="eastAsia"/>
                <w:color w:val="auto"/>
                <w:highlight w:val="none"/>
                <w:lang w:val="en-US" w:eastAsia="zh-CN"/>
              </w:rPr>
            </w:pPr>
            <w:r>
              <w:rPr>
                <w:rFonts w:hint="eastAsia" w:ascii="宋体" w:hAnsi="宋体" w:eastAsia="宋体" w:cs="宋体"/>
                <w:color w:val="auto"/>
                <w:kern w:val="2"/>
                <w:sz w:val="24"/>
                <w:szCs w:val="24"/>
                <w:highlight w:val="none"/>
                <w:lang w:val="en-US" w:eastAsia="zh-CN" w:bidi="ar-SA"/>
              </w:rPr>
              <w:t>2.核心技术参数只要有一条存在负偏离的（</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 xml:space="preserve">条），本项不得分； </w:t>
            </w:r>
            <w:r>
              <w:rPr>
                <w:rFonts w:hint="eastAsia"/>
                <w:color w:val="auto"/>
                <w:highlight w:val="none"/>
                <w:lang w:val="en-US" w:eastAsia="zh-CN"/>
              </w:rPr>
              <w:t xml:space="preserve">  </w:t>
            </w:r>
          </w:p>
          <w:p w14:paraId="51A4EE90">
            <w:pPr>
              <w:pStyle w:val="31"/>
              <w:keepNext w:val="0"/>
              <w:keepLines w:val="0"/>
              <w:pageBreakBefore w:val="0"/>
              <w:widowControl w:val="0"/>
              <w:kinsoku/>
              <w:wordWrap/>
              <w:overflowPunct/>
              <w:topLinePunct w:val="0"/>
              <w:autoSpaceDE/>
              <w:autoSpaceDN/>
              <w:bidi w:val="0"/>
              <w:adjustRightInd/>
              <w:snapToGrid w:val="0"/>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.主要技术参数存在负偏离的（</w:t>
            </w:r>
            <w:r>
              <w:rPr>
                <w:rFonts w:hint="eastAsia" w:ascii="宋体" w:hAnsi="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en-US" w:eastAsia="zh-CN" w:bidi="ar-SA"/>
              </w:rPr>
              <w:t>条），每一条扣</w:t>
            </w:r>
            <w:r>
              <w:rPr>
                <w:rFonts w:hint="eastAsia" w:ascii="宋体" w:hAnsi="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CN" w:bidi="ar-SA"/>
              </w:rPr>
              <w:t>分，最多扣</w:t>
            </w:r>
            <w:r>
              <w:rPr>
                <w:rFonts w:hint="eastAsia" w:ascii="宋体" w:hAnsi="宋体" w:cs="宋体"/>
                <w:b w:val="0"/>
                <w:bCs w:val="0"/>
                <w:color w:val="auto"/>
                <w:kern w:val="2"/>
                <w:sz w:val="24"/>
                <w:szCs w:val="24"/>
                <w:highlight w:val="none"/>
                <w:lang w:val="en-US" w:eastAsia="zh-CN" w:bidi="ar-SA"/>
              </w:rPr>
              <w:t>18</w:t>
            </w:r>
            <w:r>
              <w:rPr>
                <w:rFonts w:hint="eastAsia" w:ascii="宋体" w:hAnsi="宋体" w:eastAsia="宋体" w:cs="宋体"/>
                <w:b w:val="0"/>
                <w:bCs w:val="0"/>
                <w:color w:val="auto"/>
                <w:kern w:val="2"/>
                <w:sz w:val="24"/>
                <w:szCs w:val="24"/>
                <w:highlight w:val="none"/>
                <w:lang w:val="en-US" w:eastAsia="zh-CN" w:bidi="ar-SA"/>
              </w:rPr>
              <w:t>分；</w:t>
            </w:r>
          </w:p>
          <w:p w14:paraId="6ED7BF2D">
            <w:pPr>
              <w:pStyle w:val="31"/>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0"/>
                <w:sz w:val="24"/>
                <w:szCs w:val="24"/>
                <w:highlight w:val="none"/>
                <w:lang w:val="en-US" w:eastAsia="zh-CN"/>
              </w:rPr>
              <w:t>一般技术参数存在负偏离的（</w:t>
            </w:r>
            <w:r>
              <w:rPr>
                <w:rFonts w:hint="eastAsia" w:ascii="宋体" w:hAnsi="宋体" w:cs="宋体"/>
                <w:b w:val="0"/>
                <w:bCs w:val="0"/>
                <w:color w:val="auto"/>
                <w:kern w:val="0"/>
                <w:sz w:val="24"/>
                <w:szCs w:val="24"/>
                <w:highlight w:val="none"/>
                <w:lang w:val="en-US" w:eastAsia="zh-CN"/>
              </w:rPr>
              <w:t>12</w:t>
            </w:r>
            <w:r>
              <w:rPr>
                <w:rFonts w:hint="eastAsia" w:ascii="宋体" w:hAnsi="宋体" w:eastAsia="宋体" w:cs="宋体"/>
                <w:b w:val="0"/>
                <w:bCs w:val="0"/>
                <w:color w:val="auto"/>
                <w:kern w:val="0"/>
                <w:sz w:val="24"/>
                <w:szCs w:val="24"/>
                <w:highlight w:val="none"/>
                <w:lang w:val="en-US" w:eastAsia="zh-CN"/>
              </w:rPr>
              <w:t>条）</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每一条扣</w:t>
            </w:r>
            <w:r>
              <w:rPr>
                <w:rFonts w:hint="eastAsia" w:ascii="宋体" w:hAnsi="宋体" w:cs="宋体"/>
                <w:color w:val="auto"/>
                <w:kern w:val="2"/>
                <w:sz w:val="24"/>
                <w:szCs w:val="24"/>
                <w:highlight w:val="none"/>
                <w:lang w:val="en-US" w:eastAsia="zh-CN" w:bidi="ar-SA"/>
              </w:rPr>
              <w:t>1.5</w:t>
            </w:r>
            <w:r>
              <w:rPr>
                <w:rFonts w:hint="eastAsia" w:ascii="宋体" w:hAnsi="宋体" w:eastAsia="宋体" w:cs="宋体"/>
                <w:color w:val="auto"/>
                <w:kern w:val="2"/>
                <w:sz w:val="24"/>
                <w:szCs w:val="24"/>
                <w:highlight w:val="none"/>
                <w:lang w:val="en-US" w:eastAsia="zh-CN" w:bidi="ar-SA"/>
              </w:rPr>
              <w:t>分，</w:t>
            </w:r>
            <w:r>
              <w:rPr>
                <w:rFonts w:hint="eastAsia" w:ascii="宋体" w:hAnsi="宋体" w:cs="宋体"/>
                <w:color w:val="auto"/>
                <w:kern w:val="2"/>
                <w:sz w:val="24"/>
                <w:szCs w:val="24"/>
                <w:highlight w:val="none"/>
                <w:lang w:val="en-US" w:eastAsia="zh-CN" w:bidi="ar-SA"/>
              </w:rPr>
              <w:t>最多扣18分</w:t>
            </w:r>
            <w:r>
              <w:rPr>
                <w:rFonts w:hint="eastAsia" w:ascii="宋体" w:hAnsi="宋体" w:eastAsia="宋体" w:cs="宋体"/>
                <w:b w:val="0"/>
                <w:bCs w:val="0"/>
                <w:color w:val="auto"/>
                <w:kern w:val="2"/>
                <w:sz w:val="24"/>
                <w:szCs w:val="24"/>
                <w:highlight w:val="none"/>
                <w:lang w:val="en-US" w:eastAsia="zh-CN" w:bidi="ar-SA"/>
              </w:rPr>
              <w:t>。</w:t>
            </w:r>
          </w:p>
          <w:p w14:paraId="7CB60536">
            <w:pPr>
              <w:widowControl/>
              <w:spacing w:line="400" w:lineRule="exact"/>
              <w:ind w:firstLine="482" w:firstLineChars="200"/>
              <w:textAlignment w:val="center"/>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eastAsia="zh-CN"/>
              </w:rPr>
              <w:t>注：负偏离评审依据：</w:t>
            </w:r>
            <w:r>
              <w:rPr>
                <w:rFonts w:hint="eastAsia" w:ascii="宋体" w:hAnsi="宋体" w:eastAsia="宋体" w:cs="宋体"/>
                <w:b/>
                <w:bCs/>
                <w:color w:val="auto"/>
                <w:sz w:val="24"/>
                <w:szCs w:val="24"/>
                <w:highlight w:val="none"/>
                <w:lang w:val="en-US" w:eastAsia="zh-CN"/>
              </w:rPr>
              <w:t>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描述的同一产品技术参数响应值不一致的，视为负偏离。</w:t>
            </w:r>
          </w:p>
        </w:tc>
        <w:tc>
          <w:tcPr>
            <w:tcW w:w="687" w:type="dxa"/>
            <w:tcMar>
              <w:top w:w="15" w:type="dxa"/>
              <w:left w:w="15" w:type="dxa"/>
              <w:right w:w="15" w:type="dxa"/>
            </w:tcMar>
            <w:vAlign w:val="center"/>
          </w:tcPr>
          <w:p w14:paraId="544E95EE">
            <w:pPr>
              <w:widowControl/>
              <w:spacing w:line="400" w:lineRule="exact"/>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6</w:t>
            </w:r>
          </w:p>
        </w:tc>
      </w:tr>
      <w:tr w14:paraId="68A0E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14:paraId="6DDBEB56">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484C0701">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业绩证明</w:t>
            </w:r>
          </w:p>
        </w:tc>
        <w:tc>
          <w:tcPr>
            <w:tcW w:w="5954" w:type="dxa"/>
            <w:tcMar>
              <w:top w:w="15" w:type="dxa"/>
              <w:left w:w="15" w:type="dxa"/>
              <w:right w:w="15" w:type="dxa"/>
            </w:tcMar>
            <w:vAlign w:val="center"/>
          </w:tcPr>
          <w:p w14:paraId="6AF42124">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供应商近三年内（</w:t>
            </w:r>
            <w:r>
              <w:rPr>
                <w:rFonts w:hint="eastAsia" w:ascii="宋体" w:hAnsi="宋体" w:eastAsia="宋体" w:cs="宋体"/>
                <w:color w:val="auto"/>
                <w:sz w:val="24"/>
                <w:szCs w:val="24"/>
                <w:highlight w:val="none"/>
                <w:lang w:val="en-US" w:eastAsia="zh-CN"/>
              </w:rPr>
              <w:t>2021</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日起至今，以合同签订日期为准）完成类似项目的业绩，每个项目业绩得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分，最多得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p w14:paraId="0ECFDE19">
            <w:pPr>
              <w:widowControl/>
              <w:spacing w:line="400" w:lineRule="exact"/>
              <w:ind w:firstLine="482" w:firstLineChars="200"/>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14:paraId="1852BC93">
            <w:pPr>
              <w:widowControl/>
              <w:spacing w:line="400" w:lineRule="exact"/>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r>
      <w:tr w14:paraId="53750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14:paraId="33D85F12">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7CA79F35">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项目组织</w:t>
            </w:r>
          </w:p>
          <w:p w14:paraId="1B9FB356">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方案评价</w:t>
            </w:r>
          </w:p>
        </w:tc>
        <w:tc>
          <w:tcPr>
            <w:tcW w:w="5954" w:type="dxa"/>
            <w:tcMar>
              <w:top w:w="15" w:type="dxa"/>
              <w:left w:w="15" w:type="dxa"/>
              <w:right w:w="15" w:type="dxa"/>
            </w:tcMar>
            <w:vAlign w:val="center"/>
          </w:tcPr>
          <w:p w14:paraId="2C32BC16">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根据供应商提供的项目组织方案进行评分：</w:t>
            </w:r>
          </w:p>
          <w:p w14:paraId="0D38971B">
            <w:pPr>
              <w:widowControl/>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项目组织方案</w:t>
            </w:r>
            <w:r>
              <w:rPr>
                <w:rFonts w:hint="eastAsia" w:ascii="宋体" w:hAnsi="宋体" w:eastAsia="宋体" w:cs="宋体"/>
                <w:b w:val="0"/>
                <w:bCs w:val="0"/>
                <w:color w:val="auto"/>
                <w:sz w:val="24"/>
                <w:szCs w:val="24"/>
                <w:highlight w:val="none"/>
              </w:rPr>
              <w:t>包括但不限于：</w:t>
            </w:r>
            <w:r>
              <w:rPr>
                <w:rFonts w:hint="eastAsia" w:ascii="宋体" w:hAnsi="宋体" w:eastAsia="宋体" w:cs="宋体"/>
                <w:b w:val="0"/>
                <w:bCs w:val="0"/>
                <w:color w:val="auto"/>
                <w:sz w:val="24"/>
                <w:szCs w:val="24"/>
                <w:highlight w:val="none"/>
                <w:lang w:eastAsia="zh-CN"/>
              </w:rPr>
              <w:t>①</w:t>
            </w:r>
            <w:r>
              <w:rPr>
                <w:rFonts w:hint="eastAsia" w:ascii="宋体" w:hAnsi="宋体" w:eastAsia="宋体" w:cs="宋体"/>
                <w:b w:val="0"/>
                <w:bCs w:val="0"/>
                <w:color w:val="auto"/>
                <w:sz w:val="24"/>
                <w:szCs w:val="24"/>
                <w:highlight w:val="none"/>
              </w:rPr>
              <w:t>项目人员安排（包含但不限于主要人员名单及基本情况介绍、在本项目中承担的职责等）、</w:t>
            </w:r>
            <w:r>
              <w:rPr>
                <w:rFonts w:hint="eastAsia" w:ascii="宋体" w:hAnsi="宋体" w:eastAsia="宋体" w:cs="宋体"/>
                <w:b w:val="0"/>
                <w:bCs w:val="0"/>
                <w:color w:val="auto"/>
                <w:sz w:val="24"/>
                <w:szCs w:val="24"/>
                <w:highlight w:val="none"/>
                <w:lang w:eastAsia="zh-CN"/>
              </w:rPr>
              <w:t>②</w:t>
            </w:r>
            <w:r>
              <w:rPr>
                <w:rFonts w:hint="eastAsia" w:ascii="宋体" w:hAnsi="宋体" w:eastAsia="宋体" w:cs="宋体"/>
                <w:b w:val="0"/>
                <w:bCs w:val="0"/>
                <w:color w:val="auto"/>
                <w:sz w:val="24"/>
                <w:szCs w:val="24"/>
                <w:highlight w:val="none"/>
              </w:rPr>
              <w:t>供货方案（包含但不限于产品来源、供货计划、供货时间、包装和运输方式等）、</w:t>
            </w:r>
            <w:r>
              <w:rPr>
                <w:rFonts w:hint="eastAsia" w:ascii="宋体" w:hAnsi="宋体" w:eastAsia="宋体" w:cs="宋体"/>
                <w:b w:val="0"/>
                <w:bCs w:val="0"/>
                <w:color w:val="auto"/>
                <w:sz w:val="24"/>
                <w:szCs w:val="24"/>
                <w:highlight w:val="none"/>
                <w:lang w:eastAsia="zh-CN"/>
              </w:rPr>
              <w:t>③</w:t>
            </w:r>
            <w:r>
              <w:rPr>
                <w:rFonts w:hint="eastAsia" w:ascii="宋体" w:hAnsi="宋体" w:eastAsia="宋体" w:cs="宋体"/>
                <w:b w:val="0"/>
                <w:bCs w:val="0"/>
                <w:color w:val="auto"/>
                <w:sz w:val="24"/>
                <w:szCs w:val="24"/>
                <w:highlight w:val="none"/>
              </w:rPr>
              <w:t>质量管控方案（包括但不限于质量管控的标准、方法和程序等）、</w:t>
            </w:r>
            <w:r>
              <w:rPr>
                <w:rFonts w:hint="eastAsia" w:ascii="宋体" w:hAnsi="宋体" w:eastAsia="宋体" w:cs="宋体"/>
                <w:b w:val="0"/>
                <w:bCs w:val="0"/>
                <w:color w:val="auto"/>
                <w:sz w:val="24"/>
                <w:szCs w:val="24"/>
                <w:highlight w:val="none"/>
                <w:lang w:eastAsia="zh-CN"/>
              </w:rPr>
              <w:t>④</w:t>
            </w:r>
            <w:r>
              <w:rPr>
                <w:rFonts w:hint="eastAsia" w:ascii="宋体" w:hAnsi="宋体" w:eastAsia="宋体" w:cs="宋体"/>
                <w:b w:val="0"/>
                <w:bCs w:val="0"/>
                <w:color w:val="auto"/>
                <w:sz w:val="24"/>
                <w:szCs w:val="24"/>
                <w:highlight w:val="none"/>
              </w:rPr>
              <w:t>测试（调试）方案（包含但不限于人员安排、测试步骤、测试标准等）等4项内容，方案内容完整齐全，符合项目实际（第六章“项目需求”）的，得</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分；每缺少一项方案内容，或一项内容存在缺陷的，每一项扣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分，扣完为止；未提供</w:t>
            </w:r>
            <w:r>
              <w:rPr>
                <w:rFonts w:hint="eastAsia" w:ascii="宋体" w:hAnsi="宋体" w:eastAsia="宋体" w:cs="宋体"/>
                <w:color w:val="auto"/>
                <w:sz w:val="24"/>
                <w:szCs w:val="24"/>
                <w:highlight w:val="none"/>
                <w:lang w:eastAsia="zh-CN"/>
              </w:rPr>
              <w:t>项目组织方案</w:t>
            </w:r>
            <w:r>
              <w:rPr>
                <w:rFonts w:hint="eastAsia" w:ascii="宋体" w:hAnsi="宋体" w:eastAsia="宋体" w:cs="宋体"/>
                <w:b w:val="0"/>
                <w:bCs w:val="0"/>
                <w:color w:val="auto"/>
                <w:sz w:val="24"/>
                <w:szCs w:val="24"/>
                <w:highlight w:val="none"/>
              </w:rPr>
              <w:t>的，此项不得分。</w:t>
            </w:r>
          </w:p>
          <w:p w14:paraId="183C3945">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5624BA25">
            <w:pPr>
              <w:widowControl/>
              <w:spacing w:line="400" w:lineRule="exact"/>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p>
        </w:tc>
      </w:tr>
      <w:tr w14:paraId="1CF5F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14:paraId="27A951E2">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Mar>
              <w:top w:w="15" w:type="dxa"/>
              <w:left w:w="15" w:type="dxa"/>
              <w:right w:w="15" w:type="dxa"/>
            </w:tcMar>
            <w:vAlign w:val="center"/>
          </w:tcPr>
          <w:p w14:paraId="455A51C6">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eastAsia="zh-CN"/>
              </w:rPr>
              <w:t>技术培训方案</w:t>
            </w:r>
            <w:r>
              <w:rPr>
                <w:rFonts w:hint="eastAsia" w:ascii="宋体" w:hAnsi="宋体" w:eastAsia="宋体" w:cs="宋体"/>
                <w:color w:val="auto"/>
                <w:kern w:val="0"/>
                <w:sz w:val="24"/>
                <w:szCs w:val="24"/>
                <w:highlight w:val="none"/>
              </w:rPr>
              <w:t>评价</w:t>
            </w:r>
          </w:p>
        </w:tc>
        <w:tc>
          <w:tcPr>
            <w:tcW w:w="5954" w:type="dxa"/>
            <w:tcMar>
              <w:top w:w="15" w:type="dxa"/>
              <w:left w:w="15" w:type="dxa"/>
              <w:right w:w="15" w:type="dxa"/>
            </w:tcMar>
            <w:vAlign w:val="center"/>
          </w:tcPr>
          <w:p w14:paraId="253EE533">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根据供应商提供的技术培训方案进行评分：</w:t>
            </w:r>
          </w:p>
          <w:p w14:paraId="6E058F46">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技术培训方案包括但不限于</w:t>
            </w:r>
            <w:r>
              <w:rPr>
                <w:rFonts w:hint="eastAsia" w:ascii="宋体" w:hAnsi="宋体" w:eastAsia="宋体" w:cs="宋体"/>
                <w:color w:val="auto"/>
                <w:sz w:val="24"/>
                <w:szCs w:val="24"/>
                <w:highlight w:val="none"/>
                <w:lang w:val="en-US" w:eastAsia="zh-CN"/>
              </w:rPr>
              <w:t>培训内容、培训方式、培训计划、培训团队人员配置</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lang w:val="en-US" w:eastAsia="zh-CN"/>
              </w:rPr>
              <w:t>4项内容，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分；每缺少一项方案内容，或一项内容存在缺陷的，每一项扣</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分，扣完为止；未提供</w:t>
            </w:r>
            <w:r>
              <w:rPr>
                <w:rFonts w:hint="eastAsia" w:ascii="宋体" w:hAnsi="宋体" w:eastAsia="宋体" w:cs="宋体"/>
                <w:color w:val="auto"/>
                <w:sz w:val="24"/>
                <w:szCs w:val="24"/>
                <w:highlight w:val="none"/>
                <w:lang w:eastAsia="zh-CN"/>
              </w:rPr>
              <w:t>技术培训方案</w:t>
            </w:r>
            <w:r>
              <w:rPr>
                <w:rFonts w:hint="eastAsia" w:ascii="宋体" w:hAnsi="宋体" w:eastAsia="宋体" w:cs="宋体"/>
                <w:color w:val="auto"/>
                <w:sz w:val="24"/>
                <w:szCs w:val="24"/>
                <w:highlight w:val="none"/>
                <w:lang w:val="en-US" w:eastAsia="zh-CN"/>
              </w:rPr>
              <w:t>的，此项不得分。</w:t>
            </w:r>
          </w:p>
          <w:p w14:paraId="473DA7BF">
            <w:pPr>
              <w:snapToGrid w:val="0"/>
              <w:spacing w:line="400" w:lineRule="exact"/>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29164C19">
            <w:pPr>
              <w:widowControl/>
              <w:spacing w:line="40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006BB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5" w:hRule="atLeast"/>
          <w:jc w:val="center"/>
        </w:trPr>
        <w:tc>
          <w:tcPr>
            <w:tcW w:w="1097" w:type="dxa"/>
            <w:vMerge w:val="continue"/>
            <w:tcMar>
              <w:top w:w="15" w:type="dxa"/>
              <w:left w:w="15" w:type="dxa"/>
              <w:right w:w="15" w:type="dxa"/>
            </w:tcMar>
            <w:vAlign w:val="center"/>
          </w:tcPr>
          <w:p w14:paraId="60F4E104">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14FE3B32">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售后服务</w:t>
            </w:r>
          </w:p>
          <w:p w14:paraId="4FF4787F">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方案评价</w:t>
            </w:r>
          </w:p>
        </w:tc>
        <w:tc>
          <w:tcPr>
            <w:tcW w:w="5954" w:type="dxa"/>
            <w:tcMar>
              <w:top w:w="15" w:type="dxa"/>
              <w:left w:w="15" w:type="dxa"/>
              <w:right w:w="15" w:type="dxa"/>
            </w:tcMar>
            <w:vAlign w:val="center"/>
          </w:tcPr>
          <w:p w14:paraId="184FCD1B">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根据供应商提供的售后服务方案进行评分：</w:t>
            </w:r>
          </w:p>
          <w:p w14:paraId="3F9BA29E">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售后服务方案包括但不限于</w:t>
            </w:r>
            <w:r>
              <w:rPr>
                <w:rFonts w:hint="eastAsia" w:ascii="宋体" w:hAnsi="宋体" w:eastAsia="宋体" w:cs="宋体"/>
                <w:color w:val="auto"/>
                <w:sz w:val="24"/>
                <w:szCs w:val="24"/>
                <w:highlight w:val="none"/>
                <w:lang w:val="en-US" w:eastAsia="zh-CN"/>
              </w:rPr>
              <w:t>售后服务承诺、备件（易耗品）供应方案（含备件价格）、服务人员配备</w:t>
            </w:r>
            <w:r>
              <w:rPr>
                <w:rFonts w:hint="eastAsia" w:ascii="宋体" w:hAnsi="宋体" w:cs="宋体"/>
                <w:color w:val="auto"/>
                <w:sz w:val="24"/>
                <w:szCs w:val="24"/>
                <w:highlight w:val="none"/>
                <w:lang w:val="en-US" w:eastAsia="zh-CN"/>
              </w:rPr>
              <w:t>及服务响应方案</w:t>
            </w:r>
            <w:r>
              <w:rPr>
                <w:rFonts w:hint="eastAsia" w:ascii="宋体" w:hAnsi="宋体" w:eastAsia="宋体" w:cs="宋体"/>
                <w:color w:val="auto"/>
                <w:sz w:val="24"/>
                <w:szCs w:val="24"/>
                <w:highlight w:val="none"/>
                <w:lang w:val="en-US" w:eastAsia="zh-CN"/>
              </w:rPr>
              <w:t>、故障响应措施、质保外服务措施</w:t>
            </w:r>
            <w:r>
              <w:rPr>
                <w:rFonts w:hint="eastAsia" w:ascii="宋体" w:hAnsi="宋体" w:eastAsia="宋体" w:cs="宋体"/>
                <w:color w:val="auto"/>
                <w:sz w:val="24"/>
                <w:szCs w:val="24"/>
                <w:highlight w:val="none"/>
                <w:lang w:eastAsia="zh-CN"/>
              </w:rPr>
              <w:t>等</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分；每缺少一项方案内容，或一项内容存在缺陷的，每一项扣2分，扣完为止；未提供</w:t>
            </w:r>
            <w:r>
              <w:rPr>
                <w:rFonts w:hint="eastAsia" w:ascii="宋体" w:hAnsi="宋体" w:eastAsia="宋体" w:cs="宋体"/>
                <w:color w:val="auto"/>
                <w:sz w:val="24"/>
                <w:szCs w:val="24"/>
                <w:highlight w:val="none"/>
                <w:lang w:eastAsia="zh-CN"/>
              </w:rPr>
              <w:t>售后服务方案</w:t>
            </w:r>
            <w:r>
              <w:rPr>
                <w:rFonts w:hint="eastAsia" w:ascii="宋体" w:hAnsi="宋体" w:eastAsia="宋体" w:cs="宋体"/>
                <w:color w:val="auto"/>
                <w:sz w:val="24"/>
                <w:szCs w:val="24"/>
                <w:highlight w:val="none"/>
                <w:lang w:val="en-US" w:eastAsia="zh-CN"/>
              </w:rPr>
              <w:t>的，此项不得分。</w:t>
            </w:r>
          </w:p>
          <w:p w14:paraId="61602E49">
            <w:pPr>
              <w:snapToGrid w:val="0"/>
              <w:spacing w:line="40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2F575A3B">
            <w:pPr>
              <w:snapToGri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4D363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14:paraId="0E1369CA">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合计：100分</w:t>
            </w:r>
          </w:p>
        </w:tc>
      </w:tr>
    </w:tbl>
    <w:p w14:paraId="5B268EE2">
      <w:pPr>
        <w:pStyle w:val="4"/>
        <w:rPr>
          <w:rFonts w:hint="eastAsia" w:asciiTheme="minorEastAsia" w:hAnsiTheme="minorEastAsia" w:eastAsiaTheme="minorEastAsia" w:cstheme="minorEastAsia"/>
          <w:b/>
          <w:color w:val="auto"/>
          <w:sz w:val="24"/>
          <w:szCs w:val="24"/>
          <w:highlight w:val="none"/>
        </w:rPr>
      </w:pPr>
    </w:p>
    <w:p w14:paraId="54F9FD9E">
      <w:pPr>
        <w:rPr>
          <w:rFonts w:hint="eastAsia" w:asciiTheme="minorEastAsia" w:hAnsiTheme="minorEastAsia" w:eastAsiaTheme="minorEastAsia" w:cstheme="minorEastAsia"/>
          <w:b/>
          <w:color w:val="auto"/>
          <w:sz w:val="24"/>
          <w:szCs w:val="24"/>
          <w:highlight w:val="none"/>
        </w:rPr>
      </w:pPr>
    </w:p>
    <w:p w14:paraId="3E944453">
      <w:pP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十</w:t>
      </w:r>
      <w:r>
        <w:rPr>
          <w:rFonts w:hint="eastAsia" w:asciiTheme="minorEastAsia" w:hAnsiTheme="minorEastAsia" w:eastAsiaTheme="minorEastAsia" w:cstheme="minorEastAsia"/>
          <w:b/>
          <w:color w:val="auto"/>
          <w:sz w:val="24"/>
          <w:szCs w:val="24"/>
          <w:highlight w:val="none"/>
        </w:rPr>
        <w:t>包评分标准：</w:t>
      </w:r>
    </w:p>
    <w:tbl>
      <w:tblPr>
        <w:tblStyle w:val="39"/>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14:paraId="3C457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14:paraId="2DA5F91A">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评分因素及权重</w:t>
            </w:r>
          </w:p>
        </w:tc>
        <w:tc>
          <w:tcPr>
            <w:tcW w:w="1371" w:type="dxa"/>
            <w:tcMar>
              <w:top w:w="15" w:type="dxa"/>
              <w:left w:w="15" w:type="dxa"/>
              <w:right w:w="15" w:type="dxa"/>
            </w:tcMar>
            <w:vAlign w:val="center"/>
          </w:tcPr>
          <w:p w14:paraId="1E9E9804">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评标因素</w:t>
            </w:r>
          </w:p>
        </w:tc>
        <w:tc>
          <w:tcPr>
            <w:tcW w:w="5954" w:type="dxa"/>
            <w:tcMar>
              <w:top w:w="15" w:type="dxa"/>
              <w:left w:w="15" w:type="dxa"/>
              <w:right w:w="15" w:type="dxa"/>
            </w:tcMar>
            <w:vAlign w:val="center"/>
          </w:tcPr>
          <w:p w14:paraId="6B363B99">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评分标准</w:t>
            </w:r>
          </w:p>
        </w:tc>
        <w:tc>
          <w:tcPr>
            <w:tcW w:w="687" w:type="dxa"/>
            <w:tcMar>
              <w:top w:w="15" w:type="dxa"/>
              <w:left w:w="15" w:type="dxa"/>
              <w:right w:w="15" w:type="dxa"/>
            </w:tcMar>
            <w:vAlign w:val="center"/>
          </w:tcPr>
          <w:p w14:paraId="38951A6D">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分值</w:t>
            </w:r>
          </w:p>
        </w:tc>
      </w:tr>
      <w:tr w14:paraId="18663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14:paraId="439467DC">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价格部分（30分）</w:t>
            </w:r>
          </w:p>
        </w:tc>
        <w:tc>
          <w:tcPr>
            <w:tcW w:w="1371" w:type="dxa"/>
            <w:tcMar>
              <w:top w:w="15" w:type="dxa"/>
              <w:left w:w="15" w:type="dxa"/>
              <w:right w:w="15" w:type="dxa"/>
            </w:tcMar>
            <w:vAlign w:val="center"/>
          </w:tcPr>
          <w:p w14:paraId="0B757D65">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p>
          <w:p w14:paraId="4C5C35CE">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w:t>
            </w:r>
          </w:p>
        </w:tc>
        <w:tc>
          <w:tcPr>
            <w:tcW w:w="5954" w:type="dxa"/>
            <w:tcMar>
              <w:top w:w="15" w:type="dxa"/>
              <w:left w:w="15" w:type="dxa"/>
              <w:right w:w="15" w:type="dxa"/>
            </w:tcMar>
            <w:vAlign w:val="center"/>
          </w:tcPr>
          <w:p w14:paraId="09635D1C">
            <w:pPr>
              <w:widowControl/>
              <w:spacing w:line="400" w:lineRule="exac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p w14:paraId="4E0BFA6F">
            <w:pPr>
              <w:widowControl/>
              <w:spacing w:line="400" w:lineRule="exact"/>
              <w:textAlignment w:val="center"/>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rPr>
              <w:t>有效投标报价=投标单位的报价-政府采购政策优惠价格扣除。</w:t>
            </w:r>
          </w:p>
        </w:tc>
        <w:tc>
          <w:tcPr>
            <w:tcW w:w="687" w:type="dxa"/>
            <w:tcMar>
              <w:top w:w="15" w:type="dxa"/>
              <w:left w:w="15" w:type="dxa"/>
              <w:right w:w="15" w:type="dxa"/>
            </w:tcMar>
            <w:vAlign w:val="center"/>
          </w:tcPr>
          <w:p w14:paraId="3A9C49D6">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30</w:t>
            </w:r>
          </w:p>
        </w:tc>
      </w:tr>
      <w:tr w14:paraId="33B8F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14:paraId="7BA462C8">
            <w:pPr>
              <w:widowControl/>
              <w:spacing w:line="400" w:lineRule="exact"/>
              <w:jc w:val="center"/>
              <w:textAlignment w:val="center"/>
              <w:rPr>
                <w:rFonts w:hint="eastAsia" w:ascii="宋体" w:hAnsi="宋体" w:eastAsia="宋体" w:cs="宋体"/>
                <w:color w:val="auto"/>
                <w:kern w:val="0"/>
                <w:sz w:val="24"/>
                <w:szCs w:val="24"/>
                <w:highlight w:val="none"/>
              </w:rPr>
            </w:pPr>
          </w:p>
          <w:p w14:paraId="404F6AC8">
            <w:pPr>
              <w:widowControl/>
              <w:spacing w:line="400" w:lineRule="exact"/>
              <w:jc w:val="center"/>
              <w:textAlignment w:val="center"/>
              <w:rPr>
                <w:rFonts w:hint="eastAsia" w:ascii="宋体" w:hAnsi="宋体" w:eastAsia="宋体" w:cs="宋体"/>
                <w:color w:val="auto"/>
                <w:kern w:val="0"/>
                <w:sz w:val="24"/>
                <w:szCs w:val="24"/>
                <w:highlight w:val="none"/>
              </w:rPr>
            </w:pPr>
          </w:p>
          <w:p w14:paraId="19618EAC">
            <w:pPr>
              <w:widowControl/>
              <w:spacing w:line="400" w:lineRule="exact"/>
              <w:jc w:val="center"/>
              <w:textAlignment w:val="center"/>
              <w:rPr>
                <w:rFonts w:hint="eastAsia" w:ascii="宋体" w:hAnsi="宋体" w:eastAsia="宋体" w:cs="宋体"/>
                <w:color w:val="auto"/>
                <w:kern w:val="0"/>
                <w:sz w:val="24"/>
                <w:szCs w:val="24"/>
                <w:highlight w:val="none"/>
              </w:rPr>
            </w:pPr>
          </w:p>
          <w:p w14:paraId="19D04F8E">
            <w:pPr>
              <w:widowControl/>
              <w:spacing w:line="400" w:lineRule="exact"/>
              <w:jc w:val="center"/>
              <w:textAlignment w:val="center"/>
              <w:rPr>
                <w:rFonts w:hint="eastAsia" w:ascii="宋体" w:hAnsi="宋体" w:eastAsia="宋体" w:cs="宋体"/>
                <w:color w:val="auto"/>
                <w:kern w:val="0"/>
                <w:sz w:val="24"/>
                <w:szCs w:val="24"/>
                <w:highlight w:val="none"/>
              </w:rPr>
            </w:pPr>
          </w:p>
          <w:p w14:paraId="2547B1DF">
            <w:pPr>
              <w:widowControl/>
              <w:spacing w:line="400" w:lineRule="exact"/>
              <w:jc w:val="center"/>
              <w:textAlignment w:val="center"/>
              <w:rPr>
                <w:rFonts w:hint="eastAsia" w:ascii="宋体" w:hAnsi="宋体" w:eastAsia="宋体" w:cs="宋体"/>
                <w:color w:val="auto"/>
                <w:kern w:val="0"/>
                <w:sz w:val="24"/>
                <w:szCs w:val="24"/>
                <w:highlight w:val="none"/>
              </w:rPr>
            </w:pPr>
          </w:p>
          <w:p w14:paraId="32F7B533">
            <w:pPr>
              <w:widowControl/>
              <w:spacing w:line="400" w:lineRule="exact"/>
              <w:jc w:val="center"/>
              <w:textAlignment w:val="center"/>
              <w:rPr>
                <w:rFonts w:hint="eastAsia" w:ascii="宋体" w:hAnsi="宋体" w:eastAsia="宋体" w:cs="宋体"/>
                <w:color w:val="auto"/>
                <w:kern w:val="0"/>
                <w:sz w:val="24"/>
                <w:szCs w:val="24"/>
                <w:highlight w:val="none"/>
              </w:rPr>
            </w:pPr>
          </w:p>
          <w:p w14:paraId="72017C1D">
            <w:pPr>
              <w:widowControl/>
              <w:spacing w:line="400" w:lineRule="exact"/>
              <w:jc w:val="center"/>
              <w:textAlignment w:val="center"/>
              <w:rPr>
                <w:rFonts w:hint="eastAsia" w:ascii="宋体" w:hAnsi="宋体" w:eastAsia="宋体" w:cs="宋体"/>
                <w:color w:val="auto"/>
                <w:kern w:val="0"/>
                <w:sz w:val="24"/>
                <w:szCs w:val="24"/>
                <w:highlight w:val="none"/>
              </w:rPr>
            </w:pPr>
          </w:p>
          <w:p w14:paraId="348F68F3">
            <w:pPr>
              <w:widowControl/>
              <w:spacing w:line="400" w:lineRule="exact"/>
              <w:jc w:val="center"/>
              <w:textAlignment w:val="center"/>
              <w:rPr>
                <w:rFonts w:hint="eastAsia" w:ascii="宋体" w:hAnsi="宋体" w:eastAsia="宋体" w:cs="宋体"/>
                <w:color w:val="auto"/>
                <w:kern w:val="0"/>
                <w:sz w:val="24"/>
                <w:szCs w:val="24"/>
                <w:highlight w:val="none"/>
              </w:rPr>
            </w:pPr>
          </w:p>
          <w:p w14:paraId="4A5387DA">
            <w:pPr>
              <w:widowControl/>
              <w:spacing w:line="400" w:lineRule="exact"/>
              <w:jc w:val="center"/>
              <w:textAlignment w:val="center"/>
              <w:rPr>
                <w:rFonts w:hint="eastAsia" w:ascii="宋体" w:hAnsi="宋体" w:eastAsia="宋体" w:cs="宋体"/>
                <w:color w:val="auto"/>
                <w:kern w:val="0"/>
                <w:sz w:val="24"/>
                <w:szCs w:val="24"/>
                <w:highlight w:val="none"/>
              </w:rPr>
            </w:pPr>
          </w:p>
          <w:p w14:paraId="01B7BAB3">
            <w:pPr>
              <w:widowControl/>
              <w:spacing w:line="400" w:lineRule="exact"/>
              <w:jc w:val="center"/>
              <w:textAlignment w:val="center"/>
              <w:rPr>
                <w:rFonts w:hint="eastAsia" w:ascii="宋体" w:hAnsi="宋体" w:eastAsia="宋体" w:cs="宋体"/>
                <w:color w:val="auto"/>
                <w:kern w:val="0"/>
                <w:sz w:val="24"/>
                <w:szCs w:val="24"/>
                <w:highlight w:val="none"/>
              </w:rPr>
            </w:pPr>
          </w:p>
          <w:p w14:paraId="1119BC51">
            <w:pPr>
              <w:widowControl/>
              <w:spacing w:line="400" w:lineRule="exact"/>
              <w:jc w:val="center"/>
              <w:textAlignment w:val="center"/>
              <w:rPr>
                <w:rFonts w:hint="eastAsia" w:ascii="宋体" w:hAnsi="宋体" w:eastAsia="宋体" w:cs="宋体"/>
                <w:color w:val="auto"/>
                <w:kern w:val="0"/>
                <w:sz w:val="24"/>
                <w:szCs w:val="24"/>
                <w:highlight w:val="none"/>
              </w:rPr>
            </w:pPr>
          </w:p>
          <w:p w14:paraId="15E522E1">
            <w:pPr>
              <w:widowControl/>
              <w:spacing w:line="400" w:lineRule="exact"/>
              <w:jc w:val="center"/>
              <w:textAlignment w:val="center"/>
              <w:rPr>
                <w:rFonts w:hint="eastAsia" w:ascii="宋体" w:hAnsi="宋体" w:eastAsia="宋体" w:cs="宋体"/>
                <w:color w:val="auto"/>
                <w:kern w:val="0"/>
                <w:sz w:val="24"/>
                <w:szCs w:val="24"/>
                <w:highlight w:val="none"/>
              </w:rPr>
            </w:pPr>
          </w:p>
          <w:p w14:paraId="7DE3F462">
            <w:pPr>
              <w:widowControl/>
              <w:spacing w:line="400" w:lineRule="exact"/>
              <w:jc w:val="center"/>
              <w:textAlignment w:val="center"/>
              <w:rPr>
                <w:rFonts w:hint="eastAsia" w:ascii="宋体" w:hAnsi="宋体" w:eastAsia="宋体" w:cs="宋体"/>
                <w:color w:val="auto"/>
                <w:kern w:val="0"/>
                <w:sz w:val="24"/>
                <w:szCs w:val="24"/>
                <w:highlight w:val="none"/>
              </w:rPr>
            </w:pPr>
          </w:p>
          <w:p w14:paraId="7C0BF9EA">
            <w:pPr>
              <w:widowControl/>
              <w:spacing w:line="400" w:lineRule="exact"/>
              <w:jc w:val="center"/>
              <w:textAlignment w:val="center"/>
              <w:rPr>
                <w:rFonts w:hint="eastAsia" w:ascii="宋体" w:hAnsi="宋体" w:eastAsia="宋体" w:cs="宋体"/>
                <w:color w:val="auto"/>
                <w:kern w:val="0"/>
                <w:sz w:val="24"/>
                <w:szCs w:val="24"/>
                <w:highlight w:val="none"/>
              </w:rPr>
            </w:pPr>
          </w:p>
          <w:p w14:paraId="7D9397C0">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技术和商务部分（ 70分）</w:t>
            </w:r>
          </w:p>
        </w:tc>
        <w:tc>
          <w:tcPr>
            <w:tcW w:w="1371" w:type="dxa"/>
            <w:tcMar>
              <w:top w:w="15" w:type="dxa"/>
              <w:left w:w="15" w:type="dxa"/>
              <w:right w:w="15" w:type="dxa"/>
            </w:tcMar>
            <w:vAlign w:val="center"/>
          </w:tcPr>
          <w:p w14:paraId="541635B1">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技术要求</w:t>
            </w:r>
          </w:p>
          <w:p w14:paraId="4D2BB41C">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响应评价</w:t>
            </w:r>
          </w:p>
        </w:tc>
        <w:tc>
          <w:tcPr>
            <w:tcW w:w="5954" w:type="dxa"/>
            <w:tcMar>
              <w:top w:w="15" w:type="dxa"/>
              <w:left w:w="15" w:type="dxa"/>
              <w:right w:w="15" w:type="dxa"/>
            </w:tcMar>
            <w:vAlign w:val="center"/>
          </w:tcPr>
          <w:p w14:paraId="0D220265">
            <w:pPr>
              <w:widowControl/>
              <w:spacing w:line="400" w:lineRule="exact"/>
              <w:ind w:firstLine="480" w:firstLineChars="200"/>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对照第六章“项目需求”第</w:t>
            </w:r>
            <w:r>
              <w:rPr>
                <w:rFonts w:hint="eastAsia" w:ascii="宋体" w:hAnsi="宋体" w:cs="宋体"/>
                <w:color w:val="auto"/>
                <w:kern w:val="0"/>
                <w:sz w:val="24"/>
                <w:szCs w:val="24"/>
                <w:highlight w:val="none"/>
                <w:lang w:val="en-US" w:eastAsia="zh-CN"/>
              </w:rPr>
              <w:t>十</w:t>
            </w:r>
            <w:r>
              <w:rPr>
                <w:rFonts w:hint="eastAsia" w:ascii="宋体" w:hAnsi="宋体" w:eastAsia="宋体" w:cs="宋体"/>
                <w:color w:val="auto"/>
                <w:kern w:val="0"/>
                <w:sz w:val="24"/>
                <w:szCs w:val="24"/>
                <w:highlight w:val="none"/>
                <w:lang w:val="en-US" w:eastAsia="zh-CN"/>
              </w:rPr>
              <w:t>包的技术参数（</w:t>
            </w:r>
            <w:r>
              <w:rPr>
                <w:rFonts w:hint="eastAsia" w:ascii="宋体" w:hAnsi="宋体" w:eastAsia="宋体" w:cs="宋体"/>
                <w:color w:val="auto"/>
                <w:kern w:val="0"/>
                <w:sz w:val="24"/>
                <w:szCs w:val="24"/>
                <w:highlight w:val="none"/>
              </w:rPr>
              <w:t>每条技术参数前标注“★”的为核心技术参数，标注“▲”的为主要技术参数，未标注的为一般</w:t>
            </w:r>
            <w:r>
              <w:rPr>
                <w:rFonts w:hint="eastAsia" w:ascii="宋体" w:hAnsi="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参数</w:t>
            </w:r>
            <w:r>
              <w:rPr>
                <w:rFonts w:hint="eastAsia" w:ascii="宋体" w:hAnsi="宋体" w:eastAsia="宋体" w:cs="宋体"/>
                <w:color w:val="auto"/>
                <w:kern w:val="0"/>
                <w:sz w:val="24"/>
                <w:szCs w:val="24"/>
                <w:highlight w:val="none"/>
                <w:lang w:val="en-US" w:eastAsia="zh-CN"/>
              </w:rPr>
              <w:t>），根据投标人提供的产品配置及技术性能指标的响应情况进行评审。</w:t>
            </w:r>
          </w:p>
          <w:p w14:paraId="256C49BD">
            <w:pPr>
              <w:widowControl/>
              <w:numPr>
                <w:ilvl w:val="0"/>
                <w:numId w:val="0"/>
              </w:numPr>
              <w:spacing w:line="400" w:lineRule="exact"/>
              <w:ind w:firstLine="480" w:firstLineChars="200"/>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.投标人所投产品技术参数完全响应招标文件要求的，得32分；</w:t>
            </w:r>
          </w:p>
          <w:p w14:paraId="38A6EB51">
            <w:pPr>
              <w:widowControl/>
              <w:numPr>
                <w:ilvl w:val="0"/>
                <w:numId w:val="0"/>
              </w:numPr>
              <w:spacing w:line="400" w:lineRule="exact"/>
              <w:ind w:firstLine="480" w:firstLineChars="200"/>
              <w:textAlignment w:val="center"/>
              <w:rPr>
                <w:rFonts w:hint="eastAsia"/>
                <w:color w:val="auto"/>
                <w:highlight w:val="none"/>
                <w:lang w:val="en-US" w:eastAsia="zh-CN"/>
              </w:rPr>
            </w:pPr>
            <w:r>
              <w:rPr>
                <w:rFonts w:hint="eastAsia" w:ascii="宋体" w:hAnsi="宋体" w:eastAsia="宋体" w:cs="宋体"/>
                <w:color w:val="auto"/>
                <w:kern w:val="2"/>
                <w:sz w:val="24"/>
                <w:szCs w:val="24"/>
                <w:highlight w:val="none"/>
                <w:lang w:val="en-US" w:eastAsia="zh-CN" w:bidi="ar-SA"/>
              </w:rPr>
              <w:t>2.核心技术参数只要有一条存在负偏离的（</w:t>
            </w:r>
            <w:r>
              <w:rPr>
                <w:rFonts w:hint="eastAsia" w:ascii="宋体"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 xml:space="preserve">条），本项不得分； </w:t>
            </w:r>
            <w:r>
              <w:rPr>
                <w:rFonts w:hint="eastAsia"/>
                <w:color w:val="auto"/>
                <w:highlight w:val="none"/>
                <w:lang w:val="en-US" w:eastAsia="zh-CN"/>
              </w:rPr>
              <w:t xml:space="preserve">  </w:t>
            </w:r>
          </w:p>
          <w:p w14:paraId="2A652E30">
            <w:pPr>
              <w:pStyle w:val="31"/>
              <w:keepNext w:val="0"/>
              <w:keepLines w:val="0"/>
              <w:pageBreakBefore w:val="0"/>
              <w:widowControl w:val="0"/>
              <w:kinsoku/>
              <w:wordWrap/>
              <w:overflowPunct/>
              <w:topLinePunct w:val="0"/>
              <w:autoSpaceDE/>
              <w:autoSpaceDN/>
              <w:bidi w:val="0"/>
              <w:adjustRightInd/>
              <w:snapToGrid w:val="0"/>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.主要技术参数存在负偏离的（</w:t>
            </w:r>
            <w:r>
              <w:rPr>
                <w:rFonts w:hint="eastAsia" w:ascii="宋体" w:hAnsi="宋体" w:cs="宋体"/>
                <w:b w:val="0"/>
                <w:bCs w:val="0"/>
                <w:color w:val="auto"/>
                <w:kern w:val="2"/>
                <w:sz w:val="24"/>
                <w:szCs w:val="24"/>
                <w:highlight w:val="none"/>
                <w:lang w:val="en-US" w:eastAsia="zh-CN" w:bidi="ar-SA"/>
              </w:rPr>
              <w:t>5</w:t>
            </w:r>
            <w:r>
              <w:rPr>
                <w:rFonts w:hint="eastAsia" w:ascii="宋体" w:hAnsi="宋体" w:eastAsia="宋体" w:cs="宋体"/>
                <w:b w:val="0"/>
                <w:bCs w:val="0"/>
                <w:color w:val="auto"/>
                <w:kern w:val="2"/>
                <w:sz w:val="24"/>
                <w:szCs w:val="24"/>
                <w:highlight w:val="none"/>
                <w:lang w:val="en-US" w:eastAsia="zh-CN" w:bidi="ar-SA"/>
              </w:rPr>
              <w:t>条），每一条扣</w:t>
            </w:r>
            <w:r>
              <w:rPr>
                <w:rFonts w:hint="eastAsia" w:ascii="宋体" w:hAnsi="宋体" w:cs="宋体"/>
                <w:b w:val="0"/>
                <w:bCs w:val="0"/>
                <w:color w:val="auto"/>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分，最多扣</w:t>
            </w:r>
            <w:r>
              <w:rPr>
                <w:rFonts w:hint="eastAsia" w:ascii="宋体" w:hAnsi="宋体" w:cs="宋体"/>
                <w:b w:val="0"/>
                <w:bCs w:val="0"/>
                <w:color w:val="auto"/>
                <w:kern w:val="2"/>
                <w:sz w:val="24"/>
                <w:szCs w:val="24"/>
                <w:highlight w:val="none"/>
                <w:lang w:val="en-US" w:eastAsia="zh-CN" w:bidi="ar-SA"/>
              </w:rPr>
              <w:t>10</w:t>
            </w:r>
            <w:r>
              <w:rPr>
                <w:rFonts w:hint="eastAsia" w:ascii="宋体" w:hAnsi="宋体" w:eastAsia="宋体" w:cs="宋体"/>
                <w:b w:val="0"/>
                <w:bCs w:val="0"/>
                <w:color w:val="auto"/>
                <w:kern w:val="2"/>
                <w:sz w:val="24"/>
                <w:szCs w:val="24"/>
                <w:highlight w:val="none"/>
                <w:lang w:val="en-US" w:eastAsia="zh-CN" w:bidi="ar-SA"/>
              </w:rPr>
              <w:t>分；</w:t>
            </w:r>
          </w:p>
          <w:p w14:paraId="2B330CC9">
            <w:pPr>
              <w:pStyle w:val="31"/>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0"/>
                <w:sz w:val="24"/>
                <w:szCs w:val="24"/>
                <w:highlight w:val="none"/>
                <w:lang w:val="en-US" w:eastAsia="zh-CN"/>
              </w:rPr>
              <w:t>一般技术参数存在负偏离的（</w:t>
            </w:r>
            <w:r>
              <w:rPr>
                <w:rFonts w:hint="eastAsia" w:ascii="宋体" w:hAnsi="宋体" w:cs="宋体"/>
                <w:b w:val="0"/>
                <w:bCs w:val="0"/>
                <w:color w:val="auto"/>
                <w:kern w:val="0"/>
                <w:sz w:val="24"/>
                <w:szCs w:val="24"/>
                <w:highlight w:val="none"/>
                <w:lang w:val="en-US" w:eastAsia="zh-CN"/>
              </w:rPr>
              <w:t>22</w:t>
            </w:r>
            <w:r>
              <w:rPr>
                <w:rFonts w:hint="eastAsia" w:ascii="宋体" w:hAnsi="宋体" w:eastAsia="宋体" w:cs="宋体"/>
                <w:b w:val="0"/>
                <w:bCs w:val="0"/>
                <w:color w:val="auto"/>
                <w:kern w:val="0"/>
                <w:sz w:val="24"/>
                <w:szCs w:val="24"/>
                <w:highlight w:val="none"/>
                <w:lang w:val="en-US" w:eastAsia="zh-CN"/>
              </w:rPr>
              <w:t>条）</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每一条扣</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w:t>
            </w:r>
            <w:r>
              <w:rPr>
                <w:rFonts w:hint="eastAsia" w:ascii="宋体" w:hAnsi="宋体" w:cs="宋体"/>
                <w:color w:val="auto"/>
                <w:kern w:val="2"/>
                <w:sz w:val="24"/>
                <w:szCs w:val="24"/>
                <w:highlight w:val="none"/>
                <w:lang w:val="en-US" w:eastAsia="zh-CN" w:bidi="ar-SA"/>
              </w:rPr>
              <w:t>最多扣22分</w:t>
            </w:r>
            <w:r>
              <w:rPr>
                <w:rFonts w:hint="eastAsia" w:ascii="宋体" w:hAnsi="宋体" w:eastAsia="宋体" w:cs="宋体"/>
                <w:b w:val="0"/>
                <w:bCs w:val="0"/>
                <w:color w:val="auto"/>
                <w:kern w:val="2"/>
                <w:sz w:val="24"/>
                <w:szCs w:val="24"/>
                <w:highlight w:val="none"/>
                <w:lang w:val="en-US" w:eastAsia="zh-CN" w:bidi="ar-SA"/>
              </w:rPr>
              <w:t>。</w:t>
            </w:r>
          </w:p>
          <w:p w14:paraId="7847513D">
            <w:pPr>
              <w:widowControl/>
              <w:spacing w:line="400" w:lineRule="exact"/>
              <w:ind w:firstLine="482" w:firstLineChars="200"/>
              <w:textAlignment w:val="center"/>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eastAsia="zh-CN"/>
              </w:rPr>
              <w:t>注：负偏离评审依据：</w:t>
            </w:r>
            <w:r>
              <w:rPr>
                <w:rFonts w:hint="eastAsia" w:ascii="宋体" w:hAnsi="宋体" w:eastAsia="宋体" w:cs="宋体"/>
                <w:b/>
                <w:bCs/>
                <w:color w:val="auto"/>
                <w:sz w:val="24"/>
                <w:szCs w:val="24"/>
                <w:highlight w:val="none"/>
                <w:lang w:val="en-US" w:eastAsia="zh-CN"/>
              </w:rPr>
              <w:t>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描述的同一产品技术参数响应值不一致的，视为负偏离。</w:t>
            </w:r>
          </w:p>
        </w:tc>
        <w:tc>
          <w:tcPr>
            <w:tcW w:w="687" w:type="dxa"/>
            <w:tcMar>
              <w:top w:w="15" w:type="dxa"/>
              <w:left w:w="15" w:type="dxa"/>
              <w:right w:w="15" w:type="dxa"/>
            </w:tcMar>
            <w:vAlign w:val="center"/>
          </w:tcPr>
          <w:p w14:paraId="3B5798FB">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2</w:t>
            </w:r>
          </w:p>
        </w:tc>
      </w:tr>
      <w:tr w14:paraId="2F853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14:paraId="07BD3ADD">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1D1FC756">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业绩证明</w:t>
            </w:r>
          </w:p>
        </w:tc>
        <w:tc>
          <w:tcPr>
            <w:tcW w:w="5954" w:type="dxa"/>
            <w:tcMar>
              <w:top w:w="15" w:type="dxa"/>
              <w:left w:w="15" w:type="dxa"/>
              <w:right w:w="15" w:type="dxa"/>
            </w:tcMar>
            <w:vAlign w:val="center"/>
          </w:tcPr>
          <w:p w14:paraId="25935F9B">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供应商近三年内（</w:t>
            </w:r>
            <w:r>
              <w:rPr>
                <w:rFonts w:hint="eastAsia" w:ascii="宋体" w:hAnsi="宋体" w:eastAsia="宋体" w:cs="宋体"/>
                <w:color w:val="auto"/>
                <w:sz w:val="24"/>
                <w:szCs w:val="24"/>
                <w:highlight w:val="none"/>
                <w:lang w:val="en-US" w:eastAsia="zh-CN"/>
              </w:rPr>
              <w:t>2021</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日起至今，以合同签订日期为准）完成类似项目的业绩，每个项目业绩得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分，最多得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p>
          <w:p w14:paraId="5516779A">
            <w:pPr>
              <w:widowControl/>
              <w:spacing w:line="400" w:lineRule="exact"/>
              <w:ind w:firstLine="482" w:firstLineChars="200"/>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14:paraId="38410BDC">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r>
      <w:tr w14:paraId="1680B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14:paraId="662B8889">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1CF11D83">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项目组织</w:t>
            </w:r>
          </w:p>
          <w:p w14:paraId="60C179B8">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方案评价</w:t>
            </w:r>
          </w:p>
        </w:tc>
        <w:tc>
          <w:tcPr>
            <w:tcW w:w="5954" w:type="dxa"/>
            <w:tcMar>
              <w:top w:w="15" w:type="dxa"/>
              <w:left w:w="15" w:type="dxa"/>
              <w:right w:w="15" w:type="dxa"/>
            </w:tcMar>
            <w:vAlign w:val="center"/>
          </w:tcPr>
          <w:p w14:paraId="177A93C0">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根据供应商提供的项目组织方案进行评分：</w:t>
            </w:r>
          </w:p>
          <w:p w14:paraId="54CED2BA">
            <w:pPr>
              <w:widowControl/>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项目组织方案</w:t>
            </w:r>
            <w:r>
              <w:rPr>
                <w:rFonts w:hint="eastAsia" w:ascii="宋体" w:hAnsi="宋体" w:eastAsia="宋体" w:cs="宋体"/>
                <w:b w:val="0"/>
                <w:bCs w:val="0"/>
                <w:color w:val="auto"/>
                <w:sz w:val="24"/>
                <w:szCs w:val="24"/>
                <w:highlight w:val="none"/>
              </w:rPr>
              <w:t>包括但不限于：</w:t>
            </w:r>
            <w:r>
              <w:rPr>
                <w:rFonts w:hint="eastAsia" w:ascii="宋体" w:hAnsi="宋体" w:eastAsia="宋体" w:cs="宋体"/>
                <w:b w:val="0"/>
                <w:bCs w:val="0"/>
                <w:color w:val="auto"/>
                <w:sz w:val="24"/>
                <w:szCs w:val="24"/>
                <w:highlight w:val="none"/>
                <w:lang w:eastAsia="zh-CN"/>
              </w:rPr>
              <w:t>①</w:t>
            </w:r>
            <w:r>
              <w:rPr>
                <w:rFonts w:hint="eastAsia" w:ascii="宋体" w:hAnsi="宋体" w:eastAsia="宋体" w:cs="宋体"/>
                <w:b w:val="0"/>
                <w:bCs w:val="0"/>
                <w:color w:val="auto"/>
                <w:sz w:val="24"/>
                <w:szCs w:val="24"/>
                <w:highlight w:val="none"/>
              </w:rPr>
              <w:t>项目人员安排（包含但不限于主要人员名单及基本情况介绍、在本项目中承担的职责等）、</w:t>
            </w:r>
            <w:r>
              <w:rPr>
                <w:rFonts w:hint="eastAsia" w:ascii="宋体" w:hAnsi="宋体" w:eastAsia="宋体" w:cs="宋体"/>
                <w:b w:val="0"/>
                <w:bCs w:val="0"/>
                <w:color w:val="auto"/>
                <w:sz w:val="24"/>
                <w:szCs w:val="24"/>
                <w:highlight w:val="none"/>
                <w:lang w:eastAsia="zh-CN"/>
              </w:rPr>
              <w:t>②</w:t>
            </w:r>
            <w:r>
              <w:rPr>
                <w:rFonts w:hint="eastAsia" w:ascii="宋体" w:hAnsi="宋体" w:eastAsia="宋体" w:cs="宋体"/>
                <w:b w:val="0"/>
                <w:bCs w:val="0"/>
                <w:color w:val="auto"/>
                <w:sz w:val="24"/>
                <w:szCs w:val="24"/>
                <w:highlight w:val="none"/>
              </w:rPr>
              <w:t>供货方案（包含但不限于产品来源、供货计划、供货时间、包装和运输方式等）、</w:t>
            </w:r>
            <w:r>
              <w:rPr>
                <w:rFonts w:hint="eastAsia" w:ascii="宋体" w:hAnsi="宋体" w:eastAsia="宋体" w:cs="宋体"/>
                <w:b w:val="0"/>
                <w:bCs w:val="0"/>
                <w:color w:val="auto"/>
                <w:sz w:val="24"/>
                <w:szCs w:val="24"/>
                <w:highlight w:val="none"/>
                <w:lang w:eastAsia="zh-CN"/>
              </w:rPr>
              <w:t>③</w:t>
            </w:r>
            <w:r>
              <w:rPr>
                <w:rFonts w:hint="eastAsia" w:ascii="宋体" w:hAnsi="宋体" w:eastAsia="宋体" w:cs="宋体"/>
                <w:b w:val="0"/>
                <w:bCs w:val="0"/>
                <w:color w:val="auto"/>
                <w:sz w:val="24"/>
                <w:szCs w:val="24"/>
                <w:highlight w:val="none"/>
              </w:rPr>
              <w:t>质量管控方案（包括但不限于质量管控的标准、方法和程序等）、</w:t>
            </w:r>
            <w:r>
              <w:rPr>
                <w:rFonts w:hint="eastAsia" w:ascii="宋体" w:hAnsi="宋体" w:eastAsia="宋体" w:cs="宋体"/>
                <w:b w:val="0"/>
                <w:bCs w:val="0"/>
                <w:color w:val="auto"/>
                <w:sz w:val="24"/>
                <w:szCs w:val="24"/>
                <w:highlight w:val="none"/>
                <w:lang w:eastAsia="zh-CN"/>
              </w:rPr>
              <w:t>④</w:t>
            </w:r>
            <w:r>
              <w:rPr>
                <w:rFonts w:hint="eastAsia" w:ascii="宋体" w:hAnsi="宋体" w:eastAsia="宋体" w:cs="宋体"/>
                <w:b w:val="0"/>
                <w:bCs w:val="0"/>
                <w:color w:val="auto"/>
                <w:sz w:val="24"/>
                <w:szCs w:val="24"/>
                <w:highlight w:val="none"/>
              </w:rPr>
              <w:t>测试（调试）方案（包含但不限于人员安排、测试步骤、测试标准等）等4项内容，方案内容完整齐全，符合项目实际（第六章“项目需求”）的，得</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分；每缺少一项方案内容，或一项内容存在缺陷的，每一项扣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分，扣完为止；未提供</w:t>
            </w:r>
            <w:r>
              <w:rPr>
                <w:rFonts w:hint="eastAsia" w:ascii="宋体" w:hAnsi="宋体" w:eastAsia="宋体" w:cs="宋体"/>
                <w:color w:val="auto"/>
                <w:sz w:val="24"/>
                <w:szCs w:val="24"/>
                <w:highlight w:val="none"/>
                <w:lang w:eastAsia="zh-CN"/>
              </w:rPr>
              <w:t>项目组织方案</w:t>
            </w:r>
            <w:r>
              <w:rPr>
                <w:rFonts w:hint="eastAsia" w:ascii="宋体" w:hAnsi="宋体" w:eastAsia="宋体" w:cs="宋体"/>
                <w:b w:val="0"/>
                <w:bCs w:val="0"/>
                <w:color w:val="auto"/>
                <w:sz w:val="24"/>
                <w:szCs w:val="24"/>
                <w:highlight w:val="none"/>
              </w:rPr>
              <w:t>的，此项不得分。</w:t>
            </w:r>
          </w:p>
          <w:p w14:paraId="6BE5D11D">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33D8B614">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p>
        </w:tc>
      </w:tr>
      <w:tr w14:paraId="262DB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14:paraId="7173639D">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Mar>
              <w:top w:w="15" w:type="dxa"/>
              <w:left w:w="15" w:type="dxa"/>
              <w:right w:w="15" w:type="dxa"/>
            </w:tcMar>
            <w:vAlign w:val="center"/>
          </w:tcPr>
          <w:p w14:paraId="7DF123DF">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技术培训</w:t>
            </w:r>
          </w:p>
          <w:p w14:paraId="5254354D">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方案评价</w:t>
            </w:r>
          </w:p>
        </w:tc>
        <w:tc>
          <w:tcPr>
            <w:tcW w:w="5954" w:type="dxa"/>
            <w:tcMar>
              <w:top w:w="15" w:type="dxa"/>
              <w:left w:w="15" w:type="dxa"/>
              <w:right w:w="15" w:type="dxa"/>
            </w:tcMar>
            <w:vAlign w:val="center"/>
          </w:tcPr>
          <w:p w14:paraId="57A1A611">
            <w:pPr>
              <w:widowControl/>
              <w:spacing w:line="400" w:lineRule="exact"/>
              <w:ind w:firstLine="720" w:firstLineChars="300"/>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w:t>
            </w:r>
            <w:r>
              <w:rPr>
                <w:rFonts w:hint="eastAsia" w:ascii="宋体" w:hAnsi="宋体" w:eastAsia="宋体" w:cs="宋体"/>
                <w:color w:val="auto"/>
                <w:kern w:val="0"/>
                <w:sz w:val="24"/>
                <w:szCs w:val="24"/>
                <w:highlight w:val="none"/>
              </w:rPr>
              <w:t>技术培训方案</w:t>
            </w:r>
            <w:r>
              <w:rPr>
                <w:rFonts w:hint="eastAsia" w:ascii="宋体" w:hAnsi="宋体" w:eastAsia="宋体" w:cs="宋体"/>
                <w:color w:val="auto"/>
                <w:sz w:val="24"/>
                <w:szCs w:val="24"/>
                <w:highlight w:val="none"/>
                <w:lang w:eastAsia="zh-CN"/>
              </w:rPr>
              <w:t>进行评分：</w:t>
            </w:r>
          </w:p>
          <w:p w14:paraId="6C3752A6">
            <w:pPr>
              <w:widowControl/>
              <w:spacing w:line="40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技术培训方案</w:t>
            </w:r>
            <w:r>
              <w:rPr>
                <w:rFonts w:hint="eastAsia" w:ascii="宋体" w:hAnsi="宋体" w:eastAsia="宋体" w:cs="宋体"/>
                <w:color w:val="auto"/>
                <w:sz w:val="24"/>
                <w:szCs w:val="24"/>
                <w:highlight w:val="none"/>
                <w:lang w:eastAsia="zh-CN"/>
              </w:rPr>
              <w:t>包括但不限于</w:t>
            </w:r>
            <w:r>
              <w:rPr>
                <w:rFonts w:hint="eastAsia" w:ascii="宋体" w:hAnsi="宋体" w:eastAsia="宋体" w:cs="宋体"/>
                <w:color w:val="auto"/>
                <w:sz w:val="24"/>
                <w:szCs w:val="24"/>
                <w:highlight w:val="none"/>
                <w:lang w:val="en-US" w:eastAsia="zh-CN"/>
              </w:rPr>
              <w:t>培训内容、培训方式、培训计划、培训团队人员配置</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lang w:val="en-US" w:eastAsia="zh-CN"/>
              </w:rPr>
              <w:t>4项内容，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分；每缺少一项方案内容，或一项内容存在缺陷的，每一项扣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分，扣完为止；未提供</w:t>
            </w:r>
            <w:r>
              <w:rPr>
                <w:rFonts w:hint="eastAsia" w:ascii="宋体" w:hAnsi="宋体" w:eastAsia="宋体" w:cs="宋体"/>
                <w:color w:val="auto"/>
                <w:kern w:val="0"/>
                <w:sz w:val="24"/>
                <w:szCs w:val="24"/>
                <w:highlight w:val="none"/>
              </w:rPr>
              <w:t>技术培训方案</w:t>
            </w:r>
            <w:r>
              <w:rPr>
                <w:rFonts w:hint="eastAsia" w:ascii="宋体" w:hAnsi="宋体" w:eastAsia="宋体" w:cs="宋体"/>
                <w:color w:val="auto"/>
                <w:sz w:val="24"/>
                <w:szCs w:val="24"/>
                <w:highlight w:val="none"/>
                <w:lang w:val="en-US" w:eastAsia="zh-CN"/>
              </w:rPr>
              <w:t>的，此项不得分。</w:t>
            </w:r>
          </w:p>
          <w:p w14:paraId="362435AC">
            <w:pPr>
              <w:snapToGrid w:val="0"/>
              <w:spacing w:line="400" w:lineRule="exact"/>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7493AD41">
            <w:pPr>
              <w:widowControl/>
              <w:spacing w:line="40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63E4D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14:paraId="6100DDA6">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61BADAB0">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售后服务</w:t>
            </w:r>
          </w:p>
          <w:p w14:paraId="68A0879B">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方案评价</w:t>
            </w:r>
          </w:p>
        </w:tc>
        <w:tc>
          <w:tcPr>
            <w:tcW w:w="5954" w:type="dxa"/>
            <w:tcMar>
              <w:top w:w="15" w:type="dxa"/>
              <w:left w:w="15" w:type="dxa"/>
              <w:right w:w="15" w:type="dxa"/>
            </w:tcMar>
            <w:vAlign w:val="center"/>
          </w:tcPr>
          <w:p w14:paraId="3EE37C75">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根据供应商提供的售后服务方案进行评分：</w:t>
            </w:r>
          </w:p>
          <w:p w14:paraId="4A076046">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售后服务方案包括但不限于</w:t>
            </w:r>
            <w:r>
              <w:rPr>
                <w:rFonts w:hint="eastAsia" w:ascii="宋体" w:hAnsi="宋体" w:eastAsia="宋体" w:cs="宋体"/>
                <w:color w:val="auto"/>
                <w:sz w:val="24"/>
                <w:szCs w:val="24"/>
                <w:highlight w:val="none"/>
                <w:lang w:val="en-US" w:eastAsia="zh-CN"/>
              </w:rPr>
              <w:t>售后服务承诺、备件（易耗品）供应方案（含备件价格）、服务人员配备</w:t>
            </w:r>
            <w:r>
              <w:rPr>
                <w:rFonts w:hint="eastAsia" w:ascii="宋体" w:hAnsi="宋体" w:cs="宋体"/>
                <w:color w:val="auto"/>
                <w:sz w:val="24"/>
                <w:szCs w:val="24"/>
                <w:highlight w:val="none"/>
                <w:lang w:val="en-US" w:eastAsia="zh-CN"/>
              </w:rPr>
              <w:t>及服务响应方案</w:t>
            </w:r>
            <w:r>
              <w:rPr>
                <w:rFonts w:hint="eastAsia" w:ascii="宋体" w:hAnsi="宋体" w:eastAsia="宋体" w:cs="宋体"/>
                <w:color w:val="auto"/>
                <w:sz w:val="24"/>
                <w:szCs w:val="24"/>
                <w:highlight w:val="none"/>
                <w:lang w:val="en-US" w:eastAsia="zh-CN"/>
              </w:rPr>
              <w:t>、故障响应措施、质保外服务措施</w:t>
            </w:r>
            <w:r>
              <w:rPr>
                <w:rFonts w:hint="eastAsia" w:ascii="宋体" w:hAnsi="宋体" w:eastAsia="宋体" w:cs="宋体"/>
                <w:color w:val="auto"/>
                <w:sz w:val="24"/>
                <w:szCs w:val="24"/>
                <w:highlight w:val="none"/>
                <w:lang w:eastAsia="zh-CN"/>
              </w:rPr>
              <w:t>等</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分；每缺少一项方案内容，或一项内容存在缺陷的，每一项扣2分，扣完为止；未提供</w:t>
            </w:r>
            <w:r>
              <w:rPr>
                <w:rFonts w:hint="eastAsia" w:ascii="宋体" w:hAnsi="宋体" w:eastAsia="宋体" w:cs="宋体"/>
                <w:color w:val="auto"/>
                <w:sz w:val="24"/>
                <w:szCs w:val="24"/>
                <w:highlight w:val="none"/>
                <w:lang w:eastAsia="zh-CN"/>
              </w:rPr>
              <w:t>售后服务方案</w:t>
            </w:r>
            <w:r>
              <w:rPr>
                <w:rFonts w:hint="eastAsia" w:ascii="宋体" w:hAnsi="宋体" w:eastAsia="宋体" w:cs="宋体"/>
                <w:color w:val="auto"/>
                <w:sz w:val="24"/>
                <w:szCs w:val="24"/>
                <w:highlight w:val="none"/>
                <w:lang w:val="en-US" w:eastAsia="zh-CN"/>
              </w:rPr>
              <w:t>的，此项不得分。</w:t>
            </w:r>
          </w:p>
          <w:p w14:paraId="1BA02FB5">
            <w:pPr>
              <w:snapToGrid w:val="0"/>
              <w:spacing w:line="40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7F049B8C">
            <w:pPr>
              <w:snapToGri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p>
        </w:tc>
      </w:tr>
      <w:tr w14:paraId="6314B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14:paraId="3F18C2B7">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5899406F">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hAnsi="宋体" w:cs="宋体"/>
                <w:color w:val="auto"/>
                <w:sz w:val="24"/>
                <w:szCs w:val="24"/>
                <w:highlight w:val="none"/>
              </w:rPr>
              <w:t>投标样品评价</w:t>
            </w:r>
          </w:p>
        </w:tc>
        <w:tc>
          <w:tcPr>
            <w:tcW w:w="5954" w:type="dxa"/>
            <w:tcMar>
              <w:top w:w="15" w:type="dxa"/>
              <w:left w:w="15" w:type="dxa"/>
              <w:right w:w="15" w:type="dxa"/>
            </w:tcMar>
            <w:vAlign w:val="center"/>
          </w:tcPr>
          <w:p w14:paraId="59B3433F">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14:paraId="627B7BE4">
            <w:pPr>
              <w:spacing w:line="400" w:lineRule="exact"/>
              <w:ind w:firstLine="480" w:firstLineChars="200"/>
              <w:jc w:val="left"/>
              <w:rPr>
                <w:color w:val="auto"/>
                <w:sz w:val="24"/>
                <w:szCs w:val="24"/>
                <w:highlight w:val="none"/>
              </w:rPr>
            </w:pPr>
            <w:r>
              <w:rPr>
                <w:rFonts w:hint="eastAsia"/>
                <w:color w:val="auto"/>
                <w:sz w:val="24"/>
                <w:szCs w:val="24"/>
                <w:highlight w:val="none"/>
              </w:rPr>
              <w:t>根据投标人提供样品的整体性能进行评审：1.</w:t>
            </w:r>
            <w:r>
              <w:rPr>
                <w:rFonts w:hint="eastAsia"/>
                <w:color w:val="auto"/>
                <w:sz w:val="24"/>
                <w:szCs w:val="24"/>
                <w:highlight w:val="none"/>
                <w:lang w:val="en-US" w:eastAsia="zh-CN"/>
              </w:rPr>
              <w:t>使用材质</w:t>
            </w:r>
            <w:r>
              <w:rPr>
                <w:rFonts w:hint="eastAsia"/>
                <w:color w:val="auto"/>
                <w:sz w:val="24"/>
                <w:szCs w:val="24"/>
                <w:highlight w:val="none"/>
              </w:rPr>
              <w:t>；2.制作工艺水平；3.</w:t>
            </w:r>
            <w:r>
              <w:rPr>
                <w:rFonts w:hint="eastAsia"/>
                <w:color w:val="auto"/>
                <w:sz w:val="24"/>
                <w:szCs w:val="24"/>
                <w:highlight w:val="none"/>
                <w:lang w:val="en-US" w:eastAsia="zh-CN"/>
              </w:rPr>
              <w:t>无操作安全隐患或</w:t>
            </w:r>
            <w:r>
              <w:rPr>
                <w:rFonts w:hint="eastAsia"/>
                <w:color w:val="auto"/>
                <w:sz w:val="24"/>
                <w:szCs w:val="24"/>
                <w:highlight w:val="none"/>
              </w:rPr>
              <w:t>影响使用性能的安全隐患；4.功能实用性能强，贴合灭火救援实战需要。各项性能完备的得</w:t>
            </w:r>
            <w:r>
              <w:rPr>
                <w:rFonts w:hint="eastAsia"/>
                <w:color w:val="auto"/>
                <w:sz w:val="24"/>
                <w:szCs w:val="24"/>
                <w:highlight w:val="none"/>
                <w:lang w:val="en-US" w:eastAsia="zh-CN"/>
              </w:rPr>
              <w:t>8</w:t>
            </w:r>
            <w:r>
              <w:rPr>
                <w:rFonts w:hint="eastAsia"/>
                <w:color w:val="auto"/>
                <w:sz w:val="24"/>
                <w:szCs w:val="24"/>
                <w:highlight w:val="none"/>
              </w:rPr>
              <w:t>分，每有一项存在瑕疵或不符合采购人使用需求的，扣</w:t>
            </w:r>
            <w:r>
              <w:rPr>
                <w:rFonts w:hint="eastAsia"/>
                <w:color w:val="auto"/>
                <w:sz w:val="24"/>
                <w:szCs w:val="24"/>
                <w:highlight w:val="none"/>
                <w:lang w:val="en-US" w:eastAsia="zh-CN"/>
              </w:rPr>
              <w:t>2</w:t>
            </w:r>
            <w:r>
              <w:rPr>
                <w:rFonts w:hint="eastAsia"/>
                <w:color w:val="auto"/>
                <w:sz w:val="24"/>
                <w:szCs w:val="24"/>
                <w:highlight w:val="none"/>
              </w:rPr>
              <w:t>分，扣完为止。</w:t>
            </w:r>
          </w:p>
          <w:p w14:paraId="135511AD">
            <w:pPr>
              <w:snapToGrid w:val="0"/>
              <w:spacing w:line="400" w:lineRule="exact"/>
              <w:ind w:firstLine="482" w:firstLineChars="200"/>
              <w:rPr>
                <w:rFonts w:hint="eastAsia" w:ascii="宋体" w:hAnsi="宋体" w:eastAsia="宋体" w:cs="宋体"/>
                <w:b/>
                <w:bCs/>
                <w:color w:val="auto"/>
                <w:sz w:val="24"/>
                <w:szCs w:val="24"/>
                <w:highlight w:val="none"/>
                <w:lang w:val="en-US" w:eastAsia="zh-CN"/>
              </w:rPr>
            </w:pPr>
            <w:r>
              <w:rPr>
                <w:rFonts w:hint="eastAsia"/>
                <w:b/>
                <w:bCs/>
                <w:color w:val="auto"/>
                <w:sz w:val="24"/>
                <w:szCs w:val="24"/>
                <w:highlight w:val="none"/>
              </w:rPr>
              <w:t>注：样品由采购代理机构提前编号并作登记，评标委员会采用盲评形式进行评审。</w:t>
            </w:r>
          </w:p>
        </w:tc>
        <w:tc>
          <w:tcPr>
            <w:tcW w:w="687" w:type="dxa"/>
            <w:tcMar>
              <w:top w:w="15" w:type="dxa"/>
              <w:left w:w="15" w:type="dxa"/>
              <w:right w:w="15" w:type="dxa"/>
            </w:tcMar>
            <w:vAlign w:val="center"/>
          </w:tcPr>
          <w:p w14:paraId="2AC8AE1C">
            <w:pPr>
              <w:snapToGri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2A113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14:paraId="3D1AB33C">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合计：100分</w:t>
            </w:r>
          </w:p>
        </w:tc>
      </w:tr>
    </w:tbl>
    <w:p w14:paraId="4E3A04E8">
      <w:pPr>
        <w:rPr>
          <w:rFonts w:hint="eastAsia" w:asciiTheme="minorEastAsia" w:hAnsiTheme="minorEastAsia" w:eastAsiaTheme="minorEastAsia" w:cstheme="minorEastAsia"/>
          <w:b/>
          <w:color w:val="auto"/>
          <w:sz w:val="24"/>
          <w:szCs w:val="24"/>
          <w:highlight w:val="none"/>
        </w:rPr>
      </w:pPr>
    </w:p>
    <w:p w14:paraId="02ACAE97">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619E9634">
      <w:pPr>
        <w:pStyle w:val="4"/>
        <w:ind w:left="0" w:leftChars="0" w:firstLine="0" w:firstLineChars="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十一</w:t>
      </w:r>
      <w:r>
        <w:rPr>
          <w:rFonts w:hint="eastAsia" w:asciiTheme="minorEastAsia" w:hAnsiTheme="minorEastAsia" w:eastAsiaTheme="minorEastAsia" w:cstheme="minorEastAsia"/>
          <w:b/>
          <w:color w:val="auto"/>
          <w:sz w:val="24"/>
          <w:szCs w:val="24"/>
          <w:highlight w:val="none"/>
        </w:rPr>
        <w:t>包评分标准：</w:t>
      </w:r>
    </w:p>
    <w:tbl>
      <w:tblPr>
        <w:tblStyle w:val="39"/>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14:paraId="1E9AA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14:paraId="324F34BA">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评分因素及权重</w:t>
            </w:r>
          </w:p>
        </w:tc>
        <w:tc>
          <w:tcPr>
            <w:tcW w:w="1371" w:type="dxa"/>
            <w:tcMar>
              <w:top w:w="15" w:type="dxa"/>
              <w:left w:w="15" w:type="dxa"/>
              <w:right w:w="15" w:type="dxa"/>
            </w:tcMar>
            <w:vAlign w:val="center"/>
          </w:tcPr>
          <w:p w14:paraId="7B609356">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评标因素</w:t>
            </w:r>
          </w:p>
        </w:tc>
        <w:tc>
          <w:tcPr>
            <w:tcW w:w="5954" w:type="dxa"/>
            <w:tcMar>
              <w:top w:w="15" w:type="dxa"/>
              <w:left w:w="15" w:type="dxa"/>
              <w:right w:w="15" w:type="dxa"/>
            </w:tcMar>
            <w:vAlign w:val="center"/>
          </w:tcPr>
          <w:p w14:paraId="10C3A46B">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评分标准</w:t>
            </w:r>
          </w:p>
        </w:tc>
        <w:tc>
          <w:tcPr>
            <w:tcW w:w="687" w:type="dxa"/>
            <w:tcMar>
              <w:top w:w="15" w:type="dxa"/>
              <w:left w:w="15" w:type="dxa"/>
              <w:right w:w="15" w:type="dxa"/>
            </w:tcMar>
            <w:vAlign w:val="center"/>
          </w:tcPr>
          <w:p w14:paraId="2EE22117">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分值</w:t>
            </w:r>
          </w:p>
        </w:tc>
      </w:tr>
      <w:tr w14:paraId="43E7D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14:paraId="52F52925">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价格部分（30分）</w:t>
            </w:r>
          </w:p>
        </w:tc>
        <w:tc>
          <w:tcPr>
            <w:tcW w:w="1371" w:type="dxa"/>
            <w:tcMar>
              <w:top w:w="15" w:type="dxa"/>
              <w:left w:w="15" w:type="dxa"/>
              <w:right w:w="15" w:type="dxa"/>
            </w:tcMar>
            <w:vAlign w:val="center"/>
          </w:tcPr>
          <w:p w14:paraId="2A0C2961">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p>
          <w:p w14:paraId="04BCA336">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w:t>
            </w:r>
          </w:p>
        </w:tc>
        <w:tc>
          <w:tcPr>
            <w:tcW w:w="5954" w:type="dxa"/>
            <w:tcMar>
              <w:top w:w="15" w:type="dxa"/>
              <w:left w:w="15" w:type="dxa"/>
              <w:right w:w="15" w:type="dxa"/>
            </w:tcMar>
            <w:vAlign w:val="center"/>
          </w:tcPr>
          <w:p w14:paraId="72500198">
            <w:pPr>
              <w:widowControl/>
              <w:spacing w:line="400" w:lineRule="exact"/>
              <w:textAlignment w:val="center"/>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14:paraId="6E8602DC">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30</w:t>
            </w:r>
          </w:p>
        </w:tc>
      </w:tr>
      <w:tr w14:paraId="04741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14:paraId="12D123EF">
            <w:pPr>
              <w:widowControl/>
              <w:spacing w:line="400" w:lineRule="exact"/>
              <w:jc w:val="center"/>
              <w:textAlignment w:val="center"/>
              <w:rPr>
                <w:rFonts w:hint="eastAsia" w:ascii="宋体" w:hAnsi="宋体" w:eastAsia="宋体" w:cs="宋体"/>
                <w:color w:val="auto"/>
                <w:kern w:val="0"/>
                <w:sz w:val="24"/>
                <w:szCs w:val="24"/>
                <w:highlight w:val="none"/>
              </w:rPr>
            </w:pPr>
          </w:p>
          <w:p w14:paraId="36C46427">
            <w:pPr>
              <w:widowControl/>
              <w:spacing w:line="400" w:lineRule="exact"/>
              <w:jc w:val="center"/>
              <w:textAlignment w:val="center"/>
              <w:rPr>
                <w:rFonts w:hint="eastAsia" w:ascii="宋体" w:hAnsi="宋体" w:eastAsia="宋体" w:cs="宋体"/>
                <w:color w:val="auto"/>
                <w:kern w:val="0"/>
                <w:sz w:val="24"/>
                <w:szCs w:val="24"/>
                <w:highlight w:val="none"/>
              </w:rPr>
            </w:pPr>
          </w:p>
          <w:p w14:paraId="1764C50E">
            <w:pPr>
              <w:widowControl/>
              <w:spacing w:line="400" w:lineRule="exact"/>
              <w:jc w:val="center"/>
              <w:textAlignment w:val="center"/>
              <w:rPr>
                <w:rFonts w:hint="eastAsia" w:ascii="宋体" w:hAnsi="宋体" w:eastAsia="宋体" w:cs="宋体"/>
                <w:color w:val="auto"/>
                <w:kern w:val="0"/>
                <w:sz w:val="24"/>
                <w:szCs w:val="24"/>
                <w:highlight w:val="none"/>
              </w:rPr>
            </w:pPr>
          </w:p>
          <w:p w14:paraId="0E60BFEC">
            <w:pPr>
              <w:widowControl/>
              <w:spacing w:line="400" w:lineRule="exact"/>
              <w:jc w:val="center"/>
              <w:textAlignment w:val="center"/>
              <w:rPr>
                <w:rFonts w:hint="eastAsia" w:ascii="宋体" w:hAnsi="宋体" w:eastAsia="宋体" w:cs="宋体"/>
                <w:color w:val="auto"/>
                <w:kern w:val="0"/>
                <w:sz w:val="24"/>
                <w:szCs w:val="24"/>
                <w:highlight w:val="none"/>
              </w:rPr>
            </w:pPr>
          </w:p>
          <w:p w14:paraId="6CD19B79">
            <w:pPr>
              <w:widowControl/>
              <w:spacing w:line="400" w:lineRule="exact"/>
              <w:jc w:val="center"/>
              <w:textAlignment w:val="center"/>
              <w:rPr>
                <w:rFonts w:hint="eastAsia" w:ascii="宋体" w:hAnsi="宋体" w:eastAsia="宋体" w:cs="宋体"/>
                <w:color w:val="auto"/>
                <w:kern w:val="0"/>
                <w:sz w:val="24"/>
                <w:szCs w:val="24"/>
                <w:highlight w:val="none"/>
              </w:rPr>
            </w:pPr>
          </w:p>
          <w:p w14:paraId="6760149B">
            <w:pPr>
              <w:widowControl/>
              <w:spacing w:line="400" w:lineRule="exact"/>
              <w:jc w:val="center"/>
              <w:textAlignment w:val="center"/>
              <w:rPr>
                <w:rFonts w:hint="eastAsia" w:ascii="宋体" w:hAnsi="宋体" w:eastAsia="宋体" w:cs="宋体"/>
                <w:color w:val="auto"/>
                <w:kern w:val="0"/>
                <w:sz w:val="24"/>
                <w:szCs w:val="24"/>
                <w:highlight w:val="none"/>
              </w:rPr>
            </w:pPr>
          </w:p>
          <w:p w14:paraId="332DA031">
            <w:pPr>
              <w:widowControl/>
              <w:spacing w:line="400" w:lineRule="exact"/>
              <w:jc w:val="center"/>
              <w:textAlignment w:val="center"/>
              <w:rPr>
                <w:rFonts w:hint="eastAsia" w:ascii="宋体" w:hAnsi="宋体" w:eastAsia="宋体" w:cs="宋体"/>
                <w:color w:val="auto"/>
                <w:kern w:val="0"/>
                <w:sz w:val="24"/>
                <w:szCs w:val="24"/>
                <w:highlight w:val="none"/>
              </w:rPr>
            </w:pPr>
          </w:p>
          <w:p w14:paraId="1327ECDC">
            <w:pPr>
              <w:widowControl/>
              <w:spacing w:line="400" w:lineRule="exact"/>
              <w:jc w:val="center"/>
              <w:textAlignment w:val="center"/>
              <w:rPr>
                <w:rFonts w:hint="eastAsia" w:ascii="宋体" w:hAnsi="宋体" w:eastAsia="宋体" w:cs="宋体"/>
                <w:color w:val="auto"/>
                <w:kern w:val="0"/>
                <w:sz w:val="24"/>
                <w:szCs w:val="24"/>
                <w:highlight w:val="none"/>
              </w:rPr>
            </w:pPr>
          </w:p>
          <w:p w14:paraId="0CAD778A">
            <w:pPr>
              <w:widowControl/>
              <w:spacing w:line="400" w:lineRule="exact"/>
              <w:jc w:val="center"/>
              <w:textAlignment w:val="center"/>
              <w:rPr>
                <w:rFonts w:hint="eastAsia" w:ascii="宋体" w:hAnsi="宋体" w:eastAsia="宋体" w:cs="宋体"/>
                <w:color w:val="auto"/>
                <w:kern w:val="0"/>
                <w:sz w:val="24"/>
                <w:szCs w:val="24"/>
                <w:highlight w:val="none"/>
              </w:rPr>
            </w:pPr>
          </w:p>
          <w:p w14:paraId="1C8403A1">
            <w:pPr>
              <w:widowControl/>
              <w:spacing w:line="400" w:lineRule="exact"/>
              <w:jc w:val="center"/>
              <w:textAlignment w:val="center"/>
              <w:rPr>
                <w:rFonts w:hint="eastAsia" w:ascii="宋体" w:hAnsi="宋体" w:eastAsia="宋体" w:cs="宋体"/>
                <w:color w:val="auto"/>
                <w:kern w:val="0"/>
                <w:sz w:val="24"/>
                <w:szCs w:val="24"/>
                <w:highlight w:val="none"/>
              </w:rPr>
            </w:pPr>
          </w:p>
          <w:p w14:paraId="714174A1">
            <w:pPr>
              <w:widowControl/>
              <w:spacing w:line="400" w:lineRule="exact"/>
              <w:jc w:val="center"/>
              <w:textAlignment w:val="center"/>
              <w:rPr>
                <w:rFonts w:hint="eastAsia" w:ascii="宋体" w:hAnsi="宋体" w:eastAsia="宋体" w:cs="宋体"/>
                <w:color w:val="auto"/>
                <w:kern w:val="0"/>
                <w:sz w:val="24"/>
                <w:szCs w:val="24"/>
                <w:highlight w:val="none"/>
              </w:rPr>
            </w:pPr>
          </w:p>
          <w:p w14:paraId="264D288A">
            <w:pPr>
              <w:widowControl/>
              <w:spacing w:line="400" w:lineRule="exact"/>
              <w:jc w:val="center"/>
              <w:textAlignment w:val="center"/>
              <w:rPr>
                <w:rFonts w:hint="eastAsia" w:ascii="宋体" w:hAnsi="宋体" w:eastAsia="宋体" w:cs="宋体"/>
                <w:color w:val="auto"/>
                <w:kern w:val="0"/>
                <w:sz w:val="24"/>
                <w:szCs w:val="24"/>
                <w:highlight w:val="none"/>
              </w:rPr>
            </w:pPr>
          </w:p>
          <w:p w14:paraId="1DA68510">
            <w:pPr>
              <w:widowControl/>
              <w:spacing w:line="400" w:lineRule="exact"/>
              <w:jc w:val="center"/>
              <w:textAlignment w:val="center"/>
              <w:rPr>
                <w:rFonts w:hint="eastAsia" w:ascii="宋体" w:hAnsi="宋体" w:eastAsia="宋体" w:cs="宋体"/>
                <w:color w:val="auto"/>
                <w:kern w:val="0"/>
                <w:sz w:val="24"/>
                <w:szCs w:val="24"/>
                <w:highlight w:val="none"/>
              </w:rPr>
            </w:pPr>
          </w:p>
          <w:p w14:paraId="688E6965">
            <w:pPr>
              <w:widowControl/>
              <w:spacing w:line="400" w:lineRule="exact"/>
              <w:jc w:val="center"/>
              <w:textAlignment w:val="center"/>
              <w:rPr>
                <w:rFonts w:hint="eastAsia" w:ascii="宋体" w:hAnsi="宋体" w:eastAsia="宋体" w:cs="宋体"/>
                <w:color w:val="auto"/>
                <w:kern w:val="0"/>
                <w:sz w:val="24"/>
                <w:szCs w:val="24"/>
                <w:highlight w:val="none"/>
              </w:rPr>
            </w:pPr>
          </w:p>
          <w:p w14:paraId="358B2D1D">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技术和商务部分（ 70分）</w:t>
            </w:r>
          </w:p>
        </w:tc>
        <w:tc>
          <w:tcPr>
            <w:tcW w:w="1371" w:type="dxa"/>
            <w:tcMar>
              <w:top w:w="15" w:type="dxa"/>
              <w:left w:w="15" w:type="dxa"/>
              <w:right w:w="15" w:type="dxa"/>
            </w:tcMar>
            <w:vAlign w:val="center"/>
          </w:tcPr>
          <w:p w14:paraId="797E80C8">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技术要求</w:t>
            </w:r>
          </w:p>
          <w:p w14:paraId="3703BBA1">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响应评价</w:t>
            </w:r>
          </w:p>
        </w:tc>
        <w:tc>
          <w:tcPr>
            <w:tcW w:w="5954" w:type="dxa"/>
            <w:tcMar>
              <w:top w:w="15" w:type="dxa"/>
              <w:left w:w="15" w:type="dxa"/>
              <w:right w:w="15" w:type="dxa"/>
            </w:tcMar>
            <w:vAlign w:val="center"/>
          </w:tcPr>
          <w:p w14:paraId="24EF77A0">
            <w:pPr>
              <w:widowControl/>
              <w:spacing w:line="400" w:lineRule="exact"/>
              <w:ind w:firstLine="480" w:firstLineChars="200"/>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对照第六章“项目需求”第</w:t>
            </w:r>
            <w:r>
              <w:rPr>
                <w:rFonts w:hint="eastAsia" w:ascii="宋体" w:hAnsi="宋体" w:cs="宋体"/>
                <w:color w:val="auto"/>
                <w:kern w:val="0"/>
                <w:sz w:val="24"/>
                <w:szCs w:val="24"/>
                <w:highlight w:val="none"/>
                <w:lang w:val="en-US" w:eastAsia="zh-CN"/>
              </w:rPr>
              <w:t>十一</w:t>
            </w:r>
            <w:r>
              <w:rPr>
                <w:rFonts w:hint="eastAsia" w:ascii="宋体" w:hAnsi="宋体" w:eastAsia="宋体" w:cs="宋体"/>
                <w:color w:val="auto"/>
                <w:kern w:val="0"/>
                <w:sz w:val="24"/>
                <w:szCs w:val="24"/>
                <w:highlight w:val="none"/>
                <w:lang w:val="en-US" w:eastAsia="zh-CN"/>
              </w:rPr>
              <w:t>包的技术参数（</w:t>
            </w:r>
            <w:r>
              <w:rPr>
                <w:rFonts w:hint="eastAsia" w:ascii="宋体" w:hAnsi="宋体" w:eastAsia="宋体" w:cs="宋体"/>
                <w:color w:val="auto"/>
                <w:kern w:val="0"/>
                <w:sz w:val="24"/>
                <w:szCs w:val="24"/>
                <w:highlight w:val="none"/>
              </w:rPr>
              <w:t>每条技术参数前标注“★”的为核心技术参数，标注“▲”的为主要技术参数，未标注的为一般</w:t>
            </w:r>
            <w:r>
              <w:rPr>
                <w:rFonts w:hint="eastAsia" w:ascii="宋体" w:hAnsi="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参数</w:t>
            </w:r>
            <w:r>
              <w:rPr>
                <w:rFonts w:hint="eastAsia" w:ascii="宋体" w:hAnsi="宋体" w:eastAsia="宋体" w:cs="宋体"/>
                <w:color w:val="auto"/>
                <w:kern w:val="0"/>
                <w:sz w:val="24"/>
                <w:szCs w:val="24"/>
                <w:highlight w:val="none"/>
                <w:lang w:val="en-US" w:eastAsia="zh-CN"/>
              </w:rPr>
              <w:t>），根据投标人提供的产品配置及技术性能指标的响应情况进行评审。</w:t>
            </w:r>
          </w:p>
          <w:p w14:paraId="50C8013B">
            <w:pPr>
              <w:widowControl/>
              <w:numPr>
                <w:ilvl w:val="0"/>
                <w:numId w:val="0"/>
              </w:numPr>
              <w:spacing w:line="400" w:lineRule="exact"/>
              <w:ind w:firstLine="480" w:firstLineChars="200"/>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.投标人所投产品技术参数完全响应招标文件要求的，得32分；</w:t>
            </w:r>
          </w:p>
          <w:p w14:paraId="0BE89614">
            <w:pPr>
              <w:widowControl/>
              <w:numPr>
                <w:ilvl w:val="0"/>
                <w:numId w:val="0"/>
              </w:numPr>
              <w:spacing w:line="400" w:lineRule="exact"/>
              <w:ind w:firstLine="480" w:firstLineChars="200"/>
              <w:textAlignment w:val="center"/>
              <w:rPr>
                <w:rFonts w:hint="eastAsia"/>
                <w:color w:val="auto"/>
                <w:highlight w:val="none"/>
                <w:lang w:val="en-US" w:eastAsia="zh-CN"/>
              </w:rPr>
            </w:pPr>
            <w:r>
              <w:rPr>
                <w:rFonts w:hint="eastAsia" w:ascii="宋体" w:hAnsi="宋体" w:eastAsia="宋体" w:cs="宋体"/>
                <w:color w:val="auto"/>
                <w:kern w:val="2"/>
                <w:sz w:val="24"/>
                <w:szCs w:val="24"/>
                <w:highlight w:val="none"/>
                <w:lang w:val="en-US" w:eastAsia="zh-CN" w:bidi="ar-SA"/>
              </w:rPr>
              <w:t>2.核心技术参数只要有一条存在负偏离的（</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 xml:space="preserve">条），本项不得分； </w:t>
            </w:r>
            <w:r>
              <w:rPr>
                <w:rFonts w:hint="eastAsia"/>
                <w:color w:val="auto"/>
                <w:highlight w:val="none"/>
                <w:lang w:val="en-US" w:eastAsia="zh-CN"/>
              </w:rPr>
              <w:t xml:space="preserve">  </w:t>
            </w:r>
          </w:p>
          <w:p w14:paraId="209F0674">
            <w:pPr>
              <w:pStyle w:val="31"/>
              <w:keepNext w:val="0"/>
              <w:keepLines w:val="0"/>
              <w:pageBreakBefore w:val="0"/>
              <w:widowControl w:val="0"/>
              <w:kinsoku/>
              <w:wordWrap/>
              <w:overflowPunct/>
              <w:topLinePunct w:val="0"/>
              <w:autoSpaceDE/>
              <w:autoSpaceDN/>
              <w:bidi w:val="0"/>
              <w:adjustRightInd/>
              <w:snapToGrid w:val="0"/>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.主要技术参数存在负偏离的（</w:t>
            </w:r>
            <w:r>
              <w:rPr>
                <w:rFonts w:hint="eastAsia" w:ascii="宋体" w:hAnsi="宋体" w:cs="宋体"/>
                <w:b w:val="0"/>
                <w:bCs w:val="0"/>
                <w:color w:val="auto"/>
                <w:kern w:val="2"/>
                <w:sz w:val="24"/>
                <w:szCs w:val="24"/>
                <w:highlight w:val="none"/>
                <w:lang w:val="en-US" w:eastAsia="zh-CN" w:bidi="ar-SA"/>
              </w:rPr>
              <w:t>7</w:t>
            </w:r>
            <w:r>
              <w:rPr>
                <w:rFonts w:hint="eastAsia" w:ascii="宋体" w:hAnsi="宋体" w:eastAsia="宋体" w:cs="宋体"/>
                <w:b w:val="0"/>
                <w:bCs w:val="0"/>
                <w:color w:val="auto"/>
                <w:kern w:val="2"/>
                <w:sz w:val="24"/>
                <w:szCs w:val="24"/>
                <w:highlight w:val="none"/>
                <w:lang w:val="en-US" w:eastAsia="zh-CN" w:bidi="ar-SA"/>
              </w:rPr>
              <w:t>条），每一条扣</w:t>
            </w:r>
            <w:r>
              <w:rPr>
                <w:rFonts w:hint="eastAsia" w:ascii="宋体" w:hAnsi="宋体" w:cs="宋体"/>
                <w:b w:val="0"/>
                <w:bCs w:val="0"/>
                <w:color w:val="auto"/>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分，最多扣</w:t>
            </w:r>
            <w:r>
              <w:rPr>
                <w:rFonts w:hint="eastAsia" w:ascii="宋体" w:hAnsi="宋体" w:cs="宋体"/>
                <w:b w:val="0"/>
                <w:bCs w:val="0"/>
                <w:color w:val="auto"/>
                <w:kern w:val="2"/>
                <w:sz w:val="24"/>
                <w:szCs w:val="24"/>
                <w:highlight w:val="none"/>
                <w:lang w:val="en-US" w:eastAsia="zh-CN" w:bidi="ar-SA"/>
              </w:rPr>
              <w:t>14分</w:t>
            </w:r>
            <w:r>
              <w:rPr>
                <w:rFonts w:hint="eastAsia" w:ascii="宋体" w:hAnsi="宋体" w:eastAsia="宋体" w:cs="宋体"/>
                <w:b w:val="0"/>
                <w:bCs w:val="0"/>
                <w:color w:val="auto"/>
                <w:kern w:val="2"/>
                <w:sz w:val="24"/>
                <w:szCs w:val="24"/>
                <w:highlight w:val="none"/>
                <w:lang w:val="en-US" w:eastAsia="zh-CN" w:bidi="ar-SA"/>
              </w:rPr>
              <w:t>；</w:t>
            </w:r>
          </w:p>
          <w:p w14:paraId="7585C585">
            <w:pPr>
              <w:pStyle w:val="31"/>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0"/>
                <w:sz w:val="24"/>
                <w:szCs w:val="24"/>
                <w:highlight w:val="none"/>
                <w:lang w:val="en-US" w:eastAsia="zh-CN"/>
              </w:rPr>
              <w:t>一般技术参数存在负偏离的（</w:t>
            </w:r>
            <w:r>
              <w:rPr>
                <w:rFonts w:hint="eastAsia" w:ascii="宋体" w:hAnsi="宋体" w:cs="宋体"/>
                <w:b w:val="0"/>
                <w:bCs w:val="0"/>
                <w:color w:val="auto"/>
                <w:kern w:val="0"/>
                <w:sz w:val="24"/>
                <w:szCs w:val="24"/>
                <w:highlight w:val="none"/>
                <w:lang w:val="en-US" w:eastAsia="zh-CN"/>
              </w:rPr>
              <w:t>21</w:t>
            </w:r>
            <w:r>
              <w:rPr>
                <w:rFonts w:hint="eastAsia" w:ascii="宋体" w:hAnsi="宋体" w:eastAsia="宋体" w:cs="宋体"/>
                <w:b w:val="0"/>
                <w:bCs w:val="0"/>
                <w:color w:val="auto"/>
                <w:kern w:val="0"/>
                <w:sz w:val="24"/>
                <w:szCs w:val="24"/>
                <w:highlight w:val="none"/>
                <w:lang w:val="en-US" w:eastAsia="zh-CN"/>
              </w:rPr>
              <w:t>条）</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每一条扣</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分，最多扣</w:t>
            </w:r>
            <w:r>
              <w:rPr>
                <w:rFonts w:hint="eastAsia" w:ascii="宋体" w:hAnsi="宋体" w:cs="宋体"/>
                <w:b w:val="0"/>
                <w:bCs w:val="0"/>
                <w:color w:val="auto"/>
                <w:kern w:val="2"/>
                <w:sz w:val="24"/>
                <w:szCs w:val="24"/>
                <w:highlight w:val="none"/>
                <w:lang w:val="en-US" w:eastAsia="zh-CN" w:bidi="ar-SA"/>
              </w:rPr>
              <w:t>18</w:t>
            </w:r>
            <w:r>
              <w:rPr>
                <w:rFonts w:hint="eastAsia" w:ascii="宋体" w:hAnsi="宋体" w:eastAsia="宋体" w:cs="宋体"/>
                <w:b w:val="0"/>
                <w:bCs w:val="0"/>
                <w:color w:val="auto"/>
                <w:kern w:val="2"/>
                <w:sz w:val="24"/>
                <w:szCs w:val="24"/>
                <w:highlight w:val="none"/>
                <w:lang w:val="en-US" w:eastAsia="zh-CN" w:bidi="ar-SA"/>
              </w:rPr>
              <w:t>分。</w:t>
            </w:r>
          </w:p>
          <w:p w14:paraId="6025EC06">
            <w:pPr>
              <w:widowControl/>
              <w:spacing w:line="400" w:lineRule="exact"/>
              <w:ind w:firstLine="482" w:firstLineChars="200"/>
              <w:textAlignment w:val="center"/>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eastAsia="zh-CN"/>
              </w:rPr>
              <w:t>注：负偏离评审依据：</w:t>
            </w:r>
            <w:r>
              <w:rPr>
                <w:rFonts w:hint="eastAsia" w:ascii="宋体" w:hAnsi="宋体" w:eastAsia="宋体" w:cs="宋体"/>
                <w:b/>
                <w:bCs/>
                <w:color w:val="auto"/>
                <w:sz w:val="24"/>
                <w:szCs w:val="24"/>
                <w:highlight w:val="none"/>
                <w:lang w:val="en-US" w:eastAsia="zh-CN"/>
              </w:rPr>
              <w:t>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w:t>
            </w:r>
            <w:r>
              <w:rPr>
                <w:rFonts w:hint="eastAsia"/>
                <w:b/>
                <w:bCs/>
                <w:color w:val="auto"/>
                <w:sz w:val="24"/>
                <w:szCs w:val="24"/>
                <w:highlight w:val="none"/>
              </w:rPr>
              <w:t>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14:paraId="5379024D">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2</w:t>
            </w:r>
          </w:p>
        </w:tc>
      </w:tr>
      <w:tr w14:paraId="46364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14:paraId="53B3306E">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25885044">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业绩证明</w:t>
            </w:r>
          </w:p>
        </w:tc>
        <w:tc>
          <w:tcPr>
            <w:tcW w:w="5954" w:type="dxa"/>
            <w:tcMar>
              <w:top w:w="15" w:type="dxa"/>
              <w:left w:w="15" w:type="dxa"/>
              <w:right w:w="15" w:type="dxa"/>
            </w:tcMar>
            <w:vAlign w:val="center"/>
          </w:tcPr>
          <w:p w14:paraId="440475D4">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供应商近三年内（</w:t>
            </w:r>
            <w:r>
              <w:rPr>
                <w:rFonts w:hint="eastAsia" w:ascii="宋体" w:hAnsi="宋体" w:eastAsia="宋体" w:cs="宋体"/>
                <w:color w:val="auto"/>
                <w:sz w:val="24"/>
                <w:szCs w:val="24"/>
                <w:highlight w:val="none"/>
                <w:lang w:val="en-US" w:eastAsia="zh-CN"/>
              </w:rPr>
              <w:t>2021</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日起至今，以合同签订日期为准）完成类似项目的业绩，每个项目业绩得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分，最多得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p>
          <w:p w14:paraId="0CDEF1EA">
            <w:pPr>
              <w:widowControl/>
              <w:spacing w:line="400" w:lineRule="exact"/>
              <w:ind w:firstLine="482" w:firstLineChars="200"/>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14:paraId="3ED7585B">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r>
      <w:tr w14:paraId="2C265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14:paraId="0A4A581F">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74E8FCFF">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项目组织</w:t>
            </w:r>
          </w:p>
          <w:p w14:paraId="6E5B1927">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方案评价</w:t>
            </w:r>
          </w:p>
        </w:tc>
        <w:tc>
          <w:tcPr>
            <w:tcW w:w="5954" w:type="dxa"/>
            <w:tcMar>
              <w:top w:w="15" w:type="dxa"/>
              <w:left w:w="15" w:type="dxa"/>
              <w:right w:w="15" w:type="dxa"/>
            </w:tcMar>
            <w:vAlign w:val="center"/>
          </w:tcPr>
          <w:p w14:paraId="4C9FF630">
            <w:pPr>
              <w:snapToGrid w:val="0"/>
              <w:spacing w:line="40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w:t>
            </w:r>
            <w:r>
              <w:rPr>
                <w:rFonts w:hint="eastAsia" w:ascii="宋体" w:hAnsi="宋体" w:eastAsia="宋体" w:cs="宋体"/>
                <w:color w:val="auto"/>
                <w:sz w:val="24"/>
                <w:szCs w:val="24"/>
                <w:highlight w:val="none"/>
              </w:rPr>
              <w:t>项目组织方案</w:t>
            </w:r>
            <w:r>
              <w:rPr>
                <w:rFonts w:hint="eastAsia" w:ascii="宋体" w:hAnsi="宋体" w:eastAsia="宋体" w:cs="宋体"/>
                <w:color w:val="auto"/>
                <w:sz w:val="24"/>
                <w:szCs w:val="24"/>
                <w:highlight w:val="none"/>
                <w:lang w:eastAsia="zh-CN"/>
              </w:rPr>
              <w:t>进行评分：</w:t>
            </w:r>
          </w:p>
          <w:p w14:paraId="2E3DA87F">
            <w:pPr>
              <w:widowControl/>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项目组织方案</w:t>
            </w:r>
            <w:r>
              <w:rPr>
                <w:rFonts w:hint="eastAsia" w:ascii="宋体" w:hAnsi="宋体" w:eastAsia="宋体" w:cs="宋体"/>
                <w:b w:val="0"/>
                <w:bCs w:val="0"/>
                <w:color w:val="auto"/>
                <w:sz w:val="24"/>
                <w:szCs w:val="24"/>
                <w:highlight w:val="none"/>
              </w:rPr>
              <w:t>包括但不限于：</w:t>
            </w:r>
            <w:r>
              <w:rPr>
                <w:rFonts w:hint="eastAsia" w:ascii="宋体" w:hAnsi="宋体" w:eastAsia="宋体" w:cs="宋体"/>
                <w:b w:val="0"/>
                <w:bCs w:val="0"/>
                <w:color w:val="auto"/>
                <w:sz w:val="24"/>
                <w:szCs w:val="24"/>
                <w:highlight w:val="none"/>
                <w:lang w:eastAsia="zh-CN"/>
              </w:rPr>
              <w:t>①</w:t>
            </w:r>
            <w:r>
              <w:rPr>
                <w:rFonts w:hint="eastAsia" w:ascii="宋体" w:hAnsi="宋体" w:eastAsia="宋体" w:cs="宋体"/>
                <w:b w:val="0"/>
                <w:bCs w:val="0"/>
                <w:color w:val="auto"/>
                <w:sz w:val="24"/>
                <w:szCs w:val="24"/>
                <w:highlight w:val="none"/>
              </w:rPr>
              <w:t>项目人员安排（包含但不限于主要人员名单及基本情况介绍、在本项目中承担的职责等）、</w:t>
            </w:r>
            <w:r>
              <w:rPr>
                <w:rFonts w:hint="eastAsia" w:ascii="宋体" w:hAnsi="宋体" w:eastAsia="宋体" w:cs="宋体"/>
                <w:b w:val="0"/>
                <w:bCs w:val="0"/>
                <w:color w:val="auto"/>
                <w:sz w:val="24"/>
                <w:szCs w:val="24"/>
                <w:highlight w:val="none"/>
                <w:lang w:eastAsia="zh-CN"/>
              </w:rPr>
              <w:t>②</w:t>
            </w:r>
            <w:r>
              <w:rPr>
                <w:rFonts w:hint="eastAsia" w:ascii="宋体" w:hAnsi="宋体" w:eastAsia="宋体" w:cs="宋体"/>
                <w:b w:val="0"/>
                <w:bCs w:val="0"/>
                <w:color w:val="auto"/>
                <w:sz w:val="24"/>
                <w:szCs w:val="24"/>
                <w:highlight w:val="none"/>
              </w:rPr>
              <w:t>供货方案（包含但不限于产品来源、供货计划、供货时间、包装和运输方式等）、</w:t>
            </w:r>
            <w:r>
              <w:rPr>
                <w:rFonts w:hint="eastAsia" w:ascii="宋体" w:hAnsi="宋体" w:eastAsia="宋体" w:cs="宋体"/>
                <w:b w:val="0"/>
                <w:bCs w:val="0"/>
                <w:color w:val="auto"/>
                <w:sz w:val="24"/>
                <w:szCs w:val="24"/>
                <w:highlight w:val="none"/>
                <w:lang w:eastAsia="zh-CN"/>
              </w:rPr>
              <w:t>③</w:t>
            </w:r>
            <w:r>
              <w:rPr>
                <w:rFonts w:hint="eastAsia" w:ascii="宋体" w:hAnsi="宋体" w:eastAsia="宋体" w:cs="宋体"/>
                <w:b w:val="0"/>
                <w:bCs w:val="0"/>
                <w:color w:val="auto"/>
                <w:sz w:val="24"/>
                <w:szCs w:val="24"/>
                <w:highlight w:val="none"/>
              </w:rPr>
              <w:t>质量管控方案（包括但不限于质量管控的标准、方法和程序等）、</w:t>
            </w:r>
            <w:r>
              <w:rPr>
                <w:rFonts w:hint="eastAsia" w:ascii="宋体" w:hAnsi="宋体" w:eastAsia="宋体" w:cs="宋体"/>
                <w:b w:val="0"/>
                <w:bCs w:val="0"/>
                <w:color w:val="auto"/>
                <w:sz w:val="24"/>
                <w:szCs w:val="24"/>
                <w:highlight w:val="none"/>
                <w:lang w:eastAsia="zh-CN"/>
              </w:rPr>
              <w:t>④</w:t>
            </w:r>
            <w:r>
              <w:rPr>
                <w:rFonts w:hint="eastAsia" w:ascii="宋体" w:hAnsi="宋体" w:eastAsia="宋体" w:cs="宋体"/>
                <w:b w:val="0"/>
                <w:bCs w:val="0"/>
                <w:color w:val="auto"/>
                <w:sz w:val="24"/>
                <w:szCs w:val="24"/>
                <w:highlight w:val="none"/>
              </w:rPr>
              <w:t>测试（调试）方案（包含但不限于人员安排、测试步骤、测试标准等）等4项内容，方案内容完整齐全，符合项目实际（第六章“项目需求”）的，得</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分；每缺少一项方案内容，或一项内容存在缺陷的，每一项扣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分，扣完为止；未提供</w:t>
            </w:r>
            <w:r>
              <w:rPr>
                <w:rFonts w:hint="eastAsia" w:ascii="宋体" w:hAnsi="宋体" w:eastAsia="宋体" w:cs="宋体"/>
                <w:color w:val="auto"/>
                <w:sz w:val="24"/>
                <w:szCs w:val="24"/>
                <w:highlight w:val="none"/>
              </w:rPr>
              <w:t>项目组织方案</w:t>
            </w:r>
            <w:r>
              <w:rPr>
                <w:rFonts w:hint="eastAsia" w:ascii="宋体" w:hAnsi="宋体" w:eastAsia="宋体" w:cs="宋体"/>
                <w:b w:val="0"/>
                <w:bCs w:val="0"/>
                <w:color w:val="auto"/>
                <w:sz w:val="24"/>
                <w:szCs w:val="24"/>
                <w:highlight w:val="none"/>
              </w:rPr>
              <w:t>的，此项不得分。</w:t>
            </w:r>
          </w:p>
          <w:p w14:paraId="06E9F775">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1753CB78">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p>
        </w:tc>
      </w:tr>
      <w:tr w14:paraId="723D2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14:paraId="03B26810">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Mar>
              <w:top w:w="15" w:type="dxa"/>
              <w:left w:w="15" w:type="dxa"/>
              <w:right w:w="15" w:type="dxa"/>
            </w:tcMar>
            <w:vAlign w:val="center"/>
          </w:tcPr>
          <w:p w14:paraId="576DA95E">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技术培训</w:t>
            </w:r>
          </w:p>
          <w:p w14:paraId="4C12FA00">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方案评价</w:t>
            </w:r>
          </w:p>
        </w:tc>
        <w:tc>
          <w:tcPr>
            <w:tcW w:w="5954" w:type="dxa"/>
            <w:tcMar>
              <w:top w:w="15" w:type="dxa"/>
              <w:left w:w="15" w:type="dxa"/>
              <w:right w:w="15" w:type="dxa"/>
            </w:tcMar>
            <w:vAlign w:val="center"/>
          </w:tcPr>
          <w:p w14:paraId="44311106">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w:t>
            </w: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eastAsia="zh-CN"/>
              </w:rPr>
              <w:t>培训方案进行评分：</w:t>
            </w:r>
          </w:p>
          <w:p w14:paraId="1F585A16">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eastAsia="zh-CN"/>
              </w:rPr>
              <w:t>培训方案包括但不限于</w:t>
            </w:r>
            <w:r>
              <w:rPr>
                <w:rFonts w:hint="eastAsia" w:ascii="宋体" w:hAnsi="宋体" w:eastAsia="宋体" w:cs="宋体"/>
                <w:color w:val="auto"/>
                <w:sz w:val="24"/>
                <w:szCs w:val="24"/>
                <w:highlight w:val="none"/>
                <w:lang w:val="en-US" w:eastAsia="zh-CN"/>
              </w:rPr>
              <w:t>培训内容、培训方式、培训计划、培训团队人员配置</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lang w:val="en-US" w:eastAsia="zh-CN"/>
              </w:rPr>
              <w:t>4项内容，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分；每缺少一项方案内容，或一项内容存在缺陷的，每一项扣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分，扣完为止；未提供</w:t>
            </w: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eastAsia="zh-CN"/>
              </w:rPr>
              <w:t>培训方案</w:t>
            </w:r>
            <w:r>
              <w:rPr>
                <w:rFonts w:hint="eastAsia" w:ascii="宋体" w:hAnsi="宋体" w:eastAsia="宋体" w:cs="宋体"/>
                <w:color w:val="auto"/>
                <w:sz w:val="24"/>
                <w:szCs w:val="24"/>
                <w:highlight w:val="none"/>
                <w:lang w:val="en-US" w:eastAsia="zh-CN"/>
              </w:rPr>
              <w:t>的，此项不得分。</w:t>
            </w:r>
          </w:p>
          <w:p w14:paraId="58CB4CCD">
            <w:pPr>
              <w:snapToGrid w:val="0"/>
              <w:spacing w:line="400" w:lineRule="exact"/>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7241119B">
            <w:pPr>
              <w:widowControl/>
              <w:spacing w:line="400" w:lineRule="exact"/>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618AA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14:paraId="6166F06B">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7108C82A">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售后服务</w:t>
            </w:r>
          </w:p>
          <w:p w14:paraId="77C668FF">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方案评价</w:t>
            </w:r>
          </w:p>
        </w:tc>
        <w:tc>
          <w:tcPr>
            <w:tcW w:w="5954" w:type="dxa"/>
            <w:tcMar>
              <w:top w:w="15" w:type="dxa"/>
              <w:left w:w="15" w:type="dxa"/>
              <w:right w:w="15" w:type="dxa"/>
            </w:tcMar>
            <w:vAlign w:val="center"/>
          </w:tcPr>
          <w:p w14:paraId="3DDE2585">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根据供应商提供的售后服务方案进行评分：</w:t>
            </w:r>
          </w:p>
          <w:p w14:paraId="2AFAC44D">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售后服务方案包括但不限于</w:t>
            </w:r>
            <w:r>
              <w:rPr>
                <w:rFonts w:hint="eastAsia" w:ascii="宋体" w:hAnsi="宋体" w:eastAsia="宋体" w:cs="宋体"/>
                <w:color w:val="auto"/>
                <w:sz w:val="24"/>
                <w:szCs w:val="24"/>
                <w:highlight w:val="none"/>
                <w:lang w:val="en-US" w:eastAsia="zh-CN"/>
              </w:rPr>
              <w:t>售后服务承诺、备件（易耗品）供应方案（含备件价格）、服务人员配备</w:t>
            </w:r>
            <w:r>
              <w:rPr>
                <w:rFonts w:hint="eastAsia" w:ascii="宋体" w:hAnsi="宋体" w:cs="宋体"/>
                <w:color w:val="auto"/>
                <w:sz w:val="24"/>
                <w:szCs w:val="24"/>
                <w:highlight w:val="none"/>
                <w:lang w:val="en-US" w:eastAsia="zh-CN"/>
              </w:rPr>
              <w:t>及服务响应方案</w:t>
            </w:r>
            <w:r>
              <w:rPr>
                <w:rFonts w:hint="eastAsia" w:ascii="宋体" w:hAnsi="宋体" w:eastAsia="宋体" w:cs="宋体"/>
                <w:color w:val="auto"/>
                <w:sz w:val="24"/>
                <w:szCs w:val="24"/>
                <w:highlight w:val="none"/>
                <w:lang w:val="en-US" w:eastAsia="zh-CN"/>
              </w:rPr>
              <w:t>、故障响应措施、质保外服务措施</w:t>
            </w:r>
            <w:r>
              <w:rPr>
                <w:rFonts w:hint="eastAsia" w:ascii="宋体" w:hAnsi="宋体" w:eastAsia="宋体" w:cs="宋体"/>
                <w:color w:val="auto"/>
                <w:sz w:val="24"/>
                <w:szCs w:val="24"/>
                <w:highlight w:val="none"/>
                <w:lang w:eastAsia="zh-CN"/>
              </w:rPr>
              <w:t>等</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分；每缺少一项方案内容，或一项内容存在缺陷的，每一项扣2分，扣完为止；未提供</w:t>
            </w:r>
            <w:r>
              <w:rPr>
                <w:rFonts w:hint="eastAsia" w:ascii="宋体" w:hAnsi="宋体" w:eastAsia="宋体" w:cs="宋体"/>
                <w:color w:val="auto"/>
                <w:sz w:val="24"/>
                <w:szCs w:val="24"/>
                <w:highlight w:val="none"/>
                <w:lang w:eastAsia="zh-CN"/>
              </w:rPr>
              <w:t>售后服务方案</w:t>
            </w:r>
            <w:r>
              <w:rPr>
                <w:rFonts w:hint="eastAsia" w:ascii="宋体" w:hAnsi="宋体" w:eastAsia="宋体" w:cs="宋体"/>
                <w:color w:val="auto"/>
                <w:sz w:val="24"/>
                <w:szCs w:val="24"/>
                <w:highlight w:val="none"/>
                <w:lang w:val="en-US" w:eastAsia="zh-CN"/>
              </w:rPr>
              <w:t>的，此项不得分。</w:t>
            </w:r>
          </w:p>
          <w:p w14:paraId="1FC90048">
            <w:pPr>
              <w:snapToGrid w:val="0"/>
              <w:spacing w:line="40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09995852">
            <w:pPr>
              <w:snapToGri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p>
        </w:tc>
      </w:tr>
      <w:tr w14:paraId="4CFE7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14:paraId="4A73051E">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52A6643E">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hAnsi="宋体" w:cs="宋体"/>
                <w:color w:val="auto"/>
                <w:sz w:val="24"/>
                <w:szCs w:val="24"/>
                <w:highlight w:val="none"/>
              </w:rPr>
              <w:t>投标样品评价</w:t>
            </w:r>
          </w:p>
        </w:tc>
        <w:tc>
          <w:tcPr>
            <w:tcW w:w="5954" w:type="dxa"/>
            <w:tcMar>
              <w:top w:w="15" w:type="dxa"/>
              <w:left w:w="15" w:type="dxa"/>
              <w:right w:w="15" w:type="dxa"/>
            </w:tcMar>
            <w:vAlign w:val="center"/>
          </w:tcPr>
          <w:p w14:paraId="33C175DA">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14:paraId="5DC1D4D4">
            <w:pPr>
              <w:spacing w:line="400" w:lineRule="exact"/>
              <w:ind w:firstLine="480" w:firstLineChars="200"/>
              <w:jc w:val="left"/>
              <w:rPr>
                <w:color w:val="auto"/>
                <w:sz w:val="24"/>
                <w:szCs w:val="24"/>
                <w:highlight w:val="none"/>
              </w:rPr>
            </w:pPr>
            <w:r>
              <w:rPr>
                <w:rFonts w:hint="eastAsia"/>
                <w:color w:val="auto"/>
                <w:sz w:val="24"/>
                <w:szCs w:val="24"/>
                <w:highlight w:val="none"/>
              </w:rPr>
              <w:t>根据投标人提供样品的整体性能进行评审：1.</w:t>
            </w:r>
            <w:r>
              <w:rPr>
                <w:rFonts w:hint="eastAsia"/>
                <w:color w:val="auto"/>
                <w:sz w:val="24"/>
                <w:szCs w:val="24"/>
                <w:highlight w:val="none"/>
                <w:lang w:val="en-US" w:eastAsia="zh-CN"/>
              </w:rPr>
              <w:t>使用材质</w:t>
            </w:r>
            <w:r>
              <w:rPr>
                <w:rFonts w:hint="eastAsia"/>
                <w:color w:val="auto"/>
                <w:sz w:val="24"/>
                <w:szCs w:val="24"/>
                <w:highlight w:val="none"/>
              </w:rPr>
              <w:t>；2.制作工艺水平；3.</w:t>
            </w:r>
            <w:r>
              <w:rPr>
                <w:rFonts w:hint="eastAsia"/>
                <w:color w:val="auto"/>
                <w:sz w:val="24"/>
                <w:szCs w:val="24"/>
                <w:highlight w:val="none"/>
                <w:lang w:val="en-US" w:eastAsia="zh-CN"/>
              </w:rPr>
              <w:t>无操作安全隐患或</w:t>
            </w:r>
            <w:r>
              <w:rPr>
                <w:rFonts w:hint="eastAsia"/>
                <w:color w:val="auto"/>
                <w:sz w:val="24"/>
                <w:szCs w:val="24"/>
                <w:highlight w:val="none"/>
              </w:rPr>
              <w:t>影响使用性能的安全隐患；4.功能实用性能强，贴合灭火救援实战需要。各项性能完备的得</w:t>
            </w:r>
            <w:r>
              <w:rPr>
                <w:rFonts w:hint="eastAsia"/>
                <w:color w:val="auto"/>
                <w:sz w:val="24"/>
                <w:szCs w:val="24"/>
                <w:highlight w:val="none"/>
                <w:lang w:val="en-US" w:eastAsia="zh-CN"/>
              </w:rPr>
              <w:t>8</w:t>
            </w:r>
            <w:r>
              <w:rPr>
                <w:rFonts w:hint="eastAsia"/>
                <w:color w:val="auto"/>
                <w:sz w:val="24"/>
                <w:szCs w:val="24"/>
                <w:highlight w:val="none"/>
              </w:rPr>
              <w:t>分，每有一项存在瑕疵或不符合采购人使用需求的，扣</w:t>
            </w:r>
            <w:r>
              <w:rPr>
                <w:rFonts w:hint="eastAsia"/>
                <w:color w:val="auto"/>
                <w:sz w:val="24"/>
                <w:szCs w:val="24"/>
                <w:highlight w:val="none"/>
                <w:lang w:val="en-US" w:eastAsia="zh-CN"/>
              </w:rPr>
              <w:t>2</w:t>
            </w:r>
            <w:r>
              <w:rPr>
                <w:rFonts w:hint="eastAsia"/>
                <w:color w:val="auto"/>
                <w:sz w:val="24"/>
                <w:szCs w:val="24"/>
                <w:highlight w:val="none"/>
              </w:rPr>
              <w:t>分，扣完为止。</w:t>
            </w:r>
          </w:p>
          <w:p w14:paraId="6C115ED1">
            <w:pPr>
              <w:snapToGrid w:val="0"/>
              <w:spacing w:line="400" w:lineRule="exact"/>
              <w:ind w:firstLine="482" w:firstLineChars="200"/>
              <w:rPr>
                <w:rFonts w:hint="eastAsia" w:ascii="宋体" w:hAnsi="宋体" w:eastAsia="宋体" w:cs="宋体"/>
                <w:b/>
                <w:bCs/>
                <w:color w:val="auto"/>
                <w:sz w:val="24"/>
                <w:szCs w:val="24"/>
                <w:highlight w:val="none"/>
                <w:lang w:val="en-US" w:eastAsia="zh-CN"/>
              </w:rPr>
            </w:pPr>
            <w:r>
              <w:rPr>
                <w:rFonts w:hint="eastAsia"/>
                <w:b/>
                <w:bCs/>
                <w:color w:val="auto"/>
                <w:sz w:val="24"/>
                <w:szCs w:val="24"/>
                <w:highlight w:val="none"/>
              </w:rPr>
              <w:t>注：样品由采购代理机构提前编号并作登记，评标委员会采用盲评形式进行评审。</w:t>
            </w:r>
          </w:p>
        </w:tc>
        <w:tc>
          <w:tcPr>
            <w:tcW w:w="687" w:type="dxa"/>
            <w:tcMar>
              <w:top w:w="15" w:type="dxa"/>
              <w:left w:w="15" w:type="dxa"/>
              <w:right w:w="15" w:type="dxa"/>
            </w:tcMar>
            <w:vAlign w:val="center"/>
          </w:tcPr>
          <w:p w14:paraId="36D198A6">
            <w:pPr>
              <w:widowControl/>
              <w:spacing w:line="40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49794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14:paraId="2E47421D">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合计：100分</w:t>
            </w:r>
          </w:p>
        </w:tc>
      </w:tr>
    </w:tbl>
    <w:p w14:paraId="17D5F967">
      <w:pPr>
        <w:pStyle w:val="4"/>
        <w:ind w:left="0" w:leftChars="0" w:firstLine="0" w:firstLineChars="0"/>
        <w:rPr>
          <w:rFonts w:hint="eastAsia" w:asciiTheme="minorEastAsia" w:hAnsiTheme="minorEastAsia" w:eastAsiaTheme="minorEastAsia" w:cstheme="minorEastAsia"/>
          <w:b/>
          <w:bCs/>
          <w:color w:val="auto"/>
          <w:sz w:val="24"/>
          <w:szCs w:val="24"/>
          <w:highlight w:val="none"/>
        </w:rPr>
      </w:pPr>
    </w:p>
    <w:p w14:paraId="7F349E1E">
      <w:pPr>
        <w:pStyle w:val="4"/>
        <w:rPr>
          <w:rFonts w:hint="eastAsia" w:asciiTheme="minorEastAsia" w:hAnsiTheme="minorEastAsia" w:eastAsiaTheme="minorEastAsia" w:cstheme="minorEastAsia"/>
          <w:b/>
          <w:bCs/>
          <w:color w:val="auto"/>
          <w:sz w:val="24"/>
          <w:szCs w:val="24"/>
          <w:highlight w:val="none"/>
        </w:rPr>
      </w:pPr>
    </w:p>
    <w:p w14:paraId="408073FB">
      <w:pPr>
        <w:rPr>
          <w:rFonts w:hint="eastAsia" w:asciiTheme="minorEastAsia" w:hAnsiTheme="minorEastAsia" w:eastAsiaTheme="minorEastAsia" w:cstheme="minorEastAsia"/>
          <w:b/>
          <w:bCs/>
          <w:color w:val="auto"/>
          <w:sz w:val="24"/>
          <w:szCs w:val="24"/>
          <w:highlight w:val="none"/>
        </w:rPr>
      </w:pPr>
    </w:p>
    <w:p w14:paraId="1BB57412">
      <w:pPr>
        <w:pStyle w:val="4"/>
        <w:rPr>
          <w:rFonts w:hint="eastAsia" w:asciiTheme="minorEastAsia" w:hAnsiTheme="minorEastAsia" w:eastAsiaTheme="minorEastAsia" w:cstheme="minorEastAsia"/>
          <w:b/>
          <w:bCs/>
          <w:color w:val="auto"/>
          <w:sz w:val="24"/>
          <w:szCs w:val="24"/>
          <w:highlight w:val="none"/>
        </w:rPr>
      </w:pPr>
    </w:p>
    <w:p w14:paraId="295CA358">
      <w:pPr>
        <w:rPr>
          <w:rFonts w:hint="eastAsia"/>
          <w:color w:val="auto"/>
          <w:highlight w:val="none"/>
        </w:rPr>
      </w:pPr>
    </w:p>
    <w:p w14:paraId="3C345AFC">
      <w:pPr>
        <w:rPr>
          <w:rFonts w:hint="eastAsia" w:asciiTheme="minorEastAsia" w:hAnsiTheme="minorEastAsia" w:eastAsiaTheme="minorEastAsia" w:cstheme="minorEastAsia"/>
          <w:b/>
          <w:bCs/>
          <w:color w:val="auto"/>
          <w:sz w:val="24"/>
          <w:szCs w:val="24"/>
          <w:highlight w:val="none"/>
        </w:rPr>
      </w:pPr>
    </w:p>
    <w:p w14:paraId="5B0FFD66">
      <w:pPr>
        <w:pStyle w:val="4"/>
        <w:rPr>
          <w:rFonts w:hint="eastAsia" w:asciiTheme="minorEastAsia" w:hAnsiTheme="minorEastAsia" w:eastAsiaTheme="minorEastAsia" w:cstheme="minorEastAsia"/>
          <w:b/>
          <w:bCs/>
          <w:color w:val="auto"/>
          <w:sz w:val="24"/>
          <w:szCs w:val="24"/>
          <w:highlight w:val="none"/>
        </w:rPr>
      </w:pPr>
    </w:p>
    <w:p w14:paraId="6AF09310">
      <w:pPr>
        <w:rPr>
          <w:rFonts w:hint="eastAsia" w:asciiTheme="minorEastAsia" w:hAnsiTheme="minorEastAsia" w:eastAsiaTheme="minorEastAsia" w:cstheme="minorEastAsia"/>
          <w:b/>
          <w:bCs/>
          <w:color w:val="auto"/>
          <w:sz w:val="24"/>
          <w:szCs w:val="24"/>
          <w:highlight w:val="none"/>
        </w:rPr>
      </w:pPr>
    </w:p>
    <w:p w14:paraId="5089A06B">
      <w:pPr>
        <w:pStyle w:val="4"/>
        <w:rPr>
          <w:rFonts w:hint="eastAsia" w:asciiTheme="minorEastAsia" w:hAnsiTheme="minorEastAsia" w:eastAsiaTheme="minorEastAsia" w:cstheme="minorEastAsia"/>
          <w:b/>
          <w:bCs/>
          <w:color w:val="auto"/>
          <w:sz w:val="24"/>
          <w:szCs w:val="24"/>
          <w:highlight w:val="none"/>
        </w:rPr>
      </w:pPr>
    </w:p>
    <w:p w14:paraId="4F6BB6FE">
      <w:pPr>
        <w:rPr>
          <w:rFonts w:hint="eastAsia" w:asciiTheme="minorEastAsia" w:hAnsiTheme="minorEastAsia" w:eastAsiaTheme="minorEastAsia" w:cstheme="minorEastAsia"/>
          <w:b/>
          <w:bCs/>
          <w:color w:val="auto"/>
          <w:sz w:val="24"/>
          <w:szCs w:val="24"/>
          <w:highlight w:val="none"/>
        </w:rPr>
      </w:pPr>
    </w:p>
    <w:p w14:paraId="2BEA92B7">
      <w:pPr>
        <w:pStyle w:val="4"/>
        <w:ind w:left="0" w:leftChars="0" w:firstLine="0" w:firstLineChars="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十二</w:t>
      </w:r>
      <w:r>
        <w:rPr>
          <w:rFonts w:hint="eastAsia" w:asciiTheme="minorEastAsia" w:hAnsiTheme="minorEastAsia" w:eastAsiaTheme="minorEastAsia" w:cstheme="minorEastAsia"/>
          <w:b/>
          <w:color w:val="auto"/>
          <w:sz w:val="24"/>
          <w:szCs w:val="24"/>
          <w:highlight w:val="none"/>
        </w:rPr>
        <w:t>包评分标准：</w:t>
      </w:r>
    </w:p>
    <w:tbl>
      <w:tblPr>
        <w:tblStyle w:val="39"/>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14:paraId="123D6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14:paraId="7AC39FE9">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评分因素及权重</w:t>
            </w:r>
          </w:p>
        </w:tc>
        <w:tc>
          <w:tcPr>
            <w:tcW w:w="1371" w:type="dxa"/>
            <w:tcMar>
              <w:top w:w="15" w:type="dxa"/>
              <w:left w:w="15" w:type="dxa"/>
              <w:right w:w="15" w:type="dxa"/>
            </w:tcMar>
            <w:vAlign w:val="center"/>
          </w:tcPr>
          <w:p w14:paraId="28CA63E2">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评标因素</w:t>
            </w:r>
          </w:p>
        </w:tc>
        <w:tc>
          <w:tcPr>
            <w:tcW w:w="5954" w:type="dxa"/>
            <w:tcMar>
              <w:top w:w="15" w:type="dxa"/>
              <w:left w:w="15" w:type="dxa"/>
              <w:right w:w="15" w:type="dxa"/>
            </w:tcMar>
            <w:vAlign w:val="center"/>
          </w:tcPr>
          <w:p w14:paraId="0474F82E">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评分标准</w:t>
            </w:r>
          </w:p>
        </w:tc>
        <w:tc>
          <w:tcPr>
            <w:tcW w:w="687" w:type="dxa"/>
            <w:tcMar>
              <w:top w:w="15" w:type="dxa"/>
              <w:left w:w="15" w:type="dxa"/>
              <w:right w:w="15" w:type="dxa"/>
            </w:tcMar>
            <w:vAlign w:val="center"/>
          </w:tcPr>
          <w:p w14:paraId="2A3DF022">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分值</w:t>
            </w:r>
          </w:p>
        </w:tc>
      </w:tr>
      <w:tr w14:paraId="0DC01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14:paraId="11266BD8">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价格部分（30分）</w:t>
            </w:r>
          </w:p>
        </w:tc>
        <w:tc>
          <w:tcPr>
            <w:tcW w:w="1371" w:type="dxa"/>
            <w:tcMar>
              <w:top w:w="15" w:type="dxa"/>
              <w:left w:w="15" w:type="dxa"/>
              <w:right w:w="15" w:type="dxa"/>
            </w:tcMar>
            <w:vAlign w:val="center"/>
          </w:tcPr>
          <w:p w14:paraId="45AF7A6A">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p>
          <w:p w14:paraId="22CF4A5F">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w:t>
            </w:r>
          </w:p>
        </w:tc>
        <w:tc>
          <w:tcPr>
            <w:tcW w:w="5954" w:type="dxa"/>
            <w:tcMar>
              <w:top w:w="15" w:type="dxa"/>
              <w:left w:w="15" w:type="dxa"/>
              <w:right w:w="15" w:type="dxa"/>
            </w:tcMar>
            <w:vAlign w:val="center"/>
          </w:tcPr>
          <w:p w14:paraId="585C2B70">
            <w:pPr>
              <w:widowControl/>
              <w:spacing w:line="400" w:lineRule="exact"/>
              <w:textAlignment w:val="center"/>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14:paraId="2DA29809">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30</w:t>
            </w:r>
          </w:p>
        </w:tc>
      </w:tr>
      <w:tr w14:paraId="67426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14:paraId="344972DB">
            <w:pPr>
              <w:widowControl/>
              <w:spacing w:line="400" w:lineRule="exact"/>
              <w:jc w:val="center"/>
              <w:textAlignment w:val="center"/>
              <w:rPr>
                <w:rFonts w:hint="eastAsia" w:ascii="宋体" w:hAnsi="宋体" w:eastAsia="宋体" w:cs="宋体"/>
                <w:color w:val="auto"/>
                <w:kern w:val="0"/>
                <w:sz w:val="24"/>
                <w:szCs w:val="24"/>
                <w:highlight w:val="none"/>
              </w:rPr>
            </w:pPr>
          </w:p>
          <w:p w14:paraId="49ECCDA3">
            <w:pPr>
              <w:widowControl/>
              <w:spacing w:line="400" w:lineRule="exact"/>
              <w:jc w:val="center"/>
              <w:textAlignment w:val="center"/>
              <w:rPr>
                <w:rFonts w:hint="eastAsia" w:ascii="宋体" w:hAnsi="宋体" w:eastAsia="宋体" w:cs="宋体"/>
                <w:color w:val="auto"/>
                <w:kern w:val="0"/>
                <w:sz w:val="24"/>
                <w:szCs w:val="24"/>
                <w:highlight w:val="none"/>
              </w:rPr>
            </w:pPr>
          </w:p>
          <w:p w14:paraId="10A7E812">
            <w:pPr>
              <w:widowControl/>
              <w:spacing w:line="400" w:lineRule="exact"/>
              <w:jc w:val="center"/>
              <w:textAlignment w:val="center"/>
              <w:rPr>
                <w:rFonts w:hint="eastAsia" w:ascii="宋体" w:hAnsi="宋体" w:eastAsia="宋体" w:cs="宋体"/>
                <w:color w:val="auto"/>
                <w:kern w:val="0"/>
                <w:sz w:val="24"/>
                <w:szCs w:val="24"/>
                <w:highlight w:val="none"/>
              </w:rPr>
            </w:pPr>
          </w:p>
          <w:p w14:paraId="3CDA966D">
            <w:pPr>
              <w:widowControl/>
              <w:spacing w:line="400" w:lineRule="exact"/>
              <w:jc w:val="center"/>
              <w:textAlignment w:val="center"/>
              <w:rPr>
                <w:rFonts w:hint="eastAsia" w:ascii="宋体" w:hAnsi="宋体" w:eastAsia="宋体" w:cs="宋体"/>
                <w:color w:val="auto"/>
                <w:kern w:val="0"/>
                <w:sz w:val="24"/>
                <w:szCs w:val="24"/>
                <w:highlight w:val="none"/>
              </w:rPr>
            </w:pPr>
          </w:p>
          <w:p w14:paraId="39039DA4">
            <w:pPr>
              <w:widowControl/>
              <w:spacing w:line="400" w:lineRule="exact"/>
              <w:jc w:val="center"/>
              <w:textAlignment w:val="center"/>
              <w:rPr>
                <w:rFonts w:hint="eastAsia" w:ascii="宋体" w:hAnsi="宋体" w:eastAsia="宋体" w:cs="宋体"/>
                <w:color w:val="auto"/>
                <w:kern w:val="0"/>
                <w:sz w:val="24"/>
                <w:szCs w:val="24"/>
                <w:highlight w:val="none"/>
              </w:rPr>
            </w:pPr>
          </w:p>
          <w:p w14:paraId="505C13E1">
            <w:pPr>
              <w:widowControl/>
              <w:spacing w:line="400" w:lineRule="exact"/>
              <w:jc w:val="center"/>
              <w:textAlignment w:val="center"/>
              <w:rPr>
                <w:rFonts w:hint="eastAsia" w:ascii="宋体" w:hAnsi="宋体" w:eastAsia="宋体" w:cs="宋体"/>
                <w:color w:val="auto"/>
                <w:kern w:val="0"/>
                <w:sz w:val="24"/>
                <w:szCs w:val="24"/>
                <w:highlight w:val="none"/>
              </w:rPr>
            </w:pPr>
          </w:p>
          <w:p w14:paraId="66BFCC1D">
            <w:pPr>
              <w:widowControl/>
              <w:spacing w:line="400" w:lineRule="exact"/>
              <w:jc w:val="center"/>
              <w:textAlignment w:val="center"/>
              <w:rPr>
                <w:rFonts w:hint="eastAsia" w:ascii="宋体" w:hAnsi="宋体" w:eastAsia="宋体" w:cs="宋体"/>
                <w:color w:val="auto"/>
                <w:kern w:val="0"/>
                <w:sz w:val="24"/>
                <w:szCs w:val="24"/>
                <w:highlight w:val="none"/>
              </w:rPr>
            </w:pPr>
          </w:p>
          <w:p w14:paraId="46D4687F">
            <w:pPr>
              <w:widowControl/>
              <w:spacing w:line="400" w:lineRule="exact"/>
              <w:jc w:val="center"/>
              <w:textAlignment w:val="center"/>
              <w:rPr>
                <w:rFonts w:hint="eastAsia" w:ascii="宋体" w:hAnsi="宋体" w:eastAsia="宋体" w:cs="宋体"/>
                <w:color w:val="auto"/>
                <w:kern w:val="0"/>
                <w:sz w:val="24"/>
                <w:szCs w:val="24"/>
                <w:highlight w:val="none"/>
              </w:rPr>
            </w:pPr>
          </w:p>
          <w:p w14:paraId="41D0FF2E">
            <w:pPr>
              <w:widowControl/>
              <w:spacing w:line="400" w:lineRule="exact"/>
              <w:jc w:val="center"/>
              <w:textAlignment w:val="center"/>
              <w:rPr>
                <w:rFonts w:hint="eastAsia" w:ascii="宋体" w:hAnsi="宋体" w:eastAsia="宋体" w:cs="宋体"/>
                <w:color w:val="auto"/>
                <w:kern w:val="0"/>
                <w:sz w:val="24"/>
                <w:szCs w:val="24"/>
                <w:highlight w:val="none"/>
              </w:rPr>
            </w:pPr>
          </w:p>
          <w:p w14:paraId="2FC2502C">
            <w:pPr>
              <w:widowControl/>
              <w:spacing w:line="400" w:lineRule="exact"/>
              <w:jc w:val="center"/>
              <w:textAlignment w:val="center"/>
              <w:rPr>
                <w:rFonts w:hint="eastAsia" w:ascii="宋体" w:hAnsi="宋体" w:eastAsia="宋体" w:cs="宋体"/>
                <w:color w:val="auto"/>
                <w:kern w:val="0"/>
                <w:sz w:val="24"/>
                <w:szCs w:val="24"/>
                <w:highlight w:val="none"/>
              </w:rPr>
            </w:pPr>
          </w:p>
          <w:p w14:paraId="3D2EA0FD">
            <w:pPr>
              <w:widowControl/>
              <w:spacing w:line="400" w:lineRule="exact"/>
              <w:jc w:val="center"/>
              <w:textAlignment w:val="center"/>
              <w:rPr>
                <w:rFonts w:hint="eastAsia" w:ascii="宋体" w:hAnsi="宋体" w:eastAsia="宋体" w:cs="宋体"/>
                <w:color w:val="auto"/>
                <w:kern w:val="0"/>
                <w:sz w:val="24"/>
                <w:szCs w:val="24"/>
                <w:highlight w:val="none"/>
              </w:rPr>
            </w:pPr>
          </w:p>
          <w:p w14:paraId="790E0491">
            <w:pPr>
              <w:widowControl/>
              <w:spacing w:line="400" w:lineRule="exact"/>
              <w:jc w:val="center"/>
              <w:textAlignment w:val="center"/>
              <w:rPr>
                <w:rFonts w:hint="eastAsia" w:ascii="宋体" w:hAnsi="宋体" w:eastAsia="宋体" w:cs="宋体"/>
                <w:color w:val="auto"/>
                <w:kern w:val="0"/>
                <w:sz w:val="24"/>
                <w:szCs w:val="24"/>
                <w:highlight w:val="none"/>
              </w:rPr>
            </w:pPr>
          </w:p>
          <w:p w14:paraId="4DC39B87">
            <w:pPr>
              <w:widowControl/>
              <w:spacing w:line="400" w:lineRule="exact"/>
              <w:jc w:val="center"/>
              <w:textAlignment w:val="center"/>
              <w:rPr>
                <w:rFonts w:hint="eastAsia" w:ascii="宋体" w:hAnsi="宋体" w:eastAsia="宋体" w:cs="宋体"/>
                <w:color w:val="auto"/>
                <w:kern w:val="0"/>
                <w:sz w:val="24"/>
                <w:szCs w:val="24"/>
                <w:highlight w:val="none"/>
              </w:rPr>
            </w:pPr>
          </w:p>
          <w:p w14:paraId="4EC4ADC0">
            <w:pPr>
              <w:widowControl/>
              <w:spacing w:line="400" w:lineRule="exact"/>
              <w:jc w:val="center"/>
              <w:textAlignment w:val="center"/>
              <w:rPr>
                <w:rFonts w:hint="eastAsia" w:ascii="宋体" w:hAnsi="宋体" w:eastAsia="宋体" w:cs="宋体"/>
                <w:color w:val="auto"/>
                <w:kern w:val="0"/>
                <w:sz w:val="24"/>
                <w:szCs w:val="24"/>
                <w:highlight w:val="none"/>
              </w:rPr>
            </w:pPr>
          </w:p>
          <w:p w14:paraId="6B936F08">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技术和商务部分（ 70分）</w:t>
            </w:r>
          </w:p>
        </w:tc>
        <w:tc>
          <w:tcPr>
            <w:tcW w:w="1371" w:type="dxa"/>
            <w:tcMar>
              <w:top w:w="15" w:type="dxa"/>
              <w:left w:w="15" w:type="dxa"/>
              <w:right w:w="15" w:type="dxa"/>
            </w:tcMar>
            <w:vAlign w:val="center"/>
          </w:tcPr>
          <w:p w14:paraId="2DB13DBE">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技术要求</w:t>
            </w:r>
          </w:p>
          <w:p w14:paraId="01246100">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响应评价</w:t>
            </w:r>
          </w:p>
        </w:tc>
        <w:tc>
          <w:tcPr>
            <w:tcW w:w="5954" w:type="dxa"/>
            <w:tcMar>
              <w:top w:w="15" w:type="dxa"/>
              <w:left w:w="15" w:type="dxa"/>
              <w:right w:w="15" w:type="dxa"/>
            </w:tcMar>
            <w:vAlign w:val="center"/>
          </w:tcPr>
          <w:p w14:paraId="57525384">
            <w:pPr>
              <w:widowControl/>
              <w:spacing w:line="400" w:lineRule="exact"/>
              <w:ind w:firstLine="480" w:firstLineChars="200"/>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对照第六章“项目需求”第</w:t>
            </w:r>
            <w:r>
              <w:rPr>
                <w:rFonts w:hint="eastAsia" w:ascii="宋体" w:hAnsi="宋体" w:cs="宋体"/>
                <w:color w:val="auto"/>
                <w:kern w:val="0"/>
                <w:sz w:val="24"/>
                <w:szCs w:val="24"/>
                <w:highlight w:val="none"/>
                <w:lang w:val="en-US" w:eastAsia="zh-CN"/>
              </w:rPr>
              <w:t>十二</w:t>
            </w:r>
            <w:r>
              <w:rPr>
                <w:rFonts w:hint="eastAsia" w:ascii="宋体" w:hAnsi="宋体" w:eastAsia="宋体" w:cs="宋体"/>
                <w:color w:val="auto"/>
                <w:kern w:val="0"/>
                <w:sz w:val="24"/>
                <w:szCs w:val="24"/>
                <w:highlight w:val="none"/>
                <w:lang w:val="en-US" w:eastAsia="zh-CN"/>
              </w:rPr>
              <w:t>包的技术参数（</w:t>
            </w:r>
            <w:r>
              <w:rPr>
                <w:rFonts w:hint="eastAsia" w:ascii="宋体" w:hAnsi="宋体" w:eastAsia="宋体" w:cs="宋体"/>
                <w:color w:val="auto"/>
                <w:kern w:val="0"/>
                <w:sz w:val="24"/>
                <w:szCs w:val="24"/>
                <w:highlight w:val="none"/>
              </w:rPr>
              <w:t>每条技术参数前标注“★”的为核心技术参数，标注“▲”的为主要技术参数，未标注的为一般</w:t>
            </w:r>
            <w:r>
              <w:rPr>
                <w:rFonts w:hint="eastAsia" w:ascii="宋体" w:hAnsi="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参数</w:t>
            </w:r>
            <w:r>
              <w:rPr>
                <w:rFonts w:hint="eastAsia" w:ascii="宋体" w:hAnsi="宋体" w:eastAsia="宋体" w:cs="宋体"/>
                <w:color w:val="auto"/>
                <w:kern w:val="0"/>
                <w:sz w:val="24"/>
                <w:szCs w:val="24"/>
                <w:highlight w:val="none"/>
                <w:lang w:val="en-US" w:eastAsia="zh-CN"/>
              </w:rPr>
              <w:t>），根据投标人提供的产品配置及技术性能指标的响应情况进行评审。</w:t>
            </w:r>
          </w:p>
          <w:p w14:paraId="111EE042">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1.投标人所投产品技术参数完全响应招标文件要求的，得3</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p>
          <w:p w14:paraId="3BFA527A">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2.核心技术参数只要有一条存在负偏离的（</w:t>
            </w:r>
            <w:r>
              <w:rPr>
                <w:rFonts w:hint="eastAsia" w:ascii="宋体" w:hAnsi="宋体" w:cs="宋体"/>
                <w:color w:val="auto"/>
                <w:kern w:val="2"/>
                <w:sz w:val="24"/>
                <w:szCs w:val="24"/>
                <w:highlight w:val="none"/>
                <w:lang w:val="en-US" w:eastAsia="zh-CN" w:bidi="ar-SA"/>
              </w:rPr>
              <w:t>7</w:t>
            </w:r>
            <w:r>
              <w:rPr>
                <w:rFonts w:hint="eastAsia" w:ascii="宋体" w:hAnsi="宋体" w:eastAsia="宋体" w:cs="宋体"/>
                <w:color w:val="auto"/>
                <w:kern w:val="2"/>
                <w:sz w:val="24"/>
                <w:szCs w:val="24"/>
                <w:highlight w:val="none"/>
                <w:lang w:val="en-US" w:eastAsia="zh-CN" w:bidi="ar-SA"/>
              </w:rPr>
              <w:t>条），本项不得分；</w:t>
            </w:r>
          </w:p>
          <w:p w14:paraId="746B8FBC">
            <w:pPr>
              <w:pStyle w:val="31"/>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.主要技术参数存在负偏离的（</w:t>
            </w:r>
            <w:r>
              <w:rPr>
                <w:rFonts w:hint="eastAsia" w:ascii="宋体" w:hAnsi="宋体" w:cs="宋体"/>
                <w:b w:val="0"/>
                <w:bCs w:val="0"/>
                <w:color w:val="auto"/>
                <w:kern w:val="2"/>
                <w:sz w:val="24"/>
                <w:szCs w:val="24"/>
                <w:highlight w:val="none"/>
                <w:lang w:val="en-US" w:eastAsia="zh-CN" w:bidi="ar-SA"/>
              </w:rPr>
              <w:t>1</w:t>
            </w:r>
            <w:r>
              <w:rPr>
                <w:rFonts w:hint="eastAsia" w:ascii="宋体" w:hAnsi="宋体" w:eastAsia="宋体" w:cs="宋体"/>
                <w:b w:val="0"/>
                <w:bCs w:val="0"/>
                <w:color w:val="auto"/>
                <w:kern w:val="2"/>
                <w:sz w:val="24"/>
                <w:szCs w:val="24"/>
                <w:highlight w:val="none"/>
                <w:lang w:val="en-US" w:eastAsia="zh-CN" w:bidi="ar-SA"/>
              </w:rPr>
              <w:t>条），每一条扣</w:t>
            </w:r>
            <w:r>
              <w:rPr>
                <w:rFonts w:hint="eastAsia" w:ascii="宋体" w:hAnsi="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en-US" w:eastAsia="zh-CN" w:bidi="ar-SA"/>
              </w:rPr>
              <w:t>分，最多扣</w:t>
            </w:r>
            <w:r>
              <w:rPr>
                <w:rFonts w:hint="eastAsia" w:ascii="宋体" w:hAnsi="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en-US" w:eastAsia="zh-CN" w:bidi="ar-SA"/>
              </w:rPr>
              <w:t>分；</w:t>
            </w:r>
          </w:p>
          <w:p w14:paraId="30DF2F47">
            <w:pPr>
              <w:pStyle w:val="31"/>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0"/>
                <w:sz w:val="24"/>
                <w:szCs w:val="24"/>
                <w:highlight w:val="none"/>
                <w:lang w:val="en-US" w:eastAsia="zh-CN"/>
              </w:rPr>
              <w:t>一般技术参数存在负偏离的（</w:t>
            </w:r>
            <w:r>
              <w:rPr>
                <w:rFonts w:hint="eastAsia" w:ascii="宋体" w:hAnsi="宋体" w:cs="宋体"/>
                <w:b w:val="0"/>
                <w:bCs w:val="0"/>
                <w:color w:val="auto"/>
                <w:kern w:val="0"/>
                <w:sz w:val="24"/>
                <w:szCs w:val="24"/>
                <w:highlight w:val="none"/>
                <w:lang w:val="en-US" w:eastAsia="zh-CN"/>
              </w:rPr>
              <w:t>26</w:t>
            </w:r>
            <w:r>
              <w:rPr>
                <w:rFonts w:hint="eastAsia" w:ascii="宋体" w:hAnsi="宋体" w:eastAsia="宋体" w:cs="宋体"/>
                <w:b w:val="0"/>
                <w:bCs w:val="0"/>
                <w:color w:val="auto"/>
                <w:kern w:val="0"/>
                <w:sz w:val="24"/>
                <w:szCs w:val="24"/>
                <w:highlight w:val="none"/>
                <w:lang w:val="en-US" w:eastAsia="zh-CN"/>
              </w:rPr>
              <w:t>条）</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每一条扣</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分，最多扣</w:t>
            </w:r>
            <w:r>
              <w:rPr>
                <w:rFonts w:hint="eastAsia" w:ascii="宋体" w:hAnsi="宋体" w:cs="宋体"/>
                <w:b w:val="0"/>
                <w:bCs w:val="0"/>
                <w:color w:val="auto"/>
                <w:kern w:val="2"/>
                <w:sz w:val="24"/>
                <w:szCs w:val="24"/>
                <w:highlight w:val="none"/>
                <w:lang w:val="en-US" w:eastAsia="zh-CN" w:bidi="ar-SA"/>
              </w:rPr>
              <w:t>26</w:t>
            </w:r>
            <w:r>
              <w:rPr>
                <w:rFonts w:hint="eastAsia" w:ascii="宋体" w:hAnsi="宋体" w:eastAsia="宋体" w:cs="宋体"/>
                <w:b w:val="0"/>
                <w:bCs w:val="0"/>
                <w:color w:val="auto"/>
                <w:kern w:val="2"/>
                <w:sz w:val="24"/>
                <w:szCs w:val="24"/>
                <w:highlight w:val="none"/>
                <w:lang w:val="en-US" w:eastAsia="zh-CN" w:bidi="ar-SA"/>
              </w:rPr>
              <w:t>分。</w:t>
            </w:r>
          </w:p>
          <w:p w14:paraId="341DC64D">
            <w:pPr>
              <w:widowControl/>
              <w:spacing w:line="400" w:lineRule="exact"/>
              <w:ind w:firstLine="482" w:firstLineChars="200"/>
              <w:textAlignment w:val="center"/>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eastAsia="zh-CN"/>
              </w:rPr>
              <w:t>注：负偏离评审依据：</w:t>
            </w:r>
            <w:r>
              <w:rPr>
                <w:rFonts w:hint="eastAsia" w:ascii="宋体" w:hAnsi="宋体" w:eastAsia="宋体" w:cs="宋体"/>
                <w:b/>
                <w:bCs/>
                <w:color w:val="auto"/>
                <w:sz w:val="24"/>
                <w:szCs w:val="24"/>
                <w:highlight w:val="none"/>
                <w:lang w:val="en-US" w:eastAsia="zh-CN"/>
              </w:rPr>
              <w:t>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w:t>
            </w:r>
            <w:r>
              <w:rPr>
                <w:rFonts w:hint="eastAsia"/>
                <w:b/>
                <w:bCs/>
                <w:color w:val="auto"/>
                <w:sz w:val="24"/>
                <w:szCs w:val="24"/>
                <w:highlight w:val="none"/>
              </w:rPr>
              <w:t>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14:paraId="09B8615B">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2</w:t>
            </w:r>
          </w:p>
        </w:tc>
      </w:tr>
      <w:tr w14:paraId="6234C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14:paraId="32627A5A">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3ECC86D4">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业绩证明</w:t>
            </w:r>
          </w:p>
        </w:tc>
        <w:tc>
          <w:tcPr>
            <w:tcW w:w="5954" w:type="dxa"/>
            <w:tcMar>
              <w:top w:w="15" w:type="dxa"/>
              <w:left w:w="15" w:type="dxa"/>
              <w:right w:w="15" w:type="dxa"/>
            </w:tcMar>
            <w:vAlign w:val="center"/>
          </w:tcPr>
          <w:p w14:paraId="02143761">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供应商近三年内（</w:t>
            </w:r>
            <w:r>
              <w:rPr>
                <w:rFonts w:hint="eastAsia" w:ascii="宋体" w:hAnsi="宋体" w:eastAsia="宋体" w:cs="宋体"/>
                <w:color w:val="auto"/>
                <w:sz w:val="24"/>
                <w:szCs w:val="24"/>
                <w:highlight w:val="none"/>
                <w:lang w:val="en-US" w:eastAsia="zh-CN"/>
              </w:rPr>
              <w:t>2021</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日起至今，以合同签订日期为准）完成类似项目的业绩，每个项目业绩得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分，最多得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p>
          <w:p w14:paraId="4F2513FA">
            <w:pPr>
              <w:widowControl/>
              <w:spacing w:line="400" w:lineRule="exact"/>
              <w:ind w:firstLine="482" w:firstLineChars="200"/>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14:paraId="7CA6DC65">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r>
      <w:tr w14:paraId="6F133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14:paraId="46398F52">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578FF145">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项目组织</w:t>
            </w:r>
          </w:p>
          <w:p w14:paraId="559F6425">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方案评价</w:t>
            </w:r>
          </w:p>
        </w:tc>
        <w:tc>
          <w:tcPr>
            <w:tcW w:w="5954" w:type="dxa"/>
            <w:tcMar>
              <w:top w:w="15" w:type="dxa"/>
              <w:left w:w="15" w:type="dxa"/>
              <w:right w:w="15" w:type="dxa"/>
            </w:tcMar>
            <w:vAlign w:val="center"/>
          </w:tcPr>
          <w:p w14:paraId="0F6B05DF">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根据供应商提供的项目</w:t>
            </w:r>
            <w:r>
              <w:rPr>
                <w:rFonts w:hint="eastAsia" w:ascii="宋体" w:hAnsi="宋体" w:cs="宋体"/>
                <w:color w:val="auto"/>
                <w:sz w:val="24"/>
                <w:szCs w:val="24"/>
                <w:highlight w:val="none"/>
                <w:lang w:val="en-US" w:eastAsia="zh-CN"/>
              </w:rPr>
              <w:t>组织</w:t>
            </w:r>
            <w:r>
              <w:rPr>
                <w:rFonts w:hint="eastAsia" w:ascii="宋体" w:hAnsi="宋体" w:eastAsia="宋体" w:cs="宋体"/>
                <w:color w:val="auto"/>
                <w:sz w:val="24"/>
                <w:szCs w:val="24"/>
                <w:highlight w:val="none"/>
                <w:lang w:eastAsia="zh-CN"/>
              </w:rPr>
              <w:t>方案进行评分：</w:t>
            </w:r>
          </w:p>
          <w:p w14:paraId="67E780A3">
            <w:pPr>
              <w:widowControl/>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项目</w:t>
            </w:r>
            <w:r>
              <w:rPr>
                <w:rFonts w:hint="eastAsia" w:ascii="宋体" w:hAnsi="宋体" w:cs="宋体"/>
                <w:color w:val="auto"/>
                <w:sz w:val="24"/>
                <w:szCs w:val="24"/>
                <w:highlight w:val="none"/>
                <w:lang w:val="en-US" w:eastAsia="zh-CN"/>
              </w:rPr>
              <w:t>组织</w:t>
            </w:r>
            <w:r>
              <w:rPr>
                <w:rFonts w:hint="eastAsia" w:ascii="宋体" w:hAnsi="宋体" w:eastAsia="宋体" w:cs="宋体"/>
                <w:color w:val="auto"/>
                <w:sz w:val="24"/>
                <w:szCs w:val="24"/>
                <w:highlight w:val="none"/>
                <w:lang w:eastAsia="zh-CN"/>
              </w:rPr>
              <w:t>方案</w:t>
            </w:r>
            <w:r>
              <w:rPr>
                <w:rFonts w:hint="eastAsia" w:ascii="宋体" w:hAnsi="宋体" w:eastAsia="宋体" w:cs="宋体"/>
                <w:b w:val="0"/>
                <w:bCs w:val="0"/>
                <w:color w:val="auto"/>
                <w:sz w:val="24"/>
                <w:szCs w:val="24"/>
                <w:highlight w:val="none"/>
              </w:rPr>
              <w:t>包括但不限于：</w:t>
            </w:r>
            <w:r>
              <w:rPr>
                <w:rFonts w:hint="eastAsia" w:ascii="宋体" w:hAnsi="宋体" w:eastAsia="宋体" w:cs="宋体"/>
                <w:b w:val="0"/>
                <w:bCs w:val="0"/>
                <w:color w:val="auto"/>
                <w:sz w:val="24"/>
                <w:szCs w:val="24"/>
                <w:highlight w:val="none"/>
                <w:lang w:eastAsia="zh-CN"/>
              </w:rPr>
              <w:t>①</w:t>
            </w:r>
            <w:r>
              <w:rPr>
                <w:rFonts w:hint="eastAsia" w:ascii="宋体" w:hAnsi="宋体" w:eastAsia="宋体" w:cs="宋体"/>
                <w:b w:val="0"/>
                <w:bCs w:val="0"/>
                <w:color w:val="auto"/>
                <w:sz w:val="24"/>
                <w:szCs w:val="24"/>
                <w:highlight w:val="none"/>
              </w:rPr>
              <w:t>项目人员安排（包含但不限于主要人员名单及基本情况介绍、在本项目中承担的职责等）、</w:t>
            </w:r>
            <w:r>
              <w:rPr>
                <w:rFonts w:hint="eastAsia" w:ascii="宋体" w:hAnsi="宋体" w:eastAsia="宋体" w:cs="宋体"/>
                <w:b w:val="0"/>
                <w:bCs w:val="0"/>
                <w:color w:val="auto"/>
                <w:sz w:val="24"/>
                <w:szCs w:val="24"/>
                <w:highlight w:val="none"/>
                <w:lang w:eastAsia="zh-CN"/>
              </w:rPr>
              <w:t>②</w:t>
            </w:r>
            <w:r>
              <w:rPr>
                <w:rFonts w:hint="eastAsia" w:ascii="宋体" w:hAnsi="宋体" w:eastAsia="宋体" w:cs="宋体"/>
                <w:b w:val="0"/>
                <w:bCs w:val="0"/>
                <w:color w:val="auto"/>
                <w:sz w:val="24"/>
                <w:szCs w:val="24"/>
                <w:highlight w:val="none"/>
              </w:rPr>
              <w:t>供货方案（包含但不限于产品来源、供货计划、供货时间、包装和运输方式等）、</w:t>
            </w:r>
            <w:r>
              <w:rPr>
                <w:rFonts w:hint="eastAsia" w:ascii="宋体" w:hAnsi="宋体" w:eastAsia="宋体" w:cs="宋体"/>
                <w:b w:val="0"/>
                <w:bCs w:val="0"/>
                <w:color w:val="auto"/>
                <w:sz w:val="24"/>
                <w:szCs w:val="24"/>
                <w:highlight w:val="none"/>
                <w:lang w:eastAsia="zh-CN"/>
              </w:rPr>
              <w:t>③</w:t>
            </w:r>
            <w:r>
              <w:rPr>
                <w:rFonts w:hint="eastAsia" w:ascii="宋体" w:hAnsi="宋体" w:eastAsia="宋体" w:cs="宋体"/>
                <w:b w:val="0"/>
                <w:bCs w:val="0"/>
                <w:color w:val="auto"/>
                <w:sz w:val="24"/>
                <w:szCs w:val="24"/>
                <w:highlight w:val="none"/>
              </w:rPr>
              <w:t>质量管控方案（包括但不限于质量管控的标准、方法和程序等）、</w:t>
            </w:r>
            <w:r>
              <w:rPr>
                <w:rFonts w:hint="eastAsia" w:ascii="宋体" w:hAnsi="宋体" w:eastAsia="宋体" w:cs="宋体"/>
                <w:b w:val="0"/>
                <w:bCs w:val="0"/>
                <w:color w:val="auto"/>
                <w:sz w:val="24"/>
                <w:szCs w:val="24"/>
                <w:highlight w:val="none"/>
                <w:lang w:eastAsia="zh-CN"/>
              </w:rPr>
              <w:t>④</w:t>
            </w:r>
            <w:r>
              <w:rPr>
                <w:rFonts w:hint="eastAsia" w:ascii="宋体" w:hAnsi="宋体" w:eastAsia="宋体" w:cs="宋体"/>
                <w:b w:val="0"/>
                <w:bCs w:val="0"/>
                <w:color w:val="auto"/>
                <w:sz w:val="24"/>
                <w:szCs w:val="24"/>
                <w:highlight w:val="none"/>
              </w:rPr>
              <w:t>测试（调试）方案（包含但不限于人员安排、测试步骤、测试标准等）等4项内容，方案内容完整齐全，符合项目实际（第六章“项目需求”）的，得</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分；每缺少一项方案内容，或一项内容存在缺陷的，每一项扣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分，扣完为止；未提供</w:t>
            </w:r>
            <w:r>
              <w:rPr>
                <w:rFonts w:hint="eastAsia" w:ascii="宋体" w:hAnsi="宋体" w:eastAsia="宋体" w:cs="宋体"/>
                <w:color w:val="auto"/>
                <w:sz w:val="24"/>
                <w:szCs w:val="24"/>
                <w:highlight w:val="none"/>
                <w:lang w:eastAsia="zh-CN"/>
              </w:rPr>
              <w:t>项目</w:t>
            </w:r>
            <w:r>
              <w:rPr>
                <w:rFonts w:hint="eastAsia" w:ascii="宋体" w:hAnsi="宋体" w:cs="宋体"/>
                <w:color w:val="auto"/>
                <w:sz w:val="24"/>
                <w:szCs w:val="24"/>
                <w:highlight w:val="none"/>
                <w:lang w:val="en-US" w:eastAsia="zh-CN"/>
              </w:rPr>
              <w:t>组织</w:t>
            </w:r>
            <w:r>
              <w:rPr>
                <w:rFonts w:hint="eastAsia" w:ascii="宋体" w:hAnsi="宋体" w:eastAsia="宋体" w:cs="宋体"/>
                <w:color w:val="auto"/>
                <w:sz w:val="24"/>
                <w:szCs w:val="24"/>
                <w:highlight w:val="none"/>
                <w:lang w:eastAsia="zh-CN"/>
              </w:rPr>
              <w:t>方案</w:t>
            </w:r>
            <w:r>
              <w:rPr>
                <w:rFonts w:hint="eastAsia" w:ascii="宋体" w:hAnsi="宋体" w:eastAsia="宋体" w:cs="宋体"/>
                <w:b w:val="0"/>
                <w:bCs w:val="0"/>
                <w:color w:val="auto"/>
                <w:sz w:val="24"/>
                <w:szCs w:val="24"/>
                <w:highlight w:val="none"/>
              </w:rPr>
              <w:t>的，此项不得分。</w:t>
            </w:r>
          </w:p>
          <w:p w14:paraId="3477735F">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12796664">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p>
        </w:tc>
      </w:tr>
      <w:tr w14:paraId="74925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14:paraId="69D67FE4">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Mar>
              <w:top w:w="15" w:type="dxa"/>
              <w:left w:w="15" w:type="dxa"/>
              <w:right w:w="15" w:type="dxa"/>
            </w:tcMar>
            <w:vAlign w:val="center"/>
          </w:tcPr>
          <w:p w14:paraId="1F21E5E7">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技术培训</w:t>
            </w:r>
          </w:p>
          <w:p w14:paraId="4DDE7FCA">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方案评价</w:t>
            </w:r>
          </w:p>
        </w:tc>
        <w:tc>
          <w:tcPr>
            <w:tcW w:w="5954" w:type="dxa"/>
            <w:tcMar>
              <w:top w:w="15" w:type="dxa"/>
              <w:left w:w="15" w:type="dxa"/>
              <w:right w:w="15" w:type="dxa"/>
            </w:tcMar>
            <w:vAlign w:val="center"/>
          </w:tcPr>
          <w:p w14:paraId="3390A868">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w:t>
            </w: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eastAsia="zh-CN"/>
              </w:rPr>
              <w:t>培训方案进行评分：</w:t>
            </w:r>
          </w:p>
          <w:p w14:paraId="424D7615">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eastAsia="zh-CN"/>
              </w:rPr>
              <w:t>培训方案包括但不限于</w:t>
            </w:r>
            <w:r>
              <w:rPr>
                <w:rFonts w:hint="eastAsia" w:ascii="宋体" w:hAnsi="宋体" w:eastAsia="宋体" w:cs="宋体"/>
                <w:color w:val="auto"/>
                <w:sz w:val="24"/>
                <w:szCs w:val="24"/>
                <w:highlight w:val="none"/>
                <w:lang w:val="en-US" w:eastAsia="zh-CN"/>
              </w:rPr>
              <w:t>培训内容、培训方式、培训计划、培训团队人员配置</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lang w:val="en-US" w:eastAsia="zh-CN"/>
              </w:rPr>
              <w:t>4项内容，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分；每缺少一项方案内容，或一项内容存在缺陷的，每一项扣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分，扣完为止；未提供</w:t>
            </w: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eastAsia="zh-CN"/>
              </w:rPr>
              <w:t>培训方案</w:t>
            </w:r>
            <w:r>
              <w:rPr>
                <w:rFonts w:hint="eastAsia" w:ascii="宋体" w:hAnsi="宋体" w:eastAsia="宋体" w:cs="宋体"/>
                <w:color w:val="auto"/>
                <w:sz w:val="24"/>
                <w:szCs w:val="24"/>
                <w:highlight w:val="none"/>
                <w:lang w:val="en-US" w:eastAsia="zh-CN"/>
              </w:rPr>
              <w:t>的，此项不得分。</w:t>
            </w:r>
          </w:p>
          <w:p w14:paraId="7B3CF316">
            <w:pPr>
              <w:snapToGrid w:val="0"/>
              <w:spacing w:line="400" w:lineRule="exact"/>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7FE9266F">
            <w:pPr>
              <w:widowControl/>
              <w:spacing w:line="40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028C3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14:paraId="37DB30C5">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32C2257F">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售后服务</w:t>
            </w:r>
          </w:p>
          <w:p w14:paraId="2476F04D">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方案评价</w:t>
            </w:r>
          </w:p>
        </w:tc>
        <w:tc>
          <w:tcPr>
            <w:tcW w:w="5954" w:type="dxa"/>
            <w:tcMar>
              <w:top w:w="15" w:type="dxa"/>
              <w:left w:w="15" w:type="dxa"/>
              <w:right w:w="15" w:type="dxa"/>
            </w:tcMar>
            <w:vAlign w:val="center"/>
          </w:tcPr>
          <w:p w14:paraId="4BB2A595">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根据供应商提供的售后服务方案进行评分：</w:t>
            </w:r>
          </w:p>
          <w:p w14:paraId="047E5135">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售后服务方案包括但不限于</w:t>
            </w:r>
            <w:r>
              <w:rPr>
                <w:rFonts w:hint="eastAsia" w:ascii="宋体" w:hAnsi="宋体" w:eastAsia="宋体" w:cs="宋体"/>
                <w:color w:val="auto"/>
                <w:sz w:val="24"/>
                <w:szCs w:val="24"/>
                <w:highlight w:val="none"/>
                <w:lang w:val="en-US" w:eastAsia="zh-CN"/>
              </w:rPr>
              <w:t>售后服务承诺、备件（易耗品）供应方案（含备件价格）、服务人员配备</w:t>
            </w:r>
            <w:r>
              <w:rPr>
                <w:rFonts w:hint="eastAsia" w:ascii="宋体" w:hAnsi="宋体" w:cs="宋体"/>
                <w:color w:val="auto"/>
                <w:sz w:val="24"/>
                <w:szCs w:val="24"/>
                <w:highlight w:val="none"/>
                <w:lang w:val="en-US" w:eastAsia="zh-CN"/>
              </w:rPr>
              <w:t>及服务响应方案</w:t>
            </w:r>
            <w:r>
              <w:rPr>
                <w:rFonts w:hint="eastAsia" w:ascii="宋体" w:hAnsi="宋体" w:eastAsia="宋体" w:cs="宋体"/>
                <w:color w:val="auto"/>
                <w:sz w:val="24"/>
                <w:szCs w:val="24"/>
                <w:highlight w:val="none"/>
                <w:lang w:val="en-US" w:eastAsia="zh-CN"/>
              </w:rPr>
              <w:t>、故障响应措施、质保外服务措施</w:t>
            </w:r>
            <w:r>
              <w:rPr>
                <w:rFonts w:hint="eastAsia" w:ascii="宋体" w:hAnsi="宋体" w:eastAsia="宋体" w:cs="宋体"/>
                <w:color w:val="auto"/>
                <w:sz w:val="24"/>
                <w:szCs w:val="24"/>
                <w:highlight w:val="none"/>
                <w:lang w:eastAsia="zh-CN"/>
              </w:rPr>
              <w:t>等</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分；每缺少一项方案内容，或一项内容存在缺陷的，每一项扣2分，扣完为止；未提供</w:t>
            </w:r>
            <w:r>
              <w:rPr>
                <w:rFonts w:hint="eastAsia" w:ascii="宋体" w:hAnsi="宋体" w:eastAsia="宋体" w:cs="宋体"/>
                <w:color w:val="auto"/>
                <w:sz w:val="24"/>
                <w:szCs w:val="24"/>
                <w:highlight w:val="none"/>
                <w:lang w:eastAsia="zh-CN"/>
              </w:rPr>
              <w:t>售后服务方案</w:t>
            </w:r>
            <w:r>
              <w:rPr>
                <w:rFonts w:hint="eastAsia" w:ascii="宋体" w:hAnsi="宋体" w:eastAsia="宋体" w:cs="宋体"/>
                <w:color w:val="auto"/>
                <w:sz w:val="24"/>
                <w:szCs w:val="24"/>
                <w:highlight w:val="none"/>
                <w:lang w:val="en-US" w:eastAsia="zh-CN"/>
              </w:rPr>
              <w:t>的，此项不得分。</w:t>
            </w:r>
          </w:p>
          <w:p w14:paraId="62CFDC27">
            <w:pPr>
              <w:snapToGrid w:val="0"/>
              <w:spacing w:line="40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35490556">
            <w:pPr>
              <w:snapToGri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p>
        </w:tc>
      </w:tr>
      <w:tr w14:paraId="5A8D4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14:paraId="4D546347">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4A243199">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hAnsi="宋体" w:cs="宋体"/>
                <w:color w:val="auto"/>
                <w:sz w:val="24"/>
                <w:szCs w:val="24"/>
                <w:highlight w:val="none"/>
              </w:rPr>
              <w:t>投标样品评价</w:t>
            </w:r>
          </w:p>
        </w:tc>
        <w:tc>
          <w:tcPr>
            <w:tcW w:w="5954" w:type="dxa"/>
            <w:tcMar>
              <w:top w:w="15" w:type="dxa"/>
              <w:left w:w="15" w:type="dxa"/>
              <w:right w:w="15" w:type="dxa"/>
            </w:tcMar>
            <w:vAlign w:val="center"/>
          </w:tcPr>
          <w:p w14:paraId="6F6AD875">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14:paraId="547D312E">
            <w:pPr>
              <w:spacing w:line="400" w:lineRule="exact"/>
              <w:ind w:firstLine="480" w:firstLineChars="200"/>
              <w:jc w:val="left"/>
              <w:rPr>
                <w:color w:val="auto"/>
                <w:sz w:val="24"/>
                <w:szCs w:val="24"/>
                <w:highlight w:val="none"/>
              </w:rPr>
            </w:pPr>
            <w:r>
              <w:rPr>
                <w:rFonts w:hint="eastAsia"/>
                <w:color w:val="auto"/>
                <w:sz w:val="24"/>
                <w:szCs w:val="24"/>
                <w:highlight w:val="none"/>
              </w:rPr>
              <w:t>根据投标人提供样品的整体性能进行评审：1.</w:t>
            </w:r>
            <w:r>
              <w:rPr>
                <w:rFonts w:hint="eastAsia"/>
                <w:color w:val="auto"/>
                <w:sz w:val="24"/>
                <w:szCs w:val="24"/>
                <w:highlight w:val="none"/>
                <w:lang w:val="en-US" w:eastAsia="zh-CN"/>
              </w:rPr>
              <w:t>使用材质</w:t>
            </w:r>
            <w:r>
              <w:rPr>
                <w:rFonts w:hint="eastAsia"/>
                <w:color w:val="auto"/>
                <w:sz w:val="24"/>
                <w:szCs w:val="24"/>
                <w:highlight w:val="none"/>
              </w:rPr>
              <w:t>；2.制作工艺水平；3.</w:t>
            </w:r>
            <w:r>
              <w:rPr>
                <w:rFonts w:hint="eastAsia"/>
                <w:color w:val="auto"/>
                <w:sz w:val="24"/>
                <w:szCs w:val="24"/>
                <w:highlight w:val="none"/>
                <w:lang w:val="en-US" w:eastAsia="zh-CN"/>
              </w:rPr>
              <w:t>无操作安全隐患或</w:t>
            </w:r>
            <w:r>
              <w:rPr>
                <w:rFonts w:hint="eastAsia"/>
                <w:color w:val="auto"/>
                <w:sz w:val="24"/>
                <w:szCs w:val="24"/>
                <w:highlight w:val="none"/>
              </w:rPr>
              <w:t>影响使用性能的安全隐患；4.功能实用性能强，贴合灭火救援实战需要。各项性能完备的得</w:t>
            </w:r>
            <w:r>
              <w:rPr>
                <w:rFonts w:hint="eastAsia"/>
                <w:color w:val="auto"/>
                <w:sz w:val="24"/>
                <w:szCs w:val="24"/>
                <w:highlight w:val="none"/>
                <w:lang w:val="en-US" w:eastAsia="zh-CN"/>
              </w:rPr>
              <w:t>8</w:t>
            </w:r>
            <w:r>
              <w:rPr>
                <w:rFonts w:hint="eastAsia"/>
                <w:color w:val="auto"/>
                <w:sz w:val="24"/>
                <w:szCs w:val="24"/>
                <w:highlight w:val="none"/>
              </w:rPr>
              <w:t>分，每有一项存在瑕疵或不符合采购人使用需求的，扣</w:t>
            </w:r>
            <w:r>
              <w:rPr>
                <w:rFonts w:hint="eastAsia"/>
                <w:color w:val="auto"/>
                <w:sz w:val="24"/>
                <w:szCs w:val="24"/>
                <w:highlight w:val="none"/>
                <w:lang w:val="en-US" w:eastAsia="zh-CN"/>
              </w:rPr>
              <w:t>2</w:t>
            </w:r>
            <w:r>
              <w:rPr>
                <w:rFonts w:hint="eastAsia"/>
                <w:color w:val="auto"/>
                <w:sz w:val="24"/>
                <w:szCs w:val="24"/>
                <w:highlight w:val="none"/>
              </w:rPr>
              <w:t>分，扣完为止。</w:t>
            </w:r>
          </w:p>
          <w:p w14:paraId="5BF24147">
            <w:pPr>
              <w:snapToGrid w:val="0"/>
              <w:spacing w:line="400" w:lineRule="exact"/>
              <w:ind w:firstLine="482" w:firstLineChars="200"/>
              <w:rPr>
                <w:rFonts w:hint="eastAsia" w:ascii="宋体" w:hAnsi="宋体" w:eastAsia="宋体" w:cs="宋体"/>
                <w:b/>
                <w:bCs/>
                <w:color w:val="auto"/>
                <w:sz w:val="24"/>
                <w:szCs w:val="24"/>
                <w:highlight w:val="none"/>
                <w:lang w:val="en-US" w:eastAsia="zh-CN"/>
              </w:rPr>
            </w:pPr>
            <w:r>
              <w:rPr>
                <w:rFonts w:hint="eastAsia"/>
                <w:b/>
                <w:bCs/>
                <w:color w:val="auto"/>
                <w:sz w:val="24"/>
                <w:szCs w:val="24"/>
                <w:highlight w:val="none"/>
              </w:rPr>
              <w:t>注：样品由采购代理机构提前编号并作登记，评标委员会采用盲评形式进行评审。</w:t>
            </w:r>
          </w:p>
        </w:tc>
        <w:tc>
          <w:tcPr>
            <w:tcW w:w="687" w:type="dxa"/>
            <w:tcMar>
              <w:top w:w="15" w:type="dxa"/>
              <w:left w:w="15" w:type="dxa"/>
              <w:right w:w="15" w:type="dxa"/>
            </w:tcMar>
            <w:vAlign w:val="center"/>
          </w:tcPr>
          <w:p w14:paraId="650BC95A">
            <w:pPr>
              <w:snapToGri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0013D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14:paraId="2A36908C">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合计：100分</w:t>
            </w:r>
          </w:p>
        </w:tc>
      </w:tr>
    </w:tbl>
    <w:p w14:paraId="4F615073">
      <w:pPr>
        <w:pStyle w:val="4"/>
        <w:ind w:left="0" w:leftChars="0" w:firstLine="0" w:firstLineChars="0"/>
        <w:rPr>
          <w:rFonts w:hint="eastAsia" w:asciiTheme="minorEastAsia" w:hAnsiTheme="minorEastAsia" w:eastAsiaTheme="minorEastAsia" w:cstheme="minorEastAsia"/>
          <w:b/>
          <w:bCs/>
          <w:color w:val="auto"/>
          <w:sz w:val="24"/>
          <w:szCs w:val="24"/>
          <w:highlight w:val="none"/>
        </w:rPr>
      </w:pPr>
    </w:p>
    <w:p w14:paraId="474E4996">
      <w:pPr>
        <w:pStyle w:val="4"/>
        <w:rPr>
          <w:rFonts w:hint="eastAsia" w:asciiTheme="minorEastAsia" w:hAnsiTheme="minorEastAsia" w:eastAsiaTheme="minorEastAsia" w:cstheme="minorEastAsia"/>
          <w:b/>
          <w:color w:val="auto"/>
          <w:sz w:val="24"/>
          <w:szCs w:val="24"/>
          <w:highlight w:val="none"/>
        </w:rPr>
      </w:pPr>
    </w:p>
    <w:p w14:paraId="6054965F">
      <w:pPr>
        <w:pStyle w:val="4"/>
        <w:rPr>
          <w:rFonts w:hint="eastAsia" w:asciiTheme="minorEastAsia" w:hAnsiTheme="minorEastAsia" w:eastAsiaTheme="minorEastAsia" w:cstheme="minorEastAsia"/>
          <w:b/>
          <w:color w:val="auto"/>
          <w:sz w:val="24"/>
          <w:szCs w:val="24"/>
          <w:highlight w:val="none"/>
        </w:rPr>
      </w:pPr>
    </w:p>
    <w:p w14:paraId="7B2168BF">
      <w:pPr>
        <w:pStyle w:val="4"/>
        <w:rPr>
          <w:rFonts w:hint="eastAsia" w:asciiTheme="minorEastAsia" w:hAnsiTheme="minorEastAsia" w:eastAsiaTheme="minorEastAsia" w:cstheme="minorEastAsia"/>
          <w:b/>
          <w:color w:val="auto"/>
          <w:sz w:val="24"/>
          <w:szCs w:val="24"/>
          <w:highlight w:val="none"/>
        </w:rPr>
      </w:pPr>
    </w:p>
    <w:p w14:paraId="64684A8D">
      <w:pPr>
        <w:rPr>
          <w:rFonts w:hint="eastAsia"/>
          <w:color w:val="auto"/>
          <w:highlight w:val="none"/>
        </w:rPr>
      </w:pPr>
    </w:p>
    <w:p w14:paraId="426EB884">
      <w:pPr>
        <w:pStyle w:val="4"/>
        <w:rPr>
          <w:rFonts w:hint="eastAsia" w:asciiTheme="minorEastAsia" w:hAnsiTheme="minorEastAsia" w:eastAsiaTheme="minorEastAsia" w:cstheme="minorEastAsia"/>
          <w:b/>
          <w:color w:val="auto"/>
          <w:sz w:val="24"/>
          <w:szCs w:val="24"/>
          <w:highlight w:val="none"/>
        </w:rPr>
      </w:pPr>
    </w:p>
    <w:p w14:paraId="496A5865">
      <w:pPr>
        <w:pStyle w:val="4"/>
        <w:rPr>
          <w:rFonts w:hint="eastAsia" w:asciiTheme="minorEastAsia" w:hAnsiTheme="minorEastAsia" w:eastAsiaTheme="minorEastAsia" w:cstheme="minorEastAsia"/>
          <w:b/>
          <w:color w:val="auto"/>
          <w:sz w:val="24"/>
          <w:szCs w:val="24"/>
          <w:highlight w:val="none"/>
        </w:rPr>
      </w:pPr>
    </w:p>
    <w:p w14:paraId="302760C6">
      <w:pPr>
        <w:pStyle w:val="4"/>
        <w:rPr>
          <w:rFonts w:hint="eastAsia" w:asciiTheme="minorEastAsia" w:hAnsiTheme="minorEastAsia" w:eastAsiaTheme="minorEastAsia" w:cstheme="minorEastAsia"/>
          <w:b/>
          <w:color w:val="auto"/>
          <w:sz w:val="24"/>
          <w:szCs w:val="24"/>
          <w:highlight w:val="none"/>
        </w:rPr>
      </w:pPr>
    </w:p>
    <w:p w14:paraId="4F182FA5">
      <w:pPr>
        <w:pStyle w:val="4"/>
        <w:rPr>
          <w:rFonts w:hint="eastAsia" w:asciiTheme="minorEastAsia" w:hAnsiTheme="minorEastAsia" w:eastAsiaTheme="minorEastAsia" w:cstheme="minorEastAsia"/>
          <w:b/>
          <w:color w:val="auto"/>
          <w:sz w:val="24"/>
          <w:szCs w:val="24"/>
          <w:highlight w:val="none"/>
        </w:rPr>
      </w:pPr>
    </w:p>
    <w:p w14:paraId="4FD7812A">
      <w:pPr>
        <w:pStyle w:val="4"/>
        <w:rPr>
          <w:rFonts w:hint="eastAsia" w:asciiTheme="minorEastAsia" w:hAnsiTheme="minorEastAsia" w:eastAsiaTheme="minorEastAsia" w:cstheme="minorEastAsia"/>
          <w:b/>
          <w:color w:val="auto"/>
          <w:sz w:val="24"/>
          <w:szCs w:val="24"/>
          <w:highlight w:val="none"/>
        </w:rPr>
      </w:pPr>
    </w:p>
    <w:p w14:paraId="1EBD8342">
      <w:pPr>
        <w:pStyle w:val="4"/>
        <w:ind w:left="0" w:leftChars="0" w:firstLine="0" w:firstLineChars="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十三</w:t>
      </w:r>
      <w:r>
        <w:rPr>
          <w:rFonts w:hint="eastAsia" w:asciiTheme="minorEastAsia" w:hAnsiTheme="minorEastAsia" w:eastAsiaTheme="minorEastAsia" w:cstheme="minorEastAsia"/>
          <w:b/>
          <w:color w:val="auto"/>
          <w:sz w:val="24"/>
          <w:szCs w:val="24"/>
          <w:highlight w:val="none"/>
        </w:rPr>
        <w:t>包评分标准：</w:t>
      </w:r>
    </w:p>
    <w:tbl>
      <w:tblPr>
        <w:tblStyle w:val="39"/>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14:paraId="5C81C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14:paraId="377D17BD">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评分因素及权重</w:t>
            </w:r>
          </w:p>
        </w:tc>
        <w:tc>
          <w:tcPr>
            <w:tcW w:w="1371" w:type="dxa"/>
            <w:tcMar>
              <w:top w:w="15" w:type="dxa"/>
              <w:left w:w="15" w:type="dxa"/>
              <w:right w:w="15" w:type="dxa"/>
            </w:tcMar>
            <w:vAlign w:val="center"/>
          </w:tcPr>
          <w:p w14:paraId="76CF3F5A">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评标因素</w:t>
            </w:r>
          </w:p>
        </w:tc>
        <w:tc>
          <w:tcPr>
            <w:tcW w:w="5954" w:type="dxa"/>
            <w:tcMar>
              <w:top w:w="15" w:type="dxa"/>
              <w:left w:w="15" w:type="dxa"/>
              <w:right w:w="15" w:type="dxa"/>
            </w:tcMar>
            <w:vAlign w:val="center"/>
          </w:tcPr>
          <w:p w14:paraId="01237B09">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评分标准</w:t>
            </w:r>
          </w:p>
        </w:tc>
        <w:tc>
          <w:tcPr>
            <w:tcW w:w="687" w:type="dxa"/>
            <w:tcMar>
              <w:top w:w="15" w:type="dxa"/>
              <w:left w:w="15" w:type="dxa"/>
              <w:right w:w="15" w:type="dxa"/>
            </w:tcMar>
            <w:vAlign w:val="center"/>
          </w:tcPr>
          <w:p w14:paraId="3E9B3921">
            <w:pPr>
              <w:widowControl/>
              <w:spacing w:line="400" w:lineRule="exact"/>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分值</w:t>
            </w:r>
          </w:p>
        </w:tc>
      </w:tr>
      <w:tr w14:paraId="2AFDC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14:paraId="43F92F81">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价格部分（30分）</w:t>
            </w:r>
          </w:p>
        </w:tc>
        <w:tc>
          <w:tcPr>
            <w:tcW w:w="1371" w:type="dxa"/>
            <w:tcMar>
              <w:top w:w="15" w:type="dxa"/>
              <w:left w:w="15" w:type="dxa"/>
              <w:right w:w="15" w:type="dxa"/>
            </w:tcMar>
            <w:vAlign w:val="center"/>
          </w:tcPr>
          <w:p w14:paraId="20D847A1">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p>
          <w:p w14:paraId="200A258E">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w:t>
            </w:r>
          </w:p>
        </w:tc>
        <w:tc>
          <w:tcPr>
            <w:tcW w:w="5954" w:type="dxa"/>
            <w:tcMar>
              <w:top w:w="15" w:type="dxa"/>
              <w:left w:w="15" w:type="dxa"/>
              <w:right w:w="15" w:type="dxa"/>
            </w:tcMar>
            <w:vAlign w:val="center"/>
          </w:tcPr>
          <w:p w14:paraId="4016AFF3">
            <w:pPr>
              <w:widowControl/>
              <w:spacing w:line="400" w:lineRule="exact"/>
              <w:textAlignment w:val="center"/>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14:paraId="75440199">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30</w:t>
            </w:r>
          </w:p>
        </w:tc>
      </w:tr>
      <w:tr w14:paraId="3F222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14:paraId="11124FDA">
            <w:pPr>
              <w:widowControl/>
              <w:spacing w:line="400" w:lineRule="exact"/>
              <w:jc w:val="center"/>
              <w:textAlignment w:val="center"/>
              <w:rPr>
                <w:rFonts w:hint="eastAsia" w:ascii="宋体" w:hAnsi="宋体" w:eastAsia="宋体" w:cs="宋体"/>
                <w:color w:val="auto"/>
                <w:kern w:val="0"/>
                <w:sz w:val="24"/>
                <w:szCs w:val="24"/>
                <w:highlight w:val="none"/>
              </w:rPr>
            </w:pPr>
          </w:p>
          <w:p w14:paraId="6E4D9E2A">
            <w:pPr>
              <w:widowControl/>
              <w:spacing w:line="400" w:lineRule="exact"/>
              <w:jc w:val="center"/>
              <w:textAlignment w:val="center"/>
              <w:rPr>
                <w:rFonts w:hint="eastAsia" w:ascii="宋体" w:hAnsi="宋体" w:eastAsia="宋体" w:cs="宋体"/>
                <w:color w:val="auto"/>
                <w:kern w:val="0"/>
                <w:sz w:val="24"/>
                <w:szCs w:val="24"/>
                <w:highlight w:val="none"/>
              </w:rPr>
            </w:pPr>
          </w:p>
          <w:p w14:paraId="093B3378">
            <w:pPr>
              <w:widowControl/>
              <w:spacing w:line="400" w:lineRule="exact"/>
              <w:jc w:val="center"/>
              <w:textAlignment w:val="center"/>
              <w:rPr>
                <w:rFonts w:hint="eastAsia" w:ascii="宋体" w:hAnsi="宋体" w:eastAsia="宋体" w:cs="宋体"/>
                <w:color w:val="auto"/>
                <w:kern w:val="0"/>
                <w:sz w:val="24"/>
                <w:szCs w:val="24"/>
                <w:highlight w:val="none"/>
              </w:rPr>
            </w:pPr>
          </w:p>
          <w:p w14:paraId="08FA413E">
            <w:pPr>
              <w:widowControl/>
              <w:spacing w:line="400" w:lineRule="exact"/>
              <w:jc w:val="center"/>
              <w:textAlignment w:val="center"/>
              <w:rPr>
                <w:rFonts w:hint="eastAsia" w:ascii="宋体" w:hAnsi="宋体" w:eastAsia="宋体" w:cs="宋体"/>
                <w:color w:val="auto"/>
                <w:kern w:val="0"/>
                <w:sz w:val="24"/>
                <w:szCs w:val="24"/>
                <w:highlight w:val="none"/>
              </w:rPr>
            </w:pPr>
          </w:p>
          <w:p w14:paraId="32156739">
            <w:pPr>
              <w:widowControl/>
              <w:spacing w:line="400" w:lineRule="exact"/>
              <w:jc w:val="center"/>
              <w:textAlignment w:val="center"/>
              <w:rPr>
                <w:rFonts w:hint="eastAsia" w:ascii="宋体" w:hAnsi="宋体" w:eastAsia="宋体" w:cs="宋体"/>
                <w:color w:val="auto"/>
                <w:kern w:val="0"/>
                <w:sz w:val="24"/>
                <w:szCs w:val="24"/>
                <w:highlight w:val="none"/>
              </w:rPr>
            </w:pPr>
          </w:p>
          <w:p w14:paraId="69DC6921">
            <w:pPr>
              <w:widowControl/>
              <w:spacing w:line="400" w:lineRule="exact"/>
              <w:jc w:val="center"/>
              <w:textAlignment w:val="center"/>
              <w:rPr>
                <w:rFonts w:hint="eastAsia" w:ascii="宋体" w:hAnsi="宋体" w:eastAsia="宋体" w:cs="宋体"/>
                <w:color w:val="auto"/>
                <w:kern w:val="0"/>
                <w:sz w:val="24"/>
                <w:szCs w:val="24"/>
                <w:highlight w:val="none"/>
              </w:rPr>
            </w:pPr>
          </w:p>
          <w:p w14:paraId="2AE9B522">
            <w:pPr>
              <w:widowControl/>
              <w:spacing w:line="400" w:lineRule="exact"/>
              <w:jc w:val="center"/>
              <w:textAlignment w:val="center"/>
              <w:rPr>
                <w:rFonts w:hint="eastAsia" w:ascii="宋体" w:hAnsi="宋体" w:eastAsia="宋体" w:cs="宋体"/>
                <w:color w:val="auto"/>
                <w:kern w:val="0"/>
                <w:sz w:val="24"/>
                <w:szCs w:val="24"/>
                <w:highlight w:val="none"/>
              </w:rPr>
            </w:pPr>
          </w:p>
          <w:p w14:paraId="2ABA6374">
            <w:pPr>
              <w:widowControl/>
              <w:spacing w:line="400" w:lineRule="exact"/>
              <w:jc w:val="center"/>
              <w:textAlignment w:val="center"/>
              <w:rPr>
                <w:rFonts w:hint="eastAsia" w:ascii="宋体" w:hAnsi="宋体" w:eastAsia="宋体" w:cs="宋体"/>
                <w:color w:val="auto"/>
                <w:kern w:val="0"/>
                <w:sz w:val="24"/>
                <w:szCs w:val="24"/>
                <w:highlight w:val="none"/>
              </w:rPr>
            </w:pPr>
          </w:p>
          <w:p w14:paraId="6A09E763">
            <w:pPr>
              <w:widowControl/>
              <w:spacing w:line="400" w:lineRule="exact"/>
              <w:jc w:val="center"/>
              <w:textAlignment w:val="center"/>
              <w:rPr>
                <w:rFonts w:hint="eastAsia" w:ascii="宋体" w:hAnsi="宋体" w:eastAsia="宋体" w:cs="宋体"/>
                <w:color w:val="auto"/>
                <w:kern w:val="0"/>
                <w:sz w:val="24"/>
                <w:szCs w:val="24"/>
                <w:highlight w:val="none"/>
              </w:rPr>
            </w:pPr>
          </w:p>
          <w:p w14:paraId="78644320">
            <w:pPr>
              <w:widowControl/>
              <w:spacing w:line="400" w:lineRule="exact"/>
              <w:jc w:val="center"/>
              <w:textAlignment w:val="center"/>
              <w:rPr>
                <w:rFonts w:hint="eastAsia" w:ascii="宋体" w:hAnsi="宋体" w:eastAsia="宋体" w:cs="宋体"/>
                <w:color w:val="auto"/>
                <w:kern w:val="0"/>
                <w:sz w:val="24"/>
                <w:szCs w:val="24"/>
                <w:highlight w:val="none"/>
              </w:rPr>
            </w:pPr>
          </w:p>
          <w:p w14:paraId="46DE1645">
            <w:pPr>
              <w:widowControl/>
              <w:spacing w:line="400" w:lineRule="exact"/>
              <w:jc w:val="center"/>
              <w:textAlignment w:val="center"/>
              <w:rPr>
                <w:rFonts w:hint="eastAsia" w:ascii="宋体" w:hAnsi="宋体" w:eastAsia="宋体" w:cs="宋体"/>
                <w:color w:val="auto"/>
                <w:kern w:val="0"/>
                <w:sz w:val="24"/>
                <w:szCs w:val="24"/>
                <w:highlight w:val="none"/>
              </w:rPr>
            </w:pPr>
          </w:p>
          <w:p w14:paraId="0BC729BB">
            <w:pPr>
              <w:widowControl/>
              <w:spacing w:line="400" w:lineRule="exact"/>
              <w:jc w:val="center"/>
              <w:textAlignment w:val="center"/>
              <w:rPr>
                <w:rFonts w:hint="eastAsia" w:ascii="宋体" w:hAnsi="宋体" w:eastAsia="宋体" w:cs="宋体"/>
                <w:color w:val="auto"/>
                <w:kern w:val="0"/>
                <w:sz w:val="24"/>
                <w:szCs w:val="24"/>
                <w:highlight w:val="none"/>
              </w:rPr>
            </w:pPr>
          </w:p>
          <w:p w14:paraId="2317E16A">
            <w:pPr>
              <w:widowControl/>
              <w:spacing w:line="400" w:lineRule="exact"/>
              <w:jc w:val="center"/>
              <w:textAlignment w:val="center"/>
              <w:rPr>
                <w:rFonts w:hint="eastAsia" w:ascii="宋体" w:hAnsi="宋体" w:eastAsia="宋体" w:cs="宋体"/>
                <w:color w:val="auto"/>
                <w:kern w:val="0"/>
                <w:sz w:val="24"/>
                <w:szCs w:val="24"/>
                <w:highlight w:val="none"/>
              </w:rPr>
            </w:pPr>
          </w:p>
          <w:p w14:paraId="4D6266C4">
            <w:pPr>
              <w:widowControl/>
              <w:spacing w:line="400" w:lineRule="exact"/>
              <w:jc w:val="center"/>
              <w:textAlignment w:val="center"/>
              <w:rPr>
                <w:rFonts w:hint="eastAsia" w:ascii="宋体" w:hAnsi="宋体" w:eastAsia="宋体" w:cs="宋体"/>
                <w:color w:val="auto"/>
                <w:kern w:val="0"/>
                <w:sz w:val="24"/>
                <w:szCs w:val="24"/>
                <w:highlight w:val="none"/>
              </w:rPr>
            </w:pPr>
          </w:p>
          <w:p w14:paraId="72EEB541">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技术和商务部分（ 70分）</w:t>
            </w:r>
          </w:p>
        </w:tc>
        <w:tc>
          <w:tcPr>
            <w:tcW w:w="1371" w:type="dxa"/>
            <w:tcMar>
              <w:top w:w="15" w:type="dxa"/>
              <w:left w:w="15" w:type="dxa"/>
              <w:right w:w="15" w:type="dxa"/>
            </w:tcMar>
            <w:vAlign w:val="center"/>
          </w:tcPr>
          <w:p w14:paraId="16A0ED6F">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技术要求</w:t>
            </w:r>
          </w:p>
          <w:p w14:paraId="02B55993">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响应评价</w:t>
            </w:r>
          </w:p>
        </w:tc>
        <w:tc>
          <w:tcPr>
            <w:tcW w:w="5954" w:type="dxa"/>
            <w:tcMar>
              <w:top w:w="15" w:type="dxa"/>
              <w:left w:w="15" w:type="dxa"/>
              <w:right w:w="15" w:type="dxa"/>
            </w:tcMar>
            <w:vAlign w:val="center"/>
          </w:tcPr>
          <w:p w14:paraId="05BC8C9C">
            <w:pPr>
              <w:widowControl/>
              <w:spacing w:line="400" w:lineRule="exact"/>
              <w:ind w:firstLine="480" w:firstLineChars="200"/>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对照第六章“项目需求”第</w:t>
            </w:r>
            <w:r>
              <w:rPr>
                <w:rFonts w:hint="eastAsia" w:ascii="宋体" w:hAnsi="宋体" w:cs="宋体"/>
                <w:color w:val="auto"/>
                <w:kern w:val="0"/>
                <w:sz w:val="24"/>
                <w:szCs w:val="24"/>
                <w:highlight w:val="none"/>
                <w:lang w:val="en-US" w:eastAsia="zh-CN"/>
              </w:rPr>
              <w:t>十三</w:t>
            </w:r>
            <w:r>
              <w:rPr>
                <w:rFonts w:hint="eastAsia" w:ascii="宋体" w:hAnsi="宋体" w:eastAsia="宋体" w:cs="宋体"/>
                <w:color w:val="auto"/>
                <w:kern w:val="0"/>
                <w:sz w:val="24"/>
                <w:szCs w:val="24"/>
                <w:highlight w:val="none"/>
                <w:lang w:val="en-US" w:eastAsia="zh-CN"/>
              </w:rPr>
              <w:t>包的技术参数（</w:t>
            </w:r>
            <w:r>
              <w:rPr>
                <w:rFonts w:hint="eastAsia" w:ascii="宋体" w:hAnsi="宋体" w:eastAsia="宋体" w:cs="宋体"/>
                <w:color w:val="auto"/>
                <w:kern w:val="0"/>
                <w:sz w:val="24"/>
                <w:szCs w:val="24"/>
                <w:highlight w:val="none"/>
              </w:rPr>
              <w:t>每条技术参数前标注“★”的为核心技术参数，标注“▲”的为主要技术参数，未标注的为一般</w:t>
            </w:r>
            <w:r>
              <w:rPr>
                <w:rFonts w:hint="eastAsia" w:ascii="宋体" w:hAnsi="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参数</w:t>
            </w:r>
            <w:r>
              <w:rPr>
                <w:rFonts w:hint="eastAsia" w:ascii="宋体" w:hAnsi="宋体" w:eastAsia="宋体" w:cs="宋体"/>
                <w:color w:val="auto"/>
                <w:kern w:val="0"/>
                <w:sz w:val="24"/>
                <w:szCs w:val="24"/>
                <w:highlight w:val="none"/>
                <w:lang w:val="en-US" w:eastAsia="zh-CN"/>
              </w:rPr>
              <w:t>），根据投标人提供的产品配置及技术性能指标的响应情况进行评审。</w:t>
            </w:r>
          </w:p>
          <w:p w14:paraId="1B83A0F0">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.投标人所投产品技术参数完全响应招标文件要求的，得3</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p>
          <w:p w14:paraId="4ED44A62">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2.核心技术参数只要有一条存在负偏离的（</w:t>
            </w:r>
            <w:r>
              <w:rPr>
                <w:rFonts w:hint="eastAsia" w:ascii="宋体"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条），本项不得分；</w:t>
            </w:r>
          </w:p>
          <w:p w14:paraId="6AC0C054">
            <w:pPr>
              <w:pStyle w:val="31"/>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.主要技术参数存在负偏离的（</w:t>
            </w:r>
            <w:r>
              <w:rPr>
                <w:rFonts w:hint="eastAsia" w:ascii="宋体" w:hAnsi="宋体" w:cs="宋体"/>
                <w:b w:val="0"/>
                <w:bCs w:val="0"/>
                <w:color w:val="auto"/>
                <w:kern w:val="2"/>
                <w:sz w:val="24"/>
                <w:szCs w:val="24"/>
                <w:highlight w:val="none"/>
                <w:lang w:val="en-US" w:eastAsia="zh-CN" w:bidi="ar-SA"/>
              </w:rPr>
              <w:t>9</w:t>
            </w:r>
            <w:r>
              <w:rPr>
                <w:rFonts w:hint="eastAsia" w:ascii="宋体" w:hAnsi="宋体" w:eastAsia="宋体" w:cs="宋体"/>
                <w:b w:val="0"/>
                <w:bCs w:val="0"/>
                <w:color w:val="auto"/>
                <w:kern w:val="2"/>
                <w:sz w:val="24"/>
                <w:szCs w:val="24"/>
                <w:highlight w:val="none"/>
                <w:lang w:val="en-US" w:eastAsia="zh-CN" w:bidi="ar-SA"/>
              </w:rPr>
              <w:t>条），每一条扣</w:t>
            </w:r>
            <w:r>
              <w:rPr>
                <w:rFonts w:hint="eastAsia" w:ascii="宋体" w:hAnsi="宋体" w:cs="宋体"/>
                <w:b w:val="0"/>
                <w:bCs w:val="0"/>
                <w:color w:val="auto"/>
                <w:kern w:val="2"/>
                <w:sz w:val="24"/>
                <w:szCs w:val="24"/>
                <w:highlight w:val="none"/>
                <w:lang w:val="en-US" w:eastAsia="zh-CN" w:bidi="ar-SA"/>
              </w:rPr>
              <w:t>1.5</w:t>
            </w:r>
            <w:r>
              <w:rPr>
                <w:rFonts w:hint="eastAsia" w:ascii="宋体" w:hAnsi="宋体" w:eastAsia="宋体" w:cs="宋体"/>
                <w:b w:val="0"/>
                <w:bCs w:val="0"/>
                <w:color w:val="auto"/>
                <w:kern w:val="2"/>
                <w:sz w:val="24"/>
                <w:szCs w:val="24"/>
                <w:highlight w:val="none"/>
                <w:lang w:val="en-US" w:eastAsia="zh-CN" w:bidi="ar-SA"/>
              </w:rPr>
              <w:t>分，最多扣</w:t>
            </w:r>
            <w:r>
              <w:rPr>
                <w:rFonts w:hint="eastAsia" w:ascii="宋体" w:hAnsi="宋体" w:cs="宋体"/>
                <w:b w:val="0"/>
                <w:bCs w:val="0"/>
                <w:color w:val="auto"/>
                <w:kern w:val="2"/>
                <w:sz w:val="24"/>
                <w:szCs w:val="24"/>
                <w:highlight w:val="none"/>
                <w:lang w:val="en-US" w:eastAsia="zh-CN" w:bidi="ar-SA"/>
              </w:rPr>
              <w:t>13.5</w:t>
            </w:r>
            <w:r>
              <w:rPr>
                <w:rFonts w:hint="eastAsia" w:ascii="宋体" w:hAnsi="宋体" w:eastAsia="宋体" w:cs="宋体"/>
                <w:b w:val="0"/>
                <w:bCs w:val="0"/>
                <w:color w:val="auto"/>
                <w:kern w:val="2"/>
                <w:sz w:val="24"/>
                <w:szCs w:val="24"/>
                <w:highlight w:val="none"/>
                <w:lang w:val="en-US" w:eastAsia="zh-CN" w:bidi="ar-SA"/>
              </w:rPr>
              <w:t>分；</w:t>
            </w:r>
          </w:p>
          <w:p w14:paraId="732D2887">
            <w:pPr>
              <w:pStyle w:val="31"/>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0"/>
                <w:sz w:val="24"/>
                <w:szCs w:val="24"/>
                <w:highlight w:val="none"/>
                <w:lang w:val="en-US" w:eastAsia="zh-CN"/>
              </w:rPr>
              <w:t>一般技术参数存在负偏离的（</w:t>
            </w:r>
            <w:r>
              <w:rPr>
                <w:rFonts w:hint="eastAsia" w:ascii="宋体" w:hAnsi="宋体" w:cs="宋体"/>
                <w:b w:val="0"/>
                <w:bCs w:val="0"/>
                <w:color w:val="auto"/>
                <w:kern w:val="0"/>
                <w:sz w:val="24"/>
                <w:szCs w:val="24"/>
                <w:highlight w:val="none"/>
                <w:lang w:val="en-US" w:eastAsia="zh-CN"/>
              </w:rPr>
              <w:t>76</w:t>
            </w:r>
            <w:r>
              <w:rPr>
                <w:rFonts w:hint="eastAsia" w:ascii="宋体" w:hAnsi="宋体" w:eastAsia="宋体" w:cs="宋体"/>
                <w:b w:val="0"/>
                <w:bCs w:val="0"/>
                <w:color w:val="auto"/>
                <w:kern w:val="0"/>
                <w:sz w:val="24"/>
                <w:szCs w:val="24"/>
                <w:highlight w:val="none"/>
                <w:lang w:val="en-US" w:eastAsia="zh-CN"/>
              </w:rPr>
              <w:t>条）</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每一条扣</w:t>
            </w:r>
            <w:r>
              <w:rPr>
                <w:rFonts w:hint="eastAsia" w:ascii="宋体" w:hAnsi="宋体" w:cs="宋体"/>
                <w:color w:val="auto"/>
                <w:kern w:val="2"/>
                <w:sz w:val="24"/>
                <w:szCs w:val="24"/>
                <w:highlight w:val="none"/>
                <w:lang w:val="en-US" w:eastAsia="zh-CN" w:bidi="ar-SA"/>
              </w:rPr>
              <w:t>0.3</w:t>
            </w:r>
            <w:r>
              <w:rPr>
                <w:rFonts w:hint="eastAsia" w:ascii="宋体" w:hAnsi="宋体" w:eastAsia="宋体" w:cs="宋体"/>
                <w:color w:val="auto"/>
                <w:kern w:val="2"/>
                <w:sz w:val="24"/>
                <w:szCs w:val="24"/>
                <w:highlight w:val="none"/>
                <w:lang w:val="en-US" w:eastAsia="zh-CN" w:bidi="ar-SA"/>
              </w:rPr>
              <w:t>分，最多扣</w:t>
            </w:r>
            <w:r>
              <w:rPr>
                <w:rFonts w:hint="eastAsia" w:ascii="宋体" w:hAnsi="宋体" w:cs="宋体"/>
                <w:color w:val="auto"/>
                <w:kern w:val="2"/>
                <w:sz w:val="24"/>
                <w:szCs w:val="24"/>
                <w:highlight w:val="none"/>
                <w:lang w:val="en-US" w:eastAsia="zh-CN" w:bidi="ar-SA"/>
              </w:rPr>
              <w:t>18.5</w:t>
            </w:r>
            <w:r>
              <w:rPr>
                <w:rFonts w:hint="eastAsia" w:ascii="宋体" w:hAnsi="宋体" w:eastAsia="宋体" w:cs="宋体"/>
                <w:b w:val="0"/>
                <w:bCs w:val="0"/>
                <w:color w:val="auto"/>
                <w:kern w:val="2"/>
                <w:sz w:val="24"/>
                <w:szCs w:val="24"/>
                <w:highlight w:val="none"/>
                <w:lang w:val="en-US" w:eastAsia="zh-CN" w:bidi="ar-SA"/>
              </w:rPr>
              <w:t>分</w:t>
            </w:r>
            <w:r>
              <w:rPr>
                <w:rFonts w:hint="eastAsia" w:ascii="宋体" w:hAnsi="宋体" w:cs="宋体"/>
                <w:b w:val="0"/>
                <w:bCs w:val="0"/>
                <w:color w:val="auto"/>
                <w:kern w:val="2"/>
                <w:sz w:val="24"/>
                <w:szCs w:val="24"/>
                <w:highlight w:val="none"/>
                <w:lang w:val="en-US" w:eastAsia="zh-CN" w:bidi="ar-SA"/>
              </w:rPr>
              <w:t>。</w:t>
            </w:r>
          </w:p>
          <w:p w14:paraId="6B91F607">
            <w:pPr>
              <w:widowControl/>
              <w:spacing w:line="400" w:lineRule="exact"/>
              <w:ind w:firstLine="482" w:firstLineChars="200"/>
              <w:textAlignment w:val="center"/>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eastAsia="zh-CN"/>
              </w:rPr>
              <w:t>注：负偏离评审依据：</w:t>
            </w:r>
            <w:r>
              <w:rPr>
                <w:rFonts w:hint="eastAsia" w:ascii="宋体" w:hAnsi="宋体" w:eastAsia="宋体" w:cs="宋体"/>
                <w:b/>
                <w:bCs/>
                <w:color w:val="auto"/>
                <w:sz w:val="24"/>
                <w:szCs w:val="24"/>
                <w:highlight w:val="none"/>
                <w:lang w:val="en-US" w:eastAsia="zh-CN"/>
              </w:rPr>
              <w:t>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w:t>
            </w:r>
            <w:r>
              <w:rPr>
                <w:rFonts w:hint="eastAsia"/>
                <w:b/>
                <w:bCs/>
                <w:color w:val="auto"/>
                <w:sz w:val="24"/>
                <w:szCs w:val="24"/>
                <w:highlight w:val="none"/>
              </w:rPr>
              <w:t>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14:paraId="4A48F5EF">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2</w:t>
            </w:r>
          </w:p>
        </w:tc>
      </w:tr>
      <w:tr w14:paraId="2F371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14:paraId="7FE23F69">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6CA1854F">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业绩证明</w:t>
            </w:r>
          </w:p>
        </w:tc>
        <w:tc>
          <w:tcPr>
            <w:tcW w:w="5954" w:type="dxa"/>
            <w:tcMar>
              <w:top w:w="15" w:type="dxa"/>
              <w:left w:w="15" w:type="dxa"/>
              <w:right w:w="15" w:type="dxa"/>
            </w:tcMar>
            <w:vAlign w:val="center"/>
          </w:tcPr>
          <w:p w14:paraId="0A971E0E">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供应商近三年内（</w:t>
            </w:r>
            <w:r>
              <w:rPr>
                <w:rFonts w:hint="eastAsia" w:ascii="宋体" w:hAnsi="宋体" w:eastAsia="宋体" w:cs="宋体"/>
                <w:color w:val="auto"/>
                <w:sz w:val="24"/>
                <w:szCs w:val="24"/>
                <w:highlight w:val="none"/>
                <w:lang w:val="en-US" w:eastAsia="zh-CN"/>
              </w:rPr>
              <w:t>2021</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日起至今，以合同签订日期为准）完成类似项目的业绩，每个项目业绩得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分，最多得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p>
          <w:p w14:paraId="4835EF5B">
            <w:pPr>
              <w:widowControl/>
              <w:spacing w:line="400" w:lineRule="exact"/>
              <w:ind w:firstLine="482" w:firstLineChars="200"/>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14:paraId="0815D23E">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r>
      <w:tr w14:paraId="1C26D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14:paraId="4AB00607">
            <w:pPr>
              <w:widowControl/>
              <w:spacing w:line="400" w:lineRule="exact"/>
              <w:jc w:val="center"/>
              <w:textAlignment w:val="center"/>
              <w:rPr>
                <w:rFonts w:hint="eastAsia" w:ascii="宋体" w:hAnsi="宋体" w:eastAsia="宋体" w:cs="宋体"/>
                <w:color w:val="auto"/>
                <w:kern w:val="0"/>
                <w:sz w:val="24"/>
                <w:szCs w:val="24"/>
                <w:highlight w:val="none"/>
              </w:rPr>
            </w:pPr>
          </w:p>
        </w:tc>
        <w:tc>
          <w:tcPr>
            <w:tcW w:w="1371" w:type="dxa"/>
            <w:tcMar>
              <w:top w:w="15" w:type="dxa"/>
              <w:left w:w="15" w:type="dxa"/>
              <w:right w:w="15" w:type="dxa"/>
            </w:tcMar>
            <w:vAlign w:val="center"/>
          </w:tcPr>
          <w:p w14:paraId="54F9FAA0">
            <w:pPr>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项目组织</w:t>
            </w:r>
          </w:p>
          <w:p w14:paraId="1ED25D3F">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方案评价</w:t>
            </w:r>
          </w:p>
        </w:tc>
        <w:tc>
          <w:tcPr>
            <w:tcW w:w="5954" w:type="dxa"/>
            <w:tcMar>
              <w:top w:w="15" w:type="dxa"/>
              <w:left w:w="15" w:type="dxa"/>
              <w:right w:w="15" w:type="dxa"/>
            </w:tcMar>
            <w:vAlign w:val="center"/>
          </w:tcPr>
          <w:p w14:paraId="41193628">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根据供应商提供的项目</w:t>
            </w:r>
            <w:r>
              <w:rPr>
                <w:rFonts w:hint="eastAsia" w:ascii="宋体" w:hAnsi="宋体" w:cs="宋体"/>
                <w:color w:val="auto"/>
                <w:sz w:val="24"/>
                <w:szCs w:val="24"/>
                <w:highlight w:val="none"/>
                <w:lang w:val="en-US" w:eastAsia="zh-CN"/>
              </w:rPr>
              <w:t>组织</w:t>
            </w:r>
            <w:r>
              <w:rPr>
                <w:rFonts w:hint="eastAsia" w:ascii="宋体" w:hAnsi="宋体" w:eastAsia="宋体" w:cs="宋体"/>
                <w:color w:val="auto"/>
                <w:sz w:val="24"/>
                <w:szCs w:val="24"/>
                <w:highlight w:val="none"/>
                <w:lang w:eastAsia="zh-CN"/>
              </w:rPr>
              <w:t>方案进行评分：</w:t>
            </w:r>
          </w:p>
          <w:p w14:paraId="6424F5FE">
            <w:pPr>
              <w:widowControl/>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项目</w:t>
            </w:r>
            <w:r>
              <w:rPr>
                <w:rFonts w:hint="eastAsia" w:ascii="宋体" w:hAnsi="宋体" w:cs="宋体"/>
                <w:color w:val="auto"/>
                <w:sz w:val="24"/>
                <w:szCs w:val="24"/>
                <w:highlight w:val="none"/>
                <w:lang w:val="en-US" w:eastAsia="zh-CN"/>
              </w:rPr>
              <w:t>组织</w:t>
            </w:r>
            <w:r>
              <w:rPr>
                <w:rFonts w:hint="eastAsia" w:ascii="宋体" w:hAnsi="宋体" w:eastAsia="宋体" w:cs="宋体"/>
                <w:color w:val="auto"/>
                <w:sz w:val="24"/>
                <w:szCs w:val="24"/>
                <w:highlight w:val="none"/>
                <w:lang w:eastAsia="zh-CN"/>
              </w:rPr>
              <w:t>方案</w:t>
            </w:r>
            <w:r>
              <w:rPr>
                <w:rFonts w:hint="eastAsia" w:ascii="宋体" w:hAnsi="宋体" w:eastAsia="宋体" w:cs="宋体"/>
                <w:b w:val="0"/>
                <w:bCs w:val="0"/>
                <w:color w:val="auto"/>
                <w:sz w:val="24"/>
                <w:szCs w:val="24"/>
                <w:highlight w:val="none"/>
              </w:rPr>
              <w:t>包括但不限于：</w:t>
            </w:r>
            <w:r>
              <w:rPr>
                <w:rFonts w:hint="eastAsia" w:ascii="宋体" w:hAnsi="宋体" w:eastAsia="宋体" w:cs="宋体"/>
                <w:b w:val="0"/>
                <w:bCs w:val="0"/>
                <w:color w:val="auto"/>
                <w:sz w:val="24"/>
                <w:szCs w:val="24"/>
                <w:highlight w:val="none"/>
                <w:lang w:eastAsia="zh-CN"/>
              </w:rPr>
              <w:t>①</w:t>
            </w:r>
            <w:r>
              <w:rPr>
                <w:rFonts w:hint="eastAsia" w:ascii="宋体" w:hAnsi="宋体" w:eastAsia="宋体" w:cs="宋体"/>
                <w:b w:val="0"/>
                <w:bCs w:val="0"/>
                <w:color w:val="auto"/>
                <w:sz w:val="24"/>
                <w:szCs w:val="24"/>
                <w:highlight w:val="none"/>
              </w:rPr>
              <w:t>项目人员安排（包含但不限于主要人员名单及基本情况介绍、在本项目中承担的职责等）、</w:t>
            </w:r>
            <w:r>
              <w:rPr>
                <w:rFonts w:hint="eastAsia" w:ascii="宋体" w:hAnsi="宋体" w:eastAsia="宋体" w:cs="宋体"/>
                <w:b w:val="0"/>
                <w:bCs w:val="0"/>
                <w:color w:val="auto"/>
                <w:sz w:val="24"/>
                <w:szCs w:val="24"/>
                <w:highlight w:val="none"/>
                <w:lang w:eastAsia="zh-CN"/>
              </w:rPr>
              <w:t>②</w:t>
            </w:r>
            <w:r>
              <w:rPr>
                <w:rFonts w:hint="eastAsia" w:ascii="宋体" w:hAnsi="宋体" w:eastAsia="宋体" w:cs="宋体"/>
                <w:b w:val="0"/>
                <w:bCs w:val="0"/>
                <w:color w:val="auto"/>
                <w:sz w:val="24"/>
                <w:szCs w:val="24"/>
                <w:highlight w:val="none"/>
              </w:rPr>
              <w:t>供货方案（包含但不限于产品来源、供货计划、供货时间、包装和运输方式等）、</w:t>
            </w:r>
            <w:r>
              <w:rPr>
                <w:rFonts w:hint="eastAsia" w:ascii="宋体" w:hAnsi="宋体" w:eastAsia="宋体" w:cs="宋体"/>
                <w:b w:val="0"/>
                <w:bCs w:val="0"/>
                <w:color w:val="auto"/>
                <w:sz w:val="24"/>
                <w:szCs w:val="24"/>
                <w:highlight w:val="none"/>
                <w:lang w:eastAsia="zh-CN"/>
              </w:rPr>
              <w:t>③</w:t>
            </w:r>
            <w:r>
              <w:rPr>
                <w:rFonts w:hint="eastAsia" w:ascii="宋体" w:hAnsi="宋体" w:eastAsia="宋体" w:cs="宋体"/>
                <w:b w:val="0"/>
                <w:bCs w:val="0"/>
                <w:color w:val="auto"/>
                <w:sz w:val="24"/>
                <w:szCs w:val="24"/>
                <w:highlight w:val="none"/>
              </w:rPr>
              <w:t>质量管控方案（包括但不限于质量管控的标准、方法和程序等）、</w:t>
            </w:r>
            <w:r>
              <w:rPr>
                <w:rFonts w:hint="eastAsia" w:ascii="宋体" w:hAnsi="宋体" w:eastAsia="宋体" w:cs="宋体"/>
                <w:b w:val="0"/>
                <w:bCs w:val="0"/>
                <w:color w:val="auto"/>
                <w:sz w:val="24"/>
                <w:szCs w:val="24"/>
                <w:highlight w:val="none"/>
                <w:lang w:eastAsia="zh-CN"/>
              </w:rPr>
              <w:t>④</w:t>
            </w:r>
            <w:r>
              <w:rPr>
                <w:rFonts w:hint="eastAsia" w:ascii="宋体" w:hAnsi="宋体" w:eastAsia="宋体" w:cs="宋体"/>
                <w:b w:val="0"/>
                <w:bCs w:val="0"/>
                <w:color w:val="auto"/>
                <w:sz w:val="24"/>
                <w:szCs w:val="24"/>
                <w:highlight w:val="none"/>
              </w:rPr>
              <w:t>测试（调试）方案（包含但不限于人员安排、测试步骤、测试标准等）等4项内容，方案内容完整齐全，符合项目实际（第六章“项目需求”）的，得</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分；每缺少一项方案内容，或一项内容存在缺陷的，每一项扣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分，扣完为止；未提供</w:t>
            </w:r>
            <w:r>
              <w:rPr>
                <w:rFonts w:hint="eastAsia" w:ascii="宋体" w:hAnsi="宋体" w:eastAsia="宋体" w:cs="宋体"/>
                <w:color w:val="auto"/>
                <w:sz w:val="24"/>
                <w:szCs w:val="24"/>
                <w:highlight w:val="none"/>
                <w:lang w:eastAsia="zh-CN"/>
              </w:rPr>
              <w:t>项目</w:t>
            </w:r>
            <w:r>
              <w:rPr>
                <w:rFonts w:hint="eastAsia" w:ascii="宋体" w:hAnsi="宋体" w:cs="宋体"/>
                <w:color w:val="auto"/>
                <w:sz w:val="24"/>
                <w:szCs w:val="24"/>
                <w:highlight w:val="none"/>
                <w:lang w:val="en-US" w:eastAsia="zh-CN"/>
              </w:rPr>
              <w:t>组织</w:t>
            </w:r>
            <w:r>
              <w:rPr>
                <w:rFonts w:hint="eastAsia" w:ascii="宋体" w:hAnsi="宋体" w:eastAsia="宋体" w:cs="宋体"/>
                <w:color w:val="auto"/>
                <w:sz w:val="24"/>
                <w:szCs w:val="24"/>
                <w:highlight w:val="none"/>
                <w:lang w:eastAsia="zh-CN"/>
              </w:rPr>
              <w:t>方案</w:t>
            </w:r>
            <w:r>
              <w:rPr>
                <w:rFonts w:hint="eastAsia" w:ascii="宋体" w:hAnsi="宋体" w:eastAsia="宋体" w:cs="宋体"/>
                <w:b w:val="0"/>
                <w:bCs w:val="0"/>
                <w:color w:val="auto"/>
                <w:sz w:val="24"/>
                <w:szCs w:val="24"/>
                <w:highlight w:val="none"/>
              </w:rPr>
              <w:t>的，此项不得分。</w:t>
            </w:r>
          </w:p>
          <w:p w14:paraId="75356E78">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5F2545B6">
            <w:pPr>
              <w:widowControl/>
              <w:spacing w:line="40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p>
        </w:tc>
      </w:tr>
      <w:tr w14:paraId="50ABE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14:paraId="7DE8E60B">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Mar>
              <w:top w:w="15" w:type="dxa"/>
              <w:left w:w="15" w:type="dxa"/>
              <w:right w:w="15" w:type="dxa"/>
            </w:tcMar>
            <w:vAlign w:val="center"/>
          </w:tcPr>
          <w:p w14:paraId="4CAB87F2">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技术培训</w:t>
            </w:r>
          </w:p>
          <w:p w14:paraId="5CDB7450">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方案评价</w:t>
            </w:r>
          </w:p>
        </w:tc>
        <w:tc>
          <w:tcPr>
            <w:tcW w:w="5954" w:type="dxa"/>
            <w:tcMar>
              <w:top w:w="15" w:type="dxa"/>
              <w:left w:w="15" w:type="dxa"/>
              <w:right w:w="15" w:type="dxa"/>
            </w:tcMar>
            <w:vAlign w:val="center"/>
          </w:tcPr>
          <w:p w14:paraId="3D30C446">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w:t>
            </w: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eastAsia="zh-CN"/>
              </w:rPr>
              <w:t>培训方案进行评分：</w:t>
            </w:r>
          </w:p>
          <w:p w14:paraId="5887F00B">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eastAsia="zh-CN"/>
              </w:rPr>
              <w:t>培训方案包括但不限于</w:t>
            </w:r>
            <w:r>
              <w:rPr>
                <w:rFonts w:hint="eastAsia" w:ascii="宋体" w:hAnsi="宋体" w:eastAsia="宋体" w:cs="宋体"/>
                <w:color w:val="auto"/>
                <w:sz w:val="24"/>
                <w:szCs w:val="24"/>
                <w:highlight w:val="none"/>
                <w:lang w:val="en-US" w:eastAsia="zh-CN"/>
              </w:rPr>
              <w:t>培训内容、培训方式、培训计划、培训团队人员配置</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lang w:val="en-US" w:eastAsia="zh-CN"/>
              </w:rPr>
              <w:t>4项内容，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分；每缺少一项方案内容，或一项内容存在缺陷的，每一项扣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分，扣完为止；未提供</w:t>
            </w: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eastAsia="zh-CN"/>
              </w:rPr>
              <w:t>培训方案</w:t>
            </w:r>
            <w:r>
              <w:rPr>
                <w:rFonts w:hint="eastAsia" w:ascii="宋体" w:hAnsi="宋体" w:eastAsia="宋体" w:cs="宋体"/>
                <w:color w:val="auto"/>
                <w:sz w:val="24"/>
                <w:szCs w:val="24"/>
                <w:highlight w:val="none"/>
                <w:lang w:val="en-US" w:eastAsia="zh-CN"/>
              </w:rPr>
              <w:t>的，此项不得分。</w:t>
            </w:r>
          </w:p>
          <w:p w14:paraId="0872A245">
            <w:pPr>
              <w:snapToGrid w:val="0"/>
              <w:spacing w:line="400" w:lineRule="exact"/>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4AEE0434">
            <w:pPr>
              <w:widowControl/>
              <w:spacing w:line="40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05C27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14:paraId="12863264">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2DF2DA1F">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售后服务</w:t>
            </w:r>
          </w:p>
          <w:p w14:paraId="5D639B82">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方案评价</w:t>
            </w:r>
          </w:p>
        </w:tc>
        <w:tc>
          <w:tcPr>
            <w:tcW w:w="5954" w:type="dxa"/>
            <w:tcMar>
              <w:top w:w="15" w:type="dxa"/>
              <w:left w:w="15" w:type="dxa"/>
              <w:right w:w="15" w:type="dxa"/>
            </w:tcMar>
            <w:vAlign w:val="center"/>
          </w:tcPr>
          <w:p w14:paraId="1F8C67A8">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根据供应商提供的售后服务方案进行评分：</w:t>
            </w:r>
          </w:p>
          <w:p w14:paraId="2FEBD6E3">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售后服务方案包括但不限于</w:t>
            </w:r>
            <w:r>
              <w:rPr>
                <w:rFonts w:hint="eastAsia" w:ascii="宋体" w:hAnsi="宋体" w:eastAsia="宋体" w:cs="宋体"/>
                <w:color w:val="auto"/>
                <w:sz w:val="24"/>
                <w:szCs w:val="24"/>
                <w:highlight w:val="none"/>
                <w:lang w:val="en-US" w:eastAsia="zh-CN"/>
              </w:rPr>
              <w:t>售后服务承诺、备件（易耗品）供应方案（含备件价格）、服务人员配备</w:t>
            </w:r>
            <w:r>
              <w:rPr>
                <w:rFonts w:hint="eastAsia" w:ascii="宋体" w:hAnsi="宋体" w:cs="宋体"/>
                <w:color w:val="auto"/>
                <w:sz w:val="24"/>
                <w:szCs w:val="24"/>
                <w:highlight w:val="none"/>
                <w:lang w:val="en-US" w:eastAsia="zh-CN"/>
              </w:rPr>
              <w:t>及服务响应方案</w:t>
            </w:r>
            <w:r>
              <w:rPr>
                <w:rFonts w:hint="eastAsia" w:ascii="宋体" w:hAnsi="宋体" w:eastAsia="宋体" w:cs="宋体"/>
                <w:color w:val="auto"/>
                <w:sz w:val="24"/>
                <w:szCs w:val="24"/>
                <w:highlight w:val="none"/>
                <w:lang w:val="en-US" w:eastAsia="zh-CN"/>
              </w:rPr>
              <w:t>、故障响应措施、质保外服务措施</w:t>
            </w:r>
            <w:r>
              <w:rPr>
                <w:rFonts w:hint="eastAsia" w:ascii="宋体" w:hAnsi="宋体" w:eastAsia="宋体" w:cs="宋体"/>
                <w:color w:val="auto"/>
                <w:sz w:val="24"/>
                <w:szCs w:val="24"/>
                <w:highlight w:val="none"/>
                <w:lang w:eastAsia="zh-CN"/>
              </w:rPr>
              <w:t>等</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项内容，</w:t>
            </w:r>
            <w:r>
              <w:rPr>
                <w:rFonts w:hint="eastAsia" w:ascii="宋体" w:hAnsi="宋体" w:eastAsia="宋体" w:cs="宋体"/>
                <w:color w:val="auto"/>
                <w:sz w:val="24"/>
                <w:szCs w:val="24"/>
                <w:highlight w:val="none"/>
                <w:lang w:eastAsia="zh-CN"/>
              </w:rPr>
              <w:t>方案内容完整齐全，符合项目实际的，得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分；每缺少一项方案内容，或一项内容存在缺陷的，每一项扣2分，扣完为止；未提供</w:t>
            </w:r>
            <w:r>
              <w:rPr>
                <w:rFonts w:hint="eastAsia" w:ascii="宋体" w:hAnsi="宋体" w:eastAsia="宋体" w:cs="宋体"/>
                <w:color w:val="auto"/>
                <w:sz w:val="24"/>
                <w:szCs w:val="24"/>
                <w:highlight w:val="none"/>
                <w:lang w:eastAsia="zh-CN"/>
              </w:rPr>
              <w:t>售后服务方案</w:t>
            </w:r>
            <w:r>
              <w:rPr>
                <w:rFonts w:hint="eastAsia" w:ascii="宋体" w:hAnsi="宋体" w:eastAsia="宋体" w:cs="宋体"/>
                <w:color w:val="auto"/>
                <w:sz w:val="24"/>
                <w:szCs w:val="24"/>
                <w:highlight w:val="none"/>
                <w:lang w:val="en-US" w:eastAsia="zh-CN"/>
              </w:rPr>
              <w:t>的，此项不得分。</w:t>
            </w:r>
          </w:p>
          <w:p w14:paraId="0DA2ED53">
            <w:pPr>
              <w:snapToGrid w:val="0"/>
              <w:spacing w:line="40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14:paraId="2495C780">
            <w:pPr>
              <w:snapToGri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p>
        </w:tc>
      </w:tr>
      <w:tr w14:paraId="5C27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14:paraId="69C37A70">
            <w:pPr>
              <w:widowControl/>
              <w:spacing w:line="400" w:lineRule="exact"/>
              <w:jc w:val="center"/>
              <w:textAlignment w:val="center"/>
              <w:rPr>
                <w:rFonts w:hint="eastAsia" w:ascii="宋体" w:hAnsi="宋体" w:eastAsia="宋体" w:cs="宋体"/>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52043DB7">
            <w:pPr>
              <w:widowControl/>
              <w:spacing w:line="400" w:lineRule="exact"/>
              <w:jc w:val="center"/>
              <w:textAlignment w:val="center"/>
              <w:rPr>
                <w:rFonts w:hint="eastAsia" w:ascii="宋体" w:hAnsi="宋体" w:eastAsia="宋体" w:cs="宋体"/>
                <w:color w:val="auto"/>
                <w:kern w:val="0"/>
                <w:sz w:val="24"/>
                <w:szCs w:val="24"/>
                <w:highlight w:val="none"/>
              </w:rPr>
            </w:pPr>
            <w:r>
              <w:rPr>
                <w:rFonts w:hint="eastAsia" w:hAnsi="宋体" w:cs="宋体"/>
                <w:color w:val="auto"/>
                <w:sz w:val="24"/>
                <w:szCs w:val="24"/>
                <w:highlight w:val="none"/>
              </w:rPr>
              <w:t>投标样品评价</w:t>
            </w:r>
          </w:p>
        </w:tc>
        <w:tc>
          <w:tcPr>
            <w:tcW w:w="5954" w:type="dxa"/>
            <w:tcMar>
              <w:top w:w="15" w:type="dxa"/>
              <w:left w:w="15" w:type="dxa"/>
              <w:right w:w="15" w:type="dxa"/>
            </w:tcMar>
            <w:vAlign w:val="center"/>
          </w:tcPr>
          <w:p w14:paraId="318F7092">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14:paraId="29C351AF">
            <w:pPr>
              <w:spacing w:line="400" w:lineRule="exact"/>
              <w:ind w:firstLine="480" w:firstLineChars="200"/>
              <w:jc w:val="left"/>
              <w:rPr>
                <w:color w:val="auto"/>
                <w:sz w:val="24"/>
                <w:szCs w:val="24"/>
                <w:highlight w:val="none"/>
              </w:rPr>
            </w:pPr>
            <w:r>
              <w:rPr>
                <w:rFonts w:hint="eastAsia"/>
                <w:color w:val="auto"/>
                <w:sz w:val="24"/>
                <w:szCs w:val="24"/>
                <w:highlight w:val="none"/>
              </w:rPr>
              <w:t>根据投标人提供样品的整体性能进行评审：1.符合人体设计工学、结构合理、操作简单快捷、便于</w:t>
            </w:r>
            <w:r>
              <w:rPr>
                <w:rFonts w:hint="eastAsia"/>
                <w:color w:val="auto"/>
                <w:sz w:val="24"/>
                <w:szCs w:val="24"/>
                <w:highlight w:val="none"/>
                <w:lang w:val="en-US" w:eastAsia="zh-CN"/>
              </w:rPr>
              <w:t>穿戴</w:t>
            </w:r>
            <w:r>
              <w:rPr>
                <w:rFonts w:hint="eastAsia"/>
                <w:color w:val="auto"/>
                <w:sz w:val="24"/>
                <w:szCs w:val="24"/>
                <w:highlight w:val="none"/>
              </w:rPr>
              <w:t>；2.制作工艺水平高，外观整体较好；3.无影响使用性能的安全隐患；4.功能实用性能强，贴合灭火救援实战需要。各项性能完备的得</w:t>
            </w:r>
            <w:r>
              <w:rPr>
                <w:rFonts w:hint="eastAsia"/>
                <w:color w:val="auto"/>
                <w:sz w:val="24"/>
                <w:szCs w:val="24"/>
                <w:highlight w:val="none"/>
                <w:lang w:val="en-US" w:eastAsia="zh-CN"/>
              </w:rPr>
              <w:t>8</w:t>
            </w:r>
            <w:r>
              <w:rPr>
                <w:rFonts w:hint="eastAsia"/>
                <w:color w:val="auto"/>
                <w:sz w:val="24"/>
                <w:szCs w:val="24"/>
                <w:highlight w:val="none"/>
              </w:rPr>
              <w:t>分，每有一项存在瑕疵或不符合采购人使用需求的，扣</w:t>
            </w:r>
            <w:r>
              <w:rPr>
                <w:rFonts w:hint="eastAsia"/>
                <w:color w:val="auto"/>
                <w:sz w:val="24"/>
                <w:szCs w:val="24"/>
                <w:highlight w:val="none"/>
                <w:lang w:val="en-US" w:eastAsia="zh-CN"/>
              </w:rPr>
              <w:t>2</w:t>
            </w:r>
            <w:r>
              <w:rPr>
                <w:rFonts w:hint="eastAsia"/>
                <w:color w:val="auto"/>
                <w:sz w:val="24"/>
                <w:szCs w:val="24"/>
                <w:highlight w:val="none"/>
              </w:rPr>
              <w:t>分，扣完为止。</w:t>
            </w:r>
          </w:p>
          <w:p w14:paraId="24AD302C">
            <w:pPr>
              <w:snapToGrid w:val="0"/>
              <w:spacing w:line="400" w:lineRule="exact"/>
              <w:ind w:firstLine="482" w:firstLineChars="200"/>
              <w:rPr>
                <w:rFonts w:hint="eastAsia" w:ascii="宋体" w:hAnsi="宋体" w:eastAsia="宋体" w:cs="宋体"/>
                <w:b/>
                <w:bCs/>
                <w:color w:val="auto"/>
                <w:sz w:val="24"/>
                <w:szCs w:val="24"/>
                <w:highlight w:val="none"/>
                <w:lang w:val="en-US" w:eastAsia="zh-CN"/>
              </w:rPr>
            </w:pPr>
            <w:r>
              <w:rPr>
                <w:rFonts w:hint="eastAsia"/>
                <w:b/>
                <w:bCs/>
                <w:color w:val="auto"/>
                <w:sz w:val="24"/>
                <w:szCs w:val="24"/>
                <w:highlight w:val="none"/>
              </w:rPr>
              <w:t>注：样品由采购代理机构提前编号并作登记，评标委员会采用盲评形式进行评审。</w:t>
            </w:r>
          </w:p>
        </w:tc>
        <w:tc>
          <w:tcPr>
            <w:tcW w:w="687" w:type="dxa"/>
            <w:tcMar>
              <w:top w:w="15" w:type="dxa"/>
              <w:left w:w="15" w:type="dxa"/>
              <w:right w:w="15" w:type="dxa"/>
            </w:tcMar>
            <w:vAlign w:val="center"/>
          </w:tcPr>
          <w:p w14:paraId="1827CA75">
            <w:pPr>
              <w:snapToGri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709EC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14:paraId="16969E78">
            <w:pPr>
              <w:widowControl/>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合计：100分</w:t>
            </w:r>
          </w:p>
        </w:tc>
      </w:tr>
    </w:tbl>
    <w:p w14:paraId="4BC6AB2A">
      <w:pPr>
        <w:pStyle w:val="4"/>
        <w:ind w:left="0" w:leftChars="0" w:firstLine="0" w:firstLineChars="0"/>
        <w:rPr>
          <w:rFonts w:hint="eastAsia" w:asciiTheme="minorEastAsia" w:hAnsiTheme="minorEastAsia" w:eastAsiaTheme="minorEastAsia" w:cstheme="minorEastAsia"/>
          <w:b/>
          <w:bCs/>
          <w:color w:val="auto"/>
          <w:sz w:val="24"/>
          <w:szCs w:val="24"/>
          <w:highlight w:val="none"/>
        </w:rPr>
      </w:pPr>
    </w:p>
    <w:p w14:paraId="73C2BEA1">
      <w:pPr>
        <w:pStyle w:val="4"/>
        <w:ind w:left="0" w:leftChars="0" w:firstLine="0" w:firstLineChars="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6"/>
    <w:bookmarkEnd w:id="17"/>
    <w:bookmarkEnd w:id="18"/>
    <w:bookmarkEnd w:id="19"/>
    <w:bookmarkEnd w:id="20"/>
    <w:bookmarkEnd w:id="21"/>
    <w:bookmarkEnd w:id="31"/>
    <w:p w14:paraId="0D961E4D">
      <w:pPr>
        <w:spacing w:line="400" w:lineRule="exact"/>
        <w:ind w:firstLine="480" w:firstLineChars="200"/>
        <w:rPr>
          <w:rFonts w:asciiTheme="minorEastAsia" w:hAnsiTheme="minorEastAsia" w:eastAsiaTheme="minorEastAsia" w:cstheme="minorEastAsia"/>
          <w:color w:val="auto"/>
          <w:sz w:val="24"/>
          <w:szCs w:val="24"/>
          <w:highlight w:val="none"/>
        </w:rPr>
      </w:pPr>
      <w:bookmarkStart w:id="100" w:name="_Toc26728"/>
      <w:bookmarkStart w:id="101" w:name="_Toc15450"/>
      <w:bookmarkStart w:id="102" w:name="_Toc12223"/>
      <w:bookmarkStart w:id="103" w:name="_Hlt16619350"/>
      <w:bookmarkStart w:id="104" w:name="_Toc20823346"/>
      <w:bookmarkStart w:id="105" w:name="_Toc120614244"/>
      <w:bookmarkStart w:id="106" w:name="_Toc16938590"/>
      <w:bookmarkStart w:id="107" w:name="_Toc462564139"/>
      <w:bookmarkStart w:id="108" w:name="_Toc479757211"/>
      <w:bookmarkStart w:id="109" w:name="_Toc31151"/>
      <w:bookmarkStart w:id="110" w:name="_Toc17639"/>
      <w:bookmarkStart w:id="111" w:name="_Toc9411"/>
      <w:r>
        <w:rPr>
          <w:rFonts w:hint="eastAsia" w:asciiTheme="minorEastAsia" w:hAnsiTheme="minorEastAsia" w:eastAsiaTheme="minorEastAsia" w:cstheme="minorEastAsia"/>
          <w:color w:val="auto"/>
          <w:sz w:val="24"/>
          <w:szCs w:val="24"/>
          <w:highlight w:val="none"/>
        </w:rPr>
        <w:t>1.小微型企业价格扣除</w:t>
      </w:r>
    </w:p>
    <w:p w14:paraId="7EE27593">
      <w:pPr>
        <w:spacing w:line="400" w:lineRule="exact"/>
        <w:ind w:firstLine="480" w:firstLineChars="200"/>
        <w:rPr>
          <w:rFonts w:hint="eastAsia" w:ascii="宋体" w:hAnsi="宋体" w:cs="宋体"/>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zh-CN" w:eastAsia="zh-CN"/>
        </w:rPr>
        <w:t>本项目专门面向中小企业采购，价格不再进行财政政策扣除；</w:t>
      </w:r>
    </w:p>
    <w:p w14:paraId="534E2F16">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供应商需按照采购文件的要求提供相应的《中小企业声明函》。</w:t>
      </w:r>
    </w:p>
    <w:p w14:paraId="6D957462">
      <w:pPr>
        <w:spacing w:line="400" w:lineRule="exact"/>
        <w:ind w:firstLine="480" w:firstLineChars="200"/>
        <w:rPr>
          <w:rFonts w:hint="eastAsia"/>
          <w:color w:val="auto"/>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14:paraId="14550B31">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14:paraId="2C8448A2">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（1）本项目对残疾人福利性单位视同小型、微型企业，</w:t>
      </w:r>
      <w:r>
        <w:rPr>
          <w:rFonts w:hint="eastAsia" w:asciiTheme="minorEastAsia" w:hAnsiTheme="minorEastAsia" w:eastAsiaTheme="minorEastAsia" w:cstheme="minorEastAsia"/>
          <w:color w:val="auto"/>
          <w:sz w:val="24"/>
          <w:szCs w:val="24"/>
          <w:highlight w:val="none"/>
          <w:lang w:val="zh-CN" w:eastAsia="zh-CN"/>
        </w:rPr>
        <w:t>价格不再进行财政政策扣除</w:t>
      </w:r>
      <w:r>
        <w:rPr>
          <w:rFonts w:hint="eastAsia" w:asciiTheme="minorEastAsia" w:hAnsiTheme="minorEastAsia" w:eastAsiaTheme="minorEastAsia" w:cstheme="minorEastAsia"/>
          <w:color w:val="auto"/>
          <w:sz w:val="24"/>
          <w:szCs w:val="24"/>
          <w:highlight w:val="none"/>
        </w:rPr>
        <w:t>。</w:t>
      </w:r>
    </w:p>
    <w:p w14:paraId="056375B7">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14:paraId="6FAF61DF">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14:paraId="10B1CA2A">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14:paraId="3035A6F4">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（1）本项目对监狱和戒毒企业（简称监狱企业）视同小型、微型企业，</w:t>
      </w:r>
      <w:r>
        <w:rPr>
          <w:rFonts w:hint="eastAsia" w:asciiTheme="minorEastAsia" w:hAnsiTheme="minorEastAsia" w:eastAsiaTheme="minorEastAsia" w:cstheme="minorEastAsia"/>
          <w:color w:val="auto"/>
          <w:sz w:val="24"/>
          <w:szCs w:val="24"/>
          <w:highlight w:val="none"/>
          <w:lang w:val="zh-CN" w:eastAsia="zh-CN"/>
        </w:rPr>
        <w:t>价格不再进行财政政策扣除</w:t>
      </w:r>
      <w:r>
        <w:rPr>
          <w:rFonts w:hint="eastAsia" w:asciiTheme="minorEastAsia" w:hAnsiTheme="minorEastAsia" w:eastAsiaTheme="minorEastAsia" w:cstheme="minorEastAsia"/>
          <w:color w:val="auto"/>
          <w:sz w:val="24"/>
          <w:szCs w:val="24"/>
          <w:highlight w:val="none"/>
        </w:rPr>
        <w:t>。</w:t>
      </w:r>
    </w:p>
    <w:p w14:paraId="5F2CB7E3">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6C730F3D">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14:paraId="26677242">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14:paraId="233C97BA">
      <w:pPr>
        <w:pStyle w:val="31"/>
        <w:rPr>
          <w:rFonts w:hint="eastAsia"/>
          <w:color w:val="auto"/>
          <w:highlight w:val="none"/>
        </w:rPr>
      </w:pPr>
    </w:p>
    <w:p w14:paraId="537D74D6">
      <w:pPr>
        <w:pStyle w:val="31"/>
        <w:rPr>
          <w:rFonts w:hint="eastAsia"/>
          <w:color w:val="auto"/>
          <w:highlight w:val="none"/>
        </w:rPr>
      </w:pPr>
    </w:p>
    <w:p w14:paraId="7B502C71">
      <w:pPr>
        <w:pStyle w:val="31"/>
        <w:rPr>
          <w:rFonts w:hint="eastAsia"/>
          <w:color w:val="auto"/>
          <w:highlight w:val="none"/>
        </w:rPr>
      </w:pPr>
    </w:p>
    <w:p w14:paraId="15B9C5ED">
      <w:pPr>
        <w:pStyle w:val="31"/>
        <w:rPr>
          <w:rFonts w:hint="eastAsia"/>
          <w:color w:val="auto"/>
          <w:highlight w:val="none"/>
        </w:rPr>
      </w:pPr>
    </w:p>
    <w:p w14:paraId="7A7D456C">
      <w:pPr>
        <w:rPr>
          <w:rFonts w:hint="eastAsia"/>
          <w:color w:val="auto"/>
          <w:highlight w:val="none"/>
        </w:rPr>
      </w:pPr>
      <w:r>
        <w:rPr>
          <w:rFonts w:hint="eastAsia"/>
          <w:color w:val="auto"/>
          <w:highlight w:val="none"/>
        </w:rPr>
        <w:br w:type="page"/>
      </w:r>
    </w:p>
    <w:p w14:paraId="39A816A0">
      <w:pPr>
        <w:pStyle w:val="3"/>
        <w:rPr>
          <w:rFonts w:hint="eastAsia" w:ascii="宋体" w:hAnsi="宋体" w:eastAsia="宋体" w:cs="宋体"/>
          <w:color w:val="auto"/>
          <w:highlight w:val="none"/>
        </w:rPr>
      </w:pPr>
    </w:p>
    <w:p w14:paraId="0B7FC89C">
      <w:pPr>
        <w:pStyle w:val="3"/>
        <w:rPr>
          <w:rFonts w:hint="eastAsia" w:ascii="宋体" w:hAnsi="宋体" w:eastAsia="宋体" w:cs="宋体"/>
          <w:color w:val="auto"/>
          <w:highlight w:val="none"/>
        </w:rPr>
      </w:pPr>
      <w:r>
        <w:rPr>
          <w:rFonts w:hint="eastAsia" w:ascii="宋体" w:hAnsi="宋体" w:eastAsia="宋体" w:cs="宋体"/>
          <w:color w:val="auto"/>
          <w:highlight w:val="none"/>
        </w:rPr>
        <w:t>第四章拟订立的合同样本</w:t>
      </w:r>
      <w:bookmarkEnd w:id="100"/>
      <w:bookmarkEnd w:id="101"/>
      <w:bookmarkEnd w:id="102"/>
    </w:p>
    <w:p w14:paraId="55E0B009">
      <w:pPr>
        <w:pStyle w:val="4"/>
        <w:rPr>
          <w:rFonts w:hint="eastAsia" w:ascii="宋体" w:hAnsi="宋体" w:eastAsia="宋体" w:cs="宋体"/>
          <w:color w:val="auto"/>
          <w:highlight w:val="none"/>
        </w:rPr>
      </w:pPr>
    </w:p>
    <w:p w14:paraId="11143EE1">
      <w:pPr>
        <w:pStyle w:val="18"/>
        <w:pageBreakBefore w:val="0"/>
        <w:kinsoku/>
        <w:wordWrap/>
        <w:overflowPunct/>
        <w:topLinePunct w:val="0"/>
        <w:bidi w:val="0"/>
        <w:spacing w:after="0" w:line="500" w:lineRule="exact"/>
        <w:jc w:val="center"/>
        <w:textAlignment w:val="auto"/>
        <w:rPr>
          <w:rFonts w:hint="eastAsia" w:ascii="宋体" w:hAnsi="宋体" w:eastAsia="宋体" w:cs="宋体"/>
          <w:b/>
          <w:bCs/>
          <w:color w:val="auto"/>
          <w:spacing w:val="-20"/>
          <w:kern w:val="44"/>
          <w:sz w:val="48"/>
          <w:szCs w:val="48"/>
          <w:highlight w:val="none"/>
        </w:rPr>
      </w:pPr>
    </w:p>
    <w:p w14:paraId="1599FCF9">
      <w:pPr>
        <w:pStyle w:val="18"/>
        <w:pageBreakBefore w:val="0"/>
        <w:kinsoku/>
        <w:wordWrap/>
        <w:overflowPunct/>
        <w:topLinePunct w:val="0"/>
        <w:bidi w:val="0"/>
        <w:spacing w:after="0" w:line="500" w:lineRule="exact"/>
        <w:jc w:val="center"/>
        <w:textAlignment w:val="auto"/>
        <w:rPr>
          <w:rFonts w:hint="eastAsia" w:ascii="宋体" w:hAnsi="宋体" w:eastAsia="宋体" w:cs="宋体"/>
          <w:b/>
          <w:bCs/>
          <w:color w:val="auto"/>
          <w:spacing w:val="-20"/>
          <w:kern w:val="44"/>
          <w:sz w:val="48"/>
          <w:szCs w:val="48"/>
          <w:highlight w:val="none"/>
        </w:rPr>
      </w:pPr>
    </w:p>
    <w:p w14:paraId="50ED4A7C">
      <w:pPr>
        <w:pStyle w:val="18"/>
        <w:pageBreakBefore w:val="0"/>
        <w:kinsoku/>
        <w:wordWrap/>
        <w:overflowPunct/>
        <w:topLinePunct w:val="0"/>
        <w:bidi w:val="0"/>
        <w:spacing w:after="0" w:line="500" w:lineRule="exact"/>
        <w:jc w:val="center"/>
        <w:textAlignment w:val="auto"/>
        <w:rPr>
          <w:rFonts w:hint="eastAsia" w:ascii="宋体" w:hAnsi="宋体" w:eastAsia="宋体" w:cs="宋体"/>
          <w:b/>
          <w:bCs/>
          <w:color w:val="auto"/>
          <w:spacing w:val="-20"/>
          <w:kern w:val="44"/>
          <w:sz w:val="48"/>
          <w:szCs w:val="48"/>
          <w:highlight w:val="none"/>
        </w:rPr>
      </w:pPr>
    </w:p>
    <w:bookmarkEnd w:id="103"/>
    <w:bookmarkEnd w:id="104"/>
    <w:bookmarkEnd w:id="105"/>
    <w:bookmarkEnd w:id="106"/>
    <w:bookmarkEnd w:id="107"/>
    <w:bookmarkEnd w:id="108"/>
    <w:p w14:paraId="14D9ADC3">
      <w:pPr>
        <w:pStyle w:val="18"/>
        <w:spacing w:after="0"/>
        <w:jc w:val="both"/>
        <w:rPr>
          <w:rFonts w:hint="eastAsia" w:ascii="宋体" w:hAnsi="宋体" w:eastAsia="宋体" w:cs="宋体"/>
          <w:b/>
          <w:bCs/>
          <w:color w:val="auto"/>
          <w:spacing w:val="-20"/>
          <w:kern w:val="44"/>
          <w:sz w:val="48"/>
          <w:szCs w:val="48"/>
          <w:highlight w:val="none"/>
        </w:rPr>
      </w:pPr>
    </w:p>
    <w:p w14:paraId="79F92699">
      <w:pPr>
        <w:pStyle w:val="18"/>
        <w:spacing w:after="0"/>
        <w:jc w:val="center"/>
        <w:rPr>
          <w:rFonts w:hint="eastAsia" w:ascii="宋体" w:hAnsi="宋体" w:eastAsia="宋体" w:cs="宋体"/>
          <w:b/>
          <w:bCs/>
          <w:color w:val="auto"/>
          <w:spacing w:val="-20"/>
          <w:kern w:val="44"/>
          <w:sz w:val="48"/>
          <w:szCs w:val="48"/>
          <w:highlight w:val="none"/>
        </w:rPr>
      </w:pPr>
    </w:p>
    <w:p w14:paraId="59F898C0">
      <w:pPr>
        <w:widowControl w:val="0"/>
        <w:spacing w:after="0"/>
        <w:jc w:val="center"/>
        <w:rPr>
          <w:rFonts w:hint="eastAsia" w:ascii="宋体" w:hAnsi="宋体" w:eastAsia="宋体" w:cs="宋体"/>
          <w:b/>
          <w:bCs/>
          <w:color w:val="auto"/>
          <w:spacing w:val="-20"/>
          <w:kern w:val="44"/>
          <w:sz w:val="48"/>
          <w:szCs w:val="48"/>
          <w:highlight w:val="none"/>
          <w:lang w:val="en-US" w:eastAsia="zh-CN" w:bidi="ar-SA"/>
        </w:rPr>
      </w:pPr>
      <w:r>
        <w:rPr>
          <w:rFonts w:hint="eastAsia" w:ascii="宋体" w:hAnsi="宋体" w:eastAsia="宋体" w:cs="宋体"/>
          <w:b/>
          <w:bCs/>
          <w:color w:val="auto"/>
          <w:spacing w:val="-20"/>
          <w:kern w:val="44"/>
          <w:sz w:val="48"/>
          <w:szCs w:val="48"/>
          <w:highlight w:val="none"/>
          <w:lang w:val="en-US" w:eastAsia="zh-CN" w:bidi="ar-SA"/>
        </w:rPr>
        <w:t>政府采购货物买卖合同</w:t>
      </w:r>
    </w:p>
    <w:p w14:paraId="13BEFAFC">
      <w:pPr>
        <w:widowControl w:val="0"/>
        <w:spacing w:after="0"/>
        <w:jc w:val="center"/>
        <w:rPr>
          <w:rFonts w:hint="eastAsia" w:ascii="宋体" w:hAnsi="宋体" w:eastAsia="宋体" w:cs="宋体"/>
          <w:b/>
          <w:bCs/>
          <w:color w:val="auto"/>
          <w:spacing w:val="-20"/>
          <w:kern w:val="44"/>
          <w:sz w:val="48"/>
          <w:szCs w:val="48"/>
          <w:highlight w:val="none"/>
          <w:lang w:val="en-US" w:eastAsia="zh-CN" w:bidi="ar-SA"/>
        </w:rPr>
      </w:pPr>
    </w:p>
    <w:p w14:paraId="2A86C5FB">
      <w:pPr>
        <w:rPr>
          <w:rFonts w:hint="eastAsia" w:ascii="宋体" w:hAnsi="宋体" w:eastAsia="宋体" w:cs="宋体"/>
          <w:b/>
          <w:bCs/>
          <w:color w:val="auto"/>
          <w:spacing w:val="-20"/>
          <w:kern w:val="44"/>
          <w:sz w:val="40"/>
          <w:szCs w:val="40"/>
          <w:highlight w:val="none"/>
        </w:rPr>
      </w:pPr>
    </w:p>
    <w:p w14:paraId="28D16F3E">
      <w:pPr>
        <w:rPr>
          <w:rFonts w:hint="eastAsia" w:ascii="宋体" w:hAnsi="宋体" w:eastAsia="宋体" w:cs="宋体"/>
          <w:b/>
          <w:bCs/>
          <w:color w:val="auto"/>
          <w:spacing w:val="-20"/>
          <w:kern w:val="44"/>
          <w:sz w:val="40"/>
          <w:szCs w:val="40"/>
          <w:highlight w:val="none"/>
        </w:rPr>
      </w:pPr>
    </w:p>
    <w:p w14:paraId="312A2C76">
      <w:pPr>
        <w:rPr>
          <w:rFonts w:hint="eastAsia" w:ascii="宋体" w:hAnsi="宋体" w:eastAsia="宋体" w:cs="宋体"/>
          <w:b/>
          <w:bCs/>
          <w:color w:val="auto"/>
          <w:spacing w:val="-20"/>
          <w:kern w:val="44"/>
          <w:sz w:val="40"/>
          <w:szCs w:val="40"/>
          <w:highlight w:val="none"/>
        </w:rPr>
      </w:pPr>
    </w:p>
    <w:p w14:paraId="089B6365">
      <w:pP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kern w:val="0"/>
          <w:sz w:val="32"/>
          <w:szCs w:val="32"/>
          <w:highlight w:val="none"/>
        </w:rPr>
        <w:t>项目名称：</w:t>
      </w:r>
      <w:r>
        <w:rPr>
          <w:rFonts w:hint="eastAsia" w:ascii="宋体" w:hAnsi="宋体" w:eastAsia="宋体" w:cs="宋体"/>
          <w:color w:val="auto"/>
          <w:sz w:val="32"/>
          <w:szCs w:val="32"/>
          <w:highlight w:val="none"/>
          <w:u w:val="single"/>
        </w:rPr>
        <w:t xml:space="preserve">                             </w:t>
      </w:r>
    </w:p>
    <w:p w14:paraId="127746CA">
      <w:pPr>
        <w:spacing w:line="360" w:lineRule="auto"/>
        <w:ind w:left="420" w:leftChars="2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合同编号：</w:t>
      </w:r>
      <w:r>
        <w:rPr>
          <w:rFonts w:hint="eastAsia" w:ascii="宋体" w:hAnsi="宋体" w:eastAsia="宋体" w:cs="宋体"/>
          <w:color w:val="auto"/>
          <w:sz w:val="32"/>
          <w:szCs w:val="32"/>
          <w:highlight w:val="none"/>
          <w:u w:val="single"/>
        </w:rPr>
        <w:t xml:space="preserve">                             </w:t>
      </w:r>
    </w:p>
    <w:p w14:paraId="2A668AC8">
      <w:pP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r>
        <w:rPr>
          <w:rFonts w:hint="eastAsia" w:ascii="宋体" w:hAnsi="宋体" w:eastAsia="宋体" w:cs="宋体"/>
          <w:color w:val="auto"/>
          <w:sz w:val="32"/>
          <w:szCs w:val="32"/>
          <w:highlight w:val="none"/>
          <w:u w:val="single"/>
        </w:rPr>
        <w:t xml:space="preserve">                             </w:t>
      </w:r>
    </w:p>
    <w:p w14:paraId="2C48D437">
      <w:pPr>
        <w:spacing w:line="360" w:lineRule="auto"/>
        <w:ind w:left="420" w:leftChars="2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    方：</w:t>
      </w:r>
      <w:r>
        <w:rPr>
          <w:rFonts w:hint="eastAsia" w:ascii="宋体" w:hAnsi="宋体" w:eastAsia="宋体" w:cs="宋体"/>
          <w:color w:val="auto"/>
          <w:sz w:val="32"/>
          <w:szCs w:val="32"/>
          <w:highlight w:val="none"/>
          <w:u w:val="single"/>
        </w:rPr>
        <w:t xml:space="preserve">                             </w:t>
      </w:r>
    </w:p>
    <w:p w14:paraId="281ABE96">
      <w:pP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w:t>
      </w:r>
      <w:r>
        <w:rPr>
          <w:rFonts w:hint="eastAsia" w:ascii="宋体" w:hAnsi="宋体" w:eastAsia="宋体" w:cs="宋体"/>
          <w:color w:val="auto"/>
          <w:sz w:val="32"/>
          <w:szCs w:val="32"/>
          <w:highlight w:val="none"/>
          <w:u w:val="single"/>
        </w:rPr>
        <w:t xml:space="preserve">                             </w:t>
      </w:r>
    </w:p>
    <w:p w14:paraId="7CC7AF32">
      <w:pPr>
        <w:rPr>
          <w:rFonts w:hint="eastAsia" w:ascii="宋体" w:hAnsi="宋体" w:eastAsia="宋体" w:cs="宋体"/>
          <w:color w:val="auto"/>
          <w:highlight w:val="none"/>
        </w:rPr>
      </w:pPr>
    </w:p>
    <w:p w14:paraId="147F6806">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701D5ECA">
      <w:pPr>
        <w:rPr>
          <w:rFonts w:hint="eastAsia" w:ascii="宋体" w:hAnsi="宋体" w:eastAsia="宋体" w:cs="宋体"/>
          <w:color w:val="auto"/>
          <w:sz w:val="44"/>
          <w:szCs w:val="44"/>
          <w:highlight w:val="none"/>
        </w:rPr>
      </w:pPr>
    </w:p>
    <w:p w14:paraId="6E5A5DF7">
      <w:pPr>
        <w:jc w:val="center"/>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使</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lang w:eastAsia="zh-CN"/>
        </w:rPr>
        <w:t>用</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lang w:eastAsia="zh-CN"/>
        </w:rPr>
        <w:t>说</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lang w:eastAsia="zh-CN"/>
        </w:rPr>
        <w:t>明</w:t>
      </w:r>
    </w:p>
    <w:p w14:paraId="1A04E2B4">
      <w:pPr>
        <w:ind w:firstLine="640" w:firstLineChars="200"/>
        <w:rPr>
          <w:rFonts w:hint="eastAsia" w:ascii="宋体" w:hAnsi="宋体" w:eastAsia="宋体" w:cs="宋体"/>
          <w:color w:val="auto"/>
          <w:sz w:val="32"/>
          <w:szCs w:val="32"/>
          <w:highlight w:val="none"/>
          <w:lang w:val="en-US" w:eastAsia="zh-CN"/>
        </w:rPr>
      </w:pPr>
    </w:p>
    <w:p w14:paraId="4B18B6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1.本合同标准文本适用于购买现成货物的采购项目，不包括需要供应商定制开发、创新研发的货物采购项目。</w:t>
      </w:r>
    </w:p>
    <w:p w14:paraId="34E6F63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2.本合同标准文本为政府采购货物买卖合同编制提供参考，可以结合采购项目具体情况，对文本作必要的调整修订后使用。</w:t>
      </w:r>
    </w:p>
    <w:p w14:paraId="157FE2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sectPr>
          <w:headerReference r:id="rId8" w:type="default"/>
          <w:footerReference r:id="rId9"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color w:val="auto"/>
          <w:sz w:val="24"/>
          <w:szCs w:val="24"/>
          <w:highlight w:val="none"/>
          <w:lang w:val="en-US" w:eastAsia="zh-CN"/>
        </w:rPr>
        <w:t>3.本合同标准文本各条款中，如涉及填写多家供应商、制造商，多种采购标的、分包主要内容等信息的，可根据采购项目具体情况添加信息项。</w:t>
      </w:r>
    </w:p>
    <w:p w14:paraId="05DCE6C2">
      <w:pPr>
        <w:keepNext/>
        <w:keepLines/>
        <w:widowControl w:val="0"/>
        <w:adjustRightInd w:val="0"/>
        <w:snapToGrid w:val="0"/>
        <w:spacing w:before="200" w:beforeLines="0" w:after="200" w:line="400" w:lineRule="exact"/>
        <w:jc w:val="center"/>
        <w:outlineLvl w:val="1"/>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第一节 政府采购合同协议书</w:t>
      </w:r>
    </w:p>
    <w:p w14:paraId="6FD2020A">
      <w:pPr>
        <w:bidi w:val="0"/>
        <w:rPr>
          <w:rFonts w:hint="eastAsia"/>
          <w:color w:val="auto"/>
          <w:highlight w:val="none"/>
          <w:lang w:val="en-US" w:eastAsia="zh-CN"/>
        </w:rPr>
      </w:pPr>
    </w:p>
    <w:p w14:paraId="573787F6">
      <w:pPr>
        <w:pageBreakBefore w:val="0"/>
        <w:widowControl w:val="0"/>
        <w:kinsoku/>
        <w:wordWrap/>
        <w:overflowPunct/>
        <w:topLinePunct w:val="0"/>
        <w:autoSpaceDE/>
        <w:autoSpaceDN/>
        <w:bidi w:val="0"/>
        <w:adjustRightInd w:val="0"/>
        <w:snapToGrid w:val="0"/>
        <w:spacing w:before="0" w:beforeLines="0" w:line="500" w:lineRule="exact"/>
        <w:ind w:left="4560" w:hanging="4560" w:hangingChars="19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、受采购人委托签订合同的单位</w:t>
      </w:r>
      <w:r>
        <w:rPr>
          <w:rFonts w:hint="eastAsia" w:ascii="宋体" w:hAnsi="宋体" w:eastAsia="宋体" w:cs="宋体"/>
          <w:color w:val="auto"/>
          <w:sz w:val="24"/>
          <w:szCs w:val="24"/>
          <w:highlight w:val="none"/>
        </w:rPr>
        <w:t>或采购文件约定的合同甲方）</w:t>
      </w:r>
    </w:p>
    <w:p w14:paraId="0E8461BE">
      <w:pPr>
        <w:pageBreakBefore w:val="0"/>
        <w:widowControl w:val="0"/>
        <w:kinsoku/>
        <w:wordWrap/>
        <w:overflowPunct/>
        <w:topLinePunct w:val="0"/>
        <w:autoSpaceDE/>
        <w:autoSpaceDN/>
        <w:bidi w:val="0"/>
        <w:adjustRightInd w:val="0"/>
        <w:snapToGrid w:val="0"/>
        <w:spacing w:before="0" w:beforeLines="0"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w:t>
      </w:r>
    </w:p>
    <w:p w14:paraId="62221794">
      <w:pPr>
        <w:pageBreakBefore w:val="0"/>
        <w:widowControl w:val="0"/>
        <w:kinsoku/>
        <w:wordWrap/>
        <w:overflowPunct/>
        <w:topLinePunct w:val="0"/>
        <w:autoSpaceDE/>
        <w:autoSpaceDN/>
        <w:bidi w:val="0"/>
        <w:spacing w:beforeLines="0" w:line="500" w:lineRule="exact"/>
        <w:textAlignment w:val="auto"/>
        <w:rPr>
          <w:rFonts w:hint="eastAsia" w:ascii="宋体" w:hAnsi="宋体" w:eastAsia="宋体" w:cs="宋体"/>
          <w:color w:val="auto"/>
          <w:sz w:val="24"/>
          <w:szCs w:val="24"/>
          <w:highlight w:val="none"/>
          <w:lang w:val="en-US" w:eastAsia="zh-CN"/>
        </w:rPr>
      </w:pPr>
    </w:p>
    <w:p w14:paraId="36AD92EF">
      <w:pPr>
        <w:pageBreakBefore w:val="0"/>
        <w:widowControl w:val="0"/>
        <w:kinsoku/>
        <w:wordWrap/>
        <w:overflowPunct/>
        <w:topLinePunct w:val="0"/>
        <w:autoSpaceDE/>
        <w:autoSpaceDN/>
        <w:bidi w:val="0"/>
        <w:adjustRightInd w:val="0"/>
        <w:snapToGrid w:val="0"/>
        <w:spacing w:before="0" w:beforeLines="0" w:after="0" w:line="500" w:lineRule="exact"/>
        <w:ind w:left="0" w:leftChars="0"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依据《中华人民共和国民法典》、《中华人民共和国政府采购法》等有关的法律法规，以及</w:t>
      </w:r>
      <w:r>
        <w:rPr>
          <w:rFonts w:hint="eastAsia" w:ascii="宋体" w:hAnsi="宋体" w:eastAsia="宋体" w:cs="宋体"/>
          <w:i w:val="0"/>
          <w:iCs w:val="0"/>
          <w:color w:val="auto"/>
          <w:kern w:val="2"/>
          <w:sz w:val="24"/>
          <w:szCs w:val="24"/>
          <w:highlight w:val="none"/>
          <w:u w:val="none"/>
          <w:lang w:val="en-US" w:eastAsia="zh-CN" w:bidi="ar-SA"/>
        </w:rPr>
        <w:t>本采购项目</w:t>
      </w:r>
      <w:r>
        <w:rPr>
          <w:rFonts w:hint="eastAsia" w:ascii="宋体" w:hAnsi="宋体" w:eastAsia="宋体" w:cs="宋体"/>
          <w:color w:val="auto"/>
          <w:kern w:val="2"/>
          <w:sz w:val="24"/>
          <w:szCs w:val="24"/>
          <w:highlight w:val="none"/>
          <w:lang w:val="en-US" w:eastAsia="zh-CN" w:bidi="ar-SA"/>
        </w:rPr>
        <w:t xml:space="preserve">的招标等采购文件、乙方的《投标文件》及《中标通知书》，甲乙双方同意签订本合同。具体情况及要求如下：     </w:t>
      </w:r>
    </w:p>
    <w:p w14:paraId="5D90EA1F">
      <w:pPr>
        <w:pageBreakBefore w:val="0"/>
        <w:widowControl w:val="0"/>
        <w:numPr>
          <w:ilvl w:val="0"/>
          <w:numId w:val="0"/>
        </w:numPr>
        <w:kinsoku/>
        <w:wordWrap/>
        <w:overflowPunct/>
        <w:topLinePunct w:val="0"/>
        <w:autoSpaceDE/>
        <w:autoSpaceDN/>
        <w:bidi w:val="0"/>
        <w:adjustRightInd w:val="0"/>
        <w:snapToGrid w:val="0"/>
        <w:spacing w:before="0" w:beforeLines="0" w:line="50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en-US" w:eastAsia="zh-CN" w:bidi="ar-SA"/>
        </w:rPr>
        <w:t>1.</w:t>
      </w:r>
      <w:r>
        <w:rPr>
          <w:rFonts w:hint="eastAsia" w:ascii="宋体" w:hAnsi="宋体" w:eastAsia="宋体" w:cs="宋体"/>
          <w:b/>
          <w:color w:val="auto"/>
          <w:sz w:val="24"/>
          <w:szCs w:val="24"/>
          <w:highlight w:val="none"/>
        </w:rPr>
        <w:t>项目信息</w:t>
      </w:r>
    </w:p>
    <w:p w14:paraId="138468A8">
      <w:pPr>
        <w:pageBreakBefore w:val="0"/>
        <w:widowControl w:val="0"/>
        <w:numPr>
          <w:ilvl w:val="0"/>
          <w:numId w:val="0"/>
        </w:numPr>
        <w:kinsoku/>
        <w:wordWrap/>
        <w:overflowPunct/>
        <w:topLinePunct w:val="0"/>
        <w:autoSpaceDE/>
        <w:autoSpaceDN/>
        <w:bidi w:val="0"/>
        <w:adjustRightInd w:val="0"/>
        <w:snapToGrid w:val="0"/>
        <w:spacing w:before="0" w:beforeLines="0" w:after="0" w:line="500" w:lineRule="exact"/>
        <w:ind w:left="0" w:leftChars="0" w:firstLine="480" w:firstLineChars="200"/>
        <w:jc w:val="both"/>
        <w:textAlignment w:val="auto"/>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（1）采购项目名称：</w:t>
      </w:r>
      <w:r>
        <w:rPr>
          <w:rFonts w:hint="eastAsia" w:ascii="宋体" w:hAnsi="宋体" w:eastAsia="宋体" w:cs="宋体"/>
          <w:color w:val="auto"/>
          <w:kern w:val="2"/>
          <w:sz w:val="24"/>
          <w:szCs w:val="24"/>
          <w:highlight w:val="none"/>
          <w:u w:val="single"/>
          <w:lang w:val="en-US" w:eastAsia="zh-CN" w:bidi="ar-SA"/>
        </w:rPr>
        <w:t xml:space="preserve">                                          </w:t>
      </w:r>
    </w:p>
    <w:p w14:paraId="4E359393">
      <w:pPr>
        <w:pageBreakBefore w:val="0"/>
        <w:widowControl w:val="0"/>
        <w:numPr>
          <w:ilvl w:val="-1"/>
          <w:numId w:val="0"/>
        </w:numPr>
        <w:tabs>
          <w:tab w:val="left" w:pos="999"/>
        </w:tabs>
        <w:kinsoku/>
        <w:wordWrap/>
        <w:overflowPunct/>
        <w:topLinePunct w:val="0"/>
        <w:autoSpaceDE/>
        <w:autoSpaceDN/>
        <w:bidi w:val="0"/>
        <w:adjustRightInd w:val="0"/>
        <w:snapToGrid w:val="0"/>
        <w:spacing w:before="0" w:beforeLines="0" w:after="0" w:line="500" w:lineRule="exact"/>
        <w:ind w:left="0" w:leftChars="0" w:firstLine="0" w:firstLineChars="0"/>
        <w:jc w:val="both"/>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 xml:space="preserve">         采购项目编号：</w:t>
      </w:r>
      <w:r>
        <w:rPr>
          <w:rFonts w:hint="eastAsia" w:ascii="宋体" w:hAnsi="宋体" w:eastAsia="宋体" w:cs="宋体"/>
          <w:color w:val="auto"/>
          <w:kern w:val="2"/>
          <w:sz w:val="24"/>
          <w:szCs w:val="24"/>
          <w:highlight w:val="none"/>
          <w:u w:val="single"/>
          <w:lang w:val="en-US" w:eastAsia="zh-CN" w:bidi="ar-SA"/>
        </w:rPr>
        <w:t xml:space="preserve">                                          </w:t>
      </w:r>
    </w:p>
    <w:p w14:paraId="7C83585F">
      <w:pPr>
        <w:pageBreakBefore w:val="0"/>
        <w:widowControl w:val="0"/>
        <w:kinsoku/>
        <w:wordWrap/>
        <w:overflowPunct/>
        <w:topLinePunct w:val="0"/>
        <w:autoSpaceDE/>
        <w:autoSpaceDN/>
        <w:bidi w:val="0"/>
        <w:adjustRightInd w:val="0"/>
        <w:snapToGrid w:val="0"/>
        <w:spacing w:before="0" w:beforeLines="0" w:after="0" w:line="500" w:lineRule="exact"/>
        <w:ind w:left="0" w:leftChars="0"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（2）采购计划编号：</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p w14:paraId="44077879">
      <w:pPr>
        <w:pageBreakBefore w:val="0"/>
        <w:widowControl w:val="0"/>
        <w:kinsoku/>
        <w:wordWrap/>
        <w:overflowPunct/>
        <w:topLinePunct w:val="0"/>
        <w:autoSpaceDE/>
        <w:autoSpaceDN/>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（3）项目内容：</w:t>
      </w:r>
    </w:p>
    <w:p w14:paraId="4D9236FC">
      <w:pPr>
        <w:pageBreakBefore w:val="0"/>
        <w:widowControl w:val="0"/>
        <w:kinsoku/>
        <w:wordWrap/>
        <w:overflowPunct/>
        <w:topLinePunct w:val="0"/>
        <w:autoSpaceDE/>
        <w:autoSpaceDN/>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采购标的及数量</w:t>
      </w:r>
      <w:r>
        <w:rPr>
          <w:rFonts w:hint="eastAsia" w:ascii="宋体" w:hAnsi="宋体" w:eastAsia="宋体" w:cs="宋体"/>
          <w:color w:val="auto"/>
          <w:sz w:val="24"/>
          <w:szCs w:val="24"/>
          <w:highlight w:val="none"/>
          <w:lang w:val="en-US" w:eastAsia="zh-CN"/>
        </w:rPr>
        <w:t>（台/套</w:t>
      </w:r>
      <w:r>
        <w:rPr>
          <w:rFonts w:hint="eastAsia" w:ascii="宋体" w:hAnsi="宋体" w:eastAsia="宋体" w:cs="宋体"/>
          <w:color w:val="auto"/>
          <w:sz w:val="24"/>
          <w:szCs w:val="24"/>
          <w:highlight w:val="none"/>
          <w:lang w:val="en" w:eastAsia="zh-CN"/>
        </w:rPr>
        <w:t>/个/架/组等</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7C78C60D">
      <w:pPr>
        <w:pageBreakBefore w:val="0"/>
        <w:widowControl w:val="0"/>
        <w:numPr>
          <w:ilvl w:val="-1"/>
          <w:numId w:val="0"/>
        </w:numPr>
        <w:kinsoku/>
        <w:wordWrap/>
        <w:overflowPunct/>
        <w:topLinePunct w:val="0"/>
        <w:autoSpaceDE/>
        <w:autoSpaceDN/>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lang w:val="en" w:eastAsia="zh-CN"/>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品牌：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 w:eastAsia="zh-CN"/>
        </w:rPr>
        <w:t xml:space="preserve">     </w:t>
      </w:r>
      <w:r>
        <w:rPr>
          <w:rFonts w:hint="eastAsia" w:ascii="宋体" w:hAnsi="宋体" w:eastAsia="宋体" w:cs="宋体"/>
          <w:color w:val="auto"/>
          <w:sz w:val="24"/>
          <w:szCs w:val="24"/>
          <w:highlight w:val="none"/>
          <w:lang w:val="en-US" w:eastAsia="zh-CN"/>
        </w:rPr>
        <w:t>规格型号：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p>
    <w:p w14:paraId="6C2043A9">
      <w:pPr>
        <w:pageBreakBefore w:val="0"/>
        <w:widowControl w:val="0"/>
        <w:kinsoku/>
        <w:wordWrap/>
        <w:overflowPunct/>
        <w:topLinePunct w:val="0"/>
        <w:autoSpaceDE/>
        <w:autoSpaceDN/>
        <w:bidi w:val="0"/>
        <w:adjustRightInd w:val="0"/>
        <w:snapToGrid w:val="0"/>
        <w:spacing w:before="0" w:beforeLines="0" w:line="500" w:lineRule="exact"/>
        <w:ind w:firstLine="1080" w:firstLineChars="45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采购标的的技术要求、商务要求具体见附件。</w:t>
      </w:r>
    </w:p>
    <w:tbl>
      <w:tblPr>
        <w:tblStyle w:val="39"/>
        <w:tblW w:w="8513" w:type="dxa"/>
        <w:tblInd w:w="0" w:type="dxa"/>
        <w:tblLayout w:type="fixed"/>
        <w:tblCellMar>
          <w:top w:w="0" w:type="dxa"/>
          <w:left w:w="108" w:type="dxa"/>
          <w:bottom w:w="0" w:type="dxa"/>
          <w:right w:w="108" w:type="dxa"/>
        </w:tblCellMar>
      </w:tblPr>
      <w:tblGrid>
        <w:gridCol w:w="929"/>
        <w:gridCol w:w="1794"/>
        <w:gridCol w:w="1972"/>
        <w:gridCol w:w="1346"/>
        <w:gridCol w:w="1387"/>
        <w:gridCol w:w="1085"/>
      </w:tblGrid>
      <w:tr w14:paraId="0BE5E00F">
        <w:tblPrEx>
          <w:tblCellMar>
            <w:top w:w="0" w:type="dxa"/>
            <w:left w:w="108" w:type="dxa"/>
            <w:bottom w:w="0" w:type="dxa"/>
            <w:right w:w="108" w:type="dxa"/>
          </w:tblCellMar>
        </w:tblPrEx>
        <w:trPr>
          <w:trHeight w:val="500" w:hRule="atLeast"/>
        </w:trPr>
        <w:tc>
          <w:tcPr>
            <w:tcW w:w="929" w:type="dxa"/>
            <w:tcBorders>
              <w:top w:val="single" w:color="auto" w:sz="4" w:space="0"/>
              <w:left w:val="single" w:color="auto" w:sz="4" w:space="0"/>
              <w:bottom w:val="single" w:color="auto" w:sz="4" w:space="0"/>
              <w:right w:val="single" w:color="auto" w:sz="4" w:space="0"/>
            </w:tcBorders>
            <w:noWrap/>
            <w:vAlign w:val="center"/>
          </w:tcPr>
          <w:p w14:paraId="7F91800C">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包号</w:t>
            </w:r>
          </w:p>
        </w:tc>
        <w:tc>
          <w:tcPr>
            <w:tcW w:w="1794" w:type="dxa"/>
            <w:tcBorders>
              <w:top w:val="single" w:color="auto" w:sz="4" w:space="0"/>
              <w:left w:val="nil"/>
              <w:bottom w:val="single" w:color="auto" w:sz="4" w:space="0"/>
              <w:right w:val="single" w:color="auto" w:sz="4" w:space="0"/>
            </w:tcBorders>
            <w:noWrap/>
            <w:vAlign w:val="center"/>
          </w:tcPr>
          <w:p w14:paraId="4EFAF198">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货物名称</w:t>
            </w:r>
          </w:p>
        </w:tc>
        <w:tc>
          <w:tcPr>
            <w:tcW w:w="1972" w:type="dxa"/>
            <w:tcBorders>
              <w:top w:val="single" w:color="auto" w:sz="4" w:space="0"/>
              <w:left w:val="nil"/>
              <w:bottom w:val="single" w:color="auto" w:sz="4" w:space="0"/>
              <w:right w:val="single" w:color="auto" w:sz="4" w:space="0"/>
            </w:tcBorders>
            <w:noWrap/>
            <w:vAlign w:val="center"/>
          </w:tcPr>
          <w:p w14:paraId="275456A9">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品名/型号</w:t>
            </w:r>
          </w:p>
        </w:tc>
        <w:tc>
          <w:tcPr>
            <w:tcW w:w="1346" w:type="dxa"/>
            <w:tcBorders>
              <w:top w:val="single" w:color="auto" w:sz="4" w:space="0"/>
              <w:left w:val="nil"/>
              <w:bottom w:val="single" w:color="auto" w:sz="4" w:space="0"/>
              <w:right w:val="single" w:color="auto" w:sz="4" w:space="0"/>
            </w:tcBorders>
            <w:noWrap/>
            <w:vAlign w:val="center"/>
          </w:tcPr>
          <w:p w14:paraId="189801C1">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单价</w:t>
            </w:r>
          </w:p>
        </w:tc>
        <w:tc>
          <w:tcPr>
            <w:tcW w:w="1387" w:type="dxa"/>
            <w:tcBorders>
              <w:top w:val="single" w:color="auto" w:sz="4" w:space="0"/>
              <w:left w:val="nil"/>
              <w:bottom w:val="single" w:color="auto" w:sz="4" w:space="0"/>
              <w:right w:val="single" w:color="auto" w:sz="4" w:space="0"/>
            </w:tcBorders>
            <w:noWrap/>
            <w:vAlign w:val="center"/>
          </w:tcPr>
          <w:p w14:paraId="71E46147">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数量（</w:t>
            </w:r>
            <w:r>
              <w:rPr>
                <w:rFonts w:hint="eastAsia" w:ascii="宋体" w:hAnsi="宋体" w:eastAsia="宋体" w:cs="宋体"/>
                <w:color w:val="auto"/>
                <w:kern w:val="0"/>
                <w:sz w:val="18"/>
                <w:szCs w:val="18"/>
                <w:highlight w:val="none"/>
                <w:lang w:val="en-US" w:eastAsia="zh-CN"/>
              </w:rPr>
              <w:t>套/件</w:t>
            </w:r>
            <w:r>
              <w:rPr>
                <w:rFonts w:hint="eastAsia" w:ascii="宋体" w:hAnsi="宋体" w:eastAsia="宋体" w:cs="宋体"/>
                <w:color w:val="auto"/>
                <w:kern w:val="0"/>
                <w:sz w:val="18"/>
                <w:szCs w:val="18"/>
                <w:highlight w:val="none"/>
              </w:rPr>
              <w:t>）</w:t>
            </w:r>
          </w:p>
        </w:tc>
        <w:tc>
          <w:tcPr>
            <w:tcW w:w="1085" w:type="dxa"/>
            <w:tcBorders>
              <w:top w:val="single" w:color="auto" w:sz="4" w:space="0"/>
              <w:left w:val="nil"/>
              <w:bottom w:val="single" w:color="auto" w:sz="4" w:space="0"/>
              <w:right w:val="single" w:color="auto" w:sz="4" w:space="0"/>
            </w:tcBorders>
            <w:noWrap/>
            <w:vAlign w:val="center"/>
          </w:tcPr>
          <w:p w14:paraId="480A74F0">
            <w:pPr>
              <w:keepNext w:val="0"/>
              <w:keepLines w:val="0"/>
              <w:pageBreakBefore w:val="0"/>
              <w:widowControl/>
              <w:kinsoku/>
              <w:wordWrap/>
              <w:overflowPunct/>
              <w:topLinePunct w:val="0"/>
              <w:autoSpaceDE/>
              <w:autoSpaceDN/>
              <w:bidi w:val="0"/>
              <w:snapToGrid w:val="0"/>
              <w:spacing w:line="580" w:lineRule="exact"/>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中标总价</w:t>
            </w:r>
          </w:p>
        </w:tc>
      </w:tr>
      <w:tr w14:paraId="58689023">
        <w:tblPrEx>
          <w:tblCellMar>
            <w:top w:w="0" w:type="dxa"/>
            <w:left w:w="108" w:type="dxa"/>
            <w:bottom w:w="0" w:type="dxa"/>
            <w:right w:w="108" w:type="dxa"/>
          </w:tblCellMar>
        </w:tblPrEx>
        <w:trPr>
          <w:trHeight w:val="1130" w:hRule="atLeast"/>
        </w:trPr>
        <w:tc>
          <w:tcPr>
            <w:tcW w:w="929" w:type="dxa"/>
            <w:tcBorders>
              <w:top w:val="single" w:color="auto" w:sz="4" w:space="0"/>
              <w:left w:val="single" w:color="auto" w:sz="4" w:space="0"/>
              <w:bottom w:val="single" w:color="auto" w:sz="4" w:space="0"/>
              <w:right w:val="single" w:color="auto" w:sz="4" w:space="0"/>
            </w:tcBorders>
            <w:noWrap/>
            <w:vAlign w:val="center"/>
          </w:tcPr>
          <w:p w14:paraId="66569842">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color w:val="auto"/>
                <w:kern w:val="0"/>
                <w:sz w:val="18"/>
                <w:szCs w:val="18"/>
                <w:highlight w:val="none"/>
              </w:rPr>
            </w:pPr>
          </w:p>
        </w:tc>
        <w:tc>
          <w:tcPr>
            <w:tcW w:w="1794" w:type="dxa"/>
            <w:tcBorders>
              <w:top w:val="single" w:color="auto" w:sz="4" w:space="0"/>
              <w:left w:val="single" w:color="auto" w:sz="4" w:space="0"/>
              <w:bottom w:val="single" w:color="auto" w:sz="4" w:space="0"/>
              <w:right w:val="single" w:color="auto" w:sz="4" w:space="0"/>
            </w:tcBorders>
            <w:noWrap/>
            <w:vAlign w:val="center"/>
          </w:tcPr>
          <w:p w14:paraId="0D4564FC">
            <w:pPr>
              <w:keepNext w:val="0"/>
              <w:keepLines w:val="0"/>
              <w:pageBreakBefore w:val="0"/>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color w:val="auto"/>
                <w:kern w:val="0"/>
                <w:sz w:val="18"/>
                <w:szCs w:val="18"/>
                <w:highlight w:val="none"/>
              </w:rPr>
            </w:pPr>
          </w:p>
        </w:tc>
        <w:tc>
          <w:tcPr>
            <w:tcW w:w="1972" w:type="dxa"/>
            <w:tcBorders>
              <w:top w:val="single" w:color="auto" w:sz="4" w:space="0"/>
              <w:left w:val="single" w:color="auto" w:sz="4" w:space="0"/>
              <w:bottom w:val="single" w:color="auto" w:sz="4" w:space="0"/>
              <w:right w:val="single" w:color="auto" w:sz="4" w:space="0"/>
            </w:tcBorders>
            <w:noWrap/>
            <w:vAlign w:val="center"/>
          </w:tcPr>
          <w:p w14:paraId="62E3469E">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color w:val="auto"/>
                <w:kern w:val="0"/>
                <w:sz w:val="18"/>
                <w:szCs w:val="18"/>
                <w:highlight w:val="none"/>
              </w:rPr>
            </w:pPr>
          </w:p>
        </w:tc>
        <w:tc>
          <w:tcPr>
            <w:tcW w:w="1346" w:type="dxa"/>
            <w:tcBorders>
              <w:top w:val="single" w:color="auto" w:sz="4" w:space="0"/>
              <w:left w:val="single" w:color="auto" w:sz="4" w:space="0"/>
              <w:bottom w:val="single" w:color="auto" w:sz="4" w:space="0"/>
              <w:right w:val="single" w:color="auto" w:sz="4" w:space="0"/>
            </w:tcBorders>
            <w:noWrap/>
            <w:vAlign w:val="center"/>
          </w:tcPr>
          <w:p w14:paraId="49BFF18E">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color w:val="auto"/>
                <w:kern w:val="0"/>
                <w:sz w:val="18"/>
                <w:szCs w:val="18"/>
                <w:highlight w:val="none"/>
              </w:rPr>
            </w:pPr>
          </w:p>
        </w:tc>
        <w:tc>
          <w:tcPr>
            <w:tcW w:w="1387" w:type="dxa"/>
            <w:tcBorders>
              <w:top w:val="single" w:color="auto" w:sz="4" w:space="0"/>
              <w:left w:val="single" w:color="auto" w:sz="4" w:space="0"/>
              <w:bottom w:val="single" w:color="auto" w:sz="4" w:space="0"/>
              <w:right w:val="single" w:color="auto" w:sz="4" w:space="0"/>
            </w:tcBorders>
            <w:noWrap/>
            <w:vAlign w:val="center"/>
          </w:tcPr>
          <w:p w14:paraId="6823395E">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color w:val="auto"/>
                <w:kern w:val="0"/>
                <w:sz w:val="18"/>
                <w:szCs w:val="18"/>
                <w:highlight w:val="none"/>
              </w:rPr>
            </w:pPr>
          </w:p>
        </w:tc>
        <w:tc>
          <w:tcPr>
            <w:tcW w:w="1085" w:type="dxa"/>
            <w:tcBorders>
              <w:top w:val="single" w:color="auto" w:sz="4" w:space="0"/>
              <w:left w:val="single" w:color="auto" w:sz="4" w:space="0"/>
              <w:bottom w:val="single" w:color="auto" w:sz="4" w:space="0"/>
              <w:right w:val="single" w:color="auto" w:sz="4" w:space="0"/>
            </w:tcBorders>
            <w:noWrap/>
            <w:vAlign w:val="center"/>
          </w:tcPr>
          <w:p w14:paraId="33780F92">
            <w:pPr>
              <w:keepNext w:val="0"/>
              <w:keepLines w:val="0"/>
              <w:pageBreakBefore w:val="0"/>
              <w:widowControl/>
              <w:kinsoku/>
              <w:wordWrap/>
              <w:overflowPunct/>
              <w:topLinePunct w:val="0"/>
              <w:autoSpaceDE/>
              <w:autoSpaceDN/>
              <w:bidi w:val="0"/>
              <w:snapToGrid w:val="0"/>
              <w:spacing w:line="580" w:lineRule="exact"/>
              <w:ind w:left="0" w:leftChars="0" w:firstLine="360" w:firstLineChars="200"/>
              <w:jc w:val="center"/>
              <w:textAlignment w:val="auto"/>
              <w:rPr>
                <w:rFonts w:hint="eastAsia" w:ascii="宋体" w:hAnsi="宋体" w:eastAsia="宋体" w:cs="宋体"/>
                <w:color w:val="auto"/>
                <w:kern w:val="0"/>
                <w:sz w:val="18"/>
                <w:szCs w:val="18"/>
                <w:highlight w:val="none"/>
                <w:lang w:eastAsia="zh-CN"/>
              </w:rPr>
            </w:pPr>
          </w:p>
        </w:tc>
      </w:tr>
      <w:tr w14:paraId="7471E0B5">
        <w:tblPrEx>
          <w:tblCellMar>
            <w:top w:w="0" w:type="dxa"/>
            <w:left w:w="108" w:type="dxa"/>
            <w:bottom w:w="0" w:type="dxa"/>
            <w:right w:w="108" w:type="dxa"/>
          </w:tblCellMar>
        </w:tblPrEx>
        <w:trPr>
          <w:trHeight w:val="700" w:hRule="atLeast"/>
        </w:trPr>
        <w:tc>
          <w:tcPr>
            <w:tcW w:w="8513" w:type="dxa"/>
            <w:gridSpan w:val="6"/>
            <w:tcBorders>
              <w:top w:val="single" w:color="auto" w:sz="4" w:space="0"/>
              <w:left w:val="single" w:color="auto" w:sz="4" w:space="0"/>
              <w:bottom w:val="single" w:color="auto" w:sz="4" w:space="0"/>
              <w:right w:val="single" w:color="auto" w:sz="4" w:space="0"/>
            </w:tcBorders>
            <w:noWrap/>
          </w:tcPr>
          <w:p w14:paraId="1424E72E">
            <w:pPr>
              <w:keepNext w:val="0"/>
              <w:keepLines w:val="0"/>
              <w:pageBreakBefore w:val="0"/>
              <w:widowControl/>
              <w:kinsoku/>
              <w:wordWrap/>
              <w:overflowPunct/>
              <w:topLinePunct w:val="0"/>
              <w:autoSpaceDE/>
              <w:autoSpaceDN/>
              <w:bidi w:val="0"/>
              <w:snapToGrid w:val="0"/>
              <w:spacing w:line="580" w:lineRule="exact"/>
              <w:ind w:left="0" w:leftChars="0" w:firstLine="360" w:firstLineChars="200"/>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详细技术参数：</w:t>
            </w:r>
          </w:p>
        </w:tc>
      </w:tr>
    </w:tbl>
    <w:p w14:paraId="3BEEBA76">
      <w:pPr>
        <w:numPr>
          <w:ilvl w:val="-1"/>
          <w:numId w:val="0"/>
        </w:numPr>
        <w:adjustRightInd w:val="0"/>
        <w:snapToGrid w:val="0"/>
        <w:spacing w:before="0" w:beforeLines="0" w:line="400" w:lineRule="exact"/>
        <w:ind w:firstLine="1080" w:firstLineChars="4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①涉及信息类产品，请填写该产品关键部件的品牌、型号：</w:t>
      </w:r>
    </w:p>
    <w:p w14:paraId="5ECC0B87">
      <w:pPr>
        <w:numPr>
          <w:ilvl w:val="-1"/>
          <w:numId w:val="0"/>
        </w:numPr>
        <w:adjustRightInd w:val="0"/>
        <w:snapToGrid w:val="0"/>
        <w:spacing w:before="0" w:beforeLines="0" w:line="400" w:lineRule="exact"/>
        <w:ind w:firstLine="480" w:firstLineChars="200"/>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     标的名称：</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lang w:val="en" w:eastAsia="zh-CN"/>
        </w:rPr>
        <w:t xml:space="preserve">               </w:t>
      </w:r>
      <w:r>
        <w:rPr>
          <w:rFonts w:hint="eastAsia" w:ascii="宋体" w:hAnsi="宋体" w:eastAsia="宋体" w:cs="宋体"/>
          <w:color w:val="auto"/>
          <w:kern w:val="0"/>
          <w:sz w:val="24"/>
          <w:szCs w:val="24"/>
          <w:highlight w:val="none"/>
          <w:u w:val="single"/>
          <w:lang w:val="en-US" w:eastAsia="zh-CN"/>
        </w:rPr>
        <w:t xml:space="preserve">    </w:t>
      </w:r>
    </w:p>
    <w:p w14:paraId="6C48C78E">
      <w:pPr>
        <w:numPr>
          <w:ilvl w:val="-1"/>
          <w:numId w:val="0"/>
        </w:numPr>
        <w:adjustRightInd w:val="0"/>
        <w:snapToGrid w:val="0"/>
        <w:spacing w:before="0" w:beforeLines="0"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关键部件：</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品牌：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型号：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5CD2F3D4">
      <w:pPr>
        <w:autoSpaceDE w:val="0"/>
        <w:autoSpaceDN w:val="0"/>
        <w:adjustRightInd w:val="0"/>
        <w:spacing w:beforeLines="0" w:line="400" w:lineRule="exact"/>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关键部件</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p>
    <w:p w14:paraId="13576A5A">
      <w:pPr>
        <w:autoSpaceDE w:val="0"/>
        <w:autoSpaceDN w:val="0"/>
        <w:adjustRightInd w:val="0"/>
        <w:spacing w:beforeLines="0" w:line="400" w:lineRule="exact"/>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型号：</w:t>
      </w:r>
      <w:r>
        <w:rPr>
          <w:rFonts w:hint="eastAsia" w:ascii="宋体" w:hAnsi="宋体" w:eastAsia="宋体" w:cs="宋体"/>
          <w:color w:val="auto"/>
          <w:sz w:val="24"/>
          <w:szCs w:val="24"/>
          <w:highlight w:val="none"/>
          <w:u w:val="single"/>
          <w:lang w:val="en-US" w:eastAsia="zh-CN" w:bidi="ar-SA"/>
        </w:rPr>
        <w:t xml:space="preserve">       </w:t>
      </w:r>
    </w:p>
    <w:p w14:paraId="3CBB0C8B">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607758B8">
      <w:pPr>
        <w:numPr>
          <w:ilvl w:val="-1"/>
          <w:numId w:val="0"/>
        </w:numPr>
        <w:autoSpaceDE w:val="0"/>
        <w:autoSpaceDN w:val="0"/>
        <w:adjustRightInd w:val="0"/>
        <w:snapToGrid w:val="0"/>
        <w:spacing w:before="0" w:beforeLines="0" w:line="400" w:lineRule="exact"/>
        <w:ind w:left="0" w:firstLine="0" w:firstLineChars="0"/>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hint="eastAsia" w:ascii="宋体" w:hAnsi="宋体" w:eastAsia="宋体" w:cs="宋体"/>
          <w:iCs w:val="0"/>
          <w:color w:val="auto"/>
          <w:sz w:val="24"/>
          <w:szCs w:val="24"/>
          <w:highlight w:val="none"/>
          <w:lang w:val="en" w:eastAsia="zh-CN" w:bidi="ar-SA"/>
        </w:rPr>
        <w:t>4</w:t>
      </w:r>
      <w:r>
        <w:rPr>
          <w:rFonts w:hint="eastAsia" w:ascii="宋体" w:hAnsi="宋体" w:eastAsia="宋体" w:cs="宋体"/>
          <w:iCs w:val="0"/>
          <w:color w:val="auto"/>
          <w:sz w:val="24"/>
          <w:szCs w:val="24"/>
          <w:highlight w:val="none"/>
          <w:lang w:val="en-US" w:eastAsia="zh-CN" w:bidi="ar-SA"/>
        </w:rPr>
        <w:t>）政府采购组织形式：</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 xml:space="preserve">政府集中采购  </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 xml:space="preserve">部门集中采购  </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分散采购</w:t>
      </w:r>
    </w:p>
    <w:p w14:paraId="2B286ED9">
      <w:pPr>
        <w:keepNext w:val="0"/>
        <w:keepLines w:val="0"/>
        <w:pageBreakBefore w:val="0"/>
        <w:numPr>
          <w:ilvl w:val="-1"/>
          <w:numId w:val="0"/>
        </w:numPr>
        <w:kinsoku/>
        <w:wordWrap/>
        <w:overflowPunct/>
        <w:topLinePunct w:val="0"/>
        <w:autoSpaceDE w:val="0"/>
        <w:autoSpaceDN w:val="0"/>
        <w:bidi w:val="0"/>
        <w:adjustRightInd w:val="0"/>
        <w:snapToGrid w:val="0"/>
        <w:spacing w:before="0" w:beforeLines="0" w:line="500" w:lineRule="exact"/>
        <w:ind w:left="0" w:firstLine="420" w:firstLineChars="0"/>
        <w:textAlignment w:val="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w:t>
      </w:r>
      <w:r>
        <w:rPr>
          <w:rFonts w:hint="eastAsia" w:ascii="宋体" w:hAnsi="宋体" w:eastAsia="宋体" w:cs="宋体"/>
          <w:iCs w:val="0"/>
          <w:color w:val="auto"/>
          <w:sz w:val="24"/>
          <w:szCs w:val="24"/>
          <w:highlight w:val="none"/>
          <w:lang w:val="en" w:eastAsia="zh-CN" w:bidi="ar-SA"/>
        </w:rPr>
        <w:t>5</w:t>
      </w:r>
      <w:r>
        <w:rPr>
          <w:rFonts w:hint="eastAsia" w:ascii="宋体" w:hAnsi="宋体" w:eastAsia="宋体" w:cs="宋体"/>
          <w:iCs w:val="0"/>
          <w:color w:val="auto"/>
          <w:sz w:val="24"/>
          <w:szCs w:val="24"/>
          <w:highlight w:val="none"/>
          <w:lang w:val="en-US" w:eastAsia="zh-CN" w:bidi="ar-SA"/>
        </w:rPr>
        <w:t>）政府采购方式：</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 xml:space="preserve">公开招标 </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 xml:space="preserve">邀请招标 </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 xml:space="preserve">竞争性谈判 </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竞争性磋商</w:t>
      </w:r>
    </w:p>
    <w:p w14:paraId="437E678F">
      <w:pPr>
        <w:keepNext w:val="0"/>
        <w:keepLines w:val="0"/>
        <w:pageBreakBefore w:val="0"/>
        <w:numPr>
          <w:ilvl w:val="-1"/>
          <w:numId w:val="0"/>
        </w:numPr>
        <w:kinsoku/>
        <w:wordWrap/>
        <w:overflowPunct/>
        <w:topLinePunct w:val="0"/>
        <w:autoSpaceDE w:val="0"/>
        <w:autoSpaceDN w:val="0"/>
        <w:bidi w:val="0"/>
        <w:adjustRightInd w:val="0"/>
        <w:snapToGrid w:val="0"/>
        <w:spacing w:before="0" w:beforeLines="0" w:line="500" w:lineRule="exact"/>
        <w:ind w:left="0" w:firstLine="420" w:firstLineChars="0"/>
        <w:textAlignment w:val="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 xml:space="preserve">询价 </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 xml:space="preserve">单一来源 </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 xml:space="preserve">框架协议 </w:t>
      </w:r>
      <w:r>
        <w:rPr>
          <w:rFonts w:hint="eastAsia" w:ascii="宋体" w:hAnsi="宋体" w:eastAsia="宋体" w:cs="宋体"/>
          <w:iCs w:val="0"/>
          <w:color w:val="auto"/>
          <w:sz w:val="24"/>
          <w:szCs w:val="24"/>
          <w:highlight w:val="none"/>
          <w:lang w:val="en-US" w:eastAsia="zh-CN" w:bidi="ar-SA"/>
        </w:rPr>
        <w:sym w:font="Wingdings" w:char="00A8"/>
      </w:r>
      <w:r>
        <w:rPr>
          <w:rFonts w:hint="eastAsia" w:ascii="宋体" w:hAnsi="宋体" w:eastAsia="宋体" w:cs="宋体"/>
          <w:iCs w:val="0"/>
          <w:color w:val="auto"/>
          <w:sz w:val="24"/>
          <w:szCs w:val="24"/>
          <w:highlight w:val="none"/>
          <w:lang w:val="en-US" w:eastAsia="zh-CN" w:bidi="ar-SA"/>
        </w:rPr>
        <w:t>其他：</w:t>
      </w:r>
      <w:r>
        <w:rPr>
          <w:rFonts w:hint="eastAsia" w:ascii="宋体" w:hAnsi="宋体" w:eastAsia="宋体" w:cs="宋体"/>
          <w:iCs w:val="0"/>
          <w:color w:val="auto"/>
          <w:sz w:val="24"/>
          <w:szCs w:val="24"/>
          <w:highlight w:val="none"/>
          <w:u w:val="single"/>
          <w:lang w:val="en-US" w:eastAsia="zh-CN" w:bidi="ar-SA"/>
        </w:rPr>
        <w:t xml:space="preserve">          </w:t>
      </w:r>
    </w:p>
    <w:p w14:paraId="0B34962C">
      <w:pPr>
        <w:keepNext w:val="0"/>
        <w:keepLines w:val="0"/>
        <w:pageBreakBefore w:val="0"/>
        <w:numPr>
          <w:ilvl w:val="-1"/>
          <w:numId w:val="0"/>
        </w:numPr>
        <w:kinsoku/>
        <w:wordWrap/>
        <w:overflowPunct/>
        <w:topLinePunct w:val="0"/>
        <w:autoSpaceDE w:val="0"/>
        <w:autoSpaceDN w:val="0"/>
        <w:bidi w:val="0"/>
        <w:adjustRightInd w:val="0"/>
        <w:snapToGrid w:val="0"/>
        <w:spacing w:before="0" w:beforeLines="0" w:line="500" w:lineRule="exact"/>
        <w:ind w:left="0" w:firstLine="420" w:firstLineChars="0"/>
        <w:textAlignment w:val="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iCs w:val="0"/>
          <w:color w:val="auto"/>
          <w:sz w:val="24"/>
          <w:szCs w:val="24"/>
          <w:highlight w:val="none"/>
          <w:u w:val="none"/>
          <w:lang w:val="en-US" w:eastAsia="zh-CN" w:bidi="ar-SA"/>
        </w:rPr>
        <w:t>（注：在框架协议采购的第二阶段，可选择使用该合同文本）</w:t>
      </w:r>
    </w:p>
    <w:p w14:paraId="0230A99B">
      <w:pPr>
        <w:keepNext w:val="0"/>
        <w:keepLines w:val="0"/>
        <w:pageBreakBefore w:val="0"/>
        <w:numPr>
          <w:ilvl w:val="-1"/>
          <w:numId w:val="0"/>
        </w:numPr>
        <w:kinsoku/>
        <w:wordWrap/>
        <w:overflowPunct/>
        <w:topLinePunct w:val="0"/>
        <w:autoSpaceDE w:val="0"/>
        <w:autoSpaceDN w:val="0"/>
        <w:bidi w:val="0"/>
        <w:adjustRightInd w:val="0"/>
        <w:snapToGrid w:val="0"/>
        <w:spacing w:before="0" w:beforeLines="0" w:line="500" w:lineRule="exact"/>
        <w:ind w:firstLine="240" w:firstLineChars="100"/>
        <w:textAlignment w:val="auto"/>
        <w:rPr>
          <w:rFonts w:hint="eastAsia" w:ascii="宋体" w:hAnsi="宋体" w:eastAsia="宋体" w:cs="宋体"/>
          <w:color w:val="auto"/>
          <w:w w:val="100"/>
          <w:kern w:val="2"/>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 w:eastAsia="zh-CN" w:bidi="ar-SA"/>
        </w:rPr>
        <w:t>6</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w w:val="100"/>
          <w:kern w:val="2"/>
          <w:sz w:val="24"/>
          <w:szCs w:val="24"/>
          <w:highlight w:val="none"/>
          <w:lang w:val="en-US" w:eastAsia="zh-CN" w:bidi="ar-SA"/>
        </w:rPr>
        <w:t>中标（成交）采购标的制造商是否为中小企业：</w:t>
      </w:r>
      <w:r>
        <w:rPr>
          <w:rFonts w:hint="eastAsia" w:ascii="宋体" w:hAnsi="宋体" w:eastAsia="宋体" w:cs="宋体"/>
          <w:color w:val="auto"/>
          <w:w w:val="100"/>
          <w:kern w:val="2"/>
          <w:sz w:val="24"/>
          <w:szCs w:val="24"/>
          <w:highlight w:val="none"/>
          <w:lang w:val="en-US" w:eastAsia="zh-CN" w:bidi="ar-SA"/>
        </w:rPr>
        <w:sym w:font="Wingdings" w:char="00A8"/>
      </w:r>
      <w:r>
        <w:rPr>
          <w:rFonts w:hint="eastAsia" w:ascii="宋体" w:hAnsi="宋体" w:eastAsia="宋体" w:cs="宋体"/>
          <w:color w:val="auto"/>
          <w:w w:val="100"/>
          <w:kern w:val="2"/>
          <w:sz w:val="24"/>
          <w:szCs w:val="24"/>
          <w:highlight w:val="none"/>
          <w:lang w:val="en-US" w:eastAsia="zh-CN" w:bidi="ar-SA"/>
        </w:rPr>
        <w:t xml:space="preserve">是      </w:t>
      </w:r>
      <w:r>
        <w:rPr>
          <w:rFonts w:hint="eastAsia" w:ascii="宋体" w:hAnsi="宋体" w:eastAsia="宋体" w:cs="宋体"/>
          <w:color w:val="auto"/>
          <w:w w:val="100"/>
          <w:kern w:val="2"/>
          <w:sz w:val="24"/>
          <w:szCs w:val="24"/>
          <w:highlight w:val="none"/>
          <w:lang w:val="en-US" w:eastAsia="zh-CN" w:bidi="ar-SA"/>
        </w:rPr>
        <w:sym w:font="Wingdings" w:char="00A8"/>
      </w:r>
      <w:r>
        <w:rPr>
          <w:rFonts w:hint="eastAsia" w:ascii="宋体" w:hAnsi="宋体" w:eastAsia="宋体" w:cs="宋体"/>
          <w:color w:val="auto"/>
          <w:w w:val="100"/>
          <w:kern w:val="2"/>
          <w:sz w:val="24"/>
          <w:szCs w:val="24"/>
          <w:highlight w:val="none"/>
          <w:lang w:val="en-US" w:eastAsia="zh-CN" w:bidi="ar-SA"/>
        </w:rPr>
        <w:t>否</w:t>
      </w:r>
    </w:p>
    <w:p w14:paraId="60C47C87">
      <w:pPr>
        <w:keepNext w:val="0"/>
        <w:keepLines w:val="0"/>
        <w:pageBreakBefore w:val="0"/>
        <w:numPr>
          <w:ilvl w:val="-1"/>
          <w:numId w:val="0"/>
        </w:numPr>
        <w:kinsoku/>
        <w:wordWrap/>
        <w:overflowPunct/>
        <w:topLinePunct w:val="0"/>
        <w:bidi w:val="0"/>
        <w:adjustRightInd w:val="0"/>
        <w:snapToGrid w:val="0"/>
        <w:spacing w:before="0" w:beforeLines="0" w:line="500" w:lineRule="exact"/>
        <w:ind w:left="0" w:leftChars="0"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w w:val="100"/>
          <w:sz w:val="24"/>
          <w:szCs w:val="24"/>
          <w:highlight w:val="none"/>
          <w:lang w:val="en-US" w:eastAsia="zh-CN"/>
        </w:rPr>
        <w:t xml:space="preserve">         本合同</w:t>
      </w:r>
      <w:r>
        <w:rPr>
          <w:rFonts w:hint="eastAsia" w:ascii="宋体" w:hAnsi="宋体" w:eastAsia="宋体" w:cs="宋体"/>
          <w:color w:val="auto"/>
          <w:w w:val="100"/>
          <w:sz w:val="24"/>
          <w:szCs w:val="24"/>
          <w:highlight w:val="none"/>
        </w:rPr>
        <w:t>是否</w:t>
      </w:r>
      <w:r>
        <w:rPr>
          <w:rFonts w:hint="eastAsia" w:ascii="宋体" w:hAnsi="宋体" w:eastAsia="宋体" w:cs="宋体"/>
          <w:color w:val="auto"/>
          <w:w w:val="100"/>
          <w:sz w:val="24"/>
          <w:szCs w:val="24"/>
          <w:highlight w:val="none"/>
          <w:lang w:eastAsia="zh-CN"/>
        </w:rPr>
        <w:t>为专门面向</w:t>
      </w:r>
      <w:r>
        <w:rPr>
          <w:rFonts w:hint="eastAsia" w:ascii="宋体" w:hAnsi="宋体" w:eastAsia="宋体" w:cs="宋体"/>
          <w:color w:val="auto"/>
          <w:w w:val="100"/>
          <w:sz w:val="24"/>
          <w:szCs w:val="24"/>
          <w:highlight w:val="none"/>
        </w:rPr>
        <w:t>中小企业</w:t>
      </w:r>
      <w:r>
        <w:rPr>
          <w:rFonts w:hint="eastAsia" w:ascii="宋体" w:hAnsi="宋体" w:eastAsia="宋体" w:cs="宋体"/>
          <w:color w:val="auto"/>
          <w:w w:val="100"/>
          <w:sz w:val="24"/>
          <w:szCs w:val="24"/>
          <w:highlight w:val="none"/>
          <w:lang w:eastAsia="zh-CN"/>
        </w:rPr>
        <w:t>的采</w:t>
      </w:r>
      <w:r>
        <w:rPr>
          <w:rFonts w:hint="eastAsia" w:ascii="宋体" w:hAnsi="宋体" w:eastAsia="宋体" w:cs="宋体"/>
          <w:color w:val="auto"/>
          <w:w w:val="100"/>
          <w:sz w:val="24"/>
          <w:szCs w:val="24"/>
          <w:highlight w:val="none"/>
          <w:shd w:val="clear"/>
          <w:lang w:eastAsia="zh-CN"/>
        </w:rPr>
        <w:t>购</w:t>
      </w:r>
      <w:r>
        <w:rPr>
          <w:rFonts w:hint="eastAsia" w:ascii="宋体" w:hAnsi="宋体" w:eastAsia="宋体" w:cs="宋体"/>
          <w:color w:val="auto"/>
          <w:w w:val="100"/>
          <w:sz w:val="24"/>
          <w:szCs w:val="24"/>
          <w:highlight w:val="none"/>
          <w:shd w:val="clear"/>
        </w:rPr>
        <w:t>合同</w:t>
      </w:r>
      <w:r>
        <w:rPr>
          <w:rFonts w:hint="eastAsia" w:ascii="宋体" w:hAnsi="宋体" w:eastAsia="宋体" w:cs="宋体"/>
          <w:color w:val="auto"/>
          <w:w w:val="100"/>
          <w:sz w:val="24"/>
          <w:szCs w:val="24"/>
          <w:highlight w:val="none"/>
          <w:shd w:val="clear"/>
          <w:lang w:eastAsia="zh-CN"/>
        </w:rPr>
        <w:t>（中小企业预留合同）</w:t>
      </w:r>
      <w:r>
        <w:rPr>
          <w:rFonts w:hint="eastAsia" w:ascii="宋体" w:hAnsi="宋体" w:eastAsia="宋体" w:cs="宋体"/>
          <w:color w:val="auto"/>
          <w:sz w:val="24"/>
          <w:szCs w:val="24"/>
          <w:highlight w:val="none"/>
          <w:shd w:val="clear"/>
        </w:rPr>
        <w:t>：</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1730B910">
      <w:pPr>
        <w:keepNext w:val="0"/>
        <w:keepLines w:val="0"/>
        <w:pageBreakBefore w:val="0"/>
        <w:numPr>
          <w:ilvl w:val="-1"/>
          <w:numId w:val="0"/>
        </w:numPr>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         若本项目不专门面向中小企业采购，是否给予小微企业评审优惠：</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5405AC95">
      <w:pPr>
        <w:keepNext w:val="0"/>
        <w:keepLines w:val="0"/>
        <w:pageBreakBefore w:val="0"/>
        <w:numPr>
          <w:ilvl w:val="-1"/>
          <w:numId w:val="0"/>
        </w:numPr>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         中标（成交）采购标的制造商是否为残疾人福利性单位：</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6F0FCF25">
      <w:pPr>
        <w:keepNext w:val="0"/>
        <w:keepLines w:val="0"/>
        <w:pageBreakBefore w:val="0"/>
        <w:numPr>
          <w:ilvl w:val="0"/>
          <w:numId w:val="0"/>
        </w:numPr>
        <w:kinsoku/>
        <w:wordWrap/>
        <w:overflowPunct/>
        <w:topLinePunct w:val="0"/>
        <w:bidi w:val="0"/>
        <w:snapToGrid w:val="0"/>
        <w:spacing w:beforeLines="0" w:line="50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中标（成交）采购标的制造商是否为监狱企业：</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51E67555">
      <w:pPr>
        <w:keepNext w:val="0"/>
        <w:keepLines w:val="0"/>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 w:eastAsia="zh-CN"/>
        </w:rPr>
        <w:t>7</w:t>
      </w:r>
      <w:r>
        <w:rPr>
          <w:rFonts w:hint="eastAsia" w:ascii="宋体" w:hAnsi="宋体" w:eastAsia="宋体" w:cs="宋体"/>
          <w:color w:val="auto"/>
          <w:sz w:val="24"/>
          <w:szCs w:val="24"/>
          <w:highlight w:val="none"/>
        </w:rPr>
        <w:t>）合同是否分包：</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2A51658E">
      <w:pPr>
        <w:keepNext w:val="0"/>
        <w:keepLines w:val="0"/>
        <w:pageBreakBefore w:val="0"/>
        <w:numPr>
          <w:ilvl w:val="-1"/>
          <w:numId w:val="0"/>
        </w:numPr>
        <w:kinsoku/>
        <w:wordWrap/>
        <w:overflowPunct/>
        <w:topLinePunct w:val="0"/>
        <w:bidi w:val="0"/>
        <w:adjustRightInd w:val="0"/>
        <w:snapToGrid w:val="0"/>
        <w:spacing w:before="0" w:beforeLines="0" w:line="500" w:lineRule="exact"/>
        <w:ind w:left="0" w:leftChars="0"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 w:eastAsia="zh-CN"/>
        </w:rPr>
        <w:t>8</w:t>
      </w:r>
      <w:r>
        <w:rPr>
          <w:rFonts w:hint="eastAsia" w:ascii="宋体" w:hAnsi="宋体" w:eastAsia="宋体" w:cs="宋体"/>
          <w:color w:val="auto"/>
          <w:sz w:val="24"/>
          <w:szCs w:val="24"/>
          <w:highlight w:val="none"/>
          <w:u w:val="none"/>
          <w:lang w:val="en-US" w:eastAsia="zh-CN"/>
        </w:rPr>
        <w:t>）中标（成交）供应商是否为外商投资企业：</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52BEF160">
      <w:pPr>
        <w:keepNext w:val="0"/>
        <w:keepLines w:val="0"/>
        <w:pageBreakBefore w:val="0"/>
        <w:tabs>
          <w:tab w:val="left" w:pos="1340"/>
        </w:tabs>
        <w:kinsoku/>
        <w:wordWrap/>
        <w:overflowPunct/>
        <w:topLinePunct w:val="0"/>
        <w:autoSpaceDE w:val="0"/>
        <w:autoSpaceDN w:val="0"/>
        <w:bidi w:val="0"/>
        <w:adjustRightInd w:val="0"/>
        <w:spacing w:beforeLines="0" w:line="500" w:lineRule="exact"/>
        <w:ind w:firstLine="480" w:firstLineChars="200"/>
        <w:textAlignment w:val="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外商投资企业类型：</w:t>
      </w:r>
      <w:r>
        <w:rPr>
          <w:rFonts w:hint="eastAsia" w:ascii="宋体" w:hAnsi="宋体" w:eastAsia="宋体" w:cs="宋体"/>
          <w:iCs/>
          <w:color w:val="auto"/>
          <w:sz w:val="24"/>
          <w:szCs w:val="24"/>
          <w:highlight w:val="none"/>
          <w:lang w:val="en-US" w:eastAsia="zh-CN" w:bidi="ar-SA"/>
        </w:rPr>
        <w:sym w:font="Wingdings" w:char="00A8"/>
      </w:r>
      <w:r>
        <w:rPr>
          <w:rFonts w:hint="eastAsia" w:ascii="宋体" w:hAnsi="宋体" w:eastAsia="宋体" w:cs="宋体"/>
          <w:color w:val="auto"/>
          <w:sz w:val="24"/>
          <w:szCs w:val="24"/>
          <w:highlight w:val="none"/>
          <w:u w:val="none"/>
          <w:lang w:val="en-US" w:eastAsia="zh-CN" w:bidi="ar-SA"/>
        </w:rPr>
        <w:t xml:space="preserve">全部由外国投资者投资  </w:t>
      </w:r>
      <w:r>
        <w:rPr>
          <w:rFonts w:hint="eastAsia" w:ascii="宋体" w:hAnsi="宋体" w:eastAsia="宋体" w:cs="宋体"/>
          <w:iCs/>
          <w:color w:val="auto"/>
          <w:sz w:val="24"/>
          <w:szCs w:val="24"/>
          <w:highlight w:val="none"/>
          <w:lang w:val="en-US" w:eastAsia="zh-CN" w:bidi="ar-SA"/>
        </w:rPr>
        <w:sym w:font="Wingdings" w:char="00A8"/>
      </w:r>
      <w:r>
        <w:rPr>
          <w:rFonts w:hint="eastAsia" w:ascii="宋体" w:hAnsi="宋体" w:eastAsia="宋体" w:cs="宋体"/>
          <w:iCs/>
          <w:color w:val="auto"/>
          <w:sz w:val="24"/>
          <w:szCs w:val="24"/>
          <w:highlight w:val="none"/>
          <w:lang w:val="en-US" w:eastAsia="zh-CN" w:bidi="ar-SA"/>
        </w:rPr>
        <w:t>部分由外国投资者投资</w:t>
      </w:r>
    </w:p>
    <w:p w14:paraId="19B79F50">
      <w:pPr>
        <w:keepNext w:val="0"/>
        <w:keepLines w:val="0"/>
        <w:pageBreakBefore w:val="0"/>
        <w:numPr>
          <w:ilvl w:val="-1"/>
          <w:numId w:val="0"/>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w:t>
      </w:r>
      <w:r>
        <w:rPr>
          <w:rFonts w:hint="eastAsia" w:ascii="宋体" w:hAnsi="宋体" w:eastAsia="宋体" w:cs="宋体"/>
          <w:b w:val="0"/>
          <w:bCs w:val="0"/>
          <w:color w:val="auto"/>
          <w:sz w:val="24"/>
          <w:szCs w:val="24"/>
          <w:highlight w:val="none"/>
          <w:u w:val="none"/>
          <w:lang w:val="en" w:eastAsia="zh-CN"/>
        </w:rPr>
        <w:t>9</w:t>
      </w:r>
      <w:r>
        <w:rPr>
          <w:rFonts w:hint="eastAsia" w:ascii="宋体" w:hAnsi="宋体" w:eastAsia="宋体" w:cs="宋体"/>
          <w:b w:val="0"/>
          <w:bCs w:val="0"/>
          <w:color w:val="auto"/>
          <w:sz w:val="24"/>
          <w:szCs w:val="24"/>
          <w:highlight w:val="none"/>
          <w:u w:val="none"/>
          <w:lang w:val="en-US" w:eastAsia="zh-CN"/>
        </w:rPr>
        <w:t>）是否涉及进口产品：</w:t>
      </w:r>
    </w:p>
    <w:p w14:paraId="4EFF2F55">
      <w:pPr>
        <w:keepNext w:val="0"/>
        <w:keepLines w:val="0"/>
        <w:pageBreakBefore w:val="0"/>
        <w:numPr>
          <w:ilvl w:val="-1"/>
          <w:numId w:val="0"/>
        </w:numPr>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，《政府采购品目分类目录》底级品目名称</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金额：</w:t>
      </w:r>
      <w:r>
        <w:rPr>
          <w:rFonts w:hint="eastAsia" w:ascii="宋体" w:hAnsi="宋体" w:eastAsia="宋体" w:cs="宋体"/>
          <w:color w:val="auto"/>
          <w:sz w:val="24"/>
          <w:szCs w:val="24"/>
          <w:highlight w:val="none"/>
          <w:u w:val="single"/>
          <w:lang w:val="en-US" w:eastAsia="zh-CN"/>
        </w:rPr>
        <w:t xml:space="preserve">        </w:t>
      </w:r>
    </w:p>
    <w:p w14:paraId="77AE8567">
      <w:pPr>
        <w:keepNext w:val="0"/>
        <w:keepLines w:val="0"/>
        <w:pageBreakBefore w:val="0"/>
        <w:numPr>
          <w:ilvl w:val="-1"/>
          <w:numId w:val="0"/>
        </w:numPr>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iCs w:val="0"/>
          <w:color w:val="auto"/>
          <w:sz w:val="24"/>
          <w:szCs w:val="24"/>
          <w:highlight w:val="none"/>
        </w:rPr>
      </w:pPr>
      <w:r>
        <w:rPr>
          <w:rFonts w:hint="eastAsia" w:ascii="宋体" w:hAnsi="宋体" w:eastAsia="宋体" w:cs="宋体"/>
          <w:color w:val="auto"/>
          <w:sz w:val="24"/>
          <w:szCs w:val="24"/>
          <w:highlight w:val="none"/>
          <w:lang w:val="en-US" w:eastAsia="zh-CN"/>
        </w:rPr>
        <w:t xml:space="preserve">        国别：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品牌：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规格型号：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val="0"/>
          <w:color w:val="auto"/>
          <w:sz w:val="24"/>
          <w:szCs w:val="24"/>
          <w:highlight w:val="none"/>
        </w:rPr>
        <w:t xml:space="preserve">      </w:t>
      </w:r>
    </w:p>
    <w:p w14:paraId="08AA23BC">
      <w:pPr>
        <w:keepNext w:val="0"/>
        <w:keepLines w:val="0"/>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否</w:t>
      </w:r>
    </w:p>
    <w:p w14:paraId="015CB6E7">
      <w:pPr>
        <w:keepNext w:val="0"/>
        <w:keepLines w:val="0"/>
        <w:pageBreakBefore w:val="0"/>
        <w:numPr>
          <w:ilvl w:val="-1"/>
          <w:numId w:val="0"/>
        </w:numPr>
        <w:tabs>
          <w:tab w:val="left" w:pos="740"/>
        </w:tabs>
        <w:kinsoku/>
        <w:wordWrap/>
        <w:overflowPunct/>
        <w:topLinePunct w:val="0"/>
        <w:bidi w:val="0"/>
        <w:adjustRightInd w:val="0"/>
        <w:snapToGrid w:val="0"/>
        <w:spacing w:before="0" w:beforeLines="0" w:line="500" w:lineRule="exact"/>
        <w:ind w:left="0" w:firstLine="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    （1</w:t>
      </w:r>
      <w:r>
        <w:rPr>
          <w:rFonts w:hint="eastAsia" w:ascii="宋体" w:hAnsi="宋体" w:eastAsia="宋体" w:cs="宋体"/>
          <w:b w:val="0"/>
          <w:bCs w:val="0"/>
          <w:color w:val="auto"/>
          <w:sz w:val="24"/>
          <w:szCs w:val="24"/>
          <w:highlight w:val="none"/>
          <w:u w:val="none"/>
          <w:lang w:val="en" w:eastAsia="zh-CN"/>
        </w:rPr>
        <w:t>0</w:t>
      </w:r>
      <w:r>
        <w:rPr>
          <w:rFonts w:hint="eastAsia" w:ascii="宋体" w:hAnsi="宋体" w:eastAsia="宋体" w:cs="宋体"/>
          <w:b w:val="0"/>
          <w:bCs w:val="0"/>
          <w:color w:val="auto"/>
          <w:sz w:val="24"/>
          <w:szCs w:val="24"/>
          <w:highlight w:val="none"/>
          <w:u w:val="none"/>
          <w:lang w:val="en-US" w:eastAsia="zh-CN"/>
        </w:rPr>
        <w:t>）是否涉及节能产品：</w:t>
      </w:r>
    </w:p>
    <w:p w14:paraId="55897A3E">
      <w:pPr>
        <w:keepNext w:val="0"/>
        <w:keepLines w:val="0"/>
        <w:pageBreakBefore w:val="0"/>
        <w:numPr>
          <w:ilvl w:val="-1"/>
          <w:numId w:val="0"/>
        </w:numPr>
        <w:tabs>
          <w:tab w:val="left" w:pos="740"/>
        </w:tabs>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，《节能产品政府采购品目清单》的底级品目名称：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lang w:val="en-US" w:eastAsia="zh-CN"/>
        </w:rPr>
        <w:t xml:space="preserve">     </w:t>
      </w:r>
    </w:p>
    <w:p w14:paraId="7140F8BC">
      <w:pPr>
        <w:keepNext w:val="0"/>
        <w:keepLines w:val="0"/>
        <w:pageBreakBefore w:val="0"/>
        <w:numPr>
          <w:ilvl w:val="-1"/>
          <w:numId w:val="0"/>
        </w:numPr>
        <w:tabs>
          <w:tab w:val="left" w:pos="740"/>
        </w:tabs>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6740C02E">
      <w:pPr>
        <w:keepNext w:val="0"/>
        <w:keepLines w:val="0"/>
        <w:pageBreakBefore w:val="0"/>
        <w:numPr>
          <w:ilvl w:val="-1"/>
          <w:numId w:val="0"/>
        </w:numPr>
        <w:tabs>
          <w:tab w:val="left" w:pos="740"/>
        </w:tabs>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iCs w:val="0"/>
          <w:color w:val="auto"/>
          <w:sz w:val="24"/>
          <w:szCs w:val="24"/>
          <w:highlight w:val="none"/>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p>
    <w:p w14:paraId="7F9BC1DE">
      <w:pPr>
        <w:keepNext w:val="0"/>
        <w:keepLines w:val="0"/>
        <w:pageBreakBefore w:val="0"/>
        <w:numPr>
          <w:ilvl w:val="-1"/>
          <w:numId w:val="0"/>
        </w:numPr>
        <w:tabs>
          <w:tab w:val="left" w:pos="740"/>
        </w:tabs>
        <w:kinsoku/>
        <w:wordWrap/>
        <w:overflowPunct/>
        <w:topLinePunct w:val="0"/>
        <w:bidi w:val="0"/>
        <w:adjustRightInd w:val="0"/>
        <w:snapToGrid w:val="0"/>
        <w:spacing w:before="0" w:beforeLines="0" w:line="500" w:lineRule="exact"/>
        <w:ind w:left="0" w:firstLine="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          是否涉及环境标志产品：</w:t>
      </w:r>
    </w:p>
    <w:p w14:paraId="67CEFAF0">
      <w:pPr>
        <w:keepNext w:val="0"/>
        <w:keepLines w:val="0"/>
        <w:pageBreakBefore w:val="0"/>
        <w:numPr>
          <w:ilvl w:val="-1"/>
          <w:numId w:val="0"/>
        </w:numPr>
        <w:tabs>
          <w:tab w:val="left" w:pos="740"/>
        </w:tabs>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iCs w:val="0"/>
          <w:color w:val="auto"/>
          <w:sz w:val="24"/>
          <w:szCs w:val="24"/>
          <w:highlight w:val="none"/>
          <w:lang w:eastAsia="zh-CN"/>
        </w:rPr>
      </w:pP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，《环境标志产品政府采购品目清单》的底级品目名称：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lang w:val="en-US" w:eastAsia="zh-CN"/>
        </w:rPr>
        <w:t xml:space="preserve"> </w:t>
      </w:r>
    </w:p>
    <w:p w14:paraId="5829EA53">
      <w:pPr>
        <w:keepNext w:val="0"/>
        <w:keepLines w:val="0"/>
        <w:pageBreakBefore w:val="0"/>
        <w:numPr>
          <w:ilvl w:val="-1"/>
          <w:numId w:val="0"/>
        </w:numPr>
        <w:tabs>
          <w:tab w:val="left" w:pos="740"/>
        </w:tabs>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4F7505EF">
      <w:pPr>
        <w:keepNext w:val="0"/>
        <w:keepLines w:val="0"/>
        <w:pageBreakBefore w:val="0"/>
        <w:numPr>
          <w:ilvl w:val="-1"/>
          <w:numId w:val="0"/>
        </w:numPr>
        <w:tabs>
          <w:tab w:val="left" w:pos="740"/>
        </w:tabs>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p>
    <w:p w14:paraId="0DC24C12">
      <w:pPr>
        <w:keepNext w:val="0"/>
        <w:keepLines w:val="0"/>
        <w:pageBreakBefore w:val="0"/>
        <w:numPr>
          <w:ilvl w:val="-1"/>
          <w:numId w:val="0"/>
        </w:numPr>
        <w:kinsoku/>
        <w:wordWrap/>
        <w:overflowPunct/>
        <w:topLinePunct w:val="0"/>
        <w:autoSpaceDE w:val="0"/>
        <w:autoSpaceDN w:val="0"/>
        <w:bidi w:val="0"/>
        <w:adjustRightInd w:val="0"/>
        <w:snapToGrid w:val="0"/>
        <w:spacing w:before="0" w:beforeLines="0" w:line="500" w:lineRule="exact"/>
        <w:ind w:firstLine="0" w:firstLineChars="0"/>
        <w:textAlignment w:val="auto"/>
        <w:rPr>
          <w:rFonts w:hint="eastAsia" w:ascii="宋体" w:hAnsi="宋体" w:eastAsia="宋体" w:cs="宋体"/>
          <w:iCs w:val="0"/>
          <w:color w:val="auto"/>
          <w:kern w:val="2"/>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hint="eastAsia" w:ascii="宋体" w:hAnsi="宋体" w:eastAsia="宋体" w:cs="宋体"/>
          <w:b w:val="0"/>
          <w:bCs w:val="0"/>
          <w:color w:val="auto"/>
          <w:kern w:val="2"/>
          <w:sz w:val="24"/>
          <w:szCs w:val="24"/>
          <w:highlight w:val="none"/>
          <w:u w:val="none"/>
          <w:lang w:val="en-US" w:eastAsia="zh-CN" w:bidi="ar-SA"/>
        </w:rPr>
        <w:t>是否涉及绿色产品：</w:t>
      </w:r>
      <w:r>
        <w:rPr>
          <w:rFonts w:hint="eastAsia" w:ascii="宋体" w:hAnsi="宋体" w:eastAsia="宋体" w:cs="宋体"/>
          <w:iCs w:val="0"/>
          <w:color w:val="auto"/>
          <w:kern w:val="2"/>
          <w:sz w:val="24"/>
          <w:szCs w:val="24"/>
          <w:highlight w:val="none"/>
          <w:u w:val="none"/>
          <w:lang w:val="en-US" w:eastAsia="zh-CN" w:bidi="ar-SA"/>
        </w:rPr>
        <w:t xml:space="preserve"> </w:t>
      </w:r>
    </w:p>
    <w:p w14:paraId="3161627D">
      <w:pPr>
        <w:keepNext w:val="0"/>
        <w:keepLines w:val="0"/>
        <w:pageBreakBefore w:val="0"/>
        <w:kinsoku/>
        <w:wordWrap/>
        <w:overflowPunct/>
        <w:topLinePunct w:val="0"/>
        <w:autoSpaceDE w:val="0"/>
        <w:autoSpaceDN w:val="0"/>
        <w:bidi w:val="0"/>
        <w:adjustRightInd w:val="0"/>
        <w:spacing w:beforeLines="0" w:line="500" w:lineRule="exact"/>
        <w:ind w:firstLine="420" w:firstLineChars="0"/>
        <w:textAlignment w:val="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iCs w:val="0"/>
          <w:color w:val="auto"/>
          <w:kern w:val="2"/>
          <w:sz w:val="24"/>
          <w:szCs w:val="24"/>
          <w:highlight w:val="none"/>
          <w:u w:val="none"/>
          <w:lang w:val="en-US" w:eastAsia="zh-CN" w:bidi="ar-SA"/>
        </w:rPr>
        <w:t xml:space="preserve">     </w:t>
      </w:r>
      <w:r>
        <w:rPr>
          <w:rFonts w:hint="eastAsia" w:ascii="宋体" w:hAnsi="宋体" w:eastAsia="宋体" w:cs="宋体"/>
          <w:iCs w:val="0"/>
          <w:color w:val="auto"/>
          <w:kern w:val="2"/>
          <w:sz w:val="24"/>
          <w:szCs w:val="24"/>
          <w:highlight w:val="none"/>
          <w:u w:val="none"/>
          <w:lang w:val="en-US" w:eastAsia="zh-CN" w:bidi="ar-SA"/>
        </w:rPr>
        <w:sym w:font="Wingdings" w:char="00A8"/>
      </w:r>
      <w:r>
        <w:rPr>
          <w:rFonts w:hint="eastAsia" w:ascii="宋体" w:hAnsi="宋体" w:eastAsia="宋体" w:cs="宋体"/>
          <w:iCs w:val="0"/>
          <w:color w:val="auto"/>
          <w:kern w:val="2"/>
          <w:sz w:val="24"/>
          <w:szCs w:val="24"/>
          <w:highlight w:val="none"/>
          <w:u w:val="none"/>
          <w:lang w:val="en-US" w:eastAsia="zh-CN" w:bidi="ar-SA"/>
        </w:rPr>
        <w:t>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p>
    <w:p w14:paraId="2CB41C95">
      <w:pPr>
        <w:keepNext w:val="0"/>
        <w:keepLines w:val="0"/>
        <w:pageBreakBefore w:val="0"/>
        <w:numPr>
          <w:ilvl w:val="-1"/>
          <w:numId w:val="0"/>
        </w:numPr>
        <w:tabs>
          <w:tab w:val="left" w:pos="740"/>
        </w:tabs>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4DF8BDFF">
      <w:pPr>
        <w:keepNext w:val="0"/>
        <w:keepLines w:val="0"/>
        <w:pageBreakBefore w:val="0"/>
        <w:kinsoku/>
        <w:wordWrap/>
        <w:overflowPunct/>
        <w:topLinePunct w:val="0"/>
        <w:autoSpaceDE w:val="0"/>
        <w:autoSpaceDN w:val="0"/>
        <w:bidi w:val="0"/>
        <w:adjustRightInd w:val="0"/>
        <w:spacing w:beforeLines="0" w:line="500" w:lineRule="exact"/>
        <w:ind w:firstLine="420" w:firstLineChars="0"/>
        <w:textAlignment w:val="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val="0"/>
          <w:color w:val="auto"/>
          <w:kern w:val="2"/>
          <w:sz w:val="24"/>
          <w:szCs w:val="24"/>
          <w:highlight w:val="none"/>
          <w:u w:val="none"/>
          <w:lang w:val="en-US" w:eastAsia="zh-CN" w:bidi="ar-SA"/>
        </w:rPr>
        <w:t xml:space="preserve">     </w:t>
      </w:r>
      <w:r>
        <w:rPr>
          <w:rFonts w:hint="eastAsia" w:ascii="宋体" w:hAnsi="宋体" w:eastAsia="宋体" w:cs="宋体"/>
          <w:iCs w:val="0"/>
          <w:color w:val="auto"/>
          <w:kern w:val="2"/>
          <w:sz w:val="24"/>
          <w:szCs w:val="24"/>
          <w:highlight w:val="none"/>
          <w:u w:val="none"/>
          <w:lang w:val="en-US" w:eastAsia="zh-CN" w:bidi="ar-SA"/>
        </w:rPr>
        <w:sym w:font="Wingdings" w:char="00A8"/>
      </w:r>
      <w:r>
        <w:rPr>
          <w:rFonts w:hint="eastAsia" w:ascii="宋体" w:hAnsi="宋体" w:eastAsia="宋体" w:cs="宋体"/>
          <w:iCs w:val="0"/>
          <w:color w:val="auto"/>
          <w:kern w:val="2"/>
          <w:sz w:val="24"/>
          <w:szCs w:val="24"/>
          <w:highlight w:val="none"/>
          <w:u w:val="none"/>
          <w:lang w:val="en-US" w:eastAsia="zh-CN" w:bidi="ar-SA"/>
        </w:rPr>
        <w:t>否</w:t>
      </w:r>
    </w:p>
    <w:p w14:paraId="1707533D">
      <w:pPr>
        <w:keepNext w:val="0"/>
        <w:keepLines w:val="0"/>
        <w:pageBreakBefore w:val="0"/>
        <w:numPr>
          <w:ilvl w:val="-1"/>
          <w:numId w:val="0"/>
        </w:numPr>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w:t>
      </w:r>
      <w:r>
        <w:rPr>
          <w:rFonts w:hint="eastAsia" w:ascii="宋体" w:hAnsi="宋体" w:eastAsia="宋体" w:cs="宋体"/>
          <w:color w:val="auto"/>
          <w:sz w:val="24"/>
          <w:szCs w:val="24"/>
          <w:highlight w:val="none"/>
          <w:lang w:val="en" w:eastAsia="zh-CN"/>
        </w:rPr>
        <w:t>1</w:t>
      </w:r>
      <w:r>
        <w:rPr>
          <w:rFonts w:hint="eastAsia" w:ascii="宋体" w:hAnsi="宋体" w:eastAsia="宋体" w:cs="宋体"/>
          <w:color w:val="auto"/>
          <w:sz w:val="24"/>
          <w:szCs w:val="24"/>
          <w:highlight w:val="none"/>
          <w:lang w:val="en-US" w:eastAsia="zh-CN"/>
        </w:rPr>
        <w:t>）涉及商品包装和快递包装的，是否参考</w:t>
      </w:r>
      <w:r>
        <w:rPr>
          <w:rFonts w:hint="eastAsia" w:ascii="宋体" w:hAnsi="宋体" w:eastAsia="宋体" w:cs="宋体"/>
          <w:color w:val="auto"/>
          <w:sz w:val="24"/>
          <w:szCs w:val="24"/>
          <w:highlight w:val="none"/>
        </w:rPr>
        <w:t>《商品包装政府采购需求标准（试行）》、《快递包装政府采购需求标准（试行）》</w:t>
      </w:r>
      <w:r>
        <w:rPr>
          <w:rFonts w:hint="eastAsia" w:ascii="宋体" w:hAnsi="宋体" w:eastAsia="宋体" w:cs="宋体"/>
          <w:color w:val="auto"/>
          <w:sz w:val="24"/>
          <w:szCs w:val="24"/>
          <w:highlight w:val="none"/>
          <w:lang w:eastAsia="zh-CN"/>
        </w:rPr>
        <w:t>明确产品及相关快递服务的具体包装要求：</w:t>
      </w:r>
    </w:p>
    <w:p w14:paraId="657DE55D">
      <w:pPr>
        <w:keepNext w:val="0"/>
        <w:keepLines w:val="0"/>
        <w:pageBreakBefore w:val="0"/>
        <w:numPr>
          <w:ilvl w:val="-1"/>
          <w:numId w:val="0"/>
        </w:numPr>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 xml:space="preserve">是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不涉及</w:t>
      </w:r>
    </w:p>
    <w:p w14:paraId="32A6B754">
      <w:pPr>
        <w:keepNext w:val="0"/>
        <w:keepLines w:val="0"/>
        <w:pageBreakBefore w:val="0"/>
        <w:numPr>
          <w:ilvl w:val="0"/>
          <w:numId w:val="0"/>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en-US" w:eastAsia="zh-CN" w:bidi="ar-SA"/>
        </w:rPr>
        <w:t>2.</w:t>
      </w:r>
      <w:r>
        <w:rPr>
          <w:rFonts w:hint="eastAsia" w:ascii="宋体" w:hAnsi="宋体" w:eastAsia="宋体" w:cs="宋体"/>
          <w:b/>
          <w:color w:val="auto"/>
          <w:sz w:val="24"/>
          <w:szCs w:val="24"/>
          <w:highlight w:val="none"/>
        </w:rPr>
        <w:t>合同金额</w:t>
      </w:r>
    </w:p>
    <w:p w14:paraId="28D0952E">
      <w:pPr>
        <w:keepNext w:val="0"/>
        <w:keepLines w:val="0"/>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（1）合同金额小写：</w:t>
      </w:r>
      <w:r>
        <w:rPr>
          <w:rFonts w:hint="eastAsia" w:ascii="宋体" w:hAnsi="宋体" w:eastAsia="宋体" w:cs="宋体"/>
          <w:color w:val="auto"/>
          <w:sz w:val="24"/>
          <w:szCs w:val="24"/>
          <w:highlight w:val="none"/>
          <w:u w:val="non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      </w:t>
      </w:r>
    </w:p>
    <w:p w14:paraId="1573640A">
      <w:pPr>
        <w:keepNext w:val="0"/>
        <w:keepLines w:val="0"/>
        <w:pageBreakBefore w:val="0"/>
        <w:kinsoku/>
        <w:wordWrap/>
        <w:overflowPunct/>
        <w:topLinePunct w:val="0"/>
        <w:bidi w:val="0"/>
        <w:adjustRightInd w:val="0"/>
        <w:snapToGrid w:val="0"/>
        <w:spacing w:before="0" w:beforeLines="0" w:line="500" w:lineRule="exact"/>
        <w:ind w:left="0" w:firstLine="0" w:firstLineChars="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9E8D5BF">
      <w:pPr>
        <w:keepNext w:val="0"/>
        <w:keepLines w:val="0"/>
        <w:pageBreakBefore w:val="0"/>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（注：固定单价合同应填写单价和最高限价）</w:t>
      </w:r>
    </w:p>
    <w:p w14:paraId="094B9236">
      <w:pPr>
        <w:keepNext w:val="0"/>
        <w:keepLines w:val="0"/>
        <w:pageBreakBefore w:val="0"/>
        <w:numPr>
          <w:ilvl w:val="-1"/>
          <w:numId w:val="0"/>
        </w:numPr>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合同定价方式</w:t>
      </w:r>
      <w:r>
        <w:rPr>
          <w:rFonts w:hint="eastAsia" w:ascii="宋体" w:hAnsi="宋体" w:eastAsia="宋体" w:cs="宋体"/>
          <w:color w:val="auto"/>
          <w:sz w:val="24"/>
          <w:szCs w:val="24"/>
          <w:highlight w:val="none"/>
          <w:lang w:eastAsia="zh-CN"/>
        </w:rPr>
        <w:t>（采用组合定价方式的，可以勾选多项）</w:t>
      </w:r>
      <w:r>
        <w:rPr>
          <w:rFonts w:hint="eastAsia" w:ascii="宋体" w:hAnsi="宋体" w:eastAsia="宋体" w:cs="宋体"/>
          <w:color w:val="auto"/>
          <w:sz w:val="24"/>
          <w:szCs w:val="24"/>
          <w:highlight w:val="none"/>
        </w:rPr>
        <w:t>：</w:t>
      </w:r>
    </w:p>
    <w:p w14:paraId="3F304DAB">
      <w:pPr>
        <w:keepNext w:val="0"/>
        <w:keepLines w:val="0"/>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固定总价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固定单价</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固定费率</w:t>
      </w: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成本补偿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绩效激励</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其他</w:t>
      </w:r>
      <w:r>
        <w:rPr>
          <w:rFonts w:hint="eastAsia" w:ascii="宋体" w:hAnsi="宋体" w:eastAsia="宋体" w:cs="宋体"/>
          <w:color w:val="auto"/>
          <w:sz w:val="24"/>
          <w:szCs w:val="24"/>
          <w:highlight w:val="none"/>
          <w:u w:val="single"/>
        </w:rPr>
        <w:t xml:space="preserve">       </w:t>
      </w:r>
    </w:p>
    <w:p w14:paraId="2C920414">
      <w:pPr>
        <w:keepNext w:val="0"/>
        <w:keepLines w:val="0"/>
        <w:pageBreakBefore w:val="0"/>
        <w:widowControl w:val="0"/>
        <w:kinsoku/>
        <w:wordWrap/>
        <w:overflowPunct/>
        <w:topLinePunct w:val="0"/>
        <w:bidi w:val="0"/>
        <w:spacing w:beforeLines="0" w:line="50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（3）付款方式（按项目实际勾选填写）：</w:t>
      </w:r>
    </w:p>
    <w:p w14:paraId="5665B436">
      <w:pPr>
        <w:keepNext w:val="0"/>
        <w:keepLines w:val="0"/>
        <w:pageBreakBefore w:val="0"/>
        <w:kinsoku/>
        <w:wordWrap/>
        <w:overflowPunct/>
        <w:topLinePunct w:val="0"/>
        <w:bidi w:val="0"/>
        <w:adjustRightInd w:val="0"/>
        <w:snapToGrid w:val="0"/>
        <w:spacing w:before="0" w:beforeLines="0" w:line="50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分期付款：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合同签订后支付合同价款50%，中标单位按合同约定交付全部产品、安装调试完毕，验收合格并经过结算审计后30日内，采购人按验收报告、双方认定的结算审计金额、合同相关条款支付剩余货款；如结算审计有审减，按照结算审计结果支付货款；如验收不合格、未完成安装调试，参照违约责任执行。</w:t>
      </w:r>
      <w:r>
        <w:rPr>
          <w:rFonts w:hint="eastAsia" w:ascii="宋体" w:hAnsi="宋体" w:eastAsia="宋体" w:cs="宋体"/>
          <w:color w:val="auto"/>
          <w:sz w:val="24"/>
          <w:szCs w:val="24"/>
          <w:highlight w:val="none"/>
          <w:u w:val="single"/>
        </w:rPr>
        <w:t xml:space="preserve"> </w:t>
      </w:r>
    </w:p>
    <w:p w14:paraId="58CBD758">
      <w:pPr>
        <w:keepNext w:val="0"/>
        <w:keepLines w:val="0"/>
        <w:pageBreakBefore w:val="0"/>
        <w:kinsoku/>
        <w:wordWrap/>
        <w:overflowPunct/>
        <w:topLinePunct w:val="0"/>
        <w:bidi w:val="0"/>
        <w:adjustRightInd w:val="0"/>
        <w:snapToGrid w:val="0"/>
        <w:spacing w:before="0" w:beforeLines="0" w:line="50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成本补偿：</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无</w:t>
      </w:r>
      <w:r>
        <w:rPr>
          <w:rFonts w:hint="eastAsia" w:ascii="宋体" w:hAnsi="宋体" w:eastAsia="宋体" w:cs="宋体"/>
          <w:color w:val="auto"/>
          <w:sz w:val="24"/>
          <w:szCs w:val="24"/>
          <w:highlight w:val="none"/>
          <w:u w:val="single"/>
        </w:rPr>
        <w:t xml:space="preserve">）   </w:t>
      </w:r>
    </w:p>
    <w:p w14:paraId="34F60B43">
      <w:pPr>
        <w:keepNext w:val="0"/>
        <w:keepLines w:val="0"/>
        <w:pageBreakBefore w:val="0"/>
        <w:kinsoku/>
        <w:wordWrap/>
        <w:overflowPunct/>
        <w:topLinePunct w:val="0"/>
        <w:bidi w:val="0"/>
        <w:adjustRightInd w:val="0"/>
        <w:snapToGrid w:val="0"/>
        <w:spacing w:before="0" w:beforeLines="0" w:line="50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绩效激励：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无</w:t>
      </w:r>
      <w:r>
        <w:rPr>
          <w:rFonts w:hint="eastAsia" w:ascii="宋体" w:hAnsi="宋体" w:eastAsia="宋体" w:cs="宋体"/>
          <w:color w:val="auto"/>
          <w:sz w:val="24"/>
          <w:szCs w:val="24"/>
          <w:highlight w:val="none"/>
          <w:u w:val="single"/>
        </w:rPr>
        <w:t xml:space="preserve">）   </w:t>
      </w:r>
    </w:p>
    <w:p w14:paraId="6DA1947D">
      <w:pPr>
        <w:keepNext w:val="0"/>
        <w:keepLines w:val="0"/>
        <w:pageBreakBefore w:val="0"/>
        <w:numPr>
          <w:ilvl w:val="0"/>
          <w:numId w:val="0"/>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kern w:val="2"/>
          <w:sz w:val="24"/>
          <w:szCs w:val="24"/>
          <w:highlight w:val="none"/>
          <w:lang w:val="en-US" w:eastAsia="zh-CN" w:bidi="ar-SA"/>
        </w:rPr>
        <w:t>3.</w:t>
      </w:r>
      <w:r>
        <w:rPr>
          <w:rFonts w:hint="eastAsia" w:ascii="宋体" w:hAnsi="宋体" w:eastAsia="宋体" w:cs="宋体"/>
          <w:b/>
          <w:bCs w:val="0"/>
          <w:color w:val="auto"/>
          <w:sz w:val="24"/>
          <w:szCs w:val="24"/>
          <w:highlight w:val="none"/>
        </w:rPr>
        <w:t>合同履行</w:t>
      </w:r>
    </w:p>
    <w:p w14:paraId="0BF22230">
      <w:pPr>
        <w:keepNext w:val="0"/>
        <w:keepLines w:val="0"/>
        <w:pageBreakBefore w:val="0"/>
        <w:numPr>
          <w:ilvl w:val="0"/>
          <w:numId w:val="7"/>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起始日期：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日，完成日期：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B74F54F">
      <w:pPr>
        <w:keepNext w:val="0"/>
        <w:keepLines w:val="0"/>
        <w:pageBreakBefore w:val="0"/>
        <w:numPr>
          <w:ilvl w:val="0"/>
          <w:numId w:val="7"/>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交货时间：</w:t>
      </w:r>
      <w:r>
        <w:rPr>
          <w:rFonts w:hint="eastAsia" w:ascii="宋体" w:hAnsi="宋体" w:eastAsia="宋体" w:cs="宋体"/>
          <w:color w:val="auto"/>
          <w:sz w:val="24"/>
          <w:szCs w:val="24"/>
          <w:highlight w:val="none"/>
          <w:u w:val="single"/>
        </w:rPr>
        <w:t>合同签订后*日内交付货物</w:t>
      </w:r>
    </w:p>
    <w:p w14:paraId="0DE8230B">
      <w:pPr>
        <w:keepNext w:val="0"/>
        <w:keepLines w:val="0"/>
        <w:pageBreakBefore w:val="0"/>
        <w:numPr>
          <w:ilvl w:val="0"/>
          <w:numId w:val="7"/>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质保期：</w:t>
      </w:r>
      <w:r>
        <w:rPr>
          <w:rFonts w:hint="eastAsia" w:ascii="宋体" w:hAnsi="宋体" w:eastAsia="宋体" w:cs="宋体"/>
          <w:color w:val="auto"/>
          <w:sz w:val="24"/>
          <w:szCs w:val="24"/>
          <w:highlight w:val="none"/>
          <w:u w:val="single"/>
          <w:lang w:val="en-US" w:eastAsia="zh-CN"/>
        </w:rPr>
        <w:t>消防装备自验收合格之日起X年</w:t>
      </w:r>
    </w:p>
    <w:p w14:paraId="68C8B363">
      <w:pPr>
        <w:keepNext w:val="0"/>
        <w:keepLines w:val="0"/>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履约</w:t>
      </w:r>
      <w:r>
        <w:rPr>
          <w:rFonts w:hint="eastAsia" w:ascii="宋体" w:hAnsi="宋体" w:eastAsia="宋体" w:cs="宋体"/>
          <w:color w:val="auto"/>
          <w:sz w:val="24"/>
          <w:szCs w:val="24"/>
          <w:highlight w:val="none"/>
        </w:rPr>
        <w:t>地点</w:t>
      </w:r>
      <w:r>
        <w:rPr>
          <w:rFonts w:hint="eastAsia" w:ascii="宋体" w:hAnsi="宋体" w:eastAsia="宋体" w:cs="宋体"/>
          <w:b w:val="0"/>
          <w:bCs/>
          <w:color w:val="auto"/>
          <w:sz w:val="24"/>
          <w:szCs w:val="24"/>
          <w:highlight w:val="none"/>
        </w:rPr>
        <w:t>：</w:t>
      </w:r>
      <w:r>
        <w:rPr>
          <w:rFonts w:hint="eastAsia" w:ascii="宋体" w:hAnsi="宋体" w:eastAsia="宋体" w:cs="宋体"/>
          <w:color w:val="auto"/>
          <w:sz w:val="24"/>
          <w:szCs w:val="24"/>
          <w:highlight w:val="none"/>
          <w:u w:val="single"/>
        </w:rPr>
        <w:t xml:space="preserve">                             </w:t>
      </w:r>
    </w:p>
    <w:p w14:paraId="06DBF205">
      <w:pPr>
        <w:keepNext w:val="0"/>
        <w:keepLines w:val="0"/>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）履约担保：</w:t>
      </w:r>
      <w:r>
        <w:rPr>
          <w:rFonts w:hint="eastAsia" w:ascii="宋体" w:hAnsi="宋体" w:eastAsia="宋体" w:cs="宋体"/>
          <w:color w:val="auto"/>
          <w:sz w:val="24"/>
          <w:szCs w:val="24"/>
          <w:highlight w:val="none"/>
          <w:lang w:val="en-US" w:eastAsia="zh-CN"/>
        </w:rPr>
        <w:t>是否收取履约保证金：</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否</w:t>
      </w:r>
    </w:p>
    <w:p w14:paraId="32898669">
      <w:pPr>
        <w:keepNext w:val="0"/>
        <w:keepLines w:val="0"/>
        <w:pageBreakBefore w:val="0"/>
        <w:kinsoku/>
        <w:wordWrap/>
        <w:overflowPunct/>
        <w:topLinePunct w:val="0"/>
        <w:autoSpaceDE w:val="0"/>
        <w:autoSpaceDN w:val="0"/>
        <w:bidi w:val="0"/>
        <w:adjustRightInd w:val="0"/>
        <w:spacing w:beforeLines="0"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收取履约保证金形式：</w:t>
      </w:r>
      <w:r>
        <w:rPr>
          <w:rFonts w:hint="eastAsia" w:ascii="宋体" w:hAnsi="宋体" w:eastAsia="宋体" w:cs="宋体"/>
          <w:bCs/>
          <w:color w:val="auto"/>
          <w:sz w:val="24"/>
          <w:szCs w:val="24"/>
          <w:highlight w:val="none"/>
          <w:u w:val="single"/>
          <w:lang w:val="en-US" w:eastAsia="zh-CN" w:bidi="ar-SA"/>
        </w:rPr>
        <w:t xml:space="preserve"> 支票、汇票、本票或者金融机构、担保机构出具的保函等非现金形式。                                </w:t>
      </w:r>
    </w:p>
    <w:p w14:paraId="719F3B64">
      <w:pPr>
        <w:keepNext w:val="0"/>
        <w:keepLines w:val="0"/>
        <w:pageBreakBefore w:val="0"/>
        <w:kinsoku/>
        <w:wordWrap/>
        <w:overflowPunct/>
        <w:topLinePunct w:val="0"/>
        <w:autoSpaceDE w:val="0"/>
        <w:autoSpaceDN w:val="0"/>
        <w:bidi w:val="0"/>
        <w:adjustRightInd w:val="0"/>
        <w:spacing w:beforeLines="0"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收取履约保证金金额：</w:t>
      </w:r>
      <w:r>
        <w:rPr>
          <w:rFonts w:hint="eastAsia" w:ascii="宋体" w:hAnsi="宋体" w:eastAsia="宋体" w:cs="宋体"/>
          <w:bCs/>
          <w:color w:val="auto"/>
          <w:sz w:val="24"/>
          <w:szCs w:val="24"/>
          <w:highlight w:val="none"/>
          <w:u w:val="single"/>
          <w:lang w:val="en-US" w:eastAsia="zh-CN" w:bidi="ar-SA"/>
        </w:rPr>
        <w:t xml:space="preserve"> 中标金额的</w:t>
      </w:r>
      <w:r>
        <w:rPr>
          <w:rFonts w:hint="eastAsia" w:ascii="宋体" w:hAnsi="宋体" w:cs="宋体"/>
          <w:bCs/>
          <w:color w:val="auto"/>
          <w:sz w:val="24"/>
          <w:szCs w:val="24"/>
          <w:highlight w:val="none"/>
          <w:u w:val="single"/>
          <w:lang w:val="en-US" w:eastAsia="zh-CN" w:bidi="ar-SA"/>
        </w:rPr>
        <w:t>5</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p>
    <w:p w14:paraId="2B7E4E20">
      <w:pPr>
        <w:pageBreakBefore w:val="0"/>
        <w:kinsoku/>
        <w:wordWrap/>
        <w:overflowPunct/>
        <w:topLinePunct w:val="0"/>
        <w:bidi w:val="0"/>
        <w:snapToGrid w:val="0"/>
        <w:spacing w:beforeLines="0" w:line="50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none"/>
          <w:lang w:val="en-US" w:eastAsia="zh-CN"/>
        </w:rPr>
        <w:t xml:space="preserve">   履约担保期限与退还</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single"/>
        </w:rPr>
        <w:t xml:space="preserve"> 中标单位按合同约定交付全部产品，安装调试完毕，书面验收合格一年后（如一个标包含有多个产品，以最后一个产品书面验收合格时间为起算时间），采购单位无息退还全部履约保证金。</w:t>
      </w:r>
    </w:p>
    <w:p w14:paraId="275FDE02">
      <w:pPr>
        <w:keepNext w:val="0"/>
        <w:keepLines w:val="0"/>
        <w:pageBreakBefore w:val="0"/>
        <w:kinsoku/>
        <w:wordWrap/>
        <w:overflowPunct/>
        <w:topLinePunct w:val="0"/>
        <w:bidi w:val="0"/>
        <w:adjustRightInd w:val="0"/>
        <w:snapToGrid w:val="0"/>
        <w:spacing w:before="0" w:beforeLines="0" w:line="500" w:lineRule="exact"/>
        <w:ind w:firstLine="720" w:firstLineChars="300"/>
        <w:textAlignment w:val="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u w:val="none"/>
        </w:rPr>
        <w:t>履约保证金不予退还的情形：</w:t>
      </w:r>
      <w:r>
        <w:rPr>
          <w:rFonts w:hint="eastAsia" w:ascii="宋体" w:hAnsi="宋体" w:eastAsia="宋体" w:cs="宋体"/>
          <w:bCs/>
          <w:color w:val="auto"/>
          <w:sz w:val="24"/>
          <w:szCs w:val="24"/>
          <w:highlight w:val="none"/>
          <w:u w:val="single"/>
        </w:rPr>
        <w:t>1.</w:t>
      </w:r>
      <w:r>
        <w:rPr>
          <w:rFonts w:hint="eastAsia" w:ascii="宋体" w:hAnsi="宋体" w:eastAsia="宋体" w:cs="宋体"/>
          <w:bCs/>
          <w:color w:val="auto"/>
          <w:sz w:val="24"/>
          <w:szCs w:val="24"/>
          <w:highlight w:val="none"/>
          <w:u w:val="single"/>
          <w:lang w:val="en-US" w:eastAsia="zh-CN"/>
        </w:rPr>
        <w:t>中标</w:t>
      </w:r>
      <w:r>
        <w:rPr>
          <w:rFonts w:hint="eastAsia" w:ascii="宋体" w:hAnsi="宋体" w:eastAsia="宋体" w:cs="宋体"/>
          <w:bCs/>
          <w:color w:val="auto"/>
          <w:sz w:val="24"/>
          <w:szCs w:val="24"/>
          <w:highlight w:val="none"/>
          <w:u w:val="single"/>
        </w:rPr>
        <w:t xml:space="preserve">供应商不履行与招标人订立的合同的，履约保证金不予退还；2.给招标人造成的损失超过履约保证金数额的，还应当对超过部分予以赔偿；3.没有提交履约保证金的，应当对招标人的损失承担赔偿责任。     </w:t>
      </w:r>
      <w:r>
        <w:rPr>
          <w:rFonts w:hint="eastAsia" w:ascii="宋体" w:hAnsi="宋体" w:eastAsia="宋体" w:cs="宋体"/>
          <w:bCs/>
          <w:color w:val="auto"/>
          <w:sz w:val="24"/>
          <w:szCs w:val="24"/>
          <w:highlight w:val="none"/>
          <w:u w:val="single"/>
          <w:lang w:val="en-US" w:eastAsia="zh-CN"/>
        </w:rPr>
        <w:t xml:space="preserve">          </w:t>
      </w:r>
    </w:p>
    <w:p w14:paraId="60DDFAB0">
      <w:pPr>
        <w:keepNext w:val="0"/>
        <w:keepLines w:val="0"/>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）分期履行要求：</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542D30A4">
      <w:pPr>
        <w:keepNext w:val="0"/>
        <w:keepLines w:val="0"/>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风险处置措施和替代方案</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u w:val="single"/>
        </w:rPr>
        <w:t xml:space="preserve">                                                               </w:t>
      </w:r>
    </w:p>
    <w:p w14:paraId="5A04C441">
      <w:pPr>
        <w:keepNext w:val="0"/>
        <w:keepLines w:val="0"/>
        <w:pageBreakBefore w:val="0"/>
        <w:numPr>
          <w:ilvl w:val="0"/>
          <w:numId w:val="0"/>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en-US" w:eastAsia="zh-CN" w:bidi="ar-SA"/>
        </w:rPr>
        <w:t>4.</w:t>
      </w:r>
      <w:r>
        <w:rPr>
          <w:rFonts w:hint="eastAsia" w:ascii="宋体" w:hAnsi="宋体" w:eastAsia="宋体" w:cs="宋体"/>
          <w:b/>
          <w:color w:val="auto"/>
          <w:sz w:val="24"/>
          <w:szCs w:val="24"/>
          <w:highlight w:val="none"/>
        </w:rPr>
        <w:t>合同验收</w:t>
      </w:r>
    </w:p>
    <w:p w14:paraId="41313518">
      <w:pPr>
        <w:keepNext w:val="0"/>
        <w:keepLines w:val="0"/>
        <w:pageBreakBefore w:val="0"/>
        <w:numPr>
          <w:ilvl w:val="0"/>
          <w:numId w:val="0"/>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eastAsia="宋体" w:cs="宋体"/>
          <w:bCs/>
          <w:color w:val="auto"/>
          <w:sz w:val="24"/>
          <w:szCs w:val="24"/>
          <w:highlight w:val="none"/>
        </w:rPr>
        <w:t>验收组织方式：</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自行组织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委托第三方组织</w:t>
      </w:r>
    </w:p>
    <w:p w14:paraId="05017E9F">
      <w:pPr>
        <w:keepNext w:val="0"/>
        <w:keepLines w:val="0"/>
        <w:pageBreakBefore w:val="0"/>
        <w:numPr>
          <w:ilvl w:val="0"/>
          <w:numId w:val="0"/>
        </w:numPr>
        <w:kinsoku/>
        <w:wordWrap/>
        <w:overflowPunct/>
        <w:topLinePunct w:val="0"/>
        <w:bidi w:val="0"/>
        <w:adjustRightInd w:val="0"/>
        <w:snapToGrid w:val="0"/>
        <w:spacing w:before="0" w:beforeLines="0" w:line="50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验收主体：</w:t>
      </w:r>
      <w:r>
        <w:rPr>
          <w:rFonts w:hint="eastAsia" w:ascii="宋体" w:hAnsi="宋体" w:eastAsia="宋体" w:cs="宋体"/>
          <w:bCs/>
          <w:color w:val="auto"/>
          <w:sz w:val="24"/>
          <w:szCs w:val="24"/>
          <w:highlight w:val="none"/>
          <w:u w:val="single"/>
        </w:rPr>
        <w:t xml:space="preserve">                  </w:t>
      </w:r>
    </w:p>
    <w:p w14:paraId="66AF2282">
      <w:pPr>
        <w:keepNext w:val="0"/>
        <w:keepLines w:val="0"/>
        <w:pageBreakBefore w:val="0"/>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是否邀请本项目的其他供应商</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642CBA9F">
      <w:pPr>
        <w:keepNext w:val="0"/>
        <w:keepLines w:val="0"/>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是否邀请专家</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5304670F">
      <w:pPr>
        <w:keepNext w:val="0"/>
        <w:keepLines w:val="0"/>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是否邀请服务对象</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14378E6E">
      <w:pPr>
        <w:keepNext w:val="0"/>
        <w:keepLines w:val="0"/>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是否邀请第三方检测机构</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74596230">
      <w:pPr>
        <w:keepNext w:val="0"/>
        <w:keepLines w:val="0"/>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是否进行抽查检测：</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是</w:t>
      </w:r>
      <w:r>
        <w:rPr>
          <w:rFonts w:hint="eastAsia" w:ascii="宋体" w:hAnsi="宋体" w:eastAsia="宋体" w:cs="宋体"/>
          <w:bCs/>
          <w:color w:val="auto"/>
          <w:sz w:val="24"/>
          <w:szCs w:val="24"/>
          <w:highlight w:val="none"/>
          <w:lang w:eastAsia="zh-CN"/>
        </w:rPr>
        <w:t>，抽查比例：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0C7454A8">
      <w:pPr>
        <w:keepNext w:val="0"/>
        <w:keepLines w:val="0"/>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是否存在破坏性检测：</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是</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lang w:eastAsia="zh-CN"/>
        </w:rPr>
        <w:t>（应明确对被破坏的检测产品的处理方式）</w:t>
      </w:r>
    </w:p>
    <w:p w14:paraId="58B262CB">
      <w:pPr>
        <w:keepNext w:val="0"/>
        <w:keepLines w:val="0"/>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7A896A5B">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验收组织的其他事项：</w:t>
      </w:r>
    </w:p>
    <w:p w14:paraId="0B292AE8">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1.</w:t>
      </w:r>
      <w:r>
        <w:rPr>
          <w:rFonts w:hint="eastAsia" w:ascii="宋体" w:hAnsi="宋体" w:eastAsia="宋体" w:cs="宋体"/>
          <w:bCs/>
          <w:color w:val="auto"/>
          <w:sz w:val="24"/>
          <w:szCs w:val="24"/>
          <w:highlight w:val="none"/>
          <w:u w:val="single"/>
        </w:rPr>
        <w:t>乙方应当在上述时限之前，一次完成标包内全部产品供货并达到验收条件，申请甲方验收。</w:t>
      </w:r>
    </w:p>
    <w:p w14:paraId="0B49458E">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2.</w:t>
      </w:r>
      <w:r>
        <w:rPr>
          <w:rFonts w:hint="eastAsia" w:ascii="宋体" w:hAnsi="宋体" w:eastAsia="宋体" w:cs="宋体"/>
          <w:bCs/>
          <w:color w:val="auto"/>
          <w:sz w:val="24"/>
          <w:szCs w:val="24"/>
          <w:highlight w:val="none"/>
          <w:u w:val="single"/>
        </w:rPr>
        <w:t>装备发出前，乙方应当与甲方进行对接，确认发货名称、品牌型号、数量，经甲方同意后，乙方发货；甲方1日内未确认的，视为同意乙方发货。甲方须做好电话记录或传真、函件记录。</w:t>
      </w:r>
    </w:p>
    <w:p w14:paraId="7F66F2BD">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3.</w:t>
      </w:r>
      <w:r>
        <w:rPr>
          <w:rFonts w:hint="eastAsia" w:ascii="宋体" w:hAnsi="宋体" w:eastAsia="宋体" w:cs="宋体"/>
          <w:bCs/>
          <w:color w:val="auto"/>
          <w:sz w:val="24"/>
          <w:szCs w:val="24"/>
          <w:highlight w:val="none"/>
          <w:u w:val="single"/>
        </w:rPr>
        <w:t>装备发出后，乙方应当将物流信息通知甲方，并向甲方提供发货清单。</w:t>
      </w:r>
    </w:p>
    <w:p w14:paraId="5A8172AD">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4</w:t>
      </w:r>
      <w:r>
        <w:rPr>
          <w:rFonts w:hint="eastAsia" w:ascii="宋体" w:hAnsi="宋体" w:eastAsia="宋体" w:cs="宋体"/>
          <w:bCs/>
          <w:color w:val="auto"/>
          <w:sz w:val="24"/>
          <w:szCs w:val="24"/>
          <w:highlight w:val="none"/>
          <w:u w:val="single"/>
        </w:rPr>
        <w:t>根据《国家消防救援局办公室关于推广应用新版消防装备管理系统的通知》要求，中标投标人在交付装备时须附着由“消防装备物资信息采集系统”统一发行的装备物资二维码和RFID。</w:t>
      </w:r>
    </w:p>
    <w:p w14:paraId="68FAC817">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5.</w:t>
      </w:r>
      <w:r>
        <w:rPr>
          <w:rFonts w:hint="eastAsia" w:ascii="宋体" w:hAnsi="宋体" w:eastAsia="宋体" w:cs="宋体"/>
          <w:bCs/>
          <w:color w:val="auto"/>
          <w:sz w:val="24"/>
          <w:szCs w:val="24"/>
          <w:highlight w:val="none"/>
          <w:u w:val="single"/>
        </w:rPr>
        <w:t>装备到达目的地后甲乙双方要在现场共同验收。甲方将按照合同清点装备数量，检查装备外观情况，乙方必须派出代表参加装备验收工作，否则甲方不予验收，按照乙方装备未到处理。</w:t>
      </w:r>
    </w:p>
    <w:p w14:paraId="13C99AEE">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 xml:space="preserve"> 甲方组成验收小组，对采购的装备进行专门验收，不符合合同规定的，甲方将不予验收。</w:t>
      </w:r>
    </w:p>
    <w:p w14:paraId="71DABF3F">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7.</w:t>
      </w:r>
      <w:r>
        <w:rPr>
          <w:rFonts w:hint="eastAsia" w:ascii="宋体" w:hAnsi="宋体" w:eastAsia="宋体" w:cs="宋体"/>
          <w:bCs/>
          <w:color w:val="auto"/>
          <w:sz w:val="24"/>
          <w:szCs w:val="24"/>
          <w:highlight w:val="none"/>
          <w:u w:val="single"/>
        </w:rPr>
        <w:t>产品验收时，乙方必须要有一名以上厂家技术人员在场，验收完毕后，甲方和乙方共同签字确认验收单。</w:t>
      </w:r>
    </w:p>
    <w:p w14:paraId="5D6CCA85">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8.</w:t>
      </w:r>
      <w:r>
        <w:rPr>
          <w:rFonts w:hint="eastAsia" w:ascii="宋体" w:hAnsi="宋体" w:eastAsia="宋体" w:cs="宋体"/>
          <w:bCs/>
          <w:color w:val="auto"/>
          <w:sz w:val="24"/>
          <w:szCs w:val="24"/>
          <w:highlight w:val="none"/>
          <w:u w:val="single"/>
        </w:rPr>
        <w:t>装备的验收，综合判定为“合格”、“不合格”，综合评判为“合格”的装备，清点接收。综合评判为“不合格”的装备，限期整改并等比例扣除履约保证金，整改完毕后进行复验；限期内未整改完毕的或“复验”不合格的，按合同规定做退货处理，扣除全额履约保证金，并将供货商列入新疆消防救援队伍装备集中采购黑名单，3年内不得参加新疆消防救援队伍装备采购投标工作。</w:t>
      </w:r>
    </w:p>
    <w:p w14:paraId="3ADFD8D1">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（2）履约验收时间：</w:t>
      </w:r>
      <w:r>
        <w:rPr>
          <w:rFonts w:hint="eastAsia" w:ascii="宋体" w:hAnsi="宋体" w:eastAsia="宋体" w:cs="宋体"/>
          <w:bCs/>
          <w:color w:val="auto"/>
          <w:sz w:val="24"/>
          <w:szCs w:val="24"/>
          <w:highlight w:val="none"/>
          <w:u w:val="single"/>
        </w:rPr>
        <w:t>（计划于何时验收/供应商提出验收申请之日起   日内组织验收）</w:t>
      </w:r>
      <w:r>
        <w:rPr>
          <w:rFonts w:hint="eastAsia" w:ascii="宋体" w:hAnsi="宋体" w:eastAsia="宋体" w:cs="宋体"/>
          <w:bCs/>
          <w:color w:val="auto"/>
          <w:sz w:val="24"/>
          <w:szCs w:val="24"/>
          <w:highlight w:val="none"/>
          <w:u w:val="single"/>
          <w:lang w:val="en-US" w:eastAsia="zh-CN"/>
        </w:rPr>
        <w:t xml:space="preserve"> </w:t>
      </w:r>
    </w:p>
    <w:p w14:paraId="4AB434C9">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（3）履约验收方式：</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一次性验收         </w:t>
      </w:r>
    </w:p>
    <w:p w14:paraId="5D40C7E3">
      <w:pPr>
        <w:pageBreakBefore w:val="0"/>
        <w:kinsoku/>
        <w:wordWrap/>
        <w:overflowPunct/>
        <w:topLinePunct w:val="0"/>
        <w:bidi w:val="0"/>
        <w:adjustRightInd w:val="0"/>
        <w:snapToGrid w:val="0"/>
        <w:spacing w:before="0" w:beforeLines="0" w:line="500" w:lineRule="exact"/>
        <w:ind w:firstLine="0"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分期/分项验收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分为初验与终验 </w:t>
      </w:r>
      <w:r>
        <w:rPr>
          <w:rFonts w:hint="eastAsia" w:ascii="宋体" w:hAnsi="宋体" w:eastAsia="宋体" w:cs="宋体"/>
          <w:bCs/>
          <w:color w:val="auto"/>
          <w:sz w:val="24"/>
          <w:szCs w:val="24"/>
          <w:highlight w:val="none"/>
          <w:u w:val="single"/>
          <w:lang w:eastAsia="zh-CN"/>
        </w:rPr>
        <w:t>（应明确分期</w:t>
      </w:r>
      <w:r>
        <w:rPr>
          <w:rFonts w:hint="eastAsia" w:ascii="宋体" w:hAnsi="宋体" w:eastAsia="宋体" w:cs="宋体"/>
          <w:bCs/>
          <w:color w:val="auto"/>
          <w:sz w:val="24"/>
          <w:szCs w:val="24"/>
          <w:highlight w:val="none"/>
          <w:u w:val="single"/>
          <w:lang w:val="en" w:eastAsia="zh-CN"/>
        </w:rPr>
        <w:t>/分项验收的工作安排</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p>
    <w:p w14:paraId="5E8CF034">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（4）履约验收程序：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1.</w:t>
      </w:r>
      <w:r>
        <w:rPr>
          <w:rFonts w:hint="eastAsia" w:ascii="宋体" w:hAnsi="宋体" w:eastAsia="宋体" w:cs="宋体"/>
          <w:bCs/>
          <w:color w:val="auto"/>
          <w:sz w:val="24"/>
          <w:szCs w:val="24"/>
          <w:highlight w:val="none"/>
          <w:u w:val="single"/>
        </w:rPr>
        <w:t>初验由乙方申请验收后、甲方根据工作安排组织验收甲方未验收不得拆箱、使用；</w:t>
      </w:r>
    </w:p>
    <w:p w14:paraId="7ED3A8D6">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2</w:t>
      </w:r>
      <w:r>
        <w:rPr>
          <w:rFonts w:hint="eastAsia" w:ascii="宋体" w:hAnsi="宋体" w:cs="宋体"/>
          <w:bCs/>
          <w:color w:val="auto"/>
          <w:sz w:val="24"/>
          <w:szCs w:val="24"/>
          <w:highlight w:val="none"/>
          <w:u w:val="single"/>
          <w:lang w:val="en-US" w:eastAsia="zh-CN"/>
        </w:rPr>
        <w:t>.</w:t>
      </w:r>
      <w:r>
        <w:rPr>
          <w:rFonts w:hint="eastAsia" w:ascii="宋体" w:hAnsi="宋体" w:eastAsia="宋体" w:cs="宋体"/>
          <w:bCs/>
          <w:color w:val="auto"/>
          <w:sz w:val="24"/>
          <w:szCs w:val="24"/>
          <w:highlight w:val="none"/>
          <w:u w:val="single"/>
        </w:rPr>
        <w:t>初验合格后，甲方使用30日历日后，</w:t>
      </w:r>
      <w:r>
        <w:rPr>
          <w:rFonts w:hint="eastAsia" w:ascii="宋体" w:hAnsi="宋体" w:eastAsia="宋体" w:cs="宋体"/>
          <w:bCs/>
          <w:color w:val="auto"/>
          <w:sz w:val="24"/>
          <w:szCs w:val="24"/>
          <w:highlight w:val="none"/>
          <w:u w:val="single"/>
          <w:lang w:val="en-US" w:eastAsia="zh-CN"/>
        </w:rPr>
        <w:t>装备</w:t>
      </w:r>
      <w:r>
        <w:rPr>
          <w:rFonts w:hint="eastAsia" w:ascii="宋体" w:hAnsi="宋体" w:eastAsia="宋体" w:cs="宋体"/>
          <w:bCs/>
          <w:color w:val="auto"/>
          <w:sz w:val="24"/>
          <w:szCs w:val="24"/>
          <w:highlight w:val="none"/>
          <w:u w:val="single"/>
        </w:rPr>
        <w:t>未发现使用缺陷，甲方通知乙方组织复验。</w:t>
      </w:r>
    </w:p>
    <w:p w14:paraId="5C55C0D6">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3</w:t>
      </w:r>
      <w:r>
        <w:rPr>
          <w:rFonts w:hint="eastAsia" w:ascii="宋体" w:hAnsi="宋体" w:cs="宋体"/>
          <w:bCs/>
          <w:color w:val="auto"/>
          <w:sz w:val="24"/>
          <w:szCs w:val="24"/>
          <w:highlight w:val="none"/>
          <w:u w:val="single"/>
          <w:lang w:val="en-US" w:eastAsia="zh-CN"/>
        </w:rPr>
        <w:t>.</w:t>
      </w:r>
      <w:r>
        <w:rPr>
          <w:rFonts w:hint="eastAsia" w:ascii="宋体" w:hAnsi="宋体" w:eastAsia="宋体" w:cs="宋体"/>
          <w:bCs/>
          <w:color w:val="auto"/>
          <w:sz w:val="24"/>
          <w:szCs w:val="24"/>
          <w:highlight w:val="none"/>
          <w:u w:val="single"/>
        </w:rPr>
        <w:t>复验合格后，甲乙双方向支队提交验收报告，包括但不限于初验、复验情况以及整改期间整改情况。</w:t>
      </w:r>
    </w:p>
    <w:p w14:paraId="2A829CF1">
      <w:pPr>
        <w:pageBreakBefore w:val="0"/>
        <w:kinsoku/>
        <w:wordWrap/>
        <w:overflowPunct/>
        <w:topLinePunct w:val="0"/>
        <w:bidi w:val="0"/>
        <w:adjustRightInd w:val="0"/>
        <w:snapToGrid w:val="0"/>
        <w:spacing w:before="0" w:beforeLines="0" w:line="50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4</w:t>
      </w:r>
      <w:r>
        <w:rPr>
          <w:rFonts w:hint="eastAsia" w:ascii="宋体" w:hAnsi="宋体" w:cs="宋体"/>
          <w:bCs/>
          <w:color w:val="auto"/>
          <w:sz w:val="24"/>
          <w:szCs w:val="24"/>
          <w:highlight w:val="none"/>
          <w:u w:val="single"/>
          <w:lang w:val="en-US" w:eastAsia="zh-CN"/>
        </w:rPr>
        <w:t>.</w:t>
      </w:r>
      <w:r>
        <w:rPr>
          <w:rFonts w:hint="eastAsia" w:ascii="宋体" w:hAnsi="宋体" w:eastAsia="宋体" w:cs="宋体"/>
          <w:bCs/>
          <w:color w:val="auto"/>
          <w:sz w:val="24"/>
          <w:szCs w:val="24"/>
          <w:highlight w:val="none"/>
          <w:u w:val="single"/>
        </w:rPr>
        <w:t>初验前甲方不负责货物的保管，由乙方负责。</w:t>
      </w:r>
    </w:p>
    <w:p w14:paraId="1BE959F3">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（5）履约验收的内容：</w:t>
      </w:r>
      <w:r>
        <w:rPr>
          <w:rFonts w:hint="eastAsia" w:ascii="宋体" w:hAnsi="宋体" w:eastAsia="宋体" w:cs="宋体"/>
          <w:bCs/>
          <w:color w:val="auto"/>
          <w:sz w:val="24"/>
          <w:szCs w:val="24"/>
          <w:highlight w:val="none"/>
          <w:u w:val="single"/>
        </w:rPr>
        <w:t xml:space="preserve"> 依照本合同约定参数</w:t>
      </w:r>
      <w:r>
        <w:rPr>
          <w:rFonts w:hint="eastAsia" w:ascii="宋体" w:hAnsi="宋体" w:eastAsia="宋体" w:cs="宋体"/>
          <w:bCs/>
          <w:color w:val="auto"/>
          <w:sz w:val="24"/>
          <w:szCs w:val="24"/>
          <w:highlight w:val="none"/>
          <w:u w:val="single"/>
          <w:lang w:val="en-US" w:eastAsia="zh-CN"/>
        </w:rPr>
        <w:t>逐项核对</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4"/>
          <w:szCs w:val="24"/>
          <w:highlight w:val="none"/>
          <w:u w:val="single"/>
        </w:rPr>
        <w:t xml:space="preserve">                                      </w:t>
      </w:r>
    </w:p>
    <w:p w14:paraId="6752FE62">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（6）履约验收标准：</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与本合同约定参数一致。</w:t>
      </w:r>
      <w:r>
        <w:rPr>
          <w:rFonts w:hint="eastAsia" w:ascii="宋体" w:hAnsi="宋体" w:eastAsia="宋体" w:cs="宋体"/>
          <w:bCs/>
          <w:color w:val="auto"/>
          <w:sz w:val="24"/>
          <w:szCs w:val="24"/>
          <w:highlight w:val="none"/>
          <w:u w:val="single"/>
        </w:rPr>
        <w:t xml:space="preserve">                                         </w:t>
      </w:r>
    </w:p>
    <w:p w14:paraId="39E9F327">
      <w:pPr>
        <w:pageBreakBefore w:val="0"/>
        <w:kinsoku/>
        <w:wordWrap/>
        <w:overflowPunct/>
        <w:topLinePunct w:val="0"/>
        <w:autoSpaceDE w:val="0"/>
        <w:autoSpaceDN w:val="0"/>
        <w:bidi w:val="0"/>
        <w:adjustRightInd w:val="0"/>
        <w:spacing w:beforeLines="0" w:line="500" w:lineRule="exact"/>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（7）是否以采购活动中供应商提供的样品作为参考：</w:t>
      </w:r>
      <w:r>
        <w:rPr>
          <w:rFonts w:hint="eastAsia" w:ascii="宋体" w:hAnsi="宋体" w:eastAsia="宋体" w:cs="宋体"/>
          <w:color w:val="auto"/>
          <w:sz w:val="24"/>
          <w:szCs w:val="24"/>
          <w:highlight w:val="none"/>
          <w:lang w:val="en-US" w:eastAsia="zh-CN" w:bidi="ar-SA"/>
        </w:rPr>
        <w:sym w:font="Wingdings" w:char="00FE"/>
      </w:r>
      <w:r>
        <w:rPr>
          <w:rFonts w:hint="eastAsia" w:ascii="宋体" w:hAnsi="宋体" w:eastAsia="宋体" w:cs="宋体"/>
          <w:bCs/>
          <w:color w:val="auto"/>
          <w:sz w:val="24"/>
          <w:szCs w:val="24"/>
          <w:highlight w:val="none"/>
          <w:lang w:val="en-US" w:eastAsia="zh-CN" w:bidi="ar-SA"/>
        </w:rPr>
        <w:t xml:space="preserve">是  </w:t>
      </w:r>
      <w:r>
        <w:rPr>
          <w:rFonts w:hint="eastAsia" w:ascii="宋体" w:hAnsi="宋体" w:eastAsia="宋体" w:cs="宋体"/>
          <w:color w:val="auto"/>
          <w:sz w:val="24"/>
          <w:szCs w:val="24"/>
          <w:highlight w:val="none"/>
          <w:lang w:val="en-US" w:eastAsia="zh-CN" w:bidi="ar-SA"/>
        </w:rPr>
        <w:sym w:font="Wingdings" w:char="00A8"/>
      </w:r>
      <w:r>
        <w:rPr>
          <w:rFonts w:hint="eastAsia" w:ascii="宋体" w:hAnsi="宋体" w:eastAsia="宋体" w:cs="宋体"/>
          <w:bCs/>
          <w:color w:val="auto"/>
          <w:sz w:val="24"/>
          <w:szCs w:val="24"/>
          <w:highlight w:val="none"/>
          <w:lang w:val="en-US" w:eastAsia="zh-CN" w:bidi="ar-SA"/>
        </w:rPr>
        <w:t>否</w:t>
      </w:r>
    </w:p>
    <w:p w14:paraId="762EA318">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产品样品退还：验收阶段结束后，投标样品应在复验合格后7个工作日由投标人自行取回，或自行委托采购代理机构邮寄退回，邮寄样品所产生的费用由投标人自行承担。若未按时取回样品又拒绝以邮寄方式退回样品，则视为同意采购代理机构有权自行处置相关样品。</w:t>
      </w:r>
    </w:p>
    <w:p w14:paraId="478F20A3">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（8）履约验收其他事项：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i w:val="0"/>
          <w:iCs w:val="0"/>
          <w:color w:val="auto"/>
          <w:sz w:val="24"/>
          <w:szCs w:val="24"/>
          <w:highlight w:val="none"/>
          <w:u w:val="single"/>
        </w:rPr>
        <w:t>（产权过户登记等）</w:t>
      </w:r>
      <w:r>
        <w:rPr>
          <w:rFonts w:hint="eastAsia" w:ascii="宋体" w:hAnsi="宋体" w:eastAsia="宋体" w:cs="宋体"/>
          <w:bCs/>
          <w:color w:val="auto"/>
          <w:sz w:val="24"/>
          <w:szCs w:val="24"/>
          <w:highlight w:val="none"/>
          <w:u w:val="single"/>
        </w:rPr>
        <w:t xml:space="preserve">          </w:t>
      </w:r>
    </w:p>
    <w:p w14:paraId="664855F0">
      <w:pPr>
        <w:pageBreakBefore w:val="0"/>
        <w:numPr>
          <w:ilvl w:val="0"/>
          <w:numId w:val="0"/>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kern w:val="2"/>
          <w:sz w:val="24"/>
          <w:szCs w:val="24"/>
          <w:highlight w:val="none"/>
          <w:lang w:val="en-US" w:eastAsia="zh-CN" w:bidi="ar-SA"/>
        </w:rPr>
        <w:t>5</w:t>
      </w:r>
      <w:r>
        <w:rPr>
          <w:rFonts w:hint="eastAsia" w:ascii="宋体" w:hAnsi="宋体" w:eastAsia="宋体" w:cs="宋体"/>
          <w:b/>
          <w:color w:val="auto"/>
          <w:kern w:val="2"/>
          <w:sz w:val="24"/>
          <w:szCs w:val="24"/>
          <w:highlight w:val="none"/>
          <w:lang w:val="en-US" w:eastAsia="zh-CN" w:bidi="ar-SA"/>
        </w:rPr>
        <w:t>.</w:t>
      </w:r>
      <w:r>
        <w:rPr>
          <w:rFonts w:hint="eastAsia" w:ascii="宋体" w:hAnsi="宋体" w:eastAsia="宋体" w:cs="宋体"/>
          <w:b/>
          <w:color w:val="auto"/>
          <w:sz w:val="24"/>
          <w:szCs w:val="24"/>
          <w:highlight w:val="none"/>
        </w:rPr>
        <w:t>组成合同的文件</w:t>
      </w:r>
    </w:p>
    <w:p w14:paraId="6180B5D1">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本协议书与下列文件一起构成合同文件，如下述文件之间有任何抵触、矛盾或歧义，应按以下顺序解释：</w:t>
      </w:r>
    </w:p>
    <w:p w14:paraId="2F337334">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合同协议书及其变更、补充</w:t>
      </w:r>
      <w:r>
        <w:rPr>
          <w:rFonts w:hint="eastAsia" w:ascii="宋体" w:hAnsi="宋体" w:eastAsia="宋体" w:cs="宋体"/>
          <w:color w:val="auto"/>
          <w:sz w:val="24"/>
          <w:szCs w:val="24"/>
          <w:highlight w:val="none"/>
          <w:lang w:eastAsia="zh-CN"/>
        </w:rPr>
        <w:t>协议</w:t>
      </w:r>
    </w:p>
    <w:p w14:paraId="5A430F79">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）政府采购合同专用条款</w:t>
      </w:r>
    </w:p>
    <w:p w14:paraId="31AB4BA5">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）政府采购合同通用条款</w:t>
      </w:r>
    </w:p>
    <w:p w14:paraId="65F1D3DE">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p>
    <w:p w14:paraId="59236559">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）投标（响应）文件</w:t>
      </w:r>
    </w:p>
    <w:p w14:paraId="0E2A1308">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w:t>
      </w:r>
    </w:p>
    <w:p w14:paraId="7FD4726A">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（7）有关技术文件，图纸</w:t>
      </w:r>
    </w:p>
    <w:p w14:paraId="43876AF6">
      <w:pPr>
        <w:pageBreakBefore w:val="0"/>
        <w:kinsoku/>
        <w:wordWrap/>
        <w:overflowPunct/>
        <w:topLinePunct w:val="0"/>
        <w:autoSpaceDE w:val="0"/>
        <w:autoSpaceDN w:val="0"/>
        <w:bidi w:val="0"/>
        <w:adjustRightInd w:val="0"/>
        <w:spacing w:beforeLines="0" w:line="50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r>
        <w:rPr>
          <w:rFonts w:hint="eastAsia" w:ascii="宋体" w:hAnsi="宋体" w:eastAsia="宋体" w:cs="宋体"/>
          <w:bCs w:val="0"/>
          <w:color w:val="auto"/>
          <w:kern w:val="2"/>
          <w:sz w:val="24"/>
          <w:szCs w:val="24"/>
          <w:highlight w:val="none"/>
          <w:lang w:val="en-US" w:eastAsia="zh-CN" w:bidi="ar-SA"/>
        </w:rPr>
        <w:t>国家法律、行政法规和规章制度规定或合同约定的作为合同组成部分的其他文件</w:t>
      </w:r>
    </w:p>
    <w:p w14:paraId="566483CA">
      <w:pPr>
        <w:pageBreakBefore w:val="0"/>
        <w:numPr>
          <w:ilvl w:val="0"/>
          <w:numId w:val="0"/>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kern w:val="2"/>
          <w:sz w:val="24"/>
          <w:szCs w:val="24"/>
          <w:highlight w:val="none"/>
          <w:lang w:val="en-US" w:eastAsia="zh-CN" w:bidi="ar-SA"/>
        </w:rPr>
        <w:t>6</w:t>
      </w:r>
      <w:r>
        <w:rPr>
          <w:rFonts w:hint="eastAsia" w:ascii="宋体" w:hAnsi="宋体" w:eastAsia="宋体" w:cs="宋体"/>
          <w:b/>
          <w:color w:val="auto"/>
          <w:kern w:val="2"/>
          <w:sz w:val="24"/>
          <w:szCs w:val="24"/>
          <w:highlight w:val="none"/>
          <w:lang w:val="en-US" w:eastAsia="zh-CN" w:bidi="ar-SA"/>
        </w:rPr>
        <w:t>.</w:t>
      </w:r>
      <w:r>
        <w:rPr>
          <w:rFonts w:hint="eastAsia" w:ascii="宋体" w:hAnsi="宋体" w:eastAsia="宋体" w:cs="宋体"/>
          <w:b/>
          <w:color w:val="auto"/>
          <w:sz w:val="24"/>
          <w:szCs w:val="24"/>
          <w:highlight w:val="none"/>
        </w:rPr>
        <w:t>合同生效</w:t>
      </w:r>
    </w:p>
    <w:p w14:paraId="5292C802">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生效。</w:t>
      </w:r>
    </w:p>
    <w:p w14:paraId="23CEABDC">
      <w:pPr>
        <w:pageBreakBefore w:val="0"/>
        <w:numPr>
          <w:ilvl w:val="0"/>
          <w:numId w:val="0"/>
        </w:numPr>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kern w:val="2"/>
          <w:sz w:val="24"/>
          <w:szCs w:val="24"/>
          <w:highlight w:val="none"/>
          <w:lang w:val="en-US" w:eastAsia="zh-CN" w:bidi="ar-SA"/>
        </w:rPr>
        <w:t>7</w:t>
      </w:r>
      <w:r>
        <w:rPr>
          <w:rFonts w:hint="eastAsia" w:ascii="宋体" w:hAnsi="宋体" w:eastAsia="宋体" w:cs="宋体"/>
          <w:b/>
          <w:color w:val="auto"/>
          <w:kern w:val="2"/>
          <w:sz w:val="24"/>
          <w:szCs w:val="24"/>
          <w:highlight w:val="none"/>
          <w:lang w:val="en-US" w:eastAsia="zh-CN" w:bidi="ar-SA"/>
        </w:rPr>
        <w:t>.</w:t>
      </w:r>
      <w:r>
        <w:rPr>
          <w:rFonts w:hint="eastAsia" w:ascii="宋体" w:hAnsi="宋体" w:eastAsia="宋体" w:cs="宋体"/>
          <w:b/>
          <w:color w:val="auto"/>
          <w:sz w:val="24"/>
          <w:szCs w:val="24"/>
          <w:highlight w:val="none"/>
        </w:rPr>
        <w:t>合同份数</w:t>
      </w:r>
    </w:p>
    <w:p w14:paraId="029BDFB3">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份，均具有同等法律效力。</w:t>
      </w:r>
    </w:p>
    <w:p w14:paraId="187566FE">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FC84C10">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合同订立地点：</w:t>
      </w:r>
      <w:r>
        <w:rPr>
          <w:rFonts w:hint="eastAsia" w:ascii="宋体" w:hAnsi="宋体" w:eastAsia="宋体" w:cs="宋体"/>
          <w:color w:val="auto"/>
          <w:sz w:val="24"/>
          <w:szCs w:val="24"/>
          <w:highlight w:val="none"/>
          <w:u w:val="single"/>
        </w:rPr>
        <w:t xml:space="preserve">                           </w:t>
      </w:r>
    </w:p>
    <w:p w14:paraId="0D4C2C8D">
      <w:pPr>
        <w:pageBreakBefore w:val="0"/>
        <w:kinsoku/>
        <w:wordWrap/>
        <w:overflowPunct/>
        <w:topLinePunct w:val="0"/>
        <w:bidi w:val="0"/>
        <w:adjustRightInd w:val="0"/>
        <w:snapToGrid w:val="0"/>
        <w:spacing w:before="0" w:beforeLines="0" w:line="500" w:lineRule="exact"/>
        <w:ind w:firstLine="480" w:firstLineChars="200"/>
        <w:textAlignment w:val="auto"/>
        <w:rPr>
          <w:rFonts w:hint="eastAsia" w:ascii="宋体" w:hAnsi="宋体" w:eastAsia="宋体" w:cs="宋体"/>
          <w:color w:val="auto"/>
          <w:sz w:val="24"/>
          <w:szCs w:val="24"/>
          <w:highlight w:val="none"/>
          <w:u w:val="single"/>
        </w:rPr>
      </w:pPr>
    </w:p>
    <w:tbl>
      <w:tblPr>
        <w:tblStyle w:val="39"/>
        <w:tblW w:w="8392"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0"/>
        <w:gridCol w:w="2410"/>
        <w:gridCol w:w="1977"/>
        <w:gridCol w:w="2115"/>
      </w:tblGrid>
      <w:tr w14:paraId="4697E6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0" w:type="dxa"/>
            <w:gridSpan w:val="2"/>
            <w:tcBorders>
              <w:bottom w:val="single" w:color="auto" w:sz="2" w:space="0"/>
              <w:right w:val="single" w:color="auto" w:sz="2" w:space="0"/>
            </w:tcBorders>
            <w:vAlign w:val="center"/>
          </w:tcPr>
          <w:p w14:paraId="5CA31D2C">
            <w:pP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甲方（采购人</w:t>
            </w:r>
            <w:r>
              <w:rPr>
                <w:rFonts w:hint="eastAsia" w:ascii="宋体" w:hAnsi="宋体" w:eastAsia="宋体" w:cs="宋体"/>
                <w:color w:val="auto"/>
                <w:szCs w:val="21"/>
                <w:highlight w:val="none"/>
                <w:lang w:eastAsia="zh-CN"/>
              </w:rPr>
              <w:t>、受采购人委托签订合同的单位</w:t>
            </w:r>
            <w:r>
              <w:rPr>
                <w:rFonts w:hint="eastAsia" w:ascii="宋体" w:hAnsi="宋体" w:eastAsia="宋体" w:cs="宋体"/>
                <w:color w:val="auto"/>
                <w:szCs w:val="21"/>
                <w:highlight w:val="none"/>
              </w:rPr>
              <w:t>或采购文件约定的合同甲方）</w:t>
            </w:r>
          </w:p>
        </w:tc>
        <w:tc>
          <w:tcPr>
            <w:tcW w:w="4092" w:type="dxa"/>
            <w:gridSpan w:val="2"/>
            <w:tcBorders>
              <w:left w:val="single" w:color="auto" w:sz="2" w:space="0"/>
              <w:bottom w:val="single" w:color="auto" w:sz="2" w:space="0"/>
            </w:tcBorders>
            <w:vAlign w:val="center"/>
          </w:tcPr>
          <w:p w14:paraId="1F1794E4">
            <w:pP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乙方（供应商）</w:t>
            </w:r>
          </w:p>
        </w:tc>
      </w:tr>
      <w:tr w14:paraId="3A1EA1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0" w:type="dxa"/>
            <w:tcBorders>
              <w:top w:val="single" w:color="auto" w:sz="2" w:space="0"/>
              <w:bottom w:val="single" w:color="auto" w:sz="2" w:space="0"/>
              <w:right w:val="single" w:color="auto" w:sz="2" w:space="0"/>
            </w:tcBorders>
            <w:vAlign w:val="center"/>
          </w:tcPr>
          <w:p w14:paraId="50D696FD">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2410" w:type="dxa"/>
            <w:tcBorders>
              <w:top w:val="single" w:color="auto" w:sz="2" w:space="0"/>
              <w:left w:val="single" w:color="auto" w:sz="2" w:space="0"/>
              <w:bottom w:val="single" w:color="auto" w:sz="2" w:space="0"/>
              <w:right w:val="single" w:color="auto" w:sz="2" w:space="0"/>
            </w:tcBorders>
            <w:vAlign w:val="center"/>
          </w:tcPr>
          <w:p w14:paraId="40BCA7B6">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4528410A">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2115" w:type="dxa"/>
            <w:tcBorders>
              <w:top w:val="single" w:color="auto" w:sz="2" w:space="0"/>
              <w:left w:val="single" w:color="auto" w:sz="2" w:space="0"/>
              <w:bottom w:val="single" w:color="auto" w:sz="2" w:space="0"/>
            </w:tcBorders>
            <w:vAlign w:val="center"/>
          </w:tcPr>
          <w:p w14:paraId="457D8503">
            <w:pPr>
              <w:adjustRightInd w:val="0"/>
              <w:snapToGrid w:val="0"/>
              <w:spacing w:line="300" w:lineRule="exact"/>
              <w:jc w:val="center"/>
              <w:rPr>
                <w:rFonts w:hint="eastAsia" w:ascii="宋体" w:hAnsi="宋体" w:eastAsia="宋体" w:cs="宋体"/>
                <w:color w:val="auto"/>
                <w:spacing w:val="20"/>
                <w:szCs w:val="21"/>
                <w:highlight w:val="none"/>
              </w:rPr>
            </w:pPr>
          </w:p>
        </w:tc>
      </w:tr>
      <w:tr w14:paraId="3F4717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0" w:type="dxa"/>
            <w:vMerge w:val="restart"/>
            <w:tcBorders>
              <w:top w:val="single" w:color="auto" w:sz="2" w:space="0"/>
              <w:right w:val="single" w:color="auto" w:sz="2" w:space="0"/>
            </w:tcBorders>
            <w:vAlign w:val="center"/>
          </w:tcPr>
          <w:p w14:paraId="139ABE67">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1BA0E264">
            <w:pPr>
              <w:adjustRightInd w:val="0"/>
              <w:snapToGrid w:val="0"/>
              <w:spacing w:line="300" w:lineRule="exact"/>
              <w:ind w:firstLine="100" w:firstLineChars="4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2410" w:type="dxa"/>
            <w:vMerge w:val="restart"/>
            <w:tcBorders>
              <w:top w:val="single" w:color="auto" w:sz="2" w:space="0"/>
              <w:left w:val="single" w:color="auto" w:sz="2" w:space="0"/>
              <w:right w:val="single" w:color="auto" w:sz="2" w:space="0"/>
            </w:tcBorders>
            <w:vAlign w:val="center"/>
          </w:tcPr>
          <w:p w14:paraId="285E3DEA">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right w:val="single" w:color="auto" w:sz="2" w:space="0"/>
            </w:tcBorders>
            <w:vAlign w:val="center"/>
          </w:tcPr>
          <w:p w14:paraId="3D38136D">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6917DD16">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2115" w:type="dxa"/>
            <w:tcBorders>
              <w:top w:val="single" w:color="auto" w:sz="2" w:space="0"/>
              <w:left w:val="single" w:color="auto" w:sz="2" w:space="0"/>
              <w:bottom w:val="single" w:color="auto" w:sz="2" w:space="0"/>
            </w:tcBorders>
            <w:vAlign w:val="center"/>
          </w:tcPr>
          <w:p w14:paraId="79CC7C31">
            <w:pPr>
              <w:adjustRightInd w:val="0"/>
              <w:snapToGrid w:val="0"/>
              <w:spacing w:line="300" w:lineRule="exact"/>
              <w:jc w:val="center"/>
              <w:rPr>
                <w:rFonts w:hint="eastAsia" w:ascii="宋体" w:hAnsi="宋体" w:eastAsia="宋体" w:cs="宋体"/>
                <w:color w:val="auto"/>
                <w:szCs w:val="21"/>
                <w:highlight w:val="none"/>
              </w:rPr>
            </w:pPr>
          </w:p>
        </w:tc>
      </w:tr>
      <w:tr w14:paraId="2C9F77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vMerge w:val="continue"/>
            <w:tcBorders>
              <w:bottom w:val="single" w:color="auto" w:sz="2" w:space="0"/>
              <w:right w:val="single" w:color="auto" w:sz="2" w:space="0"/>
            </w:tcBorders>
            <w:vAlign w:val="center"/>
          </w:tcPr>
          <w:p w14:paraId="21BFEBA2">
            <w:pPr>
              <w:adjustRightInd w:val="0"/>
              <w:snapToGrid w:val="0"/>
              <w:spacing w:line="300" w:lineRule="exact"/>
              <w:jc w:val="center"/>
              <w:rPr>
                <w:rFonts w:hint="eastAsia" w:ascii="宋体" w:hAnsi="宋体" w:eastAsia="宋体" w:cs="宋体"/>
                <w:color w:val="auto"/>
                <w:szCs w:val="21"/>
                <w:highlight w:val="none"/>
              </w:rPr>
            </w:pPr>
          </w:p>
        </w:tc>
        <w:tc>
          <w:tcPr>
            <w:tcW w:w="2410" w:type="dxa"/>
            <w:vMerge w:val="continue"/>
            <w:tcBorders>
              <w:left w:val="single" w:color="auto" w:sz="2" w:space="0"/>
              <w:bottom w:val="single" w:color="auto" w:sz="2" w:space="0"/>
              <w:right w:val="single" w:color="auto" w:sz="2" w:space="0"/>
            </w:tcBorders>
            <w:vAlign w:val="center"/>
          </w:tcPr>
          <w:p w14:paraId="7DAD9F40">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0A3F26FC">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拥有者性别</w:t>
            </w:r>
          </w:p>
        </w:tc>
        <w:tc>
          <w:tcPr>
            <w:tcW w:w="2115" w:type="dxa"/>
            <w:tcBorders>
              <w:top w:val="single" w:color="auto" w:sz="2" w:space="0"/>
              <w:left w:val="single" w:color="auto" w:sz="2" w:space="0"/>
              <w:bottom w:val="single" w:color="auto" w:sz="2" w:space="0"/>
            </w:tcBorders>
            <w:vAlign w:val="center"/>
          </w:tcPr>
          <w:p w14:paraId="42028F94">
            <w:pPr>
              <w:adjustRightInd w:val="0"/>
              <w:snapToGrid w:val="0"/>
              <w:spacing w:line="300" w:lineRule="exact"/>
              <w:jc w:val="center"/>
              <w:rPr>
                <w:rFonts w:hint="eastAsia" w:ascii="宋体" w:hAnsi="宋体" w:eastAsia="宋体" w:cs="宋体"/>
                <w:color w:val="auto"/>
                <w:spacing w:val="20"/>
                <w:szCs w:val="21"/>
                <w:highlight w:val="none"/>
              </w:rPr>
            </w:pPr>
          </w:p>
        </w:tc>
      </w:tr>
      <w:tr w14:paraId="72EB42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10237F91">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2410" w:type="dxa"/>
            <w:tcBorders>
              <w:top w:val="single" w:color="auto" w:sz="2" w:space="0"/>
              <w:left w:val="single" w:color="auto" w:sz="2" w:space="0"/>
              <w:bottom w:val="single" w:color="auto" w:sz="2" w:space="0"/>
              <w:right w:val="single" w:color="auto" w:sz="2" w:space="0"/>
            </w:tcBorders>
            <w:vAlign w:val="center"/>
          </w:tcPr>
          <w:p w14:paraId="6CEB88C5">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6508AAB0">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2115" w:type="dxa"/>
            <w:tcBorders>
              <w:top w:val="single" w:color="auto" w:sz="2" w:space="0"/>
              <w:left w:val="single" w:color="auto" w:sz="2" w:space="0"/>
              <w:bottom w:val="single" w:color="auto" w:sz="2" w:space="0"/>
            </w:tcBorders>
            <w:vAlign w:val="center"/>
          </w:tcPr>
          <w:p w14:paraId="2A4219B3">
            <w:pPr>
              <w:adjustRightInd w:val="0"/>
              <w:snapToGrid w:val="0"/>
              <w:spacing w:line="300" w:lineRule="exact"/>
              <w:jc w:val="center"/>
              <w:rPr>
                <w:rFonts w:hint="eastAsia" w:ascii="宋体" w:hAnsi="宋体" w:eastAsia="宋体" w:cs="宋体"/>
                <w:color w:val="auto"/>
                <w:spacing w:val="20"/>
                <w:szCs w:val="21"/>
                <w:highlight w:val="none"/>
              </w:rPr>
            </w:pPr>
          </w:p>
        </w:tc>
      </w:tr>
      <w:tr w14:paraId="70BE1B2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6D8B1F24">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2410" w:type="dxa"/>
            <w:tcBorders>
              <w:top w:val="single" w:color="auto" w:sz="2" w:space="0"/>
              <w:left w:val="single" w:color="auto" w:sz="2" w:space="0"/>
              <w:bottom w:val="single" w:color="auto" w:sz="2" w:space="0"/>
              <w:right w:val="single" w:color="auto" w:sz="2" w:space="0"/>
            </w:tcBorders>
            <w:vAlign w:val="center"/>
          </w:tcPr>
          <w:p w14:paraId="04DBB0EF">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49D1F690">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2115" w:type="dxa"/>
            <w:tcBorders>
              <w:top w:val="single" w:color="auto" w:sz="2" w:space="0"/>
              <w:left w:val="single" w:color="auto" w:sz="2" w:space="0"/>
              <w:bottom w:val="single" w:color="auto" w:sz="2" w:space="0"/>
            </w:tcBorders>
            <w:vAlign w:val="center"/>
          </w:tcPr>
          <w:p w14:paraId="46642533">
            <w:pPr>
              <w:adjustRightInd w:val="0"/>
              <w:snapToGrid w:val="0"/>
              <w:spacing w:line="300" w:lineRule="exact"/>
              <w:jc w:val="center"/>
              <w:rPr>
                <w:rFonts w:hint="eastAsia" w:ascii="宋体" w:hAnsi="宋体" w:eastAsia="宋体" w:cs="宋体"/>
                <w:color w:val="auto"/>
                <w:spacing w:val="20"/>
                <w:szCs w:val="21"/>
                <w:highlight w:val="none"/>
              </w:rPr>
            </w:pPr>
          </w:p>
        </w:tc>
      </w:tr>
      <w:tr w14:paraId="571BC6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51E8F5D6">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2410" w:type="dxa"/>
            <w:tcBorders>
              <w:top w:val="single" w:color="auto" w:sz="2" w:space="0"/>
              <w:left w:val="single" w:color="auto" w:sz="2" w:space="0"/>
              <w:bottom w:val="single" w:color="auto" w:sz="2" w:space="0"/>
              <w:right w:val="single" w:color="auto" w:sz="2" w:space="0"/>
            </w:tcBorders>
            <w:vAlign w:val="center"/>
          </w:tcPr>
          <w:p w14:paraId="5A9F8AC9">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6DF59809">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2115" w:type="dxa"/>
            <w:tcBorders>
              <w:top w:val="single" w:color="auto" w:sz="2" w:space="0"/>
              <w:left w:val="single" w:color="auto" w:sz="2" w:space="0"/>
              <w:bottom w:val="single" w:color="auto" w:sz="2" w:space="0"/>
            </w:tcBorders>
            <w:vAlign w:val="center"/>
          </w:tcPr>
          <w:p w14:paraId="33207264">
            <w:pPr>
              <w:adjustRightInd w:val="0"/>
              <w:snapToGrid w:val="0"/>
              <w:spacing w:line="300" w:lineRule="exact"/>
              <w:jc w:val="center"/>
              <w:rPr>
                <w:rFonts w:hint="eastAsia" w:ascii="宋体" w:hAnsi="宋体" w:eastAsia="宋体" w:cs="宋体"/>
                <w:color w:val="auto"/>
                <w:spacing w:val="20"/>
                <w:szCs w:val="21"/>
                <w:highlight w:val="none"/>
              </w:rPr>
            </w:pPr>
          </w:p>
        </w:tc>
      </w:tr>
      <w:tr w14:paraId="292784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43C304B0">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通信地址</w:t>
            </w:r>
          </w:p>
        </w:tc>
        <w:tc>
          <w:tcPr>
            <w:tcW w:w="2410" w:type="dxa"/>
            <w:tcBorders>
              <w:top w:val="single" w:color="auto" w:sz="2" w:space="0"/>
              <w:left w:val="single" w:color="auto" w:sz="2" w:space="0"/>
              <w:bottom w:val="single" w:color="auto" w:sz="2" w:space="0"/>
              <w:right w:val="single" w:color="auto" w:sz="2" w:space="0"/>
            </w:tcBorders>
            <w:vAlign w:val="center"/>
          </w:tcPr>
          <w:p w14:paraId="7A0C3770">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16D0D33E">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通信地址</w:t>
            </w:r>
          </w:p>
        </w:tc>
        <w:tc>
          <w:tcPr>
            <w:tcW w:w="2115" w:type="dxa"/>
            <w:tcBorders>
              <w:top w:val="single" w:color="auto" w:sz="2" w:space="0"/>
              <w:left w:val="single" w:color="auto" w:sz="2" w:space="0"/>
              <w:bottom w:val="single" w:color="auto" w:sz="2" w:space="0"/>
            </w:tcBorders>
            <w:vAlign w:val="center"/>
          </w:tcPr>
          <w:p w14:paraId="37164317">
            <w:pPr>
              <w:adjustRightInd w:val="0"/>
              <w:snapToGrid w:val="0"/>
              <w:spacing w:line="300" w:lineRule="exact"/>
              <w:jc w:val="center"/>
              <w:rPr>
                <w:rFonts w:hint="eastAsia" w:ascii="宋体" w:hAnsi="宋体" w:eastAsia="宋体" w:cs="宋体"/>
                <w:color w:val="auto"/>
                <w:spacing w:val="20"/>
                <w:szCs w:val="21"/>
                <w:highlight w:val="none"/>
              </w:rPr>
            </w:pPr>
          </w:p>
        </w:tc>
      </w:tr>
      <w:tr w14:paraId="65EB8C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3B8B1D85">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2410" w:type="dxa"/>
            <w:tcBorders>
              <w:top w:val="single" w:color="auto" w:sz="2" w:space="0"/>
              <w:left w:val="single" w:color="auto" w:sz="2" w:space="0"/>
              <w:bottom w:val="single" w:color="auto" w:sz="2" w:space="0"/>
              <w:right w:val="single" w:color="auto" w:sz="2" w:space="0"/>
            </w:tcBorders>
            <w:vAlign w:val="center"/>
          </w:tcPr>
          <w:p w14:paraId="60D9292A">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03B39A3C">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2115" w:type="dxa"/>
            <w:tcBorders>
              <w:top w:val="single" w:color="auto" w:sz="2" w:space="0"/>
              <w:left w:val="single" w:color="auto" w:sz="2" w:space="0"/>
              <w:bottom w:val="single" w:color="auto" w:sz="2" w:space="0"/>
            </w:tcBorders>
            <w:vAlign w:val="center"/>
          </w:tcPr>
          <w:p w14:paraId="32EEFD43">
            <w:pPr>
              <w:adjustRightInd w:val="0"/>
              <w:snapToGrid w:val="0"/>
              <w:spacing w:line="300" w:lineRule="exact"/>
              <w:jc w:val="center"/>
              <w:rPr>
                <w:rFonts w:hint="eastAsia" w:ascii="宋体" w:hAnsi="宋体" w:eastAsia="宋体" w:cs="宋体"/>
                <w:color w:val="auto"/>
                <w:spacing w:val="20"/>
                <w:szCs w:val="21"/>
                <w:highlight w:val="none"/>
              </w:rPr>
            </w:pPr>
          </w:p>
        </w:tc>
      </w:tr>
      <w:tr w14:paraId="73941E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110BB877">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2410" w:type="dxa"/>
            <w:tcBorders>
              <w:top w:val="single" w:color="auto" w:sz="2" w:space="0"/>
              <w:left w:val="single" w:color="auto" w:sz="2" w:space="0"/>
              <w:bottom w:val="single" w:color="auto" w:sz="2" w:space="0"/>
              <w:right w:val="single" w:color="auto" w:sz="2" w:space="0"/>
            </w:tcBorders>
            <w:vAlign w:val="center"/>
          </w:tcPr>
          <w:p w14:paraId="2AC8DA77">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742B4FBD">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2115" w:type="dxa"/>
            <w:tcBorders>
              <w:top w:val="single" w:color="auto" w:sz="2" w:space="0"/>
              <w:left w:val="single" w:color="auto" w:sz="2" w:space="0"/>
              <w:bottom w:val="single" w:color="auto" w:sz="2" w:space="0"/>
            </w:tcBorders>
            <w:vAlign w:val="center"/>
          </w:tcPr>
          <w:p w14:paraId="32587C17">
            <w:pPr>
              <w:adjustRightInd w:val="0"/>
              <w:snapToGrid w:val="0"/>
              <w:spacing w:line="300" w:lineRule="exact"/>
              <w:jc w:val="center"/>
              <w:rPr>
                <w:rFonts w:hint="eastAsia" w:ascii="宋体" w:hAnsi="宋体" w:eastAsia="宋体" w:cs="宋体"/>
                <w:color w:val="auto"/>
                <w:spacing w:val="20"/>
                <w:szCs w:val="21"/>
                <w:highlight w:val="none"/>
              </w:rPr>
            </w:pPr>
          </w:p>
        </w:tc>
      </w:tr>
      <w:tr w14:paraId="7E24C9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338804B9">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2410" w:type="dxa"/>
            <w:tcBorders>
              <w:top w:val="single" w:color="auto" w:sz="2" w:space="0"/>
              <w:left w:val="single" w:color="auto" w:sz="2" w:space="0"/>
              <w:bottom w:val="single" w:color="auto" w:sz="2" w:space="0"/>
              <w:right w:val="single" w:color="auto" w:sz="2" w:space="0"/>
            </w:tcBorders>
            <w:vAlign w:val="center"/>
          </w:tcPr>
          <w:p w14:paraId="6FF5C13E">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6C0EF4CF">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2115" w:type="dxa"/>
            <w:tcBorders>
              <w:top w:val="single" w:color="auto" w:sz="2" w:space="0"/>
              <w:left w:val="single" w:color="auto" w:sz="2" w:space="0"/>
              <w:bottom w:val="single" w:color="auto" w:sz="2" w:space="0"/>
            </w:tcBorders>
            <w:vAlign w:val="center"/>
          </w:tcPr>
          <w:p w14:paraId="7BCB2867">
            <w:pPr>
              <w:adjustRightInd w:val="0"/>
              <w:snapToGrid w:val="0"/>
              <w:spacing w:line="300" w:lineRule="exact"/>
              <w:jc w:val="center"/>
              <w:rPr>
                <w:rFonts w:hint="eastAsia" w:ascii="宋体" w:hAnsi="宋体" w:eastAsia="宋体" w:cs="宋体"/>
                <w:color w:val="auto"/>
                <w:spacing w:val="20"/>
                <w:szCs w:val="21"/>
                <w:highlight w:val="none"/>
              </w:rPr>
            </w:pPr>
          </w:p>
        </w:tc>
      </w:tr>
      <w:tr w14:paraId="0D495E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620D7621">
            <w:pPr>
              <w:adjustRightInd w:val="0"/>
              <w:snapToGrid w:val="0"/>
              <w:spacing w:line="300" w:lineRule="exact"/>
              <w:jc w:val="center"/>
              <w:rPr>
                <w:rFonts w:hint="eastAsia" w:ascii="宋体" w:hAnsi="宋体" w:eastAsia="宋体" w:cs="宋体"/>
                <w:color w:val="auto"/>
                <w:szCs w:val="21"/>
                <w:highlight w:val="none"/>
              </w:rPr>
            </w:pPr>
          </w:p>
        </w:tc>
        <w:tc>
          <w:tcPr>
            <w:tcW w:w="2410" w:type="dxa"/>
            <w:tcBorders>
              <w:top w:val="single" w:color="auto" w:sz="2" w:space="0"/>
              <w:left w:val="single" w:color="auto" w:sz="2" w:space="0"/>
              <w:bottom w:val="single" w:color="auto" w:sz="2" w:space="0"/>
              <w:right w:val="single" w:color="auto" w:sz="2" w:space="0"/>
            </w:tcBorders>
            <w:vAlign w:val="center"/>
          </w:tcPr>
          <w:p w14:paraId="6A0BA0E7">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5062C143">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开户名称</w:t>
            </w:r>
          </w:p>
        </w:tc>
        <w:tc>
          <w:tcPr>
            <w:tcW w:w="2115" w:type="dxa"/>
            <w:tcBorders>
              <w:top w:val="single" w:color="auto" w:sz="2" w:space="0"/>
              <w:left w:val="single" w:color="auto" w:sz="2" w:space="0"/>
              <w:bottom w:val="single" w:color="auto" w:sz="2" w:space="0"/>
            </w:tcBorders>
            <w:vAlign w:val="center"/>
          </w:tcPr>
          <w:p w14:paraId="7E163564">
            <w:pPr>
              <w:adjustRightInd w:val="0"/>
              <w:snapToGrid w:val="0"/>
              <w:spacing w:line="300" w:lineRule="exact"/>
              <w:jc w:val="center"/>
              <w:rPr>
                <w:rFonts w:hint="eastAsia" w:ascii="宋体" w:hAnsi="宋体" w:eastAsia="宋体" w:cs="宋体"/>
                <w:color w:val="auto"/>
                <w:spacing w:val="20"/>
                <w:szCs w:val="21"/>
                <w:highlight w:val="none"/>
              </w:rPr>
            </w:pPr>
          </w:p>
        </w:tc>
      </w:tr>
      <w:tr w14:paraId="5B92EF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70DC6BD6">
            <w:pPr>
              <w:adjustRightInd w:val="0"/>
              <w:snapToGrid w:val="0"/>
              <w:spacing w:line="300" w:lineRule="exact"/>
              <w:jc w:val="center"/>
              <w:rPr>
                <w:rFonts w:hint="eastAsia" w:ascii="宋体" w:hAnsi="宋体" w:eastAsia="宋体" w:cs="宋体"/>
                <w:color w:val="auto"/>
                <w:szCs w:val="21"/>
                <w:highlight w:val="none"/>
              </w:rPr>
            </w:pPr>
          </w:p>
        </w:tc>
        <w:tc>
          <w:tcPr>
            <w:tcW w:w="2410" w:type="dxa"/>
            <w:tcBorders>
              <w:top w:val="single" w:color="auto" w:sz="2" w:space="0"/>
              <w:left w:val="single" w:color="auto" w:sz="2" w:space="0"/>
              <w:bottom w:val="single" w:color="auto" w:sz="2" w:space="0"/>
              <w:right w:val="single" w:color="auto" w:sz="2" w:space="0"/>
            </w:tcBorders>
            <w:vAlign w:val="center"/>
          </w:tcPr>
          <w:p w14:paraId="0C1003BF">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2D4645E6">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2115" w:type="dxa"/>
            <w:tcBorders>
              <w:top w:val="single" w:color="auto" w:sz="2" w:space="0"/>
              <w:left w:val="single" w:color="auto" w:sz="2" w:space="0"/>
              <w:bottom w:val="single" w:color="auto" w:sz="2" w:space="0"/>
            </w:tcBorders>
            <w:vAlign w:val="center"/>
          </w:tcPr>
          <w:p w14:paraId="70EAD5AF">
            <w:pPr>
              <w:adjustRightInd w:val="0"/>
              <w:snapToGrid w:val="0"/>
              <w:spacing w:line="300" w:lineRule="exact"/>
              <w:jc w:val="center"/>
              <w:rPr>
                <w:rFonts w:hint="eastAsia" w:ascii="宋体" w:hAnsi="宋体" w:eastAsia="宋体" w:cs="宋体"/>
                <w:color w:val="auto"/>
                <w:spacing w:val="20"/>
                <w:szCs w:val="21"/>
                <w:highlight w:val="none"/>
              </w:rPr>
            </w:pPr>
          </w:p>
        </w:tc>
      </w:tr>
      <w:tr w14:paraId="3EE8B2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0" w:type="dxa"/>
            <w:tcBorders>
              <w:top w:val="single" w:color="auto" w:sz="2" w:space="0"/>
              <w:bottom w:val="single" w:color="auto" w:sz="2" w:space="0"/>
              <w:right w:val="single" w:color="auto" w:sz="2" w:space="0"/>
            </w:tcBorders>
            <w:vAlign w:val="center"/>
          </w:tcPr>
          <w:p w14:paraId="49CC03D9">
            <w:pPr>
              <w:adjustRightInd w:val="0"/>
              <w:snapToGrid w:val="0"/>
              <w:spacing w:line="300" w:lineRule="exact"/>
              <w:jc w:val="center"/>
              <w:rPr>
                <w:rFonts w:hint="eastAsia" w:ascii="宋体" w:hAnsi="宋体" w:eastAsia="宋体" w:cs="宋体"/>
                <w:color w:val="auto"/>
                <w:szCs w:val="21"/>
                <w:highlight w:val="none"/>
              </w:rPr>
            </w:pPr>
          </w:p>
        </w:tc>
        <w:tc>
          <w:tcPr>
            <w:tcW w:w="2410" w:type="dxa"/>
            <w:tcBorders>
              <w:top w:val="single" w:color="auto" w:sz="2" w:space="0"/>
              <w:left w:val="single" w:color="auto" w:sz="2" w:space="0"/>
              <w:bottom w:val="single" w:color="auto" w:sz="2" w:space="0"/>
              <w:right w:val="single" w:color="auto" w:sz="2" w:space="0"/>
            </w:tcBorders>
            <w:vAlign w:val="center"/>
          </w:tcPr>
          <w:p w14:paraId="70B7FC76">
            <w:pPr>
              <w:adjustRightInd w:val="0"/>
              <w:snapToGrid w:val="0"/>
              <w:spacing w:line="300" w:lineRule="exact"/>
              <w:jc w:val="center"/>
              <w:rPr>
                <w:rFonts w:hint="eastAsia" w:ascii="宋体" w:hAnsi="宋体" w:eastAsia="宋体" w:cs="宋体"/>
                <w:color w:val="auto"/>
                <w:szCs w:val="21"/>
                <w:highlight w:val="none"/>
              </w:rPr>
            </w:pPr>
          </w:p>
        </w:tc>
        <w:tc>
          <w:tcPr>
            <w:tcW w:w="1977" w:type="dxa"/>
            <w:tcBorders>
              <w:top w:val="single" w:color="auto" w:sz="2" w:space="0"/>
              <w:left w:val="single" w:color="auto" w:sz="2" w:space="0"/>
              <w:bottom w:val="single" w:color="auto" w:sz="2" w:space="0"/>
              <w:right w:val="single" w:color="auto" w:sz="2" w:space="0"/>
            </w:tcBorders>
            <w:vAlign w:val="center"/>
          </w:tcPr>
          <w:p w14:paraId="32AB250B">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银行账号</w:t>
            </w:r>
          </w:p>
        </w:tc>
        <w:tc>
          <w:tcPr>
            <w:tcW w:w="2115" w:type="dxa"/>
            <w:tcBorders>
              <w:top w:val="single" w:color="auto" w:sz="2" w:space="0"/>
              <w:left w:val="single" w:color="auto" w:sz="2" w:space="0"/>
              <w:bottom w:val="single" w:color="auto" w:sz="2" w:space="0"/>
            </w:tcBorders>
            <w:vAlign w:val="center"/>
          </w:tcPr>
          <w:p w14:paraId="223689EC">
            <w:pPr>
              <w:adjustRightInd w:val="0"/>
              <w:snapToGrid w:val="0"/>
              <w:spacing w:line="300" w:lineRule="exact"/>
              <w:jc w:val="center"/>
              <w:rPr>
                <w:rFonts w:hint="eastAsia" w:ascii="宋体" w:hAnsi="宋体" w:eastAsia="宋体" w:cs="宋体"/>
                <w:color w:val="auto"/>
                <w:spacing w:val="20"/>
                <w:szCs w:val="21"/>
                <w:highlight w:val="none"/>
              </w:rPr>
            </w:pPr>
          </w:p>
        </w:tc>
      </w:tr>
      <w:tr w14:paraId="1A28DD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2" w:type="dxa"/>
            <w:gridSpan w:val="4"/>
            <w:tcBorders>
              <w:top w:val="single" w:color="auto" w:sz="2" w:space="0"/>
            </w:tcBorders>
            <w:vAlign w:val="center"/>
          </w:tcPr>
          <w:p w14:paraId="44A1BC6F">
            <w:pPr>
              <w:widowControl w:val="0"/>
              <w:adjustRightInd w:val="0"/>
              <w:snapToGrid w:val="0"/>
              <w:spacing w:before="156" w:beforeLines="50" w:after="0" w:line="360" w:lineRule="auto"/>
              <w:ind w:left="0" w:leftChars="0" w:firstLine="645"/>
              <w:jc w:val="left"/>
              <w:rPr>
                <w:rFonts w:hint="eastAsia" w:ascii="宋体" w:hAnsi="宋体" w:eastAsia="宋体" w:cs="宋体"/>
                <w:color w:val="auto"/>
                <w:spacing w:val="20"/>
                <w:kern w:val="2"/>
                <w:sz w:val="32"/>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注：涉及联合体或其他合同主体的信息应按上表格式加列。</w:t>
            </w:r>
          </w:p>
        </w:tc>
      </w:tr>
    </w:tbl>
    <w:p w14:paraId="5806634C">
      <w:pPr>
        <w:keepNext/>
        <w:keepLines/>
        <w:widowControl w:val="0"/>
        <w:adjustRightInd w:val="0"/>
        <w:snapToGrid w:val="0"/>
        <w:spacing w:before="156" w:beforeLines="50" w:after="200" w:line="480" w:lineRule="auto"/>
        <w:jc w:val="center"/>
        <w:outlineLvl w:val="1"/>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1"/>
          <w:szCs w:val="21"/>
          <w:highlight w:val="none"/>
          <w:u w:val="single"/>
          <w:lang w:val="en-US" w:eastAsia="zh-CN" w:bidi="ar-SA"/>
        </w:rPr>
        <w:br w:type="page"/>
      </w:r>
      <w:r>
        <w:rPr>
          <w:rFonts w:hint="eastAsia" w:ascii="宋体" w:hAnsi="宋体" w:eastAsia="宋体" w:cs="宋体"/>
          <w:b w:val="0"/>
          <w:bCs w:val="0"/>
          <w:color w:val="auto"/>
          <w:kern w:val="2"/>
          <w:sz w:val="28"/>
          <w:szCs w:val="28"/>
          <w:highlight w:val="none"/>
          <w:lang w:val="en-US" w:eastAsia="zh-CN" w:bidi="ar-SA"/>
        </w:rPr>
        <w:t>第二节 政府采购合同基本条款</w:t>
      </w:r>
    </w:p>
    <w:p w14:paraId="17754970">
      <w:pPr>
        <w:keepNext w:val="0"/>
        <w:keepLines w:val="0"/>
        <w:pageBreakBefore w:val="0"/>
        <w:tabs>
          <w:tab w:val="left" w:pos="8820"/>
          <w:tab w:val="left" w:pos="9345"/>
          <w:tab w:val="left" w:pos="9765"/>
        </w:tabs>
        <w:kinsoku/>
        <w:wordWrap/>
        <w:overflowPunct/>
        <w:topLinePunct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bCs/>
          <w:color w:val="auto"/>
          <w:sz w:val="24"/>
          <w:szCs w:val="24"/>
          <w:highlight w:val="none"/>
        </w:rPr>
        <w:t>定义</w:t>
      </w:r>
    </w:p>
    <w:p w14:paraId="3FEC304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1.1合同当事人</w:t>
      </w:r>
    </w:p>
    <w:p w14:paraId="67D97CE3">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3DA63C86">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（2）供应商（以下称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方）是指参加政府采购活动并且中标（成交），向采购人提供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663706E7">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（3）其他合同主体是指除采购人和供应商以外，</w:t>
      </w:r>
      <w:r>
        <w:rPr>
          <w:rFonts w:hint="eastAsia" w:ascii="宋体" w:hAnsi="宋体" w:eastAsia="宋体" w:cs="宋体"/>
          <w:bCs/>
          <w:color w:val="auto"/>
          <w:sz w:val="24"/>
          <w:szCs w:val="24"/>
          <w:highlight w:val="none"/>
        </w:rPr>
        <w:t>依法参与合同缔结或履行，享有权利、承担义务的合同当事人</w:t>
      </w:r>
      <w:r>
        <w:rPr>
          <w:rFonts w:hint="eastAsia" w:ascii="宋体" w:hAnsi="宋体" w:eastAsia="宋体" w:cs="宋体"/>
          <w:color w:val="auto"/>
          <w:sz w:val="24"/>
          <w:szCs w:val="24"/>
          <w:highlight w:val="none"/>
        </w:rPr>
        <w:t>。</w:t>
      </w:r>
    </w:p>
    <w:p w14:paraId="76C314ED">
      <w:pPr>
        <w:keepNext w:val="0"/>
        <w:keepLines w:val="0"/>
        <w:pageBreakBefore w:val="0"/>
        <w:tabs>
          <w:tab w:val="left" w:pos="570"/>
          <w:tab w:val="left" w:pos="9240"/>
          <w:tab w:val="left" w:pos="9555"/>
        </w:tabs>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4CFC83BE">
      <w:pPr>
        <w:keepNext w:val="0"/>
        <w:keepLines w:val="0"/>
        <w:pageBreakBefore w:val="0"/>
        <w:kinsoku/>
        <w:wordWrap/>
        <w:overflowPunct/>
        <w:topLinePunct w:val="0"/>
        <w:bidi w:val="0"/>
        <w:adjustRightInd w:val="0"/>
        <w:snapToGrid w:val="0"/>
        <w:spacing w:before="0" w:beforeLines="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（1）“合同”系指</w:t>
      </w:r>
      <w:r>
        <w:rPr>
          <w:rFonts w:hint="eastAsia" w:ascii="宋体" w:hAnsi="宋体" w:eastAsia="宋体" w:cs="宋体"/>
          <w:bCs/>
          <w:color w:val="auto"/>
          <w:sz w:val="24"/>
          <w:szCs w:val="24"/>
          <w:highlight w:val="none"/>
        </w:rPr>
        <w:t>合同当事人意思表示达成一致的任何协议，包括签署的</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合同协议书及其变更、补充</w:t>
      </w:r>
      <w:r>
        <w:rPr>
          <w:rFonts w:hint="eastAsia" w:ascii="宋体" w:hAnsi="宋体" w:eastAsia="宋体" w:cs="宋体"/>
          <w:color w:val="auto"/>
          <w:sz w:val="24"/>
          <w:szCs w:val="24"/>
          <w:highlight w:val="none"/>
          <w:lang w:eastAsia="zh-CN"/>
        </w:rPr>
        <w:t>协议，</w:t>
      </w:r>
      <w:r>
        <w:rPr>
          <w:rFonts w:hint="eastAsia" w:ascii="宋体" w:hAnsi="宋体" w:eastAsia="宋体" w:cs="宋体"/>
          <w:color w:val="auto"/>
          <w:sz w:val="24"/>
          <w:szCs w:val="24"/>
          <w:highlight w:val="none"/>
        </w:rPr>
        <w:t>政府采购合同专用条款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政府采购合同通用条款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投标（响应）文件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有关技术文件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图纸</w:t>
      </w:r>
      <w:r>
        <w:rPr>
          <w:rFonts w:hint="eastAsia" w:ascii="宋体" w:hAnsi="宋体" w:eastAsia="宋体" w:cs="宋体"/>
          <w:color w:val="auto"/>
          <w:sz w:val="24"/>
          <w:szCs w:val="24"/>
          <w:highlight w:val="none"/>
          <w:lang w:eastAsia="zh-CN"/>
        </w:rPr>
        <w:t>，以及</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r>
        <w:rPr>
          <w:rFonts w:hint="eastAsia" w:ascii="宋体" w:hAnsi="宋体" w:eastAsia="宋体" w:cs="宋体"/>
          <w:color w:val="auto"/>
          <w:sz w:val="24"/>
          <w:szCs w:val="24"/>
          <w:highlight w:val="none"/>
        </w:rPr>
        <w:t>。</w:t>
      </w:r>
    </w:p>
    <w:p w14:paraId="33632BFE">
      <w:pPr>
        <w:keepNext w:val="0"/>
        <w:keepLines w:val="0"/>
        <w:pageBreakBefore w:val="0"/>
        <w:tabs>
          <w:tab w:val="left" w:pos="570"/>
          <w:tab w:val="left" w:pos="9240"/>
          <w:tab w:val="left" w:pos="9555"/>
        </w:tabs>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w:t>
      </w:r>
      <w:r>
        <w:rPr>
          <w:rFonts w:hint="eastAsia" w:ascii="宋体" w:hAnsi="宋体" w:eastAsia="宋体" w:cs="宋体"/>
          <w:color w:val="auto"/>
          <w:sz w:val="24"/>
          <w:szCs w:val="24"/>
          <w:highlight w:val="none"/>
          <w:lang w:val="en-US" w:eastAsia="zh-CN"/>
        </w:rPr>
        <w:t>款</w:t>
      </w:r>
      <w:r>
        <w:rPr>
          <w:rFonts w:hint="eastAsia" w:ascii="宋体" w:hAnsi="宋体" w:eastAsia="宋体" w:cs="宋体"/>
          <w:color w:val="auto"/>
          <w:sz w:val="24"/>
          <w:szCs w:val="24"/>
          <w:highlight w:val="none"/>
        </w:rPr>
        <w:t>”系指根据本合同规定乙方在全面履行合同义务后甲方应支付给乙方的价款。</w:t>
      </w:r>
    </w:p>
    <w:p w14:paraId="7FA32763">
      <w:pPr>
        <w:keepNext w:val="0"/>
        <w:keepLines w:val="0"/>
        <w:pageBreakBefore w:val="0"/>
        <w:tabs>
          <w:tab w:val="left" w:pos="570"/>
          <w:tab w:val="left" w:pos="9240"/>
          <w:tab w:val="left" w:pos="9555"/>
        </w:tabs>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技术资料和材料</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2F9636E8">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服务”系指根据合同规定，乙方应提供的</w:t>
      </w:r>
      <w:r>
        <w:rPr>
          <w:rFonts w:hint="eastAsia" w:ascii="宋体" w:hAnsi="宋体" w:eastAsia="宋体" w:cs="宋体"/>
          <w:color w:val="auto"/>
          <w:sz w:val="24"/>
          <w:szCs w:val="24"/>
          <w:highlight w:val="none"/>
          <w:lang w:val="en-US" w:eastAsia="zh-CN"/>
        </w:rPr>
        <w:t>与货物有关的</w:t>
      </w:r>
      <w:r>
        <w:rPr>
          <w:rFonts w:hint="eastAsia" w:ascii="宋体" w:hAnsi="宋体" w:eastAsia="宋体" w:cs="宋体"/>
          <w:color w:val="auto"/>
          <w:sz w:val="24"/>
          <w:szCs w:val="24"/>
          <w:highlight w:val="none"/>
        </w:rPr>
        <w:t>技术、管理和</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废弃处置、</w:t>
      </w:r>
      <w:r>
        <w:rPr>
          <w:rFonts w:hint="eastAsia" w:ascii="宋体" w:hAnsi="宋体" w:eastAsia="宋体" w:cs="宋体"/>
          <w:color w:val="auto"/>
          <w:sz w:val="24"/>
          <w:szCs w:val="24"/>
          <w:highlight w:val="none"/>
        </w:rPr>
        <w:t>技术支持等以及合同中规定乙方应承担的</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义务。</w:t>
      </w:r>
    </w:p>
    <w:p w14:paraId="6C058001">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）“分包”系指中标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供应商按采购文件、投标（响应）文件的规定，根据分包意向协议，将中标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项目中的部分履约内容，分给具有相应资质条件的供应商履行合同的行为。</w:t>
      </w:r>
    </w:p>
    <w:p w14:paraId="03690522">
      <w:pPr>
        <w:keepNext w:val="0"/>
        <w:keepLines w:val="0"/>
        <w:pageBreakBefore w:val="0"/>
        <w:tabs>
          <w:tab w:val="left" w:pos="570"/>
          <w:tab w:val="left" w:pos="9240"/>
          <w:tab w:val="left" w:pos="9555"/>
        </w:tabs>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）“联合体”系指</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两个以上的自然人、法人或者</w:t>
      </w:r>
      <w:r>
        <w:rPr>
          <w:rFonts w:hint="eastAsia" w:ascii="宋体" w:hAnsi="宋体" w:eastAsia="宋体" w:cs="宋体"/>
          <w:color w:val="auto"/>
          <w:sz w:val="24"/>
          <w:szCs w:val="24"/>
          <w:highlight w:val="none"/>
          <w:lang w:val="en-US" w:eastAsia="zh-CN"/>
        </w:rPr>
        <w:t>非法人</w:t>
      </w:r>
      <w:r>
        <w:rPr>
          <w:rFonts w:hint="eastAsia" w:ascii="宋体" w:hAnsi="宋体" w:eastAsia="宋体" w:cs="宋体"/>
          <w:color w:val="auto"/>
          <w:sz w:val="24"/>
          <w:szCs w:val="24"/>
          <w:highlight w:val="none"/>
        </w:rPr>
        <w:t>组织组成，</w:t>
      </w:r>
      <w:r>
        <w:rPr>
          <w:rFonts w:hint="eastAsia" w:ascii="宋体" w:hAnsi="宋体" w:eastAsia="宋体" w:cs="宋体"/>
          <w:color w:val="auto"/>
          <w:sz w:val="24"/>
          <w:szCs w:val="24"/>
          <w:highlight w:val="none"/>
          <w:lang w:eastAsia="zh-CN"/>
        </w:rPr>
        <w:t>以一个供应商的身份共同参加政府采购的主体。</w:t>
      </w:r>
      <w:r>
        <w:rPr>
          <w:rFonts w:hint="eastAsia" w:ascii="宋体" w:hAnsi="宋体" w:eastAsia="宋体" w:cs="宋体"/>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承担连带责任。</w:t>
      </w:r>
    </w:p>
    <w:p w14:paraId="3031A899">
      <w:pPr>
        <w:keepNext w:val="0"/>
        <w:keepLines w:val="0"/>
        <w:pageBreakBefore w:val="0"/>
        <w:tabs>
          <w:tab w:val="left" w:pos="570"/>
          <w:tab w:val="left" w:pos="9240"/>
          <w:tab w:val="left" w:pos="9555"/>
        </w:tabs>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）其他术语解释</w:t>
      </w:r>
      <w:r>
        <w:rPr>
          <w:rFonts w:hint="eastAsia" w:ascii="宋体" w:hAnsi="宋体" w:eastAsia="宋体" w:cs="宋体"/>
          <w:color w:val="auto"/>
          <w:sz w:val="24"/>
          <w:szCs w:val="24"/>
          <w:highlight w:val="none"/>
          <w:lang w:eastAsia="zh-CN"/>
        </w:rPr>
        <w:t>。</w:t>
      </w:r>
    </w:p>
    <w:p w14:paraId="34FA31D1">
      <w:pPr>
        <w:keepNext w:val="0"/>
        <w:keepLines w:val="0"/>
        <w:pageBreakBefore w:val="0"/>
        <w:numPr>
          <w:ilvl w:val="0"/>
          <w:numId w:val="8"/>
        </w:numPr>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合同标的及金额</w:t>
      </w:r>
    </w:p>
    <w:p w14:paraId="53942F51">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 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中，甲方不再另行支付</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任何费用。</w:t>
      </w:r>
    </w:p>
    <w:p w14:paraId="5FEC4769">
      <w:pPr>
        <w:keepNext w:val="0"/>
        <w:keepLines w:val="0"/>
        <w:pageBreakBefore w:val="0"/>
        <w:kinsoku/>
        <w:wordWrap/>
        <w:overflowPunct/>
        <w:topLinePunct w:val="0"/>
        <w:bidi w:val="0"/>
        <w:adjustRightInd w:val="0"/>
        <w:snapToGrid w:val="0"/>
        <w:spacing w:before="0" w:line="50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履行合同的时间、地点和方式</w:t>
      </w:r>
    </w:p>
    <w:p w14:paraId="2B511EF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乙方应当在约定的时间、地点</w:t>
      </w:r>
      <w:r>
        <w:rPr>
          <w:rFonts w:hint="eastAsia" w:ascii="宋体" w:hAnsi="宋体" w:eastAsia="宋体" w:cs="宋体"/>
          <w:color w:val="auto"/>
          <w:sz w:val="24"/>
          <w:szCs w:val="24"/>
          <w:highlight w:val="none"/>
          <w:lang w:eastAsia="zh-CN"/>
        </w:rPr>
        <w:t>，按照约定</w:t>
      </w:r>
      <w:r>
        <w:rPr>
          <w:rFonts w:hint="eastAsia" w:ascii="宋体" w:hAnsi="宋体" w:eastAsia="宋体" w:cs="宋体"/>
          <w:color w:val="auto"/>
          <w:sz w:val="24"/>
          <w:szCs w:val="24"/>
          <w:highlight w:val="none"/>
        </w:rPr>
        <w:t>方式履行合同。</w:t>
      </w:r>
    </w:p>
    <w:p w14:paraId="79975C4B">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甲方的权利和义务</w:t>
      </w:r>
    </w:p>
    <w:p w14:paraId="4FB81247">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签署合同后，甲方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，负责与本合同有关的事务。甲方有权对乙方的履约行为进行检查，并及时确认乙方提交的事项。甲方应当配合乙方完成相关项目实施工作。</w:t>
      </w:r>
    </w:p>
    <w:p w14:paraId="2968A47E">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.2 甲方有权要求乙方按时提交各阶段有关安排计划，并有权定期核对乙方提供货物数量、规格、质量等内容。甲方有权督促乙方工作并要求乙方更换不符合要求的货物。</w:t>
      </w:r>
    </w:p>
    <w:p w14:paraId="501EAAF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.3 甲方有权要求乙方对缺陷部分予以修复，并按合同约定享有货物保修及其他合同约定的权利。</w:t>
      </w:r>
    </w:p>
    <w:p w14:paraId="0D00D0D6">
      <w:pPr>
        <w:keepNext w:val="0"/>
        <w:keepLines w:val="0"/>
        <w:pageBreakBefore w:val="0"/>
        <w:kinsoku/>
        <w:wordWrap/>
        <w:overflowPunct/>
        <w:topLinePunct w:val="0"/>
        <w:bidi w:val="0"/>
        <w:snapToGrid w:val="0"/>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 甲方应当按照合同约定及时对交付的货物进行验收，</w:t>
      </w:r>
      <w:r>
        <w:rPr>
          <w:rFonts w:hint="eastAsia" w:ascii="宋体" w:hAnsi="宋体" w:eastAsia="宋体" w:cs="宋体"/>
          <w:b w:val="0"/>
          <w:bCs w:val="0"/>
          <w:color w:val="auto"/>
          <w:sz w:val="24"/>
          <w:szCs w:val="24"/>
          <w:highlight w:val="none"/>
          <w:lang w:eastAsia="zh-CN"/>
        </w:rPr>
        <w:t>未</w:t>
      </w:r>
      <w:r>
        <w:rPr>
          <w:rFonts w:hint="eastAsia" w:ascii="宋体" w:hAnsi="宋体" w:eastAsia="宋体" w:cs="宋体"/>
          <w:color w:val="auto"/>
          <w:sz w:val="24"/>
          <w:szCs w:val="24"/>
          <w:highlight w:val="none"/>
          <w:lang w:val="en-US" w:eastAsia="zh-CN"/>
        </w:rPr>
        <w:t>在</w:t>
      </w:r>
      <w:r>
        <w:rPr>
          <w:rFonts w:hint="eastAsia" w:ascii="宋体" w:hAnsi="宋体" w:eastAsia="宋体" w:cs="宋体"/>
          <w:b w:val="0"/>
          <w:bCs w:val="0"/>
          <w:color w:val="auto"/>
          <w:sz w:val="24"/>
          <w:szCs w:val="24"/>
          <w:highlight w:val="none"/>
          <w:lang w:eastAsia="zh-CN"/>
        </w:rPr>
        <w:t>约定的期限内对乙方履约提出任何异议或者向乙方作出任何说明的，</w:t>
      </w:r>
      <w:r>
        <w:rPr>
          <w:rFonts w:hint="eastAsia" w:ascii="宋体" w:hAnsi="宋体" w:eastAsia="宋体" w:cs="宋体"/>
          <w:color w:val="auto"/>
          <w:sz w:val="24"/>
          <w:szCs w:val="24"/>
          <w:highlight w:val="none"/>
          <w:lang w:val="en-US" w:eastAsia="zh-CN"/>
        </w:rPr>
        <w:t>视为验收通过。</w:t>
      </w:r>
    </w:p>
    <w:p w14:paraId="336117DC">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甲方应当根据合同约定</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时向乙方支付</w:t>
      </w:r>
      <w:r>
        <w:rPr>
          <w:rFonts w:hint="eastAsia" w:ascii="宋体" w:hAnsi="宋体" w:eastAsia="宋体" w:cs="宋体"/>
          <w:color w:val="auto"/>
          <w:sz w:val="24"/>
          <w:szCs w:val="24"/>
          <w:highlight w:val="none"/>
          <w:lang w:eastAsia="zh-CN"/>
        </w:rPr>
        <w:t>合同价款，不得以内部人员变更、履行内部付款流程等为由，拒绝或迟延支付。</w:t>
      </w:r>
    </w:p>
    <w:p w14:paraId="010620F0">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国家法律法规规定</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由甲方承担的其他义务和责任。</w:t>
      </w:r>
    </w:p>
    <w:p w14:paraId="10DB0F0A">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乙方的权利和义务</w:t>
      </w:r>
    </w:p>
    <w:p w14:paraId="04F6A3E4">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.1 签署合同后，乙方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w:t>
      </w:r>
    </w:p>
    <w:p w14:paraId="13325F81">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.2 乙方应按照合同要求履约，充分合理安排，确保提供的货物</w:t>
      </w:r>
      <w:r>
        <w:rPr>
          <w:rFonts w:hint="eastAsia" w:ascii="宋体" w:hAnsi="宋体" w:eastAsia="宋体" w:cs="宋体"/>
          <w:color w:val="auto"/>
          <w:sz w:val="24"/>
          <w:szCs w:val="24"/>
          <w:highlight w:val="none"/>
          <w:lang w:eastAsia="zh-CN"/>
        </w:rPr>
        <w:t>及相关</w:t>
      </w:r>
      <w:r>
        <w:rPr>
          <w:rFonts w:hint="eastAsia" w:ascii="宋体" w:hAnsi="宋体" w:eastAsia="宋体" w:cs="宋体"/>
          <w:color w:val="auto"/>
          <w:sz w:val="24"/>
          <w:szCs w:val="24"/>
          <w:highlight w:val="none"/>
        </w:rPr>
        <w:t>服务符合合同</w:t>
      </w:r>
      <w:r>
        <w:rPr>
          <w:rFonts w:hint="eastAsia" w:ascii="宋体" w:hAnsi="宋体" w:eastAsia="宋体" w:cs="宋体"/>
          <w:color w:val="auto"/>
          <w:sz w:val="24"/>
          <w:szCs w:val="24"/>
          <w:highlight w:val="none"/>
          <w:lang w:eastAsia="zh-CN"/>
        </w:rPr>
        <w:t>有关</w:t>
      </w:r>
      <w:r>
        <w:rPr>
          <w:rFonts w:hint="eastAsia" w:ascii="宋体" w:hAnsi="宋体" w:eastAsia="宋体" w:cs="宋体"/>
          <w:color w:val="auto"/>
          <w:sz w:val="24"/>
          <w:szCs w:val="24"/>
          <w:highlight w:val="none"/>
        </w:rPr>
        <w:t>要求。接受项目行业管理部门及政府有关部门的指导，配合甲方的履约检查</w:t>
      </w:r>
      <w:r>
        <w:rPr>
          <w:rFonts w:hint="eastAsia" w:ascii="宋体" w:hAnsi="宋体" w:eastAsia="宋体" w:cs="宋体"/>
          <w:color w:val="auto"/>
          <w:sz w:val="24"/>
          <w:szCs w:val="24"/>
          <w:highlight w:val="none"/>
          <w:lang w:eastAsia="zh-CN"/>
        </w:rPr>
        <w:t>及验收</w:t>
      </w:r>
      <w:r>
        <w:rPr>
          <w:rFonts w:hint="eastAsia" w:ascii="宋体" w:hAnsi="宋体" w:eastAsia="宋体" w:cs="宋体"/>
          <w:color w:val="auto"/>
          <w:sz w:val="24"/>
          <w:szCs w:val="24"/>
          <w:highlight w:val="none"/>
        </w:rPr>
        <w:t>，并负责项目实施过程中的所有协调工作。</w:t>
      </w:r>
    </w:p>
    <w:p w14:paraId="08211A0C">
      <w:pPr>
        <w:keepNext w:val="0"/>
        <w:keepLines w:val="0"/>
        <w:pageBreakBefore w:val="0"/>
        <w:widowControl w:val="0"/>
        <w:kinsoku/>
        <w:wordWrap/>
        <w:overflowPunct/>
        <w:topLinePunct w:val="0"/>
        <w:bidi w:val="0"/>
        <w:spacing w:after="0" w:line="500" w:lineRule="exact"/>
        <w:ind w:firstLine="422" w:firstLineChars="176"/>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5.3乙方有权根据合同约定向甲方收取合同价款。</w:t>
      </w:r>
    </w:p>
    <w:p w14:paraId="4115F0CE">
      <w:pPr>
        <w:keepNext w:val="0"/>
        <w:keepLines w:val="0"/>
        <w:pageBreakBefore w:val="0"/>
        <w:widowControl w:val="0"/>
        <w:kinsoku/>
        <w:wordWrap/>
        <w:overflowPunct/>
        <w:topLinePunct w:val="0"/>
        <w:bidi w:val="0"/>
        <w:spacing w:after="0" w:line="500" w:lineRule="exact"/>
        <w:ind w:firstLine="422" w:firstLineChars="176"/>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5.4国家法律法规规定</w:t>
      </w:r>
      <w:r>
        <w:rPr>
          <w:rFonts w:hint="eastAsia" w:ascii="宋体" w:hAnsi="宋体" w:eastAsia="宋体" w:cs="宋体"/>
          <w:b w:val="0"/>
          <w:bCs w:val="0"/>
          <w:color w:val="auto"/>
          <w:kern w:val="2"/>
          <w:sz w:val="24"/>
          <w:szCs w:val="24"/>
          <w:highlight w:val="none"/>
          <w:lang w:val="en-US" w:eastAsia="zh-CN" w:bidi="ar-SA"/>
        </w:rPr>
        <w:t>应</w:t>
      </w:r>
      <w:r>
        <w:rPr>
          <w:rFonts w:hint="eastAsia" w:ascii="宋体" w:hAnsi="宋体" w:eastAsia="宋体" w:cs="宋体"/>
          <w:color w:val="auto"/>
          <w:kern w:val="2"/>
          <w:sz w:val="24"/>
          <w:szCs w:val="24"/>
          <w:highlight w:val="none"/>
          <w:lang w:val="en-US" w:eastAsia="zh-CN" w:bidi="ar-SA"/>
        </w:rPr>
        <w:t>由乙方承担的其他义务和责任。</w:t>
      </w:r>
    </w:p>
    <w:p w14:paraId="33C1FF27">
      <w:pPr>
        <w:keepNext w:val="0"/>
        <w:keepLines w:val="0"/>
        <w:pageBreakBefore w:val="0"/>
        <w:numPr>
          <w:ilvl w:val="0"/>
          <w:numId w:val="9"/>
        </w:numPr>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合同履</w:t>
      </w:r>
      <w:r>
        <w:rPr>
          <w:rFonts w:hint="eastAsia" w:ascii="宋体" w:hAnsi="宋体" w:eastAsia="宋体" w:cs="宋体"/>
          <w:b/>
          <w:bCs/>
          <w:color w:val="auto"/>
          <w:sz w:val="24"/>
          <w:szCs w:val="24"/>
          <w:highlight w:val="none"/>
          <w:lang w:val="en-US" w:eastAsia="zh-CN"/>
        </w:rPr>
        <w:t>行</w:t>
      </w:r>
    </w:p>
    <w:p w14:paraId="7AE11F4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 甲乙双方应当按照约定顺序履行合同义务；如果没有先后顺序的，应当同时履行。</w:t>
      </w:r>
    </w:p>
    <w:p w14:paraId="73ECF590">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38D1F065">
      <w:pPr>
        <w:keepNext w:val="0"/>
        <w:keepLines w:val="0"/>
        <w:pageBreakBefore w:val="0"/>
        <w:kinsoku/>
        <w:wordWrap/>
        <w:overflowPunct/>
        <w:topLinePunct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货物包装、运输</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保险</w:t>
      </w:r>
      <w:r>
        <w:rPr>
          <w:rFonts w:hint="eastAsia" w:ascii="宋体" w:hAnsi="宋体" w:eastAsia="宋体" w:cs="宋体"/>
          <w:b/>
          <w:bCs/>
          <w:color w:val="auto"/>
          <w:sz w:val="24"/>
          <w:szCs w:val="24"/>
          <w:highlight w:val="none"/>
          <w:lang w:eastAsia="zh-CN"/>
        </w:rPr>
        <w:t>和交付</w:t>
      </w:r>
      <w:r>
        <w:rPr>
          <w:rFonts w:hint="eastAsia" w:ascii="宋体" w:hAnsi="宋体" w:eastAsia="宋体" w:cs="宋体"/>
          <w:b/>
          <w:bCs/>
          <w:color w:val="auto"/>
          <w:sz w:val="24"/>
          <w:szCs w:val="24"/>
          <w:highlight w:val="none"/>
        </w:rPr>
        <w:t>要求</w:t>
      </w:r>
    </w:p>
    <w:p w14:paraId="617278EE">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.1 本合同</w:t>
      </w:r>
      <w:r>
        <w:rPr>
          <w:rFonts w:hint="eastAsia" w:ascii="宋体" w:hAnsi="宋体" w:eastAsia="宋体" w:cs="宋体"/>
          <w:bCs/>
          <w:color w:val="auto"/>
          <w:sz w:val="24"/>
          <w:szCs w:val="24"/>
          <w:highlight w:val="none"/>
        </w:rPr>
        <w:t>涉及商品包装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快递包装的，</w:t>
      </w:r>
      <w:r>
        <w:rPr>
          <w:rFonts w:hint="eastAsia" w:ascii="宋体" w:hAnsi="宋体" w:eastAsia="宋体" w:cs="宋体"/>
          <w:color w:val="auto"/>
          <w:sz w:val="24"/>
          <w:szCs w:val="24"/>
          <w:highlight w:val="none"/>
        </w:rPr>
        <w:t>除</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包装应适应远距离运输、防潮、防震、防锈和防野蛮装卸等要求，确保货物安全无损地运抵</w:t>
      </w:r>
      <w:r>
        <w:rPr>
          <w:rFonts w:hint="eastAsia" w:ascii="宋体" w:hAnsi="宋体" w:eastAsia="宋体" w:cs="宋体"/>
          <w:b w:val="0"/>
          <w:bCs/>
          <w:color w:val="auto"/>
          <w:sz w:val="24"/>
          <w:szCs w:val="24"/>
          <w:highlight w:val="none"/>
          <w:lang w:eastAsia="zh-CN"/>
        </w:rPr>
        <w:t>约定的</w:t>
      </w:r>
      <w:r>
        <w:rPr>
          <w:rFonts w:hint="eastAsia" w:ascii="宋体" w:hAnsi="宋体" w:eastAsia="宋体" w:cs="宋体"/>
          <w:color w:val="auto"/>
          <w:sz w:val="24"/>
          <w:szCs w:val="24"/>
          <w:highlight w:val="none"/>
        </w:rPr>
        <w:t>指定现场。</w:t>
      </w:r>
    </w:p>
    <w:p w14:paraId="3FFB1A5A">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.2 乙方负责办理将货物运抵本合同规定的交货地点</w:t>
      </w:r>
      <w:r>
        <w:rPr>
          <w:rFonts w:hint="eastAsia" w:ascii="宋体" w:hAnsi="宋体" w:eastAsia="宋体" w:cs="宋体"/>
          <w:color w:val="auto"/>
          <w:sz w:val="24"/>
          <w:szCs w:val="24"/>
          <w:highlight w:val="none"/>
          <w:lang w:eastAsia="zh-CN"/>
        </w:rPr>
        <w:t>，并装卸、交付至甲方</w:t>
      </w:r>
      <w:r>
        <w:rPr>
          <w:rFonts w:hint="eastAsia" w:ascii="宋体" w:hAnsi="宋体" w:eastAsia="宋体" w:cs="宋体"/>
          <w:color w:val="auto"/>
          <w:sz w:val="24"/>
          <w:szCs w:val="24"/>
          <w:highlight w:val="none"/>
        </w:rPr>
        <w:t>的一切运输事项，相关费用应</w:t>
      </w:r>
      <w:r>
        <w:rPr>
          <w:rFonts w:hint="eastAsia" w:ascii="宋体" w:hAnsi="宋体" w:eastAsia="宋体" w:cs="宋体"/>
          <w:color w:val="auto"/>
          <w:sz w:val="24"/>
          <w:szCs w:val="24"/>
          <w:highlight w:val="none"/>
          <w:lang w:eastAsia="zh-CN"/>
        </w:rPr>
        <w:t>包含</w:t>
      </w:r>
      <w:r>
        <w:rPr>
          <w:rFonts w:hint="eastAsia" w:ascii="宋体" w:hAnsi="宋体" w:eastAsia="宋体" w:cs="宋体"/>
          <w:color w:val="auto"/>
          <w:sz w:val="24"/>
          <w:szCs w:val="24"/>
          <w:highlight w:val="none"/>
        </w:rPr>
        <w:t>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w:t>
      </w:r>
    </w:p>
    <w:p w14:paraId="4F7544C7">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.3 货物保险要求按</w:t>
      </w:r>
      <w:r>
        <w:rPr>
          <w:rFonts w:hint="eastAsia" w:ascii="宋体" w:hAnsi="宋体" w:eastAsia="宋体" w:cs="宋体"/>
          <w:bCs/>
          <w:color w:val="auto"/>
          <w:sz w:val="24"/>
          <w:szCs w:val="24"/>
          <w:highlight w:val="none"/>
        </w:rPr>
        <w:t>规定执行</w:t>
      </w:r>
      <w:r>
        <w:rPr>
          <w:rFonts w:hint="eastAsia" w:ascii="宋体" w:hAnsi="宋体" w:eastAsia="宋体" w:cs="宋体"/>
          <w:color w:val="auto"/>
          <w:sz w:val="24"/>
          <w:szCs w:val="24"/>
          <w:highlight w:val="none"/>
        </w:rPr>
        <w:t>。</w:t>
      </w:r>
    </w:p>
    <w:p w14:paraId="77EEAC57">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en-US" w:eastAsia="zh-CN"/>
        </w:rPr>
        <w:t>除采购活动</w:t>
      </w:r>
      <w:r>
        <w:rPr>
          <w:rFonts w:hint="eastAsia" w:ascii="宋体" w:hAnsi="宋体" w:eastAsia="宋体" w:cs="宋体"/>
          <w:color w:val="auto"/>
          <w:sz w:val="24"/>
          <w:szCs w:val="24"/>
          <w:highlight w:val="none"/>
        </w:rPr>
        <w:t>对商品包装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w:t>
      </w:r>
      <w:r>
        <w:rPr>
          <w:rFonts w:hint="eastAsia" w:ascii="宋体" w:hAnsi="宋体" w:eastAsia="宋体" w:cs="宋体"/>
          <w:color w:val="auto"/>
          <w:sz w:val="24"/>
          <w:szCs w:val="24"/>
          <w:highlight w:val="none"/>
          <w:lang w:val="en-US" w:eastAsia="zh-CN"/>
        </w:rPr>
        <w:t>达成具体约定外</w:t>
      </w:r>
      <w:r>
        <w:rPr>
          <w:rFonts w:hint="eastAsia" w:ascii="宋体" w:hAnsi="宋体" w:eastAsia="宋体" w:cs="宋体"/>
          <w:color w:val="auto"/>
          <w:sz w:val="24"/>
          <w:szCs w:val="24"/>
          <w:highlight w:val="none"/>
        </w:rPr>
        <w:t>，乙方提供产品及相关快递服务</w:t>
      </w:r>
      <w:r>
        <w:rPr>
          <w:rFonts w:hint="eastAsia" w:ascii="宋体" w:hAnsi="宋体" w:eastAsia="宋体" w:cs="宋体"/>
          <w:color w:val="auto"/>
          <w:sz w:val="24"/>
          <w:szCs w:val="24"/>
          <w:highlight w:val="none"/>
          <w:lang w:val="en-US" w:eastAsia="zh-CN"/>
        </w:rPr>
        <w:t>涉及到</w:t>
      </w:r>
      <w:r>
        <w:rPr>
          <w:rFonts w:hint="eastAsia" w:ascii="宋体" w:hAnsi="宋体" w:eastAsia="宋体" w:cs="宋体"/>
          <w:color w:val="auto"/>
          <w:sz w:val="24"/>
          <w:szCs w:val="24"/>
          <w:highlight w:val="none"/>
        </w:rPr>
        <w:t>具体包装要求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不低于</w:t>
      </w:r>
      <w:r>
        <w:rPr>
          <w:rFonts w:hint="eastAsia" w:ascii="宋体" w:hAnsi="宋体" w:eastAsia="宋体" w:cs="宋体"/>
          <w:color w:val="auto"/>
          <w:sz w:val="24"/>
          <w:szCs w:val="24"/>
          <w:highlight w:val="none"/>
        </w:rPr>
        <w:t>《商品包装政府采购需求标准（试行）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，并作为履约验收的内容，必要时甲方可以要求乙方在履约验收环节出具检测报告。</w:t>
      </w:r>
    </w:p>
    <w:p w14:paraId="144C41FF">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 </w:t>
      </w:r>
      <w:r>
        <w:rPr>
          <w:rFonts w:hint="eastAsia" w:ascii="宋体" w:hAnsi="宋体" w:eastAsia="宋体" w:cs="宋体"/>
          <w:color w:val="auto"/>
          <w:sz w:val="24"/>
          <w:szCs w:val="24"/>
          <w:highlight w:val="none"/>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乙方承担责任。</w:t>
      </w:r>
    </w:p>
    <w:p w14:paraId="1FEE954C">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 </w:t>
      </w:r>
      <w:r>
        <w:rPr>
          <w:rFonts w:hint="eastAsia" w:ascii="宋体" w:hAnsi="宋体" w:eastAsia="宋体" w:cs="宋体"/>
          <w:color w:val="auto"/>
          <w:sz w:val="24"/>
          <w:szCs w:val="24"/>
          <w:highlight w:val="none"/>
        </w:rPr>
        <w:t>包装物处理：不回收。</w:t>
      </w:r>
    </w:p>
    <w:p w14:paraId="372AB4E8">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7.7 </w:t>
      </w:r>
      <w:r>
        <w:rPr>
          <w:rFonts w:hint="eastAsia" w:ascii="宋体" w:hAnsi="宋体" w:eastAsia="宋体" w:cs="宋体"/>
          <w:color w:val="auto"/>
          <w:sz w:val="24"/>
          <w:szCs w:val="24"/>
          <w:highlight w:val="none"/>
        </w:rPr>
        <w:t>乙方在运输到达之前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提前通知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，提示货物运输装卸的注意事项</w:t>
      </w:r>
      <w:r>
        <w:rPr>
          <w:rFonts w:hint="eastAsia" w:ascii="宋体" w:hAnsi="宋体" w:eastAsia="宋体" w:cs="宋体"/>
          <w:color w:val="auto"/>
          <w:sz w:val="24"/>
          <w:szCs w:val="24"/>
          <w:highlight w:val="none"/>
          <w:lang w:val="en-US" w:eastAsia="zh-CN"/>
        </w:rPr>
        <w:t>并无偿提供合同内全部货物的中文使用说明书，说明书包括产品的功能、使用方法、技术参数、常见问题解决办法及产品序列号、型号、版本号以及配合使用的主要设备品牌、型号和版本等信息</w:t>
      </w:r>
      <w:r>
        <w:rPr>
          <w:rFonts w:hint="eastAsia" w:ascii="宋体" w:hAnsi="宋体" w:eastAsia="宋体" w:cs="宋体"/>
          <w:color w:val="auto"/>
          <w:sz w:val="24"/>
          <w:szCs w:val="24"/>
          <w:highlight w:val="none"/>
          <w:lang w:eastAsia="zh-CN"/>
        </w:rPr>
        <w:t>，甲方配合乙方做好货物的接收工作。</w:t>
      </w:r>
    </w:p>
    <w:p w14:paraId="5147B434">
      <w:pPr>
        <w:keepNext w:val="0"/>
        <w:keepLines w:val="0"/>
        <w:pageBreakBefore w:val="0"/>
        <w:kinsoku/>
        <w:wordWrap/>
        <w:overflowPunct/>
        <w:topLinePunct w:val="0"/>
        <w:autoSpaceDE w:val="0"/>
        <w:autoSpaceDN w:val="0"/>
        <w:bidi w:val="0"/>
        <w:adjustRightInd w:val="0"/>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7.8 如因包装、运输问题导致货物损毁、丢失或者品质下降，甲方有权要求降价、换货、拒收部分或整批货物，由此产生的费用和损失，均由乙方承担。</w:t>
      </w:r>
    </w:p>
    <w:p w14:paraId="41999783">
      <w:pPr>
        <w:keepNext w:val="0"/>
        <w:keepLines w:val="0"/>
        <w:pageBreakBefore w:val="0"/>
        <w:kinsoku/>
        <w:wordWrap/>
        <w:overflowPunct/>
        <w:topLinePunct w:val="0"/>
        <w:bidi w:val="0"/>
        <w:adjustRightInd w:val="0"/>
        <w:snapToGrid w:val="0"/>
        <w:spacing w:before="0" w:line="50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8</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质量标准和保证</w:t>
      </w:r>
    </w:p>
    <w:p w14:paraId="5954522F">
      <w:pPr>
        <w:keepNext w:val="0"/>
        <w:keepLines w:val="0"/>
        <w:pageBreakBefore w:val="0"/>
        <w:widowControl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8.1 质量标准</w:t>
      </w:r>
    </w:p>
    <w:p w14:paraId="55D7F667">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合同约</w:t>
      </w:r>
      <w:r>
        <w:rPr>
          <w:rFonts w:hint="eastAsia" w:ascii="宋体" w:hAnsi="宋体" w:eastAsia="宋体" w:cs="宋体"/>
          <w:color w:val="auto"/>
          <w:sz w:val="24"/>
          <w:szCs w:val="24"/>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2CBDDFB1">
      <w:pPr>
        <w:keepNext w:val="0"/>
        <w:keepLines w:val="0"/>
        <w:pageBreakBefore w:val="0"/>
        <w:widowControl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（2）采用中华人民共和国法定计量单位。</w:t>
      </w:r>
    </w:p>
    <w:p w14:paraId="0B5D0B71">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6E27F5C3">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38A7F9F8">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5F134440">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备合同约定</w:t>
      </w:r>
      <w:r>
        <w:rPr>
          <w:rFonts w:hint="eastAsia" w:ascii="宋体" w:hAnsi="宋体" w:eastAsia="宋体" w:cs="宋体"/>
          <w:color w:val="auto"/>
          <w:sz w:val="24"/>
          <w:szCs w:val="24"/>
          <w:highlight w:val="none"/>
        </w:rPr>
        <w:t>的性能。</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498B9115">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24D06EC2">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应在规定的响应时间内以合理的速度免费维修或更换有缺陷的货物或部件。</w:t>
      </w:r>
    </w:p>
    <w:p w14:paraId="42815D51">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auto"/>
          <w:sz w:val="24"/>
          <w:szCs w:val="24"/>
          <w:highlight w:val="none"/>
          <w:lang w:eastAsia="zh-CN"/>
        </w:rPr>
        <w:t>追究</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的违约责任</w:t>
      </w:r>
      <w:r>
        <w:rPr>
          <w:rFonts w:hint="eastAsia" w:ascii="宋体" w:hAnsi="宋体" w:eastAsia="宋体" w:cs="宋体"/>
          <w:color w:val="auto"/>
          <w:sz w:val="24"/>
          <w:szCs w:val="24"/>
          <w:highlight w:val="none"/>
        </w:rPr>
        <w:t>。</w:t>
      </w:r>
    </w:p>
    <w:p w14:paraId="270FAA28">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462D2B2A">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在装备质保期内，乙方应当对由于设计、工艺、材料和配件的缺陷所产生的不足或故障负责，并承担由此给甲方造成的相应损失。</w:t>
      </w:r>
    </w:p>
    <w:p w14:paraId="654EB574">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验收时，如发现乙方提供的装备或配件等不符合合同约定或有缺陷时，甲方应以书面形式通知乙方，提出索赔，乙方应当在约定的时间内予以更换，并按违约的相关约定向买方给予赔偿，更换的新产品质保期相应顺延；质保期内，如装备或配件发生质量问题时，按售后服务的约定执行。</w:t>
      </w:r>
    </w:p>
    <w:p w14:paraId="0FC1DBF1">
      <w:pPr>
        <w:keepNext w:val="0"/>
        <w:keepLines w:val="0"/>
        <w:pageBreakBefore w:val="0"/>
        <w:kinsoku/>
        <w:wordWrap/>
        <w:overflowPunct/>
        <w:topLinePunct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权利瑕疵担保</w:t>
      </w:r>
    </w:p>
    <w:p w14:paraId="02702009">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.1 乙方保证对其出售的货物享有合法的权利。</w:t>
      </w:r>
    </w:p>
    <w:p w14:paraId="0D515B53">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.2 乙方保证在交付的货物上不存在抵押权等担保物权。</w:t>
      </w:r>
    </w:p>
    <w:p w14:paraId="2B1184F5">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.3 如甲方使用</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货物构成</w:t>
      </w:r>
      <w:r>
        <w:rPr>
          <w:rFonts w:hint="eastAsia" w:ascii="宋体" w:hAnsi="宋体" w:eastAsia="宋体" w:cs="宋体"/>
          <w:color w:val="auto"/>
          <w:sz w:val="24"/>
          <w:szCs w:val="24"/>
          <w:highlight w:val="none"/>
          <w:lang w:val="en-US" w:eastAsia="zh-CN"/>
        </w:rPr>
        <w:t>对第三人</w:t>
      </w:r>
      <w:r>
        <w:rPr>
          <w:rFonts w:hint="eastAsia" w:ascii="宋体" w:hAnsi="宋体" w:eastAsia="宋体" w:cs="宋体"/>
          <w:color w:val="auto"/>
          <w:sz w:val="24"/>
          <w:szCs w:val="24"/>
          <w:highlight w:val="none"/>
        </w:rPr>
        <w:t>侵权的，则由乙方承担全部责任。</w:t>
      </w:r>
    </w:p>
    <w:p w14:paraId="3C8955F3">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0</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知识产权保护</w:t>
      </w:r>
    </w:p>
    <w:p w14:paraId="513BD2F4">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7B1B02C7">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保密义务</w:t>
      </w:r>
    </w:p>
    <w:p w14:paraId="02E691C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甲、乙双方</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rPr>
        <w:t>采购和合同履行过程中所获悉的</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商业秘密或者其他应当保密的信息，均有保密义务</w:t>
      </w:r>
      <w:r>
        <w:rPr>
          <w:rFonts w:hint="eastAsia" w:ascii="宋体" w:hAnsi="宋体" w:eastAsia="宋体" w:cs="宋体"/>
          <w:color w:val="auto"/>
          <w:sz w:val="24"/>
          <w:szCs w:val="24"/>
          <w:highlight w:val="none"/>
          <w:lang w:eastAsia="zh-CN"/>
        </w:rPr>
        <w:t>且不受合同有效期所限，直至该信息成为公开信息</w:t>
      </w:r>
      <w:r>
        <w:rPr>
          <w:rFonts w:hint="eastAsia" w:ascii="宋体" w:hAnsi="宋体" w:eastAsia="宋体" w:cs="宋体"/>
          <w:color w:val="auto"/>
          <w:sz w:val="24"/>
          <w:szCs w:val="24"/>
          <w:highlight w:val="none"/>
        </w:rPr>
        <w:t>。泄露、不正当地使用</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w:t>
      </w:r>
      <w:r>
        <w:rPr>
          <w:rFonts w:hint="eastAsia" w:ascii="宋体" w:hAnsi="宋体" w:eastAsia="宋体" w:cs="宋体"/>
          <w:color w:val="auto"/>
          <w:sz w:val="24"/>
          <w:szCs w:val="24"/>
          <w:highlight w:val="none"/>
          <w:lang w:eastAsia="zh-CN"/>
        </w:rPr>
        <w:t>其他应当保密的</w:t>
      </w:r>
      <w:r>
        <w:rPr>
          <w:rFonts w:hint="eastAsia" w:ascii="宋体" w:hAnsi="宋体" w:eastAsia="宋体" w:cs="宋体"/>
          <w:color w:val="auto"/>
          <w:sz w:val="24"/>
          <w:szCs w:val="24"/>
          <w:highlight w:val="none"/>
        </w:rPr>
        <w:t>信息，应当承担</w:t>
      </w:r>
      <w:r>
        <w:rPr>
          <w:rFonts w:hint="eastAsia" w:ascii="宋体" w:hAnsi="宋体" w:eastAsia="宋体" w:cs="宋体"/>
          <w:color w:val="auto"/>
          <w:sz w:val="24"/>
          <w:szCs w:val="24"/>
          <w:highlight w:val="none"/>
          <w:lang w:eastAsia="zh-CN"/>
        </w:rPr>
        <w:t>相应</w:t>
      </w:r>
      <w:r>
        <w:rPr>
          <w:rFonts w:hint="eastAsia" w:ascii="宋体" w:hAnsi="宋体" w:eastAsia="宋体" w:cs="宋体"/>
          <w:color w:val="auto"/>
          <w:sz w:val="24"/>
          <w:szCs w:val="24"/>
          <w:highlight w:val="none"/>
        </w:rPr>
        <w:t>责任。</w:t>
      </w:r>
    </w:p>
    <w:p w14:paraId="1902143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 乙方违反保密义务，除本合同另有约定外，应按照本合同总价款的5%向买方（甲方）支付违约金。</w:t>
      </w:r>
    </w:p>
    <w:p w14:paraId="3BA86A67">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合同价款支付</w:t>
      </w:r>
    </w:p>
    <w:p w14:paraId="3DD87754">
      <w:pPr>
        <w:keepNext w:val="0"/>
        <w:keepLines w:val="0"/>
        <w:pageBreakBefore w:val="0"/>
        <w:kinsoku/>
        <w:wordWrap/>
        <w:overflowPunct/>
        <w:topLinePunct w:val="0"/>
        <w:autoSpaceDE/>
        <w:autoSpaceDN/>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0CC178F2">
      <w:pPr>
        <w:keepNext w:val="0"/>
        <w:keepLines w:val="0"/>
        <w:pageBreakBefore w:val="0"/>
        <w:widowControl w:val="0"/>
        <w:kinsoku/>
        <w:wordWrap/>
        <w:overflowPunct/>
        <w:topLinePunct w:val="0"/>
        <w:bidi w:val="0"/>
        <w:spacing w:after="0" w:line="50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kern w:val="2"/>
          <w:sz w:val="24"/>
          <w:szCs w:val="24"/>
          <w:highlight w:val="none"/>
          <w:lang w:val="en-US" w:eastAsia="zh-CN" w:bidi="ar-SA"/>
        </w:rPr>
        <w:t>12.2</w:t>
      </w:r>
      <w:r>
        <w:rPr>
          <w:rFonts w:hint="eastAsia" w:ascii="宋体" w:hAnsi="宋体" w:eastAsia="宋体" w:cs="宋体"/>
          <w:color w:val="auto"/>
          <w:sz w:val="24"/>
          <w:szCs w:val="24"/>
          <w:highlight w:val="none"/>
          <w:lang w:val="en-US" w:eastAsia="zh-CN"/>
        </w:rPr>
        <w:t xml:space="preserve"> 合同签订后支付合同价款50%，中标单位按合同约定交付全部产品、安装调试完毕，验收合格并经过结算审计后30日内，采购人按验收报告、双方认定的结算审计金额、合同相关条款支付剩余货款；如结算审计有审减，按照结算审计结果支付货款；如验收不合格、未完成安装调试，参照违约责任执行。</w:t>
      </w:r>
      <w:r>
        <w:rPr>
          <w:rFonts w:hint="eastAsia" w:ascii="宋体" w:hAnsi="宋体" w:eastAsia="宋体" w:cs="宋体"/>
          <w:color w:val="auto"/>
          <w:sz w:val="24"/>
          <w:szCs w:val="24"/>
          <w:highlight w:val="none"/>
          <w:lang w:eastAsia="zh-CN"/>
        </w:rPr>
        <w:t xml:space="preserve"> </w:t>
      </w:r>
    </w:p>
    <w:p w14:paraId="7FE3A731">
      <w:pPr>
        <w:keepNext w:val="0"/>
        <w:keepLines w:val="0"/>
        <w:pageBreakBefore w:val="0"/>
        <w:widowControl w:val="0"/>
        <w:kinsoku/>
        <w:wordWrap/>
        <w:overflowPunct/>
        <w:topLinePunct w:val="0"/>
        <w:bidi w:val="0"/>
        <w:spacing w:after="0" w:line="500" w:lineRule="exact"/>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13. 履约保证金</w:t>
      </w:r>
    </w:p>
    <w:p w14:paraId="007FCF98">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乙方应当以支票、汇票、本票或者金融机构、担保机构出具的保函等非现金形式提交。</w:t>
      </w:r>
    </w:p>
    <w:p w14:paraId="67F37738">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color w:val="auto"/>
          <w:sz w:val="24"/>
          <w:szCs w:val="24"/>
          <w:highlight w:val="none"/>
          <w:lang w:val="en-US" w:eastAsia="zh-CN"/>
        </w:rPr>
        <w:t>本合同第</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条</w:t>
      </w:r>
      <w:r>
        <w:rPr>
          <w:rFonts w:hint="eastAsia" w:ascii="宋体" w:hAnsi="宋体" w:eastAsia="宋体" w:cs="宋体"/>
          <w:color w:val="auto"/>
          <w:sz w:val="24"/>
          <w:szCs w:val="24"/>
          <w:highlight w:val="none"/>
        </w:rPr>
        <w:t>违约责任</w:t>
      </w:r>
      <w:r>
        <w:rPr>
          <w:rFonts w:hint="eastAsia" w:ascii="宋体" w:hAnsi="宋体" w:eastAsia="宋体" w:cs="宋体"/>
          <w:b w:val="0"/>
          <w:bCs w:val="0"/>
          <w:color w:val="auto"/>
          <w:sz w:val="24"/>
          <w:szCs w:val="24"/>
          <w:highlight w:val="none"/>
          <w:lang w:eastAsia="zh-CN"/>
        </w:rPr>
        <w:t>约定情形的，</w:t>
      </w:r>
      <w:r>
        <w:rPr>
          <w:rFonts w:hint="eastAsia" w:ascii="宋体" w:hAnsi="宋体" w:eastAsia="宋体" w:cs="宋体"/>
          <w:color w:val="auto"/>
          <w:sz w:val="24"/>
          <w:szCs w:val="24"/>
          <w:highlight w:val="none"/>
        </w:rPr>
        <w:t>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4C7F942F">
      <w:pPr>
        <w:keepNext w:val="0"/>
        <w:keepLines w:val="0"/>
        <w:pageBreakBefore w:val="0"/>
        <w:kinsoku/>
        <w:wordWrap/>
        <w:overflowPunct/>
        <w:topLinePunct w:val="0"/>
        <w:bidi w:val="0"/>
        <w:spacing w:line="50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甲方在项目通过验收后按照规定的时间内将履约保证金退还乙方；逾期退还的，乙方可要求甲方支付违约金，违约金按照规定支付。</w:t>
      </w:r>
    </w:p>
    <w:p w14:paraId="0512B04A">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w:t>
      </w:r>
    </w:p>
    <w:p w14:paraId="41819CF4">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5ECA6357">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40A65AEE">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5273025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2DF2A475">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color w:val="auto"/>
          <w:sz w:val="24"/>
          <w:szCs w:val="24"/>
          <w:highlight w:val="none"/>
          <w:lang w:eastAsia="zh-CN"/>
        </w:rPr>
        <w:t>；</w:t>
      </w:r>
    </w:p>
    <w:p w14:paraId="29CFC5C1">
      <w:pPr>
        <w:keepNext w:val="0"/>
        <w:keepLines w:val="0"/>
        <w:pageBreakBefore w:val="0"/>
        <w:kinsoku/>
        <w:wordWrap/>
        <w:overflowPunct/>
        <w:topLinePunct w:val="0"/>
        <w:autoSpaceDE w:val="0"/>
        <w:autoSpaceDN w:val="0"/>
        <w:bidi w:val="0"/>
        <w:adjustRightInd w:val="0"/>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（5）依照法律、行政法规的规定或者按照约定，货物在有效使用年限届满后应予回收的，乙方负有自行或者委托第三人对货物予以回收的义务；</w:t>
      </w:r>
    </w:p>
    <w:p w14:paraId="3BAC2EAB">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）规定由乙方提供的其他服务。</w:t>
      </w:r>
    </w:p>
    <w:p w14:paraId="3A5DCF56">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1ECD8E86">
      <w:pPr>
        <w:keepNext w:val="0"/>
        <w:keepLines w:val="0"/>
        <w:pageBreakBefore w:val="0"/>
        <w:kinsoku/>
        <w:wordWrap/>
        <w:overflowPunct/>
        <w:topLinePunct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违约责任</w:t>
      </w:r>
    </w:p>
    <w:p w14:paraId="235DE1D3">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74F18F3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4D2247A9">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053F4F47">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6370DDB9">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en-US" w:eastAsia="zh-CN"/>
        </w:rPr>
        <w:t>且</w:t>
      </w:r>
      <w:r>
        <w:rPr>
          <w:rFonts w:hint="eastAsia" w:ascii="宋体" w:hAnsi="宋体" w:eastAsia="宋体" w:cs="宋体"/>
          <w:color w:val="auto"/>
          <w:sz w:val="24"/>
          <w:szCs w:val="24"/>
          <w:highlight w:val="none"/>
        </w:rPr>
        <w:t>延迟交货未取得甲方书面同意的，每延迟一天按合同总价的1 ‰扣除履约保证金；延迟超过15日，甲方有权单方解除合同，扣除全部履约保证金，还应当承担合同总额30%的违约金，造成甲方损失的，乙方还应当赔偿。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7CFD4496">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乙方所发货品规格、型号、质量等不符合合同约定的，甲方有权单方解除合同，拒绝收货和付款，扣除履约保证金，并由乙方承担合同总额30%的违约金，由此所发生的一切费用、损失（包括给双方造成的经济损失），均由乙方负责。</w:t>
      </w:r>
    </w:p>
    <w:p w14:paraId="5D6A60A5">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）合同生效后，乙方中途解除合同（不可抗力原因除外），应按给甲方造成的损失向甲方支付赔偿金，甲方有权扣除履约保证金，并由乙方向甲方支付合同总金额30%的违约金。</w:t>
      </w:r>
    </w:p>
    <w:p w14:paraId="43BF0B12">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）乙方违约，还应赔偿甲方因此遭受的其他损失，包括为主张权益所支付的律师费、交通费、公证费、鉴定费、评估费、差旅费等全部费用。</w:t>
      </w:r>
    </w:p>
    <w:p w14:paraId="6FDF7706">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）乙方违约的，甲方有权将相应违约金、赔偿金从履约保证金及应给乙方支付的货款中直接予以扣除。</w:t>
      </w:r>
    </w:p>
    <w:p w14:paraId="6A678F3B">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乙方违反保密义务或违反禁止转让、分包合同义务或违反本合同其他约定的，除本合同另有约定外，应按照本合同总价款的5%向甲方支付违约金。</w:t>
      </w:r>
    </w:p>
    <w:p w14:paraId="4B70A786">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迟延支付的违约责任</w:t>
      </w:r>
    </w:p>
    <w:p w14:paraId="56E01866">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买方接收经验收合格的车辆后而未能按合同约定时间付款的，推迟付款时间超过30天时，每超过一天按合同总价的1‰向对方支付违约金。</w:t>
      </w:r>
    </w:p>
    <w:p w14:paraId="276A6B06">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任意一方如提出增减合同数量，变动交货的，应提前通知对方，并征得对方同意，否则应承担与之相关的经济责任。</w:t>
      </w:r>
    </w:p>
    <w:p w14:paraId="1AB7E2F2">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卖方违反保密义务或违反禁止转让、分包合同义务或违反本合同其他约定的，除本合同另有约定外，应按照本合同总价款的5%向买方支付违约金。</w:t>
      </w:r>
    </w:p>
    <w:p w14:paraId="63251B2E">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卖方提供车辆不符合约定或违反本协议其他约定，给买方造成损失的，应赔偿买方的全部损失，包括但不限于直接损失、间接损失、买方为处理违约事件支出的律师费、诉讼费、评估费、鉴定费等。</w:t>
      </w:r>
    </w:p>
    <w:p w14:paraId="10B7C74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本合同所称违约金可以累积计算。</w:t>
      </w:r>
    </w:p>
    <w:p w14:paraId="406128C5">
      <w:pPr>
        <w:keepNext w:val="0"/>
        <w:keepLines w:val="0"/>
        <w:pageBreakBefore w:val="0"/>
        <w:numPr>
          <w:ilvl w:val="0"/>
          <w:numId w:val="10"/>
        </w:numPr>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w:t>
      </w:r>
      <w:r>
        <w:rPr>
          <w:rFonts w:hint="eastAsia" w:ascii="宋体" w:hAnsi="宋体" w:eastAsia="宋体" w:cs="宋体"/>
          <w:b/>
          <w:color w:val="auto"/>
          <w:sz w:val="24"/>
          <w:szCs w:val="24"/>
          <w:highlight w:val="none"/>
          <w:lang w:eastAsia="zh-CN"/>
        </w:rPr>
        <w:t>、中止与终止</w:t>
      </w:r>
    </w:p>
    <w:p w14:paraId="5A8D4533">
      <w:pPr>
        <w:keepNext w:val="0"/>
        <w:keepLines w:val="0"/>
        <w:pageBreakBefore w:val="0"/>
        <w:kinsoku/>
        <w:wordWrap/>
        <w:overflowPunct/>
        <w:topLinePunct w:val="0"/>
        <w:autoSpaceDE/>
        <w:autoSpaceDN/>
        <w:bidi w:val="0"/>
        <w:adjustRightInd w:val="0"/>
        <w:snapToGrid w:val="0"/>
        <w:spacing w:before="0" w:line="500" w:lineRule="exact"/>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0862873D">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2C8D2E05">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合同的中止</w:t>
      </w:r>
    </w:p>
    <w:p w14:paraId="728DC0B6">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中止合同的履行。</w:t>
      </w:r>
    </w:p>
    <w:p w14:paraId="2B4CB174">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合同履行过程中，</w:t>
      </w:r>
      <w:r>
        <w:rPr>
          <w:rFonts w:hint="eastAsia" w:ascii="宋体" w:hAnsi="宋体" w:eastAsia="宋体" w:cs="宋体"/>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，乙方有义务及时告知甲方</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以书面形式通知乙方中止合同</w:t>
      </w:r>
      <w:r>
        <w:rPr>
          <w:rFonts w:hint="eastAsia" w:ascii="宋体" w:hAnsi="宋体" w:eastAsia="宋体" w:cs="宋体"/>
          <w:color w:val="auto"/>
          <w:sz w:val="24"/>
          <w:szCs w:val="24"/>
          <w:highlight w:val="none"/>
          <w:lang w:eastAsia="zh-CN"/>
        </w:rPr>
        <w:t>并要求乙方在合理期限内消除相关情形或者提供适当担保。</w:t>
      </w:r>
      <w:r>
        <w:rPr>
          <w:rFonts w:hint="eastAsia" w:ascii="宋体" w:hAnsi="宋体" w:eastAsia="宋体" w:cs="宋体"/>
          <w:color w:val="auto"/>
          <w:sz w:val="24"/>
          <w:szCs w:val="24"/>
          <w:highlight w:val="none"/>
        </w:rPr>
        <w:t>乙方提供适当担保的，</w:t>
      </w:r>
      <w:r>
        <w:rPr>
          <w:rFonts w:hint="eastAsia" w:ascii="宋体" w:hAnsi="宋体" w:eastAsia="宋体" w:cs="宋体"/>
          <w:color w:val="auto"/>
          <w:sz w:val="24"/>
          <w:szCs w:val="24"/>
          <w:highlight w:val="none"/>
          <w:lang w:eastAsia="zh-CN"/>
        </w:rPr>
        <w:t>合同继续</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方在合理期限内未恢复履约能力且未提供适当担保的，视为拒绝</w:t>
      </w:r>
      <w:r>
        <w:rPr>
          <w:rFonts w:hint="eastAsia" w:ascii="宋体" w:hAnsi="宋体" w:eastAsia="宋体" w:cs="宋体"/>
          <w:color w:val="auto"/>
          <w:sz w:val="24"/>
          <w:szCs w:val="24"/>
          <w:highlight w:val="none"/>
          <w:lang w:eastAsia="zh-CN"/>
        </w:rPr>
        <w:t>继续</w:t>
      </w:r>
      <w:r>
        <w:rPr>
          <w:rFonts w:hint="eastAsia" w:ascii="宋体" w:hAnsi="宋体" w:eastAsia="宋体" w:cs="宋体"/>
          <w:color w:val="auto"/>
          <w:sz w:val="24"/>
          <w:szCs w:val="24"/>
          <w:highlight w:val="none"/>
        </w:rPr>
        <w:t>履约，甲方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解除合同并要求乙方承担</w:t>
      </w:r>
      <w:r>
        <w:rPr>
          <w:rFonts w:hint="eastAsia" w:ascii="宋体" w:hAnsi="宋体" w:eastAsia="宋体" w:cs="宋体"/>
          <w:color w:val="auto"/>
          <w:sz w:val="24"/>
          <w:szCs w:val="24"/>
          <w:highlight w:val="none"/>
          <w:lang w:eastAsia="zh-CN"/>
        </w:rPr>
        <w:t>由此给甲方造成的损失</w:t>
      </w:r>
      <w:r>
        <w:rPr>
          <w:rFonts w:hint="eastAsia" w:ascii="宋体" w:hAnsi="宋体" w:eastAsia="宋体" w:cs="宋体"/>
          <w:color w:val="auto"/>
          <w:sz w:val="24"/>
          <w:szCs w:val="24"/>
          <w:highlight w:val="none"/>
        </w:rPr>
        <w:t>。</w:t>
      </w:r>
    </w:p>
    <w:p w14:paraId="7CBE75C5">
      <w:pPr>
        <w:keepNext w:val="0"/>
        <w:keepLines w:val="0"/>
        <w:pageBreakBefore w:val="0"/>
        <w:kinsoku/>
        <w:wordWrap/>
        <w:overflowPunct/>
        <w:topLinePunct w:val="0"/>
        <w:autoSpaceDE w:val="0"/>
        <w:autoSpaceDN w:val="0"/>
        <w:bidi w:val="0"/>
        <w:adjustRightInd w:val="0"/>
        <w:spacing w:line="50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50DDA420">
      <w:pPr>
        <w:keepNext w:val="0"/>
        <w:keepLines w:val="0"/>
        <w:pageBreakBefore w:val="0"/>
        <w:kinsoku/>
        <w:wordWrap/>
        <w:overflowPunct/>
        <w:topLinePunct w:val="0"/>
        <w:bidi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）甲方不得以行政区划调整、政府换届、机构或者职能调整以及相关责任人更替为由中止合同。</w:t>
      </w:r>
    </w:p>
    <w:p w14:paraId="25193E09">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合同的终止</w:t>
      </w:r>
    </w:p>
    <w:p w14:paraId="794DD1DB">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43077A8F">
      <w:pPr>
        <w:keepNext w:val="0"/>
        <w:keepLines w:val="0"/>
        <w:pageBreakBefore w:val="0"/>
        <w:kinsoku/>
        <w:wordWrap/>
        <w:overflowPunct/>
        <w:topLinePunct w:val="0"/>
        <w:bidi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（2）乙方未</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合同约定履行，构成根本性违约的，甲方有权终止合同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并追究乙方的违约责</w:t>
      </w:r>
      <w:r>
        <w:rPr>
          <w:rFonts w:hint="eastAsia" w:ascii="宋体" w:hAnsi="宋体" w:eastAsia="宋体" w:cs="宋体"/>
          <w:color w:val="auto"/>
          <w:sz w:val="24"/>
          <w:szCs w:val="24"/>
          <w:highlight w:val="none"/>
          <w:lang w:val="en-US" w:eastAsia="zh-CN"/>
        </w:rPr>
        <w:t>任</w:t>
      </w:r>
      <w:r>
        <w:rPr>
          <w:rFonts w:hint="eastAsia" w:ascii="宋体" w:hAnsi="宋体" w:eastAsia="宋体" w:cs="宋体"/>
          <w:color w:val="auto"/>
          <w:sz w:val="24"/>
          <w:szCs w:val="24"/>
          <w:highlight w:val="none"/>
        </w:rPr>
        <w:t>。</w:t>
      </w:r>
    </w:p>
    <w:p w14:paraId="64F42F9C">
      <w:pPr>
        <w:keepNext w:val="0"/>
        <w:keepLines w:val="0"/>
        <w:pageBreakBefore w:val="0"/>
        <w:kinsoku/>
        <w:wordWrap/>
        <w:overflowPunct/>
        <w:topLinePunct w:val="0"/>
        <w:bidi w:val="0"/>
        <w:snapToGrid w:val="0"/>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）发生下列情况时，甲方有权单方终止合同：</w:t>
      </w:r>
    </w:p>
    <w:p w14:paraId="5E1808FA">
      <w:pPr>
        <w:keepNext w:val="0"/>
        <w:keepLines w:val="0"/>
        <w:pageBreakBefore w:val="0"/>
        <w:kinsoku/>
        <w:wordWrap/>
        <w:overflowPunct/>
        <w:topLinePunct w:val="0"/>
        <w:bidi w:val="0"/>
        <w:snapToGrid w:val="0"/>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1）乙方未能在合同规定的期限内或甲方同意延长的期限内提供全部装备；</w:t>
      </w:r>
    </w:p>
    <w:p w14:paraId="3BEA4D3F">
      <w:pPr>
        <w:keepNext w:val="0"/>
        <w:keepLines w:val="0"/>
        <w:pageBreakBefore w:val="0"/>
        <w:kinsoku/>
        <w:wordWrap/>
        <w:overflowPunct/>
        <w:topLinePunct w:val="0"/>
        <w:bidi w:val="0"/>
        <w:snapToGrid w:val="0"/>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乙方未能履行合同规定的其他义务，乙方在收到甲方发出的违约通知后30天内，或经甲方书面认可延长的时间内未能纠正其过失。甲方可向乙方发出书面通知，终止部分或全部合同，在这种情况下，并不影响甲方向乙方提出的索赔。</w:t>
      </w:r>
    </w:p>
    <w:p w14:paraId="68C85764">
      <w:pPr>
        <w:keepNext w:val="0"/>
        <w:keepLines w:val="0"/>
        <w:pageBreakBefore w:val="0"/>
        <w:kinsoku/>
        <w:wordWrap/>
        <w:overflowPunct/>
        <w:topLinePunct w:val="0"/>
        <w:autoSpaceDE w:val="0"/>
        <w:autoSpaceDN w:val="0"/>
        <w:bidi w:val="0"/>
        <w:adjustRightInd w:val="0"/>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w:t>
      </w:r>
      <w:r>
        <w:rPr>
          <w:rFonts w:hint="eastAsia" w:ascii="宋体" w:hAnsi="宋体" w:eastAsia="宋体" w:cs="宋体"/>
          <w:color w:val="auto"/>
          <w:kern w:val="2"/>
          <w:sz w:val="24"/>
          <w:szCs w:val="24"/>
          <w:highlight w:val="none"/>
          <w:lang w:val="en-US" w:eastAsia="zh-CN" w:bidi="ar-SA"/>
        </w:rPr>
        <w:t>涉及国家利益、社会公共利益的情形</w:t>
      </w:r>
    </w:p>
    <w:p w14:paraId="6A018957">
      <w:pPr>
        <w:keepNext w:val="0"/>
        <w:keepLines w:val="0"/>
        <w:pageBreakBefore w:val="0"/>
        <w:kinsoku/>
        <w:wordWrap/>
        <w:overflowPunct/>
        <w:topLinePunct w:val="0"/>
        <w:autoSpaceDE w:val="0"/>
        <w:autoSpaceDN w:val="0"/>
        <w:bidi w:val="0"/>
        <w:adjustRightInd w:val="0"/>
        <w:spacing w:line="50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159172BF">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合同分包</w:t>
      </w:r>
    </w:p>
    <w:p w14:paraId="37EB994B">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将合同转包给其他供应商。涉及合同分包的，乙方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根据采购文件和投标（响应）文件规定进行</w:t>
      </w:r>
      <w:r>
        <w:rPr>
          <w:rFonts w:hint="eastAsia" w:ascii="宋体" w:hAnsi="宋体" w:eastAsia="宋体" w:cs="宋体"/>
          <w:color w:val="auto"/>
          <w:sz w:val="24"/>
          <w:szCs w:val="24"/>
          <w:highlight w:val="none"/>
        </w:rPr>
        <w:t>合同分包。</w:t>
      </w:r>
    </w:p>
    <w:p w14:paraId="69896533">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乙方应当按采购文件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投标（响应）文件签订分包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7F1749D8">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不可抗力</w:t>
      </w:r>
    </w:p>
    <w:p w14:paraId="2F51C147">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77468A34">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2FAB6231">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482FA2D4">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解决争议的方法</w:t>
      </w:r>
    </w:p>
    <w:p w14:paraId="431A8005">
      <w:pPr>
        <w:keepNext w:val="0"/>
        <w:keepLines w:val="0"/>
        <w:pageBreakBefore w:val="0"/>
        <w:kinsoku/>
        <w:wordWrap/>
        <w:overflowPunct/>
        <w:topLinePunct w:val="0"/>
        <w:autoSpaceDE w:val="0"/>
        <w:autoSpaceDN w:val="0"/>
        <w:bidi w:val="0"/>
        <w:adjustRightInd w:val="0"/>
        <w:spacing w:line="50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0671672D">
      <w:pPr>
        <w:keepNext w:val="0"/>
        <w:keepLines w:val="0"/>
        <w:pageBreakBefore w:val="0"/>
        <w:kinsoku/>
        <w:wordWrap/>
        <w:overflowPunct/>
        <w:topLinePunct w:val="0"/>
        <w:autoSpaceDE w:val="0"/>
        <w:autoSpaceDN w:val="0"/>
        <w:bidi w:val="0"/>
        <w:adjustRightInd w:val="0"/>
        <w:spacing w:line="50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19.2纠纷</w:t>
      </w:r>
      <w:r>
        <w:rPr>
          <w:rFonts w:hint="eastAsia" w:ascii="宋体" w:hAnsi="宋体" w:eastAsia="宋体" w:cs="宋体"/>
          <w:color w:val="auto"/>
          <w:kern w:val="0"/>
          <w:sz w:val="24"/>
          <w:szCs w:val="24"/>
          <w:highlight w:val="none"/>
          <w:lang w:val="en-US" w:eastAsia="zh-CN" w:bidi="ar-SA"/>
        </w:rPr>
        <w:t>解决方式</w:t>
      </w:r>
    </w:p>
    <w:p w14:paraId="7E1E3F3C">
      <w:pPr>
        <w:keepNext w:val="0"/>
        <w:keepLines w:val="0"/>
        <w:pageBreakBefore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本合同在执行中发生纠纷时，双方应友好协商予以解决。如协商解决不成时，双方约定采用第</w:t>
      </w:r>
      <w:r>
        <w:rPr>
          <w:rFonts w:hint="eastAsia" w:ascii="宋体" w:hAnsi="宋体" w:eastAsia="宋体" w:cs="宋体"/>
          <w:color w:val="auto"/>
          <w:kern w:val="0"/>
          <w:sz w:val="24"/>
          <w:szCs w:val="24"/>
          <w:highlight w:val="none"/>
          <w:u w:val="single"/>
          <w:lang w:val="en-US" w:eastAsia="zh-CN" w:bidi="ar-SA"/>
        </w:rPr>
        <w:t xml:space="preserve">   （1）   </w:t>
      </w:r>
      <w:r>
        <w:rPr>
          <w:rFonts w:hint="eastAsia" w:ascii="宋体" w:hAnsi="宋体" w:eastAsia="宋体" w:cs="宋体"/>
          <w:color w:val="auto"/>
          <w:kern w:val="0"/>
          <w:sz w:val="24"/>
          <w:szCs w:val="24"/>
          <w:highlight w:val="none"/>
          <w:lang w:val="en-US" w:eastAsia="zh-CN" w:bidi="ar-SA"/>
        </w:rPr>
        <w:t>种方式解决。</w:t>
      </w:r>
    </w:p>
    <w:p w14:paraId="3FE2591A">
      <w:pPr>
        <w:keepNext w:val="0"/>
        <w:keepLines w:val="0"/>
        <w:pageBreakBefore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（1）向甲方所在地人民法院提出诉讼；因乙方违约，甲方主张自身合法权益提起诉讼产生的诉讼费、律师代理费等费用由乙方承担。</w:t>
      </w:r>
    </w:p>
    <w:p w14:paraId="17AF11A3">
      <w:pPr>
        <w:keepNext w:val="0"/>
        <w:keepLines w:val="0"/>
        <w:pageBreakBefore w:val="0"/>
        <w:kinsoku/>
        <w:wordWrap/>
        <w:overflowPunct/>
        <w:topLinePunct w:val="0"/>
        <w:autoSpaceDE/>
        <w:autoSpaceDN/>
        <w:bidi w:val="0"/>
        <w:snapToGrid w:val="0"/>
        <w:spacing w:line="50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（2）申请甲方所在地（仲裁机构）进行仲裁。</w:t>
      </w:r>
    </w:p>
    <w:p w14:paraId="097E5F77">
      <w:pPr>
        <w:keepNext w:val="0"/>
        <w:keepLines w:val="0"/>
        <w:pageBreakBefore w:val="0"/>
        <w:kinsoku/>
        <w:wordWrap/>
        <w:overflowPunct/>
        <w:topLinePunct w:val="0"/>
        <w:autoSpaceDE w:val="0"/>
        <w:autoSpaceDN w:val="0"/>
        <w:bidi w:val="0"/>
        <w:adjustRightInd w:val="0"/>
        <w:spacing w:line="50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19.3 如甲乙双方有争议的事项不影响合同其他部分的履行，在争议解决期间，合同其他部分应当继续履行。</w:t>
      </w:r>
    </w:p>
    <w:p w14:paraId="760DC898">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政府采购政策</w:t>
      </w:r>
    </w:p>
    <w:p w14:paraId="00A8FC2A">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color w:val="auto"/>
          <w:sz w:val="24"/>
          <w:szCs w:val="24"/>
          <w:highlight w:val="none"/>
          <w:lang w:val="en-GB"/>
        </w:rPr>
        <w:t>本合同应当按照规定执行政府采购政策。</w:t>
      </w:r>
    </w:p>
    <w:p w14:paraId="7EF44C82">
      <w:pPr>
        <w:keepNext w:val="0"/>
        <w:keepLines w:val="0"/>
        <w:pageBreakBefore w:val="0"/>
        <w:kinsoku/>
        <w:wordWrap/>
        <w:overflowPunct/>
        <w:topLinePunct w:val="0"/>
        <w:autoSpaceDE w:val="0"/>
        <w:autoSpaceDN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1153D368">
      <w:pPr>
        <w:keepNext w:val="0"/>
        <w:keepLines w:val="0"/>
        <w:pageBreakBefore w:val="0"/>
        <w:widowControl w:val="0"/>
        <w:kinsoku/>
        <w:wordWrap/>
        <w:overflowPunct/>
        <w:topLinePunct w:val="0"/>
        <w:bidi w:val="0"/>
        <w:spacing w:after="0" w:line="50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C6E7CF1">
      <w:pPr>
        <w:keepNext w:val="0"/>
        <w:keepLines w:val="0"/>
        <w:pageBreakBefore w:val="0"/>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法律适用</w:t>
      </w:r>
    </w:p>
    <w:p w14:paraId="56A41707">
      <w:pPr>
        <w:keepNext w:val="0"/>
        <w:keepLines w:val="0"/>
        <w:pageBreakBefore w:val="0"/>
        <w:kinsoku/>
        <w:wordWrap/>
        <w:overflowPunct/>
        <w:topLinePunct w:val="0"/>
        <w:autoSpaceDE w:val="0"/>
        <w:autoSpaceDN w:val="0"/>
        <w:bidi w:val="0"/>
        <w:adjustRightInd w:val="0"/>
        <w:spacing w:line="50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21.1 本合同的订立、生效、解释、履行及与本合同有关的争议解决，均适用法律、行政法规。</w:t>
      </w:r>
    </w:p>
    <w:p w14:paraId="2DB2CD7C">
      <w:pPr>
        <w:keepNext w:val="0"/>
        <w:keepLines w:val="0"/>
        <w:pageBreakBefore w:val="0"/>
        <w:kinsoku/>
        <w:wordWrap/>
        <w:overflowPunct/>
        <w:topLinePunct w:val="0"/>
        <w:autoSpaceDE w:val="0"/>
        <w:autoSpaceDN w:val="0"/>
        <w:bidi w:val="0"/>
        <w:adjustRightInd w:val="0"/>
        <w:spacing w:line="50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21.2 本合同条款与法律、行政法规的强制性规定不一致的，双方当事人应按照法律、行政法规的强制性规定修改本合同的相关条款。</w:t>
      </w:r>
    </w:p>
    <w:p w14:paraId="43D4FBA8">
      <w:pPr>
        <w:keepNext w:val="0"/>
        <w:keepLines w:val="0"/>
        <w:pageBreakBefore w:val="0"/>
        <w:numPr>
          <w:ilvl w:val="-1"/>
          <w:numId w:val="0"/>
        </w:numPr>
        <w:kinsoku/>
        <w:wordWrap/>
        <w:overflowPunct/>
        <w:topLinePunct w:val="0"/>
        <w:autoSpaceDE w:val="0"/>
        <w:autoSpaceDN w:val="0"/>
        <w:bidi w:val="0"/>
        <w:adjustRightInd w:val="0"/>
        <w:snapToGrid w:val="0"/>
        <w:spacing w:before="0" w:line="50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通知</w:t>
      </w:r>
    </w:p>
    <w:p w14:paraId="26C4DEE4">
      <w:pPr>
        <w:keepNext w:val="0"/>
        <w:keepLines w:val="0"/>
        <w:pageBreakBefore w:val="0"/>
        <w:kinsoku/>
        <w:wordWrap/>
        <w:overflowPunct/>
        <w:topLinePunct w:val="0"/>
        <w:autoSpaceDE w:val="0"/>
        <w:autoSpaceDN w:val="0"/>
        <w:bidi w:val="0"/>
        <w:adjustRightInd w:val="0"/>
        <w:spacing w:line="50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22.1 本合同任何一方向对方发出的通知、信件、数据电文等，应当发送至本合同第一部分《政府采购合同协议书》所约定的通讯地址、联系人、联系电话或电子邮箱。</w:t>
      </w:r>
    </w:p>
    <w:p w14:paraId="450F800B">
      <w:pPr>
        <w:keepNext w:val="0"/>
        <w:keepLines w:val="0"/>
        <w:pageBreakBefore w:val="0"/>
        <w:kinsoku/>
        <w:wordWrap/>
        <w:overflowPunct/>
        <w:topLinePunct w:val="0"/>
        <w:autoSpaceDE w:val="0"/>
        <w:autoSpaceDN w:val="0"/>
        <w:bidi w:val="0"/>
        <w:adjustRightInd w:val="0"/>
        <w:spacing w:line="500" w:lineRule="exact"/>
        <w:ind w:firstLine="0" w:firstLineChars="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22.2 一方当事人变更名称、住所、联系人、联系电话或电子邮箱等信息的，应当在变更后3日内及时书面通知对方，对方实际收到变更通知前的送达仍为有效送达。</w:t>
      </w:r>
    </w:p>
    <w:p w14:paraId="5F5F2EF9">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5D20F981">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通知以送达之日或通知书中规定的生效之日起生效，两者中以较迟之日为准。</w:t>
      </w:r>
    </w:p>
    <w:p w14:paraId="67E9E0AA">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22.5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14:paraId="73E957CE">
      <w:pPr>
        <w:keepNext w:val="0"/>
        <w:keepLines w:val="0"/>
        <w:pageBreakBefore w:val="0"/>
        <w:kinsoku/>
        <w:wordWrap/>
        <w:overflowPunct/>
        <w:topLinePunct w:val="0"/>
        <w:bidi w:val="0"/>
        <w:adjustRightInd w:val="0"/>
        <w:snapToGrid w:val="0"/>
        <w:spacing w:before="0" w:line="50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23.合同未尽事项</w:t>
      </w:r>
    </w:p>
    <w:p w14:paraId="6340B7BC">
      <w:pPr>
        <w:keepNext w:val="0"/>
        <w:keepLines w:val="0"/>
        <w:pageBreakBefore w:val="0"/>
        <w:kinsoku/>
        <w:wordWrap/>
        <w:overflowPunct/>
        <w:topLinePunct w:val="0"/>
        <w:bidi w:val="0"/>
        <w:adjustRightInd w:val="0"/>
        <w:snapToGrid w:val="0"/>
        <w:spacing w:before="0"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23.1 合同附件与合同正文具有同等的法律效力。</w:t>
      </w:r>
    </w:p>
    <w:p w14:paraId="3750A5F1">
      <w:pPr>
        <w:rPr>
          <w:rFonts w:hint="eastAsia"/>
          <w:color w:val="auto"/>
          <w:highlight w:val="none"/>
        </w:rPr>
      </w:pPr>
    </w:p>
    <w:p w14:paraId="45768244">
      <w:pPr>
        <w:pStyle w:val="4"/>
        <w:rPr>
          <w:rFonts w:hint="eastAsia"/>
          <w:color w:val="auto"/>
          <w:highlight w:val="none"/>
        </w:rPr>
      </w:pPr>
    </w:p>
    <w:p w14:paraId="41069A91">
      <w:pPr>
        <w:pStyle w:val="3"/>
        <w:rPr>
          <w:color w:val="auto"/>
          <w:highlight w:val="none"/>
        </w:rPr>
      </w:pPr>
      <w:r>
        <w:rPr>
          <w:rFonts w:hint="eastAsia"/>
          <w:color w:val="auto"/>
          <w:highlight w:val="none"/>
        </w:rPr>
        <w:t>第</w:t>
      </w:r>
      <w:bookmarkStart w:id="112" w:name="_Toc9510643"/>
      <w:r>
        <w:rPr>
          <w:rFonts w:hint="eastAsia"/>
          <w:color w:val="auto"/>
          <w:highlight w:val="none"/>
        </w:rPr>
        <w:t>五章 投标文件格式</w:t>
      </w:r>
      <w:bookmarkEnd w:id="109"/>
      <w:bookmarkEnd w:id="110"/>
      <w:bookmarkEnd w:id="111"/>
    </w:p>
    <w:p w14:paraId="6E2B40CC">
      <w:pPr>
        <w:adjustRightInd w:val="0"/>
        <w:snapToGrid w:val="0"/>
        <w:spacing w:line="360" w:lineRule="auto"/>
        <w:rPr>
          <w:rFonts w:ascii="宋体" w:hAnsi="宋体" w:cs="宋体"/>
          <w:color w:val="auto"/>
          <w:szCs w:val="24"/>
          <w:highlight w:val="none"/>
        </w:rPr>
      </w:pPr>
    </w:p>
    <w:bookmarkEnd w:id="112"/>
    <w:p w14:paraId="04AA237D">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一、投标人提交投标文件须知：</w:t>
      </w:r>
    </w:p>
    <w:p w14:paraId="3A169625">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14:paraId="4890811E">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14:paraId="59730262">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14:paraId="2F598DEF">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14:paraId="1717F2B5">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5、投标人提交的材料将在一定期限内被保密保存，但不退还。</w:t>
      </w:r>
    </w:p>
    <w:p w14:paraId="4F41CFEA">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14:paraId="22A23325">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14:paraId="6740C4B8">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报价文件、商务和技术文件两部分，投标人在编制投标文件时请按照以下格式进行，并装订成册。</w:t>
      </w:r>
    </w:p>
    <w:p w14:paraId="69D027E2">
      <w:pPr>
        <w:adjustRightInd w:val="0"/>
        <w:snapToGrid w:val="0"/>
        <w:spacing w:before="50" w:after="50" w:line="360" w:lineRule="auto"/>
        <w:rPr>
          <w:rFonts w:ascii="宋体" w:hAnsi="宋体" w:cs="宋体"/>
          <w:color w:val="auto"/>
          <w:sz w:val="32"/>
          <w:highlight w:val="none"/>
        </w:rPr>
      </w:pPr>
    </w:p>
    <w:p w14:paraId="0CC9ED89">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14:paraId="2E47D76B">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3466C790">
      <w:pPr>
        <w:snapToGrid w:val="0"/>
        <w:spacing w:line="360" w:lineRule="auto"/>
        <w:jc w:val="center"/>
        <w:rPr>
          <w:rFonts w:ascii="宋体" w:hAnsi="宋体" w:cs="宋体"/>
          <w:color w:val="auto"/>
          <w:sz w:val="56"/>
          <w:szCs w:val="20"/>
          <w:highlight w:val="none"/>
        </w:rPr>
      </w:pPr>
    </w:p>
    <w:p w14:paraId="263D92EE">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14:paraId="1851C8D5">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lang w:val="en-US" w:eastAsia="zh-CN"/>
        </w:rPr>
        <w:t>项目</w:t>
      </w:r>
      <w:r>
        <w:rPr>
          <w:rFonts w:hint="eastAsia" w:ascii="宋体" w:hAnsi="宋体" w:cs="宋体"/>
          <w:color w:val="auto"/>
          <w:sz w:val="28"/>
          <w:szCs w:val="20"/>
          <w:highlight w:val="none"/>
        </w:rPr>
        <w:t>编号：</w:t>
      </w:r>
    </w:p>
    <w:p w14:paraId="2B4701D7">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14:paraId="62E51344">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14:paraId="07C487DE">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14:paraId="7FD37A21">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14:paraId="1CEAA9C6">
      <w:pPr>
        <w:snapToGrid w:val="0"/>
        <w:spacing w:line="360" w:lineRule="auto"/>
        <w:rPr>
          <w:rFonts w:ascii="宋体" w:hAnsi="宋体" w:cs="宋体"/>
          <w:color w:val="auto"/>
          <w:sz w:val="28"/>
          <w:szCs w:val="20"/>
          <w:highlight w:val="none"/>
        </w:rPr>
      </w:pPr>
    </w:p>
    <w:p w14:paraId="57A6F847">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407159A5">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5239A756">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14:paraId="3E1F078F">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14:paraId="0B02F73D">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441B6E6C">
      <w:pPr>
        <w:snapToGrid w:val="0"/>
        <w:spacing w:line="360" w:lineRule="auto"/>
        <w:rPr>
          <w:rFonts w:ascii="宋体" w:hAnsi="宋体" w:cs="宋体"/>
          <w:color w:val="auto"/>
          <w:sz w:val="20"/>
          <w:szCs w:val="20"/>
          <w:highlight w:val="none"/>
        </w:rPr>
      </w:pPr>
    </w:p>
    <w:p w14:paraId="237B57E7">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14:paraId="21AB158C">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422D6DB1">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10692D41">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14:paraId="195B5B56">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14:paraId="3572FAEB">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14:paraId="1ED5F7C4">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4、投标保证金缴纳凭证复印件…………………………………………（页码）</w:t>
      </w:r>
    </w:p>
    <w:p w14:paraId="7182D057">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5、投标人针对报价需要说明的其他文件和资料………………………（页码）</w:t>
      </w:r>
    </w:p>
    <w:p w14:paraId="74D4197D">
      <w:pPr>
        <w:adjustRightInd w:val="0"/>
        <w:snapToGrid w:val="0"/>
        <w:spacing w:line="400" w:lineRule="exact"/>
        <w:rPr>
          <w:rFonts w:ascii="宋体" w:hAnsi="宋体" w:cs="宋体"/>
          <w:color w:val="auto"/>
          <w:sz w:val="24"/>
          <w:szCs w:val="24"/>
          <w:highlight w:val="none"/>
        </w:rPr>
      </w:pPr>
    </w:p>
    <w:p w14:paraId="04F35B29">
      <w:pPr>
        <w:widowControl/>
        <w:jc w:val="left"/>
        <w:rPr>
          <w:rFonts w:ascii="宋体" w:hAnsi="宋体"/>
          <w:b/>
          <w:bCs/>
          <w:color w:val="auto"/>
          <w:sz w:val="32"/>
          <w:szCs w:val="32"/>
          <w:highlight w:val="none"/>
        </w:rPr>
      </w:pPr>
      <w:r>
        <w:rPr>
          <w:color w:val="auto"/>
          <w:highlight w:val="none"/>
        </w:rPr>
        <w:br w:type="page"/>
      </w:r>
    </w:p>
    <w:p w14:paraId="6E070604">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14:paraId="2A55F505">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14:paraId="022577C9">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1B9523F6">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根据贵方项目</w:t>
      </w:r>
      <w:r>
        <w:rPr>
          <w:rFonts w:hint="eastAsia" w:ascii="宋体" w:hAnsi="宋体" w:cs="宋体"/>
          <w:color w:val="auto"/>
          <w:sz w:val="24"/>
          <w:szCs w:val="24"/>
          <w:highlight w:val="none"/>
          <w:u w:val="single"/>
        </w:rPr>
        <w:t>（项目编号：）</w:t>
      </w:r>
      <w:r>
        <w:rPr>
          <w:rFonts w:hint="eastAsia" w:ascii="宋体" w:hAnsi="宋体" w:cs="宋体"/>
          <w:color w:val="auto"/>
          <w:sz w:val="24"/>
          <w:szCs w:val="24"/>
          <w:highlight w:val="none"/>
        </w:rPr>
        <w:t>招标公告/投标邀请书，签字代表</w:t>
      </w:r>
      <w:r>
        <w:rPr>
          <w:rFonts w:hint="eastAsia" w:ascii="宋体" w:hAnsi="宋体" w:cs="宋体"/>
          <w:color w:val="auto"/>
          <w:sz w:val="24"/>
          <w:szCs w:val="24"/>
          <w:highlight w:val="none"/>
          <w:u w:val="single"/>
        </w:rPr>
        <w:t>（全名）</w:t>
      </w:r>
      <w:r>
        <w:rPr>
          <w:rFonts w:hint="eastAsia" w:ascii="宋体" w:hAnsi="宋体" w:cs="宋体"/>
          <w:color w:val="auto"/>
          <w:sz w:val="24"/>
          <w:szCs w:val="24"/>
          <w:highlight w:val="none"/>
        </w:rPr>
        <w:t>经正式授权并代表投标人</w:t>
      </w:r>
      <w:r>
        <w:rPr>
          <w:rFonts w:hint="eastAsia" w:ascii="宋体" w:hAnsi="宋体" w:cs="宋体"/>
          <w:color w:val="auto"/>
          <w:sz w:val="24"/>
          <w:szCs w:val="24"/>
          <w:highlight w:val="none"/>
          <w:u w:val="single"/>
        </w:rPr>
        <w:t>（投标人名称）</w:t>
      </w:r>
      <w:r>
        <w:rPr>
          <w:rFonts w:hint="eastAsia" w:ascii="宋体" w:hAnsi="宋体" w:cs="宋体"/>
          <w:color w:val="auto"/>
          <w:sz w:val="24"/>
          <w:szCs w:val="24"/>
          <w:highlight w:val="none"/>
        </w:rPr>
        <w:t>提交</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投标文件正本一份、副本份、电子文件份。</w:t>
      </w:r>
    </w:p>
    <w:p w14:paraId="068EBA1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14:paraId="37B21EF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14:paraId="7E1C57C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14:paraId="65C8200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lang w:val="en-US" w:eastAsia="zh-CN"/>
        </w:rPr>
        <w:t xml:space="preserve"> 90</w:t>
      </w:r>
      <w:r>
        <w:rPr>
          <w:rFonts w:hint="eastAsia" w:ascii="宋体" w:hAnsi="宋体" w:cs="宋体"/>
          <w:color w:val="auto"/>
          <w:sz w:val="24"/>
          <w:szCs w:val="24"/>
          <w:highlight w:val="none"/>
        </w:rPr>
        <w:t>日。</w:t>
      </w:r>
    </w:p>
    <w:p w14:paraId="70DE493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14:paraId="2AD4CB2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14:paraId="1FA193D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14:paraId="620438FB">
      <w:pPr>
        <w:adjustRightInd w:val="0"/>
        <w:snapToGrid w:val="0"/>
        <w:spacing w:line="400" w:lineRule="exact"/>
        <w:ind w:firstLine="480" w:firstLineChars="200"/>
        <w:rPr>
          <w:rFonts w:ascii="宋体" w:hAnsi="宋体" w:cs="宋体"/>
          <w:color w:val="auto"/>
          <w:sz w:val="24"/>
          <w:szCs w:val="24"/>
          <w:highlight w:val="none"/>
        </w:rPr>
      </w:pPr>
    </w:p>
    <w:p w14:paraId="36AEEB97">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14:paraId="64CFE5F6">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14:paraId="592DB71A">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14:paraId="5A0C7AEA">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14:paraId="44362945">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14:paraId="65C1F72E">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p w14:paraId="3182410F">
      <w:pPr>
        <w:adjustRightInd w:val="0"/>
        <w:snapToGrid w:val="0"/>
        <w:spacing w:line="400" w:lineRule="exact"/>
        <w:rPr>
          <w:rFonts w:ascii="宋体" w:hAnsi="宋体" w:cs="宋体"/>
          <w:color w:val="auto"/>
          <w:sz w:val="24"/>
          <w:szCs w:val="24"/>
          <w:highlight w:val="none"/>
        </w:rPr>
      </w:pPr>
    </w:p>
    <w:p w14:paraId="541A23D7">
      <w:pPr>
        <w:adjustRightInd w:val="0"/>
        <w:snapToGrid w:val="0"/>
        <w:spacing w:line="400" w:lineRule="exact"/>
        <w:rPr>
          <w:color w:val="auto"/>
          <w:highlight w:val="none"/>
        </w:rPr>
      </w:pPr>
    </w:p>
    <w:p w14:paraId="4F254A5C">
      <w:pPr>
        <w:adjustRightInd w:val="0"/>
        <w:snapToGrid w:val="0"/>
        <w:spacing w:line="400" w:lineRule="exact"/>
        <w:rPr>
          <w:color w:val="auto"/>
          <w:highlight w:val="none"/>
        </w:rPr>
      </w:pPr>
    </w:p>
    <w:p w14:paraId="78504BAE">
      <w:pPr>
        <w:adjustRightInd w:val="0"/>
        <w:snapToGrid w:val="0"/>
        <w:spacing w:line="400" w:lineRule="exact"/>
        <w:rPr>
          <w:color w:val="auto"/>
          <w:highlight w:val="none"/>
        </w:rPr>
      </w:pPr>
    </w:p>
    <w:p w14:paraId="53F9267D">
      <w:pPr>
        <w:adjustRightInd w:val="0"/>
        <w:snapToGrid w:val="0"/>
        <w:spacing w:line="400" w:lineRule="exact"/>
        <w:rPr>
          <w:color w:val="auto"/>
          <w:highlight w:val="none"/>
        </w:rPr>
      </w:pPr>
    </w:p>
    <w:p w14:paraId="61444951">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14:paraId="3DBA3CA8">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14:paraId="37580C9F">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14:paraId="43148BA3">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编号及内容：                          单位：</w:t>
      </w:r>
      <w:r>
        <w:rPr>
          <w:rFonts w:hint="eastAsia" w:ascii="宋体" w:hAnsi="宋体" w:cs="宋体"/>
          <w:color w:val="auto"/>
          <w:sz w:val="24"/>
          <w:szCs w:val="24"/>
          <w:highlight w:val="none"/>
          <w:lang w:val="en-US" w:eastAsia="zh-CN"/>
        </w:rPr>
        <w:t>套/元（件、个</w:t>
      </w:r>
      <w:r>
        <w:rPr>
          <w:rFonts w:hint="eastAsia" w:ascii="宋体" w:hAnsi="宋体" w:cs="宋体"/>
          <w:color w:val="auto"/>
          <w:sz w:val="24"/>
          <w:szCs w:val="24"/>
          <w:highlight w:val="none"/>
        </w:rPr>
        <w:t>等</w:t>
      </w:r>
      <w:r>
        <w:rPr>
          <w:rFonts w:hint="eastAsia" w:ascii="宋体" w:hAnsi="宋体" w:cs="宋体"/>
          <w:color w:val="auto"/>
          <w:sz w:val="24"/>
          <w:szCs w:val="24"/>
          <w:highlight w:val="none"/>
          <w:lang w:val="en-US" w:eastAsia="zh-CN"/>
        </w:rPr>
        <w:t>）</w:t>
      </w:r>
    </w:p>
    <w:tbl>
      <w:tblPr>
        <w:tblStyle w:val="39"/>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14:paraId="09CDE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14:paraId="2C9DF736">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14:paraId="5E56A841">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14:paraId="60BCEA73">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14:paraId="03D20E62">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14:paraId="7E583603">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14:paraId="677F8ED9">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153" w:type="dxa"/>
            <w:vAlign w:val="center"/>
          </w:tcPr>
          <w:p w14:paraId="7D459593">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14:paraId="2730CE99">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14:paraId="6C44A6DC">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3BEC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14:paraId="4D5E1152">
            <w:pPr>
              <w:snapToGrid w:val="0"/>
              <w:spacing w:line="400" w:lineRule="exact"/>
              <w:jc w:val="center"/>
              <w:rPr>
                <w:rFonts w:ascii="宋体" w:hAnsi="宋体" w:cs="宋体"/>
                <w:color w:val="auto"/>
                <w:sz w:val="24"/>
                <w:szCs w:val="24"/>
                <w:highlight w:val="none"/>
              </w:rPr>
            </w:pPr>
          </w:p>
        </w:tc>
        <w:tc>
          <w:tcPr>
            <w:tcW w:w="1250" w:type="dxa"/>
            <w:vAlign w:val="center"/>
          </w:tcPr>
          <w:p w14:paraId="3F3251CE">
            <w:pPr>
              <w:snapToGrid w:val="0"/>
              <w:spacing w:line="400" w:lineRule="exact"/>
              <w:jc w:val="center"/>
              <w:rPr>
                <w:rFonts w:ascii="宋体" w:hAnsi="宋体" w:cs="宋体"/>
                <w:color w:val="auto"/>
                <w:sz w:val="24"/>
                <w:szCs w:val="24"/>
                <w:highlight w:val="none"/>
              </w:rPr>
            </w:pPr>
          </w:p>
        </w:tc>
        <w:tc>
          <w:tcPr>
            <w:tcW w:w="1065" w:type="dxa"/>
            <w:vAlign w:val="center"/>
          </w:tcPr>
          <w:p w14:paraId="1FAC59C5">
            <w:pPr>
              <w:snapToGrid w:val="0"/>
              <w:spacing w:line="400" w:lineRule="exact"/>
              <w:jc w:val="center"/>
              <w:rPr>
                <w:rFonts w:ascii="宋体" w:hAnsi="宋体" w:cs="宋体"/>
                <w:color w:val="auto"/>
                <w:sz w:val="24"/>
                <w:szCs w:val="24"/>
                <w:highlight w:val="none"/>
              </w:rPr>
            </w:pPr>
          </w:p>
        </w:tc>
        <w:tc>
          <w:tcPr>
            <w:tcW w:w="641" w:type="dxa"/>
            <w:vAlign w:val="center"/>
          </w:tcPr>
          <w:p w14:paraId="46349CA0">
            <w:pPr>
              <w:snapToGrid w:val="0"/>
              <w:spacing w:line="400" w:lineRule="exact"/>
              <w:jc w:val="center"/>
              <w:rPr>
                <w:rFonts w:ascii="宋体" w:hAnsi="宋体" w:cs="宋体"/>
                <w:color w:val="auto"/>
                <w:sz w:val="24"/>
                <w:szCs w:val="24"/>
                <w:highlight w:val="none"/>
              </w:rPr>
            </w:pPr>
          </w:p>
        </w:tc>
        <w:tc>
          <w:tcPr>
            <w:tcW w:w="1282" w:type="dxa"/>
            <w:vAlign w:val="center"/>
          </w:tcPr>
          <w:p w14:paraId="3BF92D0F">
            <w:pPr>
              <w:snapToGrid w:val="0"/>
              <w:spacing w:line="400" w:lineRule="exact"/>
              <w:jc w:val="center"/>
              <w:rPr>
                <w:rFonts w:ascii="宋体" w:hAnsi="宋体" w:cs="宋体"/>
                <w:color w:val="auto"/>
                <w:sz w:val="24"/>
                <w:szCs w:val="24"/>
                <w:highlight w:val="none"/>
              </w:rPr>
            </w:pPr>
          </w:p>
        </w:tc>
        <w:tc>
          <w:tcPr>
            <w:tcW w:w="898" w:type="dxa"/>
            <w:vAlign w:val="center"/>
          </w:tcPr>
          <w:p w14:paraId="71EA7B3C">
            <w:pPr>
              <w:snapToGrid w:val="0"/>
              <w:spacing w:line="400" w:lineRule="exact"/>
              <w:jc w:val="center"/>
              <w:rPr>
                <w:rFonts w:ascii="宋体" w:hAnsi="宋体" w:cs="宋体"/>
                <w:color w:val="auto"/>
                <w:sz w:val="24"/>
                <w:szCs w:val="24"/>
                <w:highlight w:val="none"/>
              </w:rPr>
            </w:pPr>
          </w:p>
        </w:tc>
        <w:tc>
          <w:tcPr>
            <w:tcW w:w="1153" w:type="dxa"/>
            <w:vAlign w:val="center"/>
          </w:tcPr>
          <w:p w14:paraId="175F8609">
            <w:pPr>
              <w:snapToGrid w:val="0"/>
              <w:spacing w:line="400" w:lineRule="exact"/>
              <w:jc w:val="left"/>
              <w:rPr>
                <w:rFonts w:ascii="宋体" w:hAnsi="宋体" w:cs="宋体"/>
                <w:color w:val="auto"/>
                <w:sz w:val="24"/>
                <w:szCs w:val="24"/>
                <w:highlight w:val="none"/>
              </w:rPr>
            </w:pPr>
          </w:p>
        </w:tc>
        <w:tc>
          <w:tcPr>
            <w:tcW w:w="1154" w:type="dxa"/>
            <w:vAlign w:val="center"/>
          </w:tcPr>
          <w:p w14:paraId="66C25E7A">
            <w:pPr>
              <w:snapToGrid w:val="0"/>
              <w:spacing w:line="400" w:lineRule="exact"/>
              <w:jc w:val="center"/>
              <w:rPr>
                <w:rFonts w:ascii="宋体" w:hAnsi="宋体" w:cs="宋体"/>
                <w:color w:val="auto"/>
                <w:sz w:val="24"/>
                <w:szCs w:val="24"/>
                <w:highlight w:val="none"/>
              </w:rPr>
            </w:pPr>
          </w:p>
        </w:tc>
        <w:tc>
          <w:tcPr>
            <w:tcW w:w="897" w:type="dxa"/>
            <w:vAlign w:val="center"/>
          </w:tcPr>
          <w:p w14:paraId="066C680F">
            <w:pPr>
              <w:snapToGrid w:val="0"/>
              <w:spacing w:line="400" w:lineRule="exact"/>
              <w:jc w:val="center"/>
              <w:rPr>
                <w:rFonts w:ascii="宋体" w:hAnsi="宋体" w:cs="宋体"/>
                <w:color w:val="auto"/>
                <w:sz w:val="24"/>
                <w:szCs w:val="24"/>
                <w:highlight w:val="none"/>
              </w:rPr>
            </w:pPr>
          </w:p>
        </w:tc>
      </w:tr>
      <w:tr w14:paraId="7F43B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14:paraId="18314B46">
            <w:pPr>
              <w:snapToGrid w:val="0"/>
              <w:spacing w:line="400" w:lineRule="exact"/>
              <w:jc w:val="center"/>
              <w:rPr>
                <w:rFonts w:ascii="宋体" w:hAnsi="宋体" w:cs="宋体"/>
                <w:color w:val="auto"/>
                <w:sz w:val="24"/>
                <w:szCs w:val="24"/>
                <w:highlight w:val="none"/>
              </w:rPr>
            </w:pPr>
          </w:p>
        </w:tc>
        <w:tc>
          <w:tcPr>
            <w:tcW w:w="1250" w:type="dxa"/>
            <w:vAlign w:val="center"/>
          </w:tcPr>
          <w:p w14:paraId="565C8279">
            <w:pPr>
              <w:snapToGrid w:val="0"/>
              <w:spacing w:line="400" w:lineRule="exact"/>
              <w:jc w:val="center"/>
              <w:rPr>
                <w:rFonts w:ascii="宋体" w:hAnsi="宋体" w:cs="宋体"/>
                <w:color w:val="auto"/>
                <w:sz w:val="24"/>
                <w:szCs w:val="24"/>
                <w:highlight w:val="none"/>
              </w:rPr>
            </w:pPr>
          </w:p>
        </w:tc>
        <w:tc>
          <w:tcPr>
            <w:tcW w:w="1065" w:type="dxa"/>
            <w:vAlign w:val="center"/>
          </w:tcPr>
          <w:p w14:paraId="580C0C72">
            <w:pPr>
              <w:snapToGrid w:val="0"/>
              <w:spacing w:line="400" w:lineRule="exact"/>
              <w:jc w:val="center"/>
              <w:rPr>
                <w:rFonts w:ascii="宋体" w:hAnsi="宋体" w:cs="宋体"/>
                <w:color w:val="auto"/>
                <w:sz w:val="24"/>
                <w:szCs w:val="24"/>
                <w:highlight w:val="none"/>
              </w:rPr>
            </w:pPr>
          </w:p>
        </w:tc>
        <w:tc>
          <w:tcPr>
            <w:tcW w:w="641" w:type="dxa"/>
            <w:vAlign w:val="center"/>
          </w:tcPr>
          <w:p w14:paraId="42FD0F5A">
            <w:pPr>
              <w:snapToGrid w:val="0"/>
              <w:spacing w:line="400" w:lineRule="exact"/>
              <w:jc w:val="center"/>
              <w:rPr>
                <w:rFonts w:ascii="宋体" w:hAnsi="宋体" w:cs="宋体"/>
                <w:color w:val="auto"/>
                <w:sz w:val="24"/>
                <w:szCs w:val="24"/>
                <w:highlight w:val="none"/>
              </w:rPr>
            </w:pPr>
          </w:p>
        </w:tc>
        <w:tc>
          <w:tcPr>
            <w:tcW w:w="1282" w:type="dxa"/>
            <w:vAlign w:val="center"/>
          </w:tcPr>
          <w:p w14:paraId="1E574604">
            <w:pPr>
              <w:snapToGrid w:val="0"/>
              <w:spacing w:line="400" w:lineRule="exact"/>
              <w:jc w:val="center"/>
              <w:rPr>
                <w:rFonts w:ascii="宋体" w:hAnsi="宋体" w:cs="宋体"/>
                <w:color w:val="auto"/>
                <w:sz w:val="24"/>
                <w:szCs w:val="24"/>
                <w:highlight w:val="none"/>
              </w:rPr>
            </w:pPr>
          </w:p>
        </w:tc>
        <w:tc>
          <w:tcPr>
            <w:tcW w:w="898" w:type="dxa"/>
            <w:vAlign w:val="center"/>
          </w:tcPr>
          <w:p w14:paraId="44D91CB1">
            <w:pPr>
              <w:snapToGrid w:val="0"/>
              <w:spacing w:line="400" w:lineRule="exact"/>
              <w:jc w:val="center"/>
              <w:rPr>
                <w:rFonts w:ascii="宋体" w:hAnsi="宋体" w:cs="宋体"/>
                <w:color w:val="auto"/>
                <w:sz w:val="24"/>
                <w:szCs w:val="24"/>
                <w:highlight w:val="none"/>
              </w:rPr>
            </w:pPr>
          </w:p>
        </w:tc>
        <w:tc>
          <w:tcPr>
            <w:tcW w:w="1153" w:type="dxa"/>
            <w:vAlign w:val="center"/>
          </w:tcPr>
          <w:p w14:paraId="75220295">
            <w:pPr>
              <w:snapToGrid w:val="0"/>
              <w:spacing w:line="400" w:lineRule="exact"/>
              <w:jc w:val="left"/>
              <w:rPr>
                <w:rFonts w:ascii="宋体" w:hAnsi="宋体" w:cs="宋体"/>
                <w:color w:val="auto"/>
                <w:sz w:val="24"/>
                <w:szCs w:val="24"/>
                <w:highlight w:val="none"/>
              </w:rPr>
            </w:pPr>
          </w:p>
        </w:tc>
        <w:tc>
          <w:tcPr>
            <w:tcW w:w="1154" w:type="dxa"/>
            <w:vAlign w:val="center"/>
          </w:tcPr>
          <w:p w14:paraId="106C1C63">
            <w:pPr>
              <w:snapToGrid w:val="0"/>
              <w:spacing w:line="400" w:lineRule="exact"/>
              <w:jc w:val="center"/>
              <w:rPr>
                <w:rFonts w:ascii="宋体" w:hAnsi="宋体" w:cs="宋体"/>
                <w:color w:val="auto"/>
                <w:sz w:val="24"/>
                <w:szCs w:val="24"/>
                <w:highlight w:val="none"/>
              </w:rPr>
            </w:pPr>
          </w:p>
        </w:tc>
        <w:tc>
          <w:tcPr>
            <w:tcW w:w="897" w:type="dxa"/>
            <w:vAlign w:val="center"/>
          </w:tcPr>
          <w:p w14:paraId="1ADD32F8">
            <w:pPr>
              <w:snapToGrid w:val="0"/>
              <w:spacing w:line="400" w:lineRule="exact"/>
              <w:jc w:val="center"/>
              <w:rPr>
                <w:rFonts w:ascii="宋体" w:hAnsi="宋体" w:cs="宋体"/>
                <w:color w:val="auto"/>
                <w:sz w:val="24"/>
                <w:szCs w:val="24"/>
                <w:highlight w:val="none"/>
              </w:rPr>
            </w:pPr>
          </w:p>
        </w:tc>
      </w:tr>
      <w:tr w14:paraId="1A92F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14:paraId="5C7BF85C">
            <w:pPr>
              <w:snapToGrid w:val="0"/>
              <w:spacing w:line="400" w:lineRule="exact"/>
              <w:jc w:val="center"/>
              <w:rPr>
                <w:rFonts w:ascii="宋体" w:hAnsi="宋体" w:cs="宋体"/>
                <w:color w:val="auto"/>
                <w:sz w:val="24"/>
                <w:szCs w:val="24"/>
                <w:highlight w:val="none"/>
              </w:rPr>
            </w:pPr>
          </w:p>
        </w:tc>
        <w:tc>
          <w:tcPr>
            <w:tcW w:w="1250" w:type="dxa"/>
            <w:vAlign w:val="center"/>
          </w:tcPr>
          <w:p w14:paraId="446F9D53">
            <w:pPr>
              <w:snapToGrid w:val="0"/>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c>
          <w:tcPr>
            <w:tcW w:w="1065" w:type="dxa"/>
            <w:vAlign w:val="center"/>
          </w:tcPr>
          <w:p w14:paraId="7F949D99">
            <w:pPr>
              <w:snapToGrid w:val="0"/>
              <w:spacing w:line="400" w:lineRule="exact"/>
              <w:jc w:val="center"/>
              <w:rPr>
                <w:rFonts w:ascii="宋体" w:hAnsi="宋体" w:cs="宋体"/>
                <w:color w:val="auto"/>
                <w:sz w:val="24"/>
                <w:szCs w:val="24"/>
                <w:highlight w:val="none"/>
              </w:rPr>
            </w:pPr>
          </w:p>
        </w:tc>
        <w:tc>
          <w:tcPr>
            <w:tcW w:w="641" w:type="dxa"/>
            <w:vAlign w:val="center"/>
          </w:tcPr>
          <w:p w14:paraId="0DFCA005">
            <w:pPr>
              <w:snapToGrid w:val="0"/>
              <w:spacing w:line="400" w:lineRule="exact"/>
              <w:jc w:val="center"/>
              <w:rPr>
                <w:rFonts w:ascii="宋体" w:hAnsi="宋体" w:cs="宋体"/>
                <w:color w:val="auto"/>
                <w:sz w:val="24"/>
                <w:szCs w:val="24"/>
                <w:highlight w:val="none"/>
              </w:rPr>
            </w:pPr>
          </w:p>
        </w:tc>
        <w:tc>
          <w:tcPr>
            <w:tcW w:w="1282" w:type="dxa"/>
            <w:vAlign w:val="center"/>
          </w:tcPr>
          <w:p w14:paraId="61F019C8">
            <w:pPr>
              <w:snapToGrid w:val="0"/>
              <w:spacing w:line="400" w:lineRule="exact"/>
              <w:jc w:val="center"/>
              <w:rPr>
                <w:rFonts w:ascii="宋体" w:hAnsi="宋体" w:cs="宋体"/>
                <w:color w:val="auto"/>
                <w:sz w:val="24"/>
                <w:szCs w:val="24"/>
                <w:highlight w:val="none"/>
              </w:rPr>
            </w:pPr>
          </w:p>
        </w:tc>
        <w:tc>
          <w:tcPr>
            <w:tcW w:w="898" w:type="dxa"/>
            <w:vAlign w:val="center"/>
          </w:tcPr>
          <w:p w14:paraId="1AB7B0F8">
            <w:pPr>
              <w:snapToGrid w:val="0"/>
              <w:spacing w:line="400" w:lineRule="exact"/>
              <w:jc w:val="center"/>
              <w:rPr>
                <w:rFonts w:ascii="宋体" w:hAnsi="宋体" w:cs="宋体"/>
                <w:color w:val="auto"/>
                <w:sz w:val="24"/>
                <w:szCs w:val="24"/>
                <w:highlight w:val="none"/>
              </w:rPr>
            </w:pPr>
          </w:p>
        </w:tc>
        <w:tc>
          <w:tcPr>
            <w:tcW w:w="1153" w:type="dxa"/>
            <w:vAlign w:val="center"/>
          </w:tcPr>
          <w:p w14:paraId="1222BF58">
            <w:pPr>
              <w:snapToGrid w:val="0"/>
              <w:spacing w:line="400" w:lineRule="exact"/>
              <w:jc w:val="left"/>
              <w:rPr>
                <w:rFonts w:ascii="宋体" w:hAnsi="宋体" w:cs="宋体"/>
                <w:color w:val="auto"/>
                <w:sz w:val="24"/>
                <w:szCs w:val="24"/>
                <w:highlight w:val="none"/>
              </w:rPr>
            </w:pPr>
          </w:p>
        </w:tc>
        <w:tc>
          <w:tcPr>
            <w:tcW w:w="1154" w:type="dxa"/>
            <w:vAlign w:val="center"/>
          </w:tcPr>
          <w:p w14:paraId="528D7B21">
            <w:pPr>
              <w:snapToGrid w:val="0"/>
              <w:spacing w:line="400" w:lineRule="exact"/>
              <w:jc w:val="center"/>
              <w:rPr>
                <w:rFonts w:ascii="宋体" w:hAnsi="宋体" w:cs="宋体"/>
                <w:color w:val="auto"/>
                <w:sz w:val="24"/>
                <w:szCs w:val="24"/>
                <w:highlight w:val="none"/>
              </w:rPr>
            </w:pPr>
          </w:p>
        </w:tc>
        <w:tc>
          <w:tcPr>
            <w:tcW w:w="897" w:type="dxa"/>
            <w:vAlign w:val="center"/>
          </w:tcPr>
          <w:p w14:paraId="79C9C391">
            <w:pPr>
              <w:snapToGrid w:val="0"/>
              <w:spacing w:line="400" w:lineRule="exact"/>
              <w:jc w:val="center"/>
              <w:rPr>
                <w:rFonts w:ascii="宋体" w:hAnsi="宋体" w:cs="宋体"/>
                <w:color w:val="auto"/>
                <w:sz w:val="24"/>
                <w:szCs w:val="24"/>
                <w:highlight w:val="none"/>
              </w:rPr>
            </w:pPr>
          </w:p>
        </w:tc>
      </w:tr>
      <w:tr w14:paraId="4F34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2B96236F">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14:paraId="2C2678ED">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14:paraId="6A1B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2C7B18B6">
            <w:pPr>
              <w:snapToGrid w:val="0"/>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货物交付期限</w:t>
            </w:r>
          </w:p>
        </w:tc>
        <w:tc>
          <w:tcPr>
            <w:tcW w:w="7090" w:type="dxa"/>
            <w:gridSpan w:val="7"/>
            <w:vAlign w:val="center"/>
          </w:tcPr>
          <w:p w14:paraId="7F006038">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14:paraId="0C503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14:paraId="07DE135D">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14:paraId="583ECF67">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14:paraId="6C03D07B">
      <w:pPr>
        <w:adjustRightInd w:val="0"/>
        <w:snapToGrid w:val="0"/>
        <w:spacing w:line="400" w:lineRule="exact"/>
        <w:rPr>
          <w:rFonts w:ascii="宋体" w:hAnsi="宋体" w:cs="宋体"/>
          <w:color w:val="auto"/>
          <w:sz w:val="24"/>
          <w:szCs w:val="24"/>
          <w:highlight w:val="none"/>
        </w:rPr>
      </w:pPr>
    </w:p>
    <w:p w14:paraId="492489AF">
      <w:pPr>
        <w:adjustRightInd w:val="0"/>
        <w:snapToGrid w:val="0"/>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投标报价包括项目实施所需的货款、人工费、服务费、运输费、安装调试费、税金及其他一切费用。</w:t>
      </w:r>
    </w:p>
    <w:p w14:paraId="482B2996">
      <w:pPr>
        <w:adjustRightInd w:val="0"/>
        <w:snapToGrid w:val="0"/>
        <w:spacing w:line="400" w:lineRule="exact"/>
        <w:ind w:firstLine="480" w:firstLineChars="200"/>
        <w:jc w:val="lef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2.投标单位投标总价及单价均不得超过最高限价，否则其投标文件将被拒绝。</w:t>
      </w:r>
    </w:p>
    <w:p w14:paraId="108271A7">
      <w:pPr>
        <w:pStyle w:val="4"/>
        <w:rPr>
          <w:color w:val="auto"/>
          <w:highlight w:val="none"/>
        </w:rPr>
      </w:pPr>
    </w:p>
    <w:p w14:paraId="451F5C66">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4A96AB7A">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648431B4">
      <w:pPr>
        <w:adjustRightInd w:val="0"/>
        <w:snapToGrid w:val="0"/>
        <w:spacing w:line="400" w:lineRule="exact"/>
        <w:ind w:left="-2" w:leftChars="-1"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4A0FD4CB">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14:paraId="6C2E4251">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14:paraId="10797522">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14:paraId="54204884">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14:paraId="038A84F2">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编号及内容：                               金额单位：人民币（元）</w:t>
      </w:r>
    </w:p>
    <w:tbl>
      <w:tblPr>
        <w:tblStyle w:val="39"/>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14:paraId="10DF36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3C72BA78">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14:paraId="660E6E44">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14:paraId="70AC32CB">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14:paraId="38CC5DE8">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14:paraId="54932640">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14:paraId="2574AAE1">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14:paraId="1B78FCDB">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14:paraId="5558D108">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14:paraId="6CE501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4BDC37E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D0B50BF">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745A48A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66E09422">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55C8E922">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1E96A3E7">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44F8B8CE">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6B203D25">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3C40D9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5AD9EE0D">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46B4F22C">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6BF0D40C">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164E18F2">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0CD500BE">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69D87DB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29D04222">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591BB470">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447A40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76716CB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13E68BC7">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421C8F6D">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796291B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02BA8081">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56B218FF">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21F10672">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1CFA18BC">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7B0341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306E9455">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0CBD11D9">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14:paraId="5B409B43">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35B6017">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0CF1BC02">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1D946EDF">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575B369E">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39D31EE4">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2B754A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14:paraId="7EC9FDFE">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14:paraId="1154BACE">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14:paraId="0F5083B6">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3D0530BB">
      <w:pPr>
        <w:adjustRightInd w:val="0"/>
        <w:snapToGrid w:val="0"/>
        <w:spacing w:line="400" w:lineRule="exact"/>
        <w:ind w:left="-3" w:leftChars="-72" w:right="-816" w:rightChars="-389" w:hanging="148" w:hangingChars="62"/>
        <w:rPr>
          <w:rFonts w:ascii="宋体" w:hAnsi="宋体" w:cs="宋体"/>
          <w:color w:val="auto"/>
          <w:sz w:val="24"/>
          <w:szCs w:val="24"/>
          <w:highlight w:val="none"/>
        </w:rPr>
      </w:pPr>
    </w:p>
    <w:p w14:paraId="12D19E66">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60E32559">
      <w:pPr>
        <w:adjustRightInd w:val="0"/>
        <w:snapToGrid w:val="0"/>
        <w:spacing w:line="400" w:lineRule="exact"/>
        <w:rPr>
          <w:rFonts w:ascii="宋体" w:hAnsi="宋体" w:cs="宋体"/>
          <w:color w:val="auto"/>
          <w:spacing w:val="20"/>
          <w:sz w:val="24"/>
          <w:szCs w:val="24"/>
          <w:highlight w:val="none"/>
        </w:rPr>
      </w:pPr>
    </w:p>
    <w:p w14:paraId="6FCD7A53">
      <w:pPr>
        <w:adjustRightInd w:val="0"/>
        <w:snapToGrid w:val="0"/>
        <w:spacing w:line="400" w:lineRule="exact"/>
        <w:ind w:left="-2" w:leftChars="-1" w:right="-816"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581EDE40">
      <w:pPr>
        <w:adjustRightInd w:val="0"/>
        <w:snapToGrid w:val="0"/>
        <w:spacing w:line="400" w:lineRule="exact"/>
        <w:rPr>
          <w:rFonts w:ascii="宋体" w:hAnsi="宋体" w:cs="宋体"/>
          <w:color w:val="auto"/>
          <w:sz w:val="24"/>
          <w:szCs w:val="24"/>
          <w:highlight w:val="none"/>
        </w:rPr>
      </w:pPr>
    </w:p>
    <w:p w14:paraId="422ABAA8">
      <w:pPr>
        <w:adjustRightInd w:val="0"/>
        <w:snapToGrid w:val="0"/>
        <w:spacing w:line="400" w:lineRule="exact"/>
        <w:rPr>
          <w:rFonts w:ascii="宋体" w:hAnsi="宋体" w:cs="宋体"/>
          <w:color w:val="auto"/>
          <w:spacing w:val="20"/>
          <w:sz w:val="24"/>
          <w:szCs w:val="24"/>
          <w:highlight w:val="none"/>
          <w:u w:val="single"/>
        </w:rPr>
      </w:pPr>
    </w:p>
    <w:p w14:paraId="7FE610E5">
      <w:pPr>
        <w:adjustRightInd w:val="0"/>
        <w:snapToGrid w:val="0"/>
        <w:spacing w:line="400" w:lineRule="exact"/>
        <w:rPr>
          <w:rFonts w:ascii="宋体" w:hAnsi="宋体" w:cs="宋体"/>
          <w:color w:val="auto"/>
          <w:spacing w:val="20"/>
          <w:sz w:val="24"/>
          <w:szCs w:val="24"/>
          <w:highlight w:val="none"/>
          <w:u w:val="single"/>
        </w:rPr>
      </w:pPr>
    </w:p>
    <w:p w14:paraId="17EF361A">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4、投标保证金缴纳凭证复印件</w:t>
      </w:r>
    </w:p>
    <w:p w14:paraId="382BA587">
      <w:pPr>
        <w:adjustRightInd w:val="0"/>
        <w:snapToGrid w:val="0"/>
        <w:spacing w:before="50" w:after="50" w:line="400" w:lineRule="exact"/>
        <w:rPr>
          <w:rFonts w:ascii="宋体" w:hAnsi="宋体" w:cs="宋体"/>
          <w:b/>
          <w:color w:val="auto"/>
          <w:sz w:val="24"/>
          <w:szCs w:val="24"/>
          <w:highlight w:val="none"/>
        </w:rPr>
      </w:pPr>
    </w:p>
    <w:p w14:paraId="3ACD543F">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14:paraId="63495307">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14:paraId="04E0CD2F">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032A7A17">
      <w:pPr>
        <w:spacing w:line="360" w:lineRule="auto"/>
        <w:jc w:val="center"/>
        <w:rPr>
          <w:rFonts w:ascii="宋体" w:hAnsi="宋体" w:cs="宋体"/>
          <w:color w:val="auto"/>
          <w:sz w:val="56"/>
          <w:szCs w:val="20"/>
          <w:highlight w:val="none"/>
        </w:rPr>
      </w:pPr>
    </w:p>
    <w:p w14:paraId="459DF069">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14:paraId="4BB5DE40">
      <w:pPr>
        <w:spacing w:line="360" w:lineRule="auto"/>
        <w:jc w:val="center"/>
        <w:rPr>
          <w:rFonts w:ascii="宋体" w:hAnsi="宋体" w:cs="宋体"/>
          <w:color w:val="auto"/>
          <w:sz w:val="28"/>
          <w:szCs w:val="20"/>
          <w:highlight w:val="none"/>
        </w:rPr>
      </w:pPr>
    </w:p>
    <w:p w14:paraId="7AB4B58B">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14:paraId="7F41B6D6">
      <w:pPr>
        <w:spacing w:line="360" w:lineRule="auto"/>
        <w:jc w:val="center"/>
        <w:rPr>
          <w:rFonts w:ascii="宋体" w:hAnsi="宋体" w:cs="宋体"/>
          <w:color w:val="auto"/>
          <w:sz w:val="28"/>
          <w:szCs w:val="20"/>
          <w:highlight w:val="none"/>
        </w:rPr>
      </w:pPr>
    </w:p>
    <w:p w14:paraId="5DE46C54">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14:paraId="68C4503F">
      <w:pPr>
        <w:spacing w:line="360" w:lineRule="auto"/>
        <w:jc w:val="center"/>
        <w:rPr>
          <w:rFonts w:ascii="宋体" w:hAnsi="宋体" w:cs="宋体"/>
          <w:color w:val="auto"/>
          <w:sz w:val="56"/>
          <w:szCs w:val="20"/>
          <w:highlight w:val="none"/>
        </w:rPr>
      </w:pPr>
    </w:p>
    <w:p w14:paraId="28D3FD68">
      <w:pPr>
        <w:spacing w:line="360" w:lineRule="auto"/>
        <w:jc w:val="center"/>
        <w:rPr>
          <w:rFonts w:ascii="宋体" w:hAnsi="宋体" w:cs="宋体"/>
          <w:color w:val="auto"/>
          <w:sz w:val="56"/>
          <w:szCs w:val="20"/>
          <w:highlight w:val="none"/>
        </w:rPr>
      </w:pPr>
    </w:p>
    <w:p w14:paraId="565593E5">
      <w:pPr>
        <w:spacing w:line="360" w:lineRule="auto"/>
        <w:jc w:val="center"/>
        <w:rPr>
          <w:rFonts w:ascii="宋体" w:hAnsi="宋体" w:cs="宋体"/>
          <w:color w:val="auto"/>
          <w:sz w:val="56"/>
          <w:szCs w:val="20"/>
          <w:highlight w:val="none"/>
        </w:rPr>
      </w:pPr>
    </w:p>
    <w:p w14:paraId="60CB3E8A">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6735D076">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4FBBBAB8">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14:paraId="7A734409">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14:paraId="25A2771F">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0C0CE1B2">
      <w:pPr>
        <w:spacing w:line="360" w:lineRule="auto"/>
        <w:rPr>
          <w:rFonts w:ascii="宋体" w:hAnsi="宋体" w:cs="宋体"/>
          <w:color w:val="auto"/>
          <w:sz w:val="20"/>
          <w:szCs w:val="20"/>
          <w:highlight w:val="none"/>
        </w:rPr>
      </w:pPr>
    </w:p>
    <w:p w14:paraId="30F76106">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14:paraId="5EBDDEBF">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0DB14895">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一、商务部分</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14:paraId="22E12BF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投标声明书 </w:t>
      </w:r>
      <w:r>
        <w:rPr>
          <w:rFonts w:hint="eastAsia" w:ascii="宋体" w:hAnsi="宋体" w:cs="宋体"/>
          <w:color w:val="auto"/>
          <w:sz w:val="24"/>
          <w:highlight w:val="none"/>
        </w:rPr>
        <w:t>……………………………………………………………（页码）</w:t>
      </w:r>
    </w:p>
    <w:p w14:paraId="41BE8C8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.法定代表人身份证明及授权委托书</w:t>
      </w:r>
      <w:r>
        <w:rPr>
          <w:rFonts w:hint="eastAsia" w:ascii="宋体" w:hAnsi="宋体" w:cs="宋体"/>
          <w:color w:val="auto"/>
          <w:sz w:val="24"/>
          <w:highlight w:val="none"/>
        </w:rPr>
        <w:t>………………………………（页码）</w:t>
      </w:r>
    </w:p>
    <w:p w14:paraId="748DE745">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企业法人营业执照（或登记证书、身份证） </w:t>
      </w:r>
      <w:r>
        <w:rPr>
          <w:rFonts w:hint="eastAsia" w:ascii="宋体" w:hAnsi="宋体" w:cs="宋体"/>
          <w:color w:val="auto"/>
          <w:sz w:val="24"/>
          <w:highlight w:val="none"/>
        </w:rPr>
        <w:t>………………………（页码）</w:t>
      </w:r>
    </w:p>
    <w:p w14:paraId="0FA707C7">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投标人情况介绍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388AD7B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近年财务状况 </w:t>
      </w:r>
      <w:r>
        <w:rPr>
          <w:rFonts w:hint="eastAsia" w:ascii="宋体" w:hAnsi="宋体" w:cs="宋体"/>
          <w:color w:val="auto"/>
          <w:sz w:val="24"/>
          <w:highlight w:val="none"/>
        </w:rPr>
        <w:t>………………………………………………………（页码）</w:t>
      </w:r>
    </w:p>
    <w:p w14:paraId="454E116F">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投标人须具有履行合同所必需的设备和专业技术能力</w:t>
      </w:r>
      <w:r>
        <w:rPr>
          <w:rFonts w:hint="eastAsia" w:ascii="宋体" w:hAnsi="宋体" w:cs="宋体"/>
          <w:color w:val="auto"/>
          <w:sz w:val="24"/>
          <w:szCs w:val="24"/>
          <w:highlight w:val="none"/>
          <w:lang w:eastAsia="zh-CN"/>
        </w:rPr>
        <w:t>证明资料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14:paraId="178959A5">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rPr>
        <w:t>纳税证明社保证明</w:t>
      </w:r>
      <w:r>
        <w:rPr>
          <w:rFonts w:hint="eastAsia" w:ascii="宋体" w:hAnsi="宋体" w:cs="宋体"/>
          <w:color w:val="auto"/>
          <w:sz w:val="24"/>
          <w:highlight w:val="none"/>
        </w:rPr>
        <w:t>…………………………………………………（页码）</w:t>
      </w:r>
    </w:p>
    <w:p w14:paraId="5D96991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前三年内在经营活动中没有重大违法记录的书面声明 </w:t>
      </w:r>
      <w:r>
        <w:rPr>
          <w:rFonts w:hint="eastAsia" w:ascii="宋体" w:hAnsi="宋体" w:cs="宋体"/>
          <w:color w:val="auto"/>
          <w:sz w:val="24"/>
          <w:highlight w:val="none"/>
        </w:rPr>
        <w:t>…………（页码）</w:t>
      </w:r>
    </w:p>
    <w:p w14:paraId="51A3847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信用记录 </w:t>
      </w:r>
      <w:r>
        <w:rPr>
          <w:rFonts w:hint="eastAsia" w:ascii="宋体" w:hAnsi="宋体" w:cs="宋体"/>
          <w:color w:val="auto"/>
          <w:sz w:val="24"/>
          <w:highlight w:val="none"/>
        </w:rPr>
        <w:t>……………………………………………………………（页码）</w:t>
      </w:r>
    </w:p>
    <w:p w14:paraId="6A40E63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其他认证证书等</w:t>
      </w:r>
      <w:r>
        <w:rPr>
          <w:rFonts w:hint="eastAsia" w:ascii="宋体" w:hAnsi="宋体" w:cs="宋体"/>
          <w:color w:val="auto"/>
          <w:sz w:val="24"/>
          <w:highlight w:val="none"/>
        </w:rPr>
        <w:t>……………………………………………………（页码）</w:t>
      </w:r>
    </w:p>
    <w:p w14:paraId="0A6710D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类似成功业绩………………………………………………………（页码）</w:t>
      </w:r>
    </w:p>
    <w:p w14:paraId="25F30E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政府采购政策扶持证明材料………………………………………（页码）</w:t>
      </w:r>
    </w:p>
    <w:p w14:paraId="394A3B7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其他证明文件或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认为应提交的商务文件…………………（页码）</w:t>
      </w:r>
    </w:p>
    <w:p w14:paraId="0501B82B">
      <w:pPr>
        <w:tabs>
          <w:tab w:val="center" w:pos="4912"/>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二、技术</w:t>
      </w:r>
      <w:r>
        <w:rPr>
          <w:rFonts w:hint="eastAsia" w:ascii="宋体" w:hAnsi="宋体" w:cs="宋体"/>
          <w:color w:val="auto"/>
          <w:sz w:val="24"/>
          <w:szCs w:val="24"/>
          <w:highlight w:val="none"/>
          <w:lang w:val="en-US" w:eastAsia="zh-CN"/>
        </w:rPr>
        <w:t>部分</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7AD30225">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.技术响应偏离表</w:t>
      </w:r>
      <w:r>
        <w:rPr>
          <w:rFonts w:hint="eastAsia" w:ascii="宋体" w:hAnsi="宋体" w:cs="宋体"/>
          <w:color w:val="auto"/>
          <w:sz w:val="24"/>
          <w:highlight w:val="none"/>
        </w:rPr>
        <w:t>……………………………………………………（页码）</w:t>
      </w:r>
    </w:p>
    <w:p w14:paraId="5BD0EC3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产品</w:t>
      </w:r>
      <w:r>
        <w:rPr>
          <w:rFonts w:hint="eastAsia" w:ascii="宋体" w:hAnsi="宋体" w:cs="宋体"/>
          <w:color w:val="auto"/>
          <w:sz w:val="24"/>
          <w:szCs w:val="24"/>
          <w:highlight w:val="none"/>
          <w:lang w:eastAsia="zh-CN"/>
        </w:rPr>
        <w:t>详细技术规格书</w:t>
      </w:r>
      <w:r>
        <w:rPr>
          <w:rFonts w:hint="eastAsia" w:ascii="宋体" w:hAnsi="宋体" w:cs="宋体"/>
          <w:color w:val="auto"/>
          <w:sz w:val="24"/>
          <w:highlight w:val="none"/>
        </w:rPr>
        <w:t>………………………………………………（页码）</w:t>
      </w:r>
    </w:p>
    <w:p w14:paraId="0853CDC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lang w:eastAsia="zh-CN"/>
        </w:rPr>
        <w:t>.产品检测报告</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4433763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 xml:space="preserve">针对本项目的详细组织实施方案 </w:t>
      </w:r>
      <w:r>
        <w:rPr>
          <w:rFonts w:hint="eastAsia" w:ascii="宋体" w:hAnsi="宋体" w:cs="宋体"/>
          <w:color w:val="auto"/>
          <w:sz w:val="24"/>
          <w:highlight w:val="none"/>
        </w:rPr>
        <w:t>…………………………………（页码）</w:t>
      </w:r>
    </w:p>
    <w:p w14:paraId="640E94C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针对本项目的</w:t>
      </w:r>
      <w:r>
        <w:rPr>
          <w:rFonts w:hint="eastAsia" w:ascii="宋体" w:hAnsi="宋体" w:cs="宋体"/>
          <w:color w:val="auto"/>
          <w:sz w:val="24"/>
          <w:szCs w:val="24"/>
          <w:highlight w:val="none"/>
          <w:lang w:eastAsia="zh-CN"/>
        </w:rPr>
        <w:t>详细技术培训</w:t>
      </w:r>
      <w:r>
        <w:rPr>
          <w:rFonts w:hint="eastAsia" w:ascii="宋体" w:hAnsi="宋体" w:cs="宋体"/>
          <w:color w:val="auto"/>
          <w:sz w:val="24"/>
          <w:szCs w:val="24"/>
          <w:highlight w:val="none"/>
        </w:rPr>
        <w:t xml:space="preserve">方案 </w:t>
      </w:r>
      <w:r>
        <w:rPr>
          <w:rFonts w:hint="eastAsia" w:ascii="宋体" w:hAnsi="宋体" w:cs="宋体"/>
          <w:color w:val="auto"/>
          <w:sz w:val="24"/>
          <w:highlight w:val="none"/>
        </w:rPr>
        <w:t>…………………………………（页码）</w:t>
      </w:r>
    </w:p>
    <w:p w14:paraId="3EEF6C2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 xml:space="preserve">针对本项目的售后服务方案 </w:t>
      </w:r>
      <w:r>
        <w:rPr>
          <w:rFonts w:hint="eastAsia" w:ascii="宋体" w:hAnsi="宋体" w:cs="宋体"/>
          <w:color w:val="auto"/>
          <w:sz w:val="24"/>
          <w:highlight w:val="none"/>
        </w:rPr>
        <w:t>………………………………………（页码）</w:t>
      </w:r>
    </w:p>
    <w:p w14:paraId="2DE6D86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其他优惠条件（如有）</w:t>
      </w:r>
      <w:r>
        <w:rPr>
          <w:rFonts w:hint="eastAsia" w:ascii="宋体" w:hAnsi="宋体" w:cs="宋体"/>
          <w:color w:val="auto"/>
          <w:sz w:val="24"/>
          <w:highlight w:val="none"/>
        </w:rPr>
        <w:t>………………………………………………（页码）</w:t>
      </w:r>
    </w:p>
    <w:p w14:paraId="358AC33E">
      <w:pPr>
        <w:adjustRightInd w:val="0"/>
        <w:snapToGrid w:val="0"/>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认为需要提供的其他技术文件或资料（如有）</w:t>
      </w:r>
      <w:r>
        <w:rPr>
          <w:rFonts w:hint="eastAsia" w:ascii="宋体" w:hAnsi="宋体" w:cs="宋体"/>
          <w:color w:val="auto"/>
          <w:sz w:val="24"/>
          <w:highlight w:val="none"/>
        </w:rPr>
        <w:t>……………（页码）</w:t>
      </w:r>
    </w:p>
    <w:p w14:paraId="4E43971F">
      <w:pPr>
        <w:spacing w:line="360" w:lineRule="auto"/>
        <w:ind w:left="718" w:leftChars="228" w:hanging="240" w:hangingChars="100"/>
        <w:rPr>
          <w:rFonts w:ascii="宋体" w:hAnsi="宋体" w:cs="宋体"/>
          <w:color w:val="auto"/>
          <w:sz w:val="24"/>
          <w:szCs w:val="24"/>
          <w:highlight w:val="none"/>
        </w:rPr>
      </w:pPr>
    </w:p>
    <w:p w14:paraId="0990E011">
      <w:pPr>
        <w:rPr>
          <w:color w:val="auto"/>
          <w:highlight w:val="none"/>
        </w:rPr>
      </w:pPr>
    </w:p>
    <w:p w14:paraId="5F4A3B2B">
      <w:pPr>
        <w:rPr>
          <w:color w:val="auto"/>
          <w:highlight w:val="none"/>
        </w:rPr>
      </w:pPr>
    </w:p>
    <w:p w14:paraId="4C45FA2E">
      <w:pPr>
        <w:rPr>
          <w:color w:val="auto"/>
          <w:highlight w:val="none"/>
        </w:rPr>
      </w:pPr>
    </w:p>
    <w:p w14:paraId="0BFC2165">
      <w:pPr>
        <w:rPr>
          <w:color w:val="auto"/>
          <w:highlight w:val="none"/>
        </w:rPr>
      </w:pPr>
    </w:p>
    <w:p w14:paraId="7624B056">
      <w:pPr>
        <w:adjustRightInd w:val="0"/>
        <w:snapToGrid w:val="0"/>
        <w:rPr>
          <w:rFonts w:ascii="宋体" w:hAnsi="宋体" w:cs="宋体"/>
          <w:b/>
          <w:color w:val="auto"/>
          <w:sz w:val="28"/>
          <w:szCs w:val="28"/>
          <w:highlight w:val="none"/>
        </w:rPr>
      </w:pPr>
    </w:p>
    <w:tbl>
      <w:tblPr>
        <w:tblStyle w:val="39"/>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14:paraId="0F9B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14:paraId="284D7852">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14:paraId="50A1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43329555">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14:paraId="17EDD489">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14:paraId="2ABBD1AB">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14:paraId="2C8AE9D6">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79909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05F4C9C4">
            <w:pPr>
              <w:adjustRightInd w:val="0"/>
              <w:snapToGrid w:val="0"/>
              <w:rPr>
                <w:rFonts w:ascii="宋体" w:hAnsi="宋体" w:cs="宋体"/>
                <w:b/>
                <w:color w:val="auto"/>
                <w:sz w:val="24"/>
                <w:szCs w:val="24"/>
                <w:highlight w:val="none"/>
              </w:rPr>
            </w:pPr>
          </w:p>
        </w:tc>
        <w:tc>
          <w:tcPr>
            <w:tcW w:w="2000" w:type="dxa"/>
          </w:tcPr>
          <w:p w14:paraId="6F5ABF54">
            <w:pPr>
              <w:adjustRightInd w:val="0"/>
              <w:snapToGrid w:val="0"/>
              <w:rPr>
                <w:rFonts w:ascii="宋体" w:hAnsi="宋体" w:cs="宋体"/>
                <w:b/>
                <w:color w:val="auto"/>
                <w:sz w:val="24"/>
                <w:szCs w:val="24"/>
                <w:highlight w:val="none"/>
              </w:rPr>
            </w:pPr>
          </w:p>
        </w:tc>
        <w:tc>
          <w:tcPr>
            <w:tcW w:w="2783" w:type="dxa"/>
          </w:tcPr>
          <w:p w14:paraId="79E47D90">
            <w:pPr>
              <w:adjustRightInd w:val="0"/>
              <w:snapToGrid w:val="0"/>
              <w:rPr>
                <w:rFonts w:ascii="宋体" w:hAnsi="宋体" w:cs="宋体"/>
                <w:b/>
                <w:color w:val="auto"/>
                <w:sz w:val="24"/>
                <w:szCs w:val="24"/>
                <w:highlight w:val="none"/>
              </w:rPr>
            </w:pPr>
          </w:p>
        </w:tc>
        <w:tc>
          <w:tcPr>
            <w:tcW w:w="2584" w:type="dxa"/>
          </w:tcPr>
          <w:p w14:paraId="1397489A">
            <w:pPr>
              <w:adjustRightInd w:val="0"/>
              <w:snapToGrid w:val="0"/>
              <w:rPr>
                <w:rFonts w:ascii="宋体" w:hAnsi="宋体" w:cs="宋体"/>
                <w:b/>
                <w:color w:val="auto"/>
                <w:sz w:val="24"/>
                <w:szCs w:val="24"/>
                <w:highlight w:val="none"/>
              </w:rPr>
            </w:pPr>
          </w:p>
        </w:tc>
      </w:tr>
      <w:tr w14:paraId="2184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40A5EFE">
            <w:pPr>
              <w:adjustRightInd w:val="0"/>
              <w:snapToGrid w:val="0"/>
              <w:rPr>
                <w:rFonts w:ascii="宋体" w:hAnsi="宋体" w:cs="宋体"/>
                <w:b/>
                <w:color w:val="auto"/>
                <w:sz w:val="24"/>
                <w:szCs w:val="24"/>
                <w:highlight w:val="none"/>
              </w:rPr>
            </w:pPr>
          </w:p>
        </w:tc>
        <w:tc>
          <w:tcPr>
            <w:tcW w:w="2000" w:type="dxa"/>
          </w:tcPr>
          <w:p w14:paraId="4911D7AE">
            <w:pPr>
              <w:adjustRightInd w:val="0"/>
              <w:snapToGrid w:val="0"/>
              <w:rPr>
                <w:rFonts w:ascii="宋体" w:hAnsi="宋体" w:cs="宋体"/>
                <w:b/>
                <w:color w:val="auto"/>
                <w:sz w:val="24"/>
                <w:szCs w:val="24"/>
                <w:highlight w:val="none"/>
              </w:rPr>
            </w:pPr>
          </w:p>
        </w:tc>
        <w:tc>
          <w:tcPr>
            <w:tcW w:w="2783" w:type="dxa"/>
          </w:tcPr>
          <w:p w14:paraId="3BBD57AD">
            <w:pPr>
              <w:adjustRightInd w:val="0"/>
              <w:snapToGrid w:val="0"/>
              <w:rPr>
                <w:rFonts w:ascii="宋体" w:hAnsi="宋体" w:cs="宋体"/>
                <w:b/>
                <w:color w:val="auto"/>
                <w:sz w:val="24"/>
                <w:szCs w:val="24"/>
                <w:highlight w:val="none"/>
              </w:rPr>
            </w:pPr>
          </w:p>
        </w:tc>
        <w:tc>
          <w:tcPr>
            <w:tcW w:w="2584" w:type="dxa"/>
          </w:tcPr>
          <w:p w14:paraId="7A3285A2">
            <w:pPr>
              <w:adjustRightInd w:val="0"/>
              <w:snapToGrid w:val="0"/>
              <w:rPr>
                <w:rFonts w:ascii="宋体" w:hAnsi="宋体" w:cs="宋体"/>
                <w:b/>
                <w:color w:val="auto"/>
                <w:sz w:val="24"/>
                <w:szCs w:val="24"/>
                <w:highlight w:val="none"/>
              </w:rPr>
            </w:pPr>
          </w:p>
        </w:tc>
      </w:tr>
      <w:tr w14:paraId="645A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1A8A828E">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14:paraId="59398AF5">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14:paraId="1E76CD3D">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14:paraId="565B78B9">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14:paraId="1130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C261FFE">
            <w:pPr>
              <w:adjustRightInd w:val="0"/>
              <w:snapToGrid w:val="0"/>
              <w:rPr>
                <w:rFonts w:ascii="宋体" w:hAnsi="宋体" w:cs="宋体"/>
                <w:b/>
                <w:color w:val="auto"/>
                <w:sz w:val="24"/>
                <w:szCs w:val="24"/>
                <w:highlight w:val="none"/>
              </w:rPr>
            </w:pPr>
          </w:p>
        </w:tc>
        <w:tc>
          <w:tcPr>
            <w:tcW w:w="2000" w:type="dxa"/>
          </w:tcPr>
          <w:p w14:paraId="4F60531B">
            <w:pPr>
              <w:adjustRightInd w:val="0"/>
              <w:snapToGrid w:val="0"/>
              <w:rPr>
                <w:rFonts w:ascii="宋体" w:hAnsi="宋体" w:cs="宋体"/>
                <w:b/>
                <w:color w:val="auto"/>
                <w:sz w:val="24"/>
                <w:szCs w:val="24"/>
                <w:highlight w:val="none"/>
              </w:rPr>
            </w:pPr>
          </w:p>
        </w:tc>
        <w:tc>
          <w:tcPr>
            <w:tcW w:w="2783" w:type="dxa"/>
          </w:tcPr>
          <w:p w14:paraId="6EEFE516">
            <w:pPr>
              <w:adjustRightInd w:val="0"/>
              <w:snapToGrid w:val="0"/>
              <w:rPr>
                <w:rFonts w:ascii="宋体" w:hAnsi="宋体" w:cs="宋体"/>
                <w:b/>
                <w:color w:val="auto"/>
                <w:sz w:val="24"/>
                <w:szCs w:val="24"/>
                <w:highlight w:val="none"/>
              </w:rPr>
            </w:pPr>
          </w:p>
        </w:tc>
        <w:tc>
          <w:tcPr>
            <w:tcW w:w="2584" w:type="dxa"/>
          </w:tcPr>
          <w:p w14:paraId="064A4F15">
            <w:pPr>
              <w:adjustRightInd w:val="0"/>
              <w:snapToGrid w:val="0"/>
              <w:rPr>
                <w:rFonts w:ascii="宋体" w:hAnsi="宋体" w:cs="宋体"/>
                <w:b/>
                <w:color w:val="auto"/>
                <w:sz w:val="24"/>
                <w:szCs w:val="24"/>
                <w:highlight w:val="none"/>
              </w:rPr>
            </w:pPr>
          </w:p>
        </w:tc>
      </w:tr>
      <w:tr w14:paraId="0DCB0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69CA82C2">
            <w:pPr>
              <w:adjustRightInd w:val="0"/>
              <w:snapToGrid w:val="0"/>
              <w:rPr>
                <w:rFonts w:ascii="宋体" w:hAnsi="宋体" w:cs="宋体"/>
                <w:b/>
                <w:color w:val="auto"/>
                <w:sz w:val="24"/>
                <w:szCs w:val="24"/>
                <w:highlight w:val="none"/>
              </w:rPr>
            </w:pPr>
          </w:p>
        </w:tc>
        <w:tc>
          <w:tcPr>
            <w:tcW w:w="2000" w:type="dxa"/>
          </w:tcPr>
          <w:p w14:paraId="728A1E1D">
            <w:pPr>
              <w:adjustRightInd w:val="0"/>
              <w:snapToGrid w:val="0"/>
              <w:rPr>
                <w:rFonts w:ascii="宋体" w:hAnsi="宋体" w:cs="宋体"/>
                <w:b/>
                <w:color w:val="auto"/>
                <w:sz w:val="24"/>
                <w:szCs w:val="24"/>
                <w:highlight w:val="none"/>
              </w:rPr>
            </w:pPr>
          </w:p>
        </w:tc>
        <w:tc>
          <w:tcPr>
            <w:tcW w:w="2783" w:type="dxa"/>
          </w:tcPr>
          <w:p w14:paraId="5332B037">
            <w:pPr>
              <w:adjustRightInd w:val="0"/>
              <w:snapToGrid w:val="0"/>
              <w:rPr>
                <w:rFonts w:ascii="宋体" w:hAnsi="宋体" w:cs="宋体"/>
                <w:b/>
                <w:color w:val="auto"/>
                <w:sz w:val="24"/>
                <w:szCs w:val="24"/>
                <w:highlight w:val="none"/>
              </w:rPr>
            </w:pPr>
          </w:p>
        </w:tc>
        <w:tc>
          <w:tcPr>
            <w:tcW w:w="2584" w:type="dxa"/>
          </w:tcPr>
          <w:p w14:paraId="3473E893">
            <w:pPr>
              <w:adjustRightInd w:val="0"/>
              <w:snapToGrid w:val="0"/>
              <w:rPr>
                <w:rFonts w:ascii="宋体" w:hAnsi="宋体" w:cs="宋体"/>
                <w:b/>
                <w:color w:val="auto"/>
                <w:sz w:val="24"/>
                <w:szCs w:val="24"/>
                <w:highlight w:val="none"/>
              </w:rPr>
            </w:pPr>
          </w:p>
        </w:tc>
      </w:tr>
      <w:tr w14:paraId="347C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0CAB7A0C">
            <w:pPr>
              <w:adjustRightInd w:val="0"/>
              <w:snapToGrid w:val="0"/>
              <w:rPr>
                <w:rFonts w:ascii="宋体" w:hAnsi="宋体" w:cs="宋体"/>
                <w:b/>
                <w:color w:val="auto"/>
                <w:sz w:val="24"/>
                <w:szCs w:val="24"/>
                <w:highlight w:val="none"/>
              </w:rPr>
            </w:pPr>
          </w:p>
        </w:tc>
        <w:tc>
          <w:tcPr>
            <w:tcW w:w="2000" w:type="dxa"/>
          </w:tcPr>
          <w:p w14:paraId="16244F7F">
            <w:pPr>
              <w:adjustRightInd w:val="0"/>
              <w:snapToGrid w:val="0"/>
              <w:rPr>
                <w:rFonts w:ascii="宋体" w:hAnsi="宋体" w:cs="宋体"/>
                <w:b/>
                <w:color w:val="auto"/>
                <w:sz w:val="24"/>
                <w:szCs w:val="24"/>
                <w:highlight w:val="none"/>
              </w:rPr>
            </w:pPr>
          </w:p>
        </w:tc>
        <w:tc>
          <w:tcPr>
            <w:tcW w:w="2783" w:type="dxa"/>
          </w:tcPr>
          <w:p w14:paraId="7793CBCD">
            <w:pPr>
              <w:adjustRightInd w:val="0"/>
              <w:snapToGrid w:val="0"/>
              <w:rPr>
                <w:rFonts w:ascii="宋体" w:hAnsi="宋体" w:cs="宋体"/>
                <w:b/>
                <w:color w:val="auto"/>
                <w:sz w:val="24"/>
                <w:szCs w:val="24"/>
                <w:highlight w:val="none"/>
              </w:rPr>
            </w:pPr>
          </w:p>
        </w:tc>
        <w:tc>
          <w:tcPr>
            <w:tcW w:w="2584" w:type="dxa"/>
          </w:tcPr>
          <w:p w14:paraId="46D85B65">
            <w:pPr>
              <w:adjustRightInd w:val="0"/>
              <w:snapToGrid w:val="0"/>
              <w:rPr>
                <w:rFonts w:ascii="宋体" w:hAnsi="宋体" w:cs="宋体"/>
                <w:b/>
                <w:color w:val="auto"/>
                <w:sz w:val="24"/>
                <w:szCs w:val="24"/>
                <w:highlight w:val="none"/>
              </w:rPr>
            </w:pPr>
          </w:p>
        </w:tc>
      </w:tr>
      <w:tr w14:paraId="601B3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B797628">
            <w:pPr>
              <w:adjustRightInd w:val="0"/>
              <w:snapToGrid w:val="0"/>
              <w:rPr>
                <w:rFonts w:ascii="宋体" w:hAnsi="宋体" w:cs="宋体"/>
                <w:b/>
                <w:color w:val="auto"/>
                <w:sz w:val="24"/>
                <w:szCs w:val="24"/>
                <w:highlight w:val="none"/>
              </w:rPr>
            </w:pPr>
          </w:p>
        </w:tc>
        <w:tc>
          <w:tcPr>
            <w:tcW w:w="2000" w:type="dxa"/>
          </w:tcPr>
          <w:p w14:paraId="691E7FD3">
            <w:pPr>
              <w:adjustRightInd w:val="0"/>
              <w:snapToGrid w:val="0"/>
              <w:rPr>
                <w:rFonts w:ascii="宋体" w:hAnsi="宋体" w:cs="宋体"/>
                <w:b/>
                <w:color w:val="auto"/>
                <w:sz w:val="24"/>
                <w:szCs w:val="24"/>
                <w:highlight w:val="none"/>
              </w:rPr>
            </w:pPr>
          </w:p>
        </w:tc>
        <w:tc>
          <w:tcPr>
            <w:tcW w:w="2783" w:type="dxa"/>
          </w:tcPr>
          <w:p w14:paraId="56B41102">
            <w:pPr>
              <w:adjustRightInd w:val="0"/>
              <w:snapToGrid w:val="0"/>
              <w:rPr>
                <w:rFonts w:ascii="宋体" w:hAnsi="宋体" w:cs="宋体"/>
                <w:b/>
                <w:color w:val="auto"/>
                <w:sz w:val="24"/>
                <w:szCs w:val="24"/>
                <w:highlight w:val="none"/>
              </w:rPr>
            </w:pPr>
          </w:p>
        </w:tc>
        <w:tc>
          <w:tcPr>
            <w:tcW w:w="2584" w:type="dxa"/>
          </w:tcPr>
          <w:p w14:paraId="682FE2F4">
            <w:pPr>
              <w:adjustRightInd w:val="0"/>
              <w:snapToGrid w:val="0"/>
              <w:rPr>
                <w:rFonts w:ascii="宋体" w:hAnsi="宋体" w:cs="宋体"/>
                <w:b/>
                <w:color w:val="auto"/>
                <w:sz w:val="24"/>
                <w:szCs w:val="24"/>
                <w:highlight w:val="none"/>
              </w:rPr>
            </w:pPr>
          </w:p>
        </w:tc>
      </w:tr>
      <w:tr w14:paraId="22587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01E0AD3B">
            <w:pPr>
              <w:adjustRightInd w:val="0"/>
              <w:snapToGrid w:val="0"/>
              <w:rPr>
                <w:rFonts w:ascii="宋体" w:hAnsi="宋体" w:cs="宋体"/>
                <w:b/>
                <w:color w:val="auto"/>
                <w:sz w:val="24"/>
                <w:szCs w:val="24"/>
                <w:highlight w:val="none"/>
              </w:rPr>
            </w:pPr>
          </w:p>
        </w:tc>
        <w:tc>
          <w:tcPr>
            <w:tcW w:w="2000" w:type="dxa"/>
          </w:tcPr>
          <w:p w14:paraId="71DBE961">
            <w:pPr>
              <w:adjustRightInd w:val="0"/>
              <w:snapToGrid w:val="0"/>
              <w:rPr>
                <w:rFonts w:ascii="宋体" w:hAnsi="宋体" w:cs="宋体"/>
                <w:b/>
                <w:color w:val="auto"/>
                <w:sz w:val="24"/>
                <w:szCs w:val="24"/>
                <w:highlight w:val="none"/>
              </w:rPr>
            </w:pPr>
          </w:p>
        </w:tc>
        <w:tc>
          <w:tcPr>
            <w:tcW w:w="2783" w:type="dxa"/>
          </w:tcPr>
          <w:p w14:paraId="5B7C6CCF">
            <w:pPr>
              <w:adjustRightInd w:val="0"/>
              <w:snapToGrid w:val="0"/>
              <w:rPr>
                <w:rFonts w:ascii="宋体" w:hAnsi="宋体" w:cs="宋体"/>
                <w:b/>
                <w:color w:val="auto"/>
                <w:sz w:val="24"/>
                <w:szCs w:val="24"/>
                <w:highlight w:val="none"/>
              </w:rPr>
            </w:pPr>
          </w:p>
        </w:tc>
        <w:tc>
          <w:tcPr>
            <w:tcW w:w="2584" w:type="dxa"/>
          </w:tcPr>
          <w:p w14:paraId="38701018">
            <w:pPr>
              <w:adjustRightInd w:val="0"/>
              <w:snapToGrid w:val="0"/>
              <w:rPr>
                <w:rFonts w:ascii="宋体" w:hAnsi="宋体" w:cs="宋体"/>
                <w:b/>
                <w:color w:val="auto"/>
                <w:sz w:val="24"/>
                <w:szCs w:val="24"/>
                <w:highlight w:val="none"/>
              </w:rPr>
            </w:pPr>
          </w:p>
        </w:tc>
      </w:tr>
      <w:tr w14:paraId="26FDC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DD27FFB">
            <w:pPr>
              <w:adjustRightInd w:val="0"/>
              <w:snapToGrid w:val="0"/>
              <w:rPr>
                <w:rFonts w:ascii="宋体" w:hAnsi="宋体" w:cs="宋体"/>
                <w:b/>
                <w:color w:val="auto"/>
                <w:sz w:val="24"/>
                <w:szCs w:val="24"/>
                <w:highlight w:val="none"/>
              </w:rPr>
            </w:pPr>
          </w:p>
        </w:tc>
        <w:tc>
          <w:tcPr>
            <w:tcW w:w="2000" w:type="dxa"/>
          </w:tcPr>
          <w:p w14:paraId="54F065E7">
            <w:pPr>
              <w:adjustRightInd w:val="0"/>
              <w:snapToGrid w:val="0"/>
              <w:rPr>
                <w:rFonts w:ascii="宋体" w:hAnsi="宋体" w:cs="宋体"/>
                <w:b/>
                <w:color w:val="auto"/>
                <w:sz w:val="24"/>
                <w:szCs w:val="24"/>
                <w:highlight w:val="none"/>
              </w:rPr>
            </w:pPr>
          </w:p>
        </w:tc>
        <w:tc>
          <w:tcPr>
            <w:tcW w:w="2783" w:type="dxa"/>
          </w:tcPr>
          <w:p w14:paraId="08F688B5">
            <w:pPr>
              <w:adjustRightInd w:val="0"/>
              <w:snapToGrid w:val="0"/>
              <w:rPr>
                <w:rFonts w:ascii="宋体" w:hAnsi="宋体" w:cs="宋体"/>
                <w:b/>
                <w:color w:val="auto"/>
                <w:sz w:val="24"/>
                <w:szCs w:val="24"/>
                <w:highlight w:val="none"/>
              </w:rPr>
            </w:pPr>
          </w:p>
        </w:tc>
        <w:tc>
          <w:tcPr>
            <w:tcW w:w="2584" w:type="dxa"/>
          </w:tcPr>
          <w:p w14:paraId="0E1C0C42">
            <w:pPr>
              <w:adjustRightInd w:val="0"/>
              <w:snapToGrid w:val="0"/>
              <w:rPr>
                <w:rFonts w:ascii="宋体" w:hAnsi="宋体" w:cs="宋体"/>
                <w:b/>
                <w:color w:val="auto"/>
                <w:sz w:val="24"/>
                <w:szCs w:val="24"/>
                <w:highlight w:val="none"/>
              </w:rPr>
            </w:pPr>
          </w:p>
        </w:tc>
      </w:tr>
    </w:tbl>
    <w:p w14:paraId="61260BE9">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3F45190B">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14:paraId="19099982">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14:paraId="184EDD95">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31D16D9F">
      <w:pPr>
        <w:keepNext w:val="0"/>
        <w:keepLines w:val="0"/>
        <w:pageBreakBefore w:val="0"/>
        <w:widowControl w:val="0"/>
        <w:kinsoku/>
        <w:wordWrap/>
        <w:overflowPunct/>
        <w:topLinePunct w:val="0"/>
        <w:autoSpaceDE/>
        <w:autoSpaceDN/>
        <w:bidi w:val="0"/>
        <w:adjustRightInd w:val="0"/>
        <w:snapToGrid w:val="0"/>
        <w:spacing w:line="500" w:lineRule="exact"/>
        <w:ind w:firstLine="720" w:firstLineChars="300"/>
        <w:textAlignment w:val="auto"/>
        <w:rPr>
          <w:rFonts w:ascii="宋体" w:hAnsi="宋体" w:cs="宋体"/>
          <w:color w:val="auto"/>
          <w:sz w:val="24"/>
          <w:szCs w:val="24"/>
          <w:highlight w:val="none"/>
        </w:rPr>
      </w:pPr>
      <w:r>
        <w:rPr>
          <w:rFonts w:hint="eastAsia" w:ascii="宋体" w:hAnsi="宋体" w:cs="宋体"/>
          <w:color w:val="auto"/>
          <w:sz w:val="24"/>
          <w:szCs w:val="24"/>
          <w:highlight w:val="none"/>
          <w:u w:val="single"/>
        </w:rPr>
        <w:t>（投标人名称）</w:t>
      </w:r>
      <w:r>
        <w:rPr>
          <w:rFonts w:hint="eastAsia" w:ascii="宋体" w:hAnsi="宋体" w:cs="宋体"/>
          <w:color w:val="auto"/>
          <w:sz w:val="24"/>
          <w:szCs w:val="24"/>
          <w:highlight w:val="none"/>
        </w:rPr>
        <w:t>系中华人民共和国合法企业（其他组织），经营地址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18E6EA5A">
      <w:pPr>
        <w:keepNext w:val="0"/>
        <w:keepLines w:val="0"/>
        <w:pageBreakBefore w:val="0"/>
        <w:widowControl w:val="0"/>
        <w:kinsoku/>
        <w:wordWrap/>
        <w:overflowPunct/>
        <w:topLinePunct w:val="0"/>
        <w:autoSpaceDE/>
        <w:autoSpaceDN/>
        <w:bidi w:val="0"/>
        <w:adjustRightInd w:val="0"/>
        <w:snapToGrid w:val="0"/>
        <w:spacing w:line="500" w:lineRule="exact"/>
        <w:ind w:firstLine="645"/>
        <w:textAlignment w:val="auto"/>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我（姓名）系（投标人名称）的法定代表人（负责人），我方愿意参加贵方组织的项目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的投标，为便于贵方公正、择优地确定中标人及其投标产品和服务，我方就本次投标有关事项郑重声明如下：</w:t>
      </w:r>
    </w:p>
    <w:p w14:paraId="0CF1CC1A">
      <w:pPr>
        <w:keepNext w:val="0"/>
        <w:keepLines w:val="0"/>
        <w:pageBreakBefore w:val="0"/>
        <w:widowControl w:val="0"/>
        <w:numPr>
          <w:ilvl w:val="0"/>
          <w:numId w:val="11"/>
        </w:numPr>
        <w:kinsoku/>
        <w:wordWrap/>
        <w:overflowPunct/>
        <w:topLinePunct w:val="0"/>
        <w:autoSpaceDE/>
        <w:autoSpaceDN/>
        <w:bidi w:val="0"/>
        <w:adjustRightInd w:val="0"/>
        <w:snapToGrid w:val="0"/>
        <w:spacing w:line="50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14:paraId="73693F8B">
      <w:pPr>
        <w:keepNext w:val="0"/>
        <w:keepLines w:val="0"/>
        <w:pageBreakBefore w:val="0"/>
        <w:widowControl w:val="0"/>
        <w:numPr>
          <w:ilvl w:val="0"/>
          <w:numId w:val="11"/>
        </w:numPr>
        <w:kinsoku/>
        <w:wordWrap/>
        <w:overflowPunct/>
        <w:topLinePunct w:val="0"/>
        <w:autoSpaceDE/>
        <w:autoSpaceDN/>
        <w:bidi w:val="0"/>
        <w:adjustRightInd w:val="0"/>
        <w:snapToGrid w:val="0"/>
        <w:spacing w:line="50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14:paraId="119908E0">
      <w:pPr>
        <w:keepNext w:val="0"/>
        <w:keepLines w:val="0"/>
        <w:pageBreakBefore w:val="0"/>
        <w:widowControl w:val="0"/>
        <w:numPr>
          <w:ilvl w:val="0"/>
          <w:numId w:val="11"/>
        </w:numPr>
        <w:kinsoku/>
        <w:wordWrap/>
        <w:overflowPunct/>
        <w:topLinePunct w:val="0"/>
        <w:autoSpaceDE/>
        <w:autoSpaceDN/>
        <w:bidi w:val="0"/>
        <w:adjustRightInd w:val="0"/>
        <w:snapToGrid w:val="0"/>
        <w:spacing w:line="50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14:paraId="68CBE497">
      <w:pPr>
        <w:keepNext w:val="0"/>
        <w:keepLines w:val="0"/>
        <w:pageBreakBefore w:val="0"/>
        <w:widowControl w:val="0"/>
        <w:numPr>
          <w:ilvl w:val="0"/>
          <w:numId w:val="11"/>
        </w:numPr>
        <w:kinsoku/>
        <w:wordWrap/>
        <w:overflowPunct/>
        <w:topLinePunct w:val="0"/>
        <w:autoSpaceDE/>
        <w:autoSpaceDN/>
        <w:bidi w:val="0"/>
        <w:adjustRightInd w:val="0"/>
        <w:snapToGrid w:val="0"/>
        <w:spacing w:line="50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14:paraId="5CF4B3EF">
      <w:pPr>
        <w:keepNext w:val="0"/>
        <w:keepLines w:val="0"/>
        <w:pageBreakBefore w:val="0"/>
        <w:widowControl w:val="0"/>
        <w:numPr>
          <w:ilvl w:val="0"/>
          <w:numId w:val="11"/>
        </w:numPr>
        <w:kinsoku/>
        <w:wordWrap/>
        <w:overflowPunct/>
        <w:topLinePunct w:val="0"/>
        <w:autoSpaceDE/>
        <w:autoSpaceDN/>
        <w:bidi w:val="0"/>
        <w:adjustRightInd w:val="0"/>
        <w:snapToGrid w:val="0"/>
        <w:spacing w:line="50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14:paraId="2A87F17D">
      <w:pPr>
        <w:keepNext w:val="0"/>
        <w:keepLines w:val="0"/>
        <w:pageBreakBefore w:val="0"/>
        <w:widowControl w:val="0"/>
        <w:numPr>
          <w:ilvl w:val="0"/>
          <w:numId w:val="11"/>
        </w:numPr>
        <w:kinsoku/>
        <w:wordWrap/>
        <w:overflowPunct/>
        <w:topLinePunct w:val="0"/>
        <w:autoSpaceDE/>
        <w:autoSpaceDN/>
        <w:bidi w:val="0"/>
        <w:adjustRightInd w:val="0"/>
        <w:snapToGrid w:val="0"/>
        <w:spacing w:line="50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日。以上事项如有虚假或隐瞒，我方愿意承担一切后果，并不再寻求任何旨在减轻或免除法律责任的辩解。</w:t>
      </w:r>
    </w:p>
    <w:p w14:paraId="0D42A29C">
      <w:pPr>
        <w:adjustRightInd w:val="0"/>
        <w:snapToGrid w:val="0"/>
        <w:spacing w:line="400" w:lineRule="exact"/>
        <w:ind w:left="-4" w:leftChars="-2" w:right="-816" w:rightChars="-389" w:firstLine="2"/>
        <w:rPr>
          <w:rFonts w:ascii="宋体" w:hAnsi="宋体" w:cs="宋体"/>
          <w:color w:val="auto"/>
          <w:sz w:val="24"/>
          <w:szCs w:val="24"/>
          <w:highlight w:val="none"/>
        </w:rPr>
      </w:pPr>
    </w:p>
    <w:p w14:paraId="4A47CD00">
      <w:pPr>
        <w:adjustRightInd w:val="0"/>
        <w:snapToGrid w:val="0"/>
        <w:spacing w:line="400" w:lineRule="exact"/>
        <w:ind w:left="-4" w:leftChars="-2" w:right="-816" w:rightChars="-389" w:firstLine="2"/>
        <w:rPr>
          <w:rFonts w:ascii="宋体" w:hAnsi="宋体" w:cs="宋体"/>
          <w:color w:val="auto"/>
          <w:sz w:val="24"/>
          <w:szCs w:val="24"/>
          <w:highlight w:val="none"/>
        </w:rPr>
      </w:pPr>
    </w:p>
    <w:p w14:paraId="714BCF38">
      <w:pPr>
        <w:adjustRightInd w:val="0"/>
        <w:snapToGrid w:val="0"/>
        <w:spacing w:line="400" w:lineRule="exact"/>
        <w:ind w:left="-4" w:leftChars="-2" w:right="-816" w:rightChars="-389" w:firstLine="2"/>
        <w:rPr>
          <w:rFonts w:ascii="宋体" w:hAnsi="宋体" w:cs="宋体"/>
          <w:color w:val="auto"/>
          <w:sz w:val="24"/>
          <w:szCs w:val="24"/>
          <w:highlight w:val="none"/>
        </w:rPr>
      </w:pPr>
    </w:p>
    <w:p w14:paraId="1377F90F">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6B124FF3">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3CDAAE2C">
      <w:pPr>
        <w:adjustRightInd w:val="0"/>
        <w:snapToGrid w:val="0"/>
        <w:spacing w:line="400" w:lineRule="exact"/>
        <w:ind w:left="-2" w:leftChars="-1" w:right="-816"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28F419CC">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14:paraId="53730A26">
      <w:pPr>
        <w:pStyle w:val="7"/>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2.1 </w:t>
      </w:r>
      <w:r>
        <w:rPr>
          <w:rFonts w:hint="eastAsia" w:ascii="宋体" w:hAnsi="宋体" w:eastAsia="宋体" w:cs="宋体"/>
          <w:color w:val="auto"/>
          <w:sz w:val="24"/>
          <w:szCs w:val="24"/>
          <w:highlight w:val="none"/>
          <w:lang w:val="en-US" w:eastAsia="zh-CN"/>
        </w:rPr>
        <w:t>法定代表人身份证明书</w:t>
      </w:r>
    </w:p>
    <w:p w14:paraId="6E0CE238">
      <w:pPr>
        <w:rPr>
          <w:rFonts w:hint="eastAsia" w:ascii="宋体" w:hAnsi="宋体" w:eastAsia="宋体" w:cs="宋体"/>
          <w:color w:val="auto"/>
          <w:sz w:val="24"/>
          <w:szCs w:val="24"/>
          <w:highlight w:val="none"/>
          <w:lang w:val="en-US" w:eastAsia="zh-CN"/>
        </w:rPr>
      </w:pPr>
    </w:p>
    <w:p w14:paraId="4F9B38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姓名：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            </w:t>
      </w:r>
    </w:p>
    <w:p w14:paraId="5601CF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性别：              </w:t>
      </w:r>
    </w:p>
    <w:p w14:paraId="0750D1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none"/>
        </w:rPr>
        <w:t>年龄</w:t>
      </w:r>
      <w:r>
        <w:rPr>
          <w:rFonts w:hint="eastAsia" w:ascii="宋体" w:hAnsi="宋体" w:eastAsia="宋体" w:cs="宋体"/>
          <w:color w:val="auto"/>
          <w:kern w:val="2"/>
          <w:sz w:val="24"/>
          <w:szCs w:val="24"/>
          <w:highlight w:val="none"/>
          <w:u w:val="none"/>
          <w:lang w:eastAsia="zh-CN"/>
        </w:rPr>
        <w:t>：</w:t>
      </w:r>
    </w:p>
    <w:p w14:paraId="430669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u w:val="none"/>
          <w:lang w:val="en-US" w:eastAsia="zh-CN"/>
        </w:rPr>
      </w:pPr>
      <w:r>
        <w:rPr>
          <w:rFonts w:hint="eastAsia" w:ascii="宋体" w:hAnsi="宋体" w:eastAsia="宋体" w:cs="宋体"/>
          <w:color w:val="auto"/>
          <w:kern w:val="2"/>
          <w:sz w:val="24"/>
          <w:szCs w:val="24"/>
          <w:highlight w:val="none"/>
          <w:u w:val="none"/>
          <w:lang w:val="en-US" w:eastAsia="zh-CN"/>
        </w:rPr>
        <w:t>身份证号：</w:t>
      </w:r>
    </w:p>
    <w:p w14:paraId="30AD6A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u w:val="none"/>
          <w:lang w:val="en-US" w:eastAsia="zh-CN"/>
        </w:rPr>
      </w:pPr>
      <w:r>
        <w:rPr>
          <w:rFonts w:hint="eastAsia" w:ascii="宋体" w:hAnsi="宋体" w:eastAsia="宋体" w:cs="宋体"/>
          <w:color w:val="auto"/>
          <w:kern w:val="2"/>
          <w:sz w:val="24"/>
          <w:szCs w:val="24"/>
          <w:highlight w:val="none"/>
          <w:u w:val="none"/>
          <w:lang w:val="en-US" w:eastAsia="zh-CN"/>
        </w:rPr>
        <w:t>家庭住址：</w:t>
      </w:r>
    </w:p>
    <w:p w14:paraId="2B091F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2"/>
          <w:sz w:val="24"/>
          <w:szCs w:val="24"/>
          <w:highlight w:val="none"/>
          <w:u w:val="none"/>
          <w:lang w:val="en-US" w:eastAsia="zh-CN"/>
        </w:rPr>
      </w:pPr>
      <w:r>
        <w:rPr>
          <w:rFonts w:hint="eastAsia" w:ascii="宋体" w:hAnsi="宋体" w:eastAsia="宋体" w:cs="宋体"/>
          <w:color w:val="auto"/>
          <w:kern w:val="2"/>
          <w:sz w:val="24"/>
          <w:szCs w:val="24"/>
          <w:highlight w:val="none"/>
          <w:u w:val="none"/>
          <w:lang w:val="en-US" w:eastAsia="zh-CN"/>
        </w:rPr>
        <w:t>联系电话：</w:t>
      </w:r>
    </w:p>
    <w:p w14:paraId="52DA41CF">
      <w:pPr>
        <w:pStyle w:val="7"/>
        <w:rPr>
          <w:rFonts w:hint="default" w:ascii="宋体" w:hAnsi="宋体" w:eastAsia="宋体" w:cs="宋体"/>
          <w:color w:val="auto"/>
          <w:sz w:val="24"/>
          <w:szCs w:val="24"/>
          <w:highlight w:val="none"/>
          <w:lang w:val="en-US" w:eastAsia="zh-CN"/>
        </w:rPr>
      </w:pPr>
    </w:p>
    <w:p w14:paraId="4472958F">
      <w:pPr>
        <w:keepNext w:val="0"/>
        <w:keepLines w:val="0"/>
        <w:pageBreakBefore w:val="0"/>
        <w:widowControl w:val="0"/>
        <w:kinsoku/>
        <w:wordWrap/>
        <w:overflowPunct/>
        <w:topLinePunct w:val="0"/>
        <w:autoSpaceDE/>
        <w:autoSpaceDN/>
        <w:bidi w:val="0"/>
        <w:adjustRightInd w:val="0"/>
        <w:snapToGrid w:val="0"/>
        <w:spacing w:line="360" w:lineRule="auto"/>
        <w:ind w:firstLine="420"/>
        <w:textAlignment w:val="auto"/>
        <w:outlineLvl w:val="9"/>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在</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lang w:val="en-US" w:eastAsia="zh-CN"/>
        </w:rPr>
        <w:t>单位名称</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rPr>
        <w:t>任</w:t>
      </w:r>
      <w:r>
        <w:rPr>
          <w:rFonts w:hint="eastAsia" w:ascii="宋体" w:hAnsi="宋体" w:eastAsia="宋体" w:cs="宋体"/>
          <w:color w:val="auto"/>
          <w:kern w:val="2"/>
          <w:sz w:val="24"/>
          <w:szCs w:val="24"/>
          <w:highlight w:val="none"/>
          <w:u w:val="single"/>
        </w:rPr>
        <w:t>xxx(董事长、总经理等)</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rPr>
        <w:t>职务，是</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lang w:val="en-US" w:eastAsia="zh-CN"/>
        </w:rPr>
        <w:t>单位名称</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rPr>
        <w:t>的法定代表人</w:t>
      </w:r>
      <w:r>
        <w:rPr>
          <w:rFonts w:hint="eastAsia" w:ascii="宋体" w:hAnsi="宋体" w:eastAsia="宋体" w:cs="宋体"/>
          <w:color w:val="auto"/>
          <w:kern w:val="2"/>
          <w:sz w:val="24"/>
          <w:szCs w:val="24"/>
          <w:highlight w:val="none"/>
          <w:lang w:eastAsia="zh-CN"/>
        </w:rPr>
        <w:t>。</w:t>
      </w:r>
    </w:p>
    <w:p w14:paraId="6EEB9025">
      <w:pPr>
        <w:keepNext w:val="0"/>
        <w:keepLines w:val="0"/>
        <w:pageBreakBefore w:val="0"/>
        <w:widowControl w:val="0"/>
        <w:kinsoku/>
        <w:wordWrap/>
        <w:overflowPunct/>
        <w:topLinePunct w:val="0"/>
        <w:autoSpaceDE/>
        <w:autoSpaceDN/>
        <w:bidi w:val="0"/>
        <w:adjustRightInd w:val="0"/>
        <w:snapToGrid w:val="0"/>
        <w:spacing w:line="360" w:lineRule="auto"/>
        <w:ind w:firstLine="420"/>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特此证明。</w:t>
      </w:r>
    </w:p>
    <w:p w14:paraId="057A2904">
      <w:pPr>
        <w:keepNext w:val="0"/>
        <w:keepLines w:val="0"/>
        <w:pageBreakBefore w:val="0"/>
        <w:widowControl w:val="0"/>
        <w:kinsoku/>
        <w:wordWrap/>
        <w:overflowPunct/>
        <w:topLinePunct w:val="0"/>
        <w:autoSpaceDE/>
        <w:autoSpaceDN/>
        <w:bidi w:val="0"/>
        <w:adjustRightInd w:val="0"/>
        <w:snapToGrid w:val="0"/>
        <w:spacing w:line="360" w:lineRule="auto"/>
        <w:ind w:firstLine="4560" w:firstLineChars="1900"/>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投标人名称（盖章）：</w:t>
      </w:r>
    </w:p>
    <w:p w14:paraId="417DD821">
      <w:pPr>
        <w:keepNext w:val="0"/>
        <w:keepLines w:val="0"/>
        <w:pageBreakBefore w:val="0"/>
        <w:widowControl w:val="0"/>
        <w:kinsoku/>
        <w:wordWrap/>
        <w:overflowPunct/>
        <w:topLinePunct w:val="0"/>
        <w:autoSpaceDE/>
        <w:autoSpaceDN/>
        <w:bidi w:val="0"/>
        <w:adjustRightInd w:val="0"/>
        <w:snapToGrid w:val="0"/>
        <w:spacing w:line="360" w:lineRule="auto"/>
        <w:ind w:firstLine="420"/>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年</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月</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p w14:paraId="55DD461C">
      <w:pPr>
        <w:adjustRightInd w:val="0"/>
        <w:snapToGrid w:val="0"/>
        <w:spacing w:line="400" w:lineRule="exact"/>
        <w:ind w:firstLine="240" w:firstLineChars="100"/>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附法</w:t>
      </w:r>
      <w:r>
        <w:rPr>
          <w:rFonts w:hint="eastAsia" w:ascii="宋体" w:hAnsi="宋体" w:eastAsia="宋体" w:cs="宋体"/>
          <w:b/>
          <w:bCs/>
          <w:color w:val="auto"/>
          <w:kern w:val="2"/>
          <w:sz w:val="24"/>
          <w:szCs w:val="24"/>
          <w:highlight w:val="none"/>
          <w:lang w:val="en-US" w:eastAsia="zh-CN"/>
        </w:rPr>
        <w:t>定代表人</w:t>
      </w:r>
      <w:r>
        <w:rPr>
          <w:rFonts w:hint="eastAsia" w:ascii="宋体" w:hAnsi="宋体" w:eastAsia="宋体" w:cs="宋体"/>
          <w:b/>
          <w:bCs/>
          <w:color w:val="auto"/>
          <w:kern w:val="2"/>
          <w:sz w:val="24"/>
          <w:szCs w:val="24"/>
          <w:highlight w:val="none"/>
        </w:rPr>
        <w:t>身份证扫描件</w:t>
      </w:r>
    </w:p>
    <w:p w14:paraId="758A112F">
      <w:pPr>
        <w:adjustRightInd w:val="0"/>
        <w:snapToGrid w:val="0"/>
        <w:spacing w:line="400" w:lineRule="exact"/>
        <w:ind w:firstLine="0" w:firstLineChars="0"/>
        <w:outlineLvl w:val="9"/>
        <w:rPr>
          <w:rFonts w:hint="eastAsia" w:ascii="宋体" w:hAnsi="宋体" w:eastAsia="宋体" w:cs="宋体"/>
          <w:b/>
          <w:bCs/>
          <w:color w:val="auto"/>
          <w:kern w:val="2"/>
          <w:sz w:val="24"/>
          <w:szCs w:val="24"/>
          <w:highlight w:val="none"/>
        </w:rPr>
      </w:pPr>
    </w:p>
    <w:p w14:paraId="3EC9269D">
      <w:pPr>
        <w:rPr>
          <w:rFonts w:hint="default"/>
          <w:color w:val="auto"/>
          <w:highlight w:val="none"/>
          <w:lang w:val="en-US" w:eastAsia="zh-CN"/>
        </w:rPr>
      </w:pPr>
    </w:p>
    <w:tbl>
      <w:tblPr>
        <w:tblStyle w:val="39"/>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14:paraId="6BDC4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14:paraId="44EBDC4B">
            <w:pPr>
              <w:adjustRightInd w:val="0"/>
              <w:snapToGrid w:val="0"/>
              <w:spacing w:line="360" w:lineRule="auto"/>
              <w:ind w:right="480"/>
              <w:jc w:val="center"/>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法定代表人身份证正</w:t>
            </w:r>
            <w:r>
              <w:rPr>
                <w:rFonts w:hint="eastAsia" w:ascii="宋体" w:hAnsi="宋体" w:cs="宋体"/>
                <w:color w:val="auto"/>
                <w:sz w:val="24"/>
                <w:szCs w:val="24"/>
                <w:highlight w:val="none"/>
              </w:rPr>
              <w:t>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国徽面</w:t>
            </w:r>
            <w:r>
              <w:rPr>
                <w:rFonts w:hint="eastAsia" w:ascii="宋体" w:hAnsi="宋体" w:cs="宋体"/>
                <w:color w:val="auto"/>
                <w:sz w:val="24"/>
                <w:szCs w:val="24"/>
                <w:highlight w:val="none"/>
                <w:lang w:eastAsia="zh-CN"/>
              </w:rPr>
              <w:t>）</w:t>
            </w:r>
          </w:p>
        </w:tc>
        <w:tc>
          <w:tcPr>
            <w:tcW w:w="4310" w:type="dxa"/>
            <w:vAlign w:val="center"/>
          </w:tcPr>
          <w:p w14:paraId="14DB43A0">
            <w:pPr>
              <w:adjustRightInd w:val="0"/>
              <w:snapToGrid w:val="0"/>
              <w:spacing w:line="360" w:lineRule="auto"/>
              <w:ind w:right="480"/>
              <w:jc w:val="both"/>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法定代表人身份证反面（头像面</w:t>
            </w:r>
            <w:r>
              <w:rPr>
                <w:rFonts w:hint="eastAsia" w:ascii="宋体" w:hAnsi="宋体" w:cs="宋体"/>
                <w:color w:val="auto"/>
                <w:sz w:val="24"/>
                <w:szCs w:val="24"/>
                <w:highlight w:val="none"/>
                <w:lang w:eastAsia="zh-CN"/>
              </w:rPr>
              <w:t>）</w:t>
            </w:r>
          </w:p>
        </w:tc>
      </w:tr>
    </w:tbl>
    <w:p w14:paraId="6733D610">
      <w:pPr>
        <w:rPr>
          <w:rFonts w:hint="default"/>
          <w:color w:val="auto"/>
          <w:highlight w:val="none"/>
          <w:lang w:val="en-US" w:eastAsia="zh-CN"/>
        </w:rPr>
      </w:pPr>
    </w:p>
    <w:p w14:paraId="250096F5">
      <w:pPr>
        <w:rPr>
          <w:rFonts w:hint="default"/>
          <w:color w:val="auto"/>
          <w:highlight w:val="none"/>
          <w:lang w:val="en-US" w:eastAsia="zh-CN"/>
        </w:rPr>
      </w:pPr>
    </w:p>
    <w:p w14:paraId="24F332CC">
      <w:pPr>
        <w:rPr>
          <w:rFonts w:hint="default"/>
          <w:color w:val="auto"/>
          <w:highlight w:val="none"/>
          <w:lang w:val="en-US" w:eastAsia="zh-CN"/>
        </w:rPr>
      </w:pPr>
    </w:p>
    <w:p w14:paraId="24220E11">
      <w:pPr>
        <w:rPr>
          <w:rFonts w:hint="default"/>
          <w:color w:val="auto"/>
          <w:highlight w:val="none"/>
          <w:lang w:val="en-US" w:eastAsia="zh-CN"/>
        </w:rPr>
      </w:pPr>
    </w:p>
    <w:p w14:paraId="1B696D60">
      <w:pPr>
        <w:rPr>
          <w:rFonts w:hint="default"/>
          <w:color w:val="auto"/>
          <w:highlight w:val="none"/>
          <w:lang w:val="en-US" w:eastAsia="zh-CN"/>
        </w:rPr>
      </w:pPr>
    </w:p>
    <w:p w14:paraId="650877CB">
      <w:pPr>
        <w:rPr>
          <w:rFonts w:hint="default"/>
          <w:color w:val="auto"/>
          <w:highlight w:val="none"/>
          <w:lang w:val="en-US" w:eastAsia="zh-CN"/>
        </w:rPr>
      </w:pPr>
    </w:p>
    <w:p w14:paraId="78655C43">
      <w:pPr>
        <w:rPr>
          <w:rFonts w:hint="default"/>
          <w:color w:val="auto"/>
          <w:highlight w:val="none"/>
          <w:lang w:val="en-US" w:eastAsia="zh-CN"/>
        </w:rPr>
      </w:pPr>
    </w:p>
    <w:p w14:paraId="30790920">
      <w:pPr>
        <w:rPr>
          <w:rFonts w:hint="default"/>
          <w:color w:val="auto"/>
          <w:highlight w:val="none"/>
          <w:lang w:val="en-US" w:eastAsia="zh-CN"/>
        </w:rPr>
      </w:pPr>
    </w:p>
    <w:p w14:paraId="1F6E03C3">
      <w:pPr>
        <w:rPr>
          <w:rFonts w:hint="default"/>
          <w:color w:val="auto"/>
          <w:highlight w:val="none"/>
          <w:lang w:val="en-US" w:eastAsia="zh-CN"/>
        </w:rPr>
      </w:pPr>
    </w:p>
    <w:p w14:paraId="55EBC5D1">
      <w:pPr>
        <w:rPr>
          <w:rFonts w:hint="default"/>
          <w:color w:val="auto"/>
          <w:highlight w:val="none"/>
          <w:lang w:val="en-US" w:eastAsia="zh-CN"/>
        </w:rPr>
      </w:pPr>
    </w:p>
    <w:p w14:paraId="02DEAB59">
      <w:pPr>
        <w:rPr>
          <w:rFonts w:hint="default"/>
          <w:color w:val="auto"/>
          <w:highlight w:val="none"/>
          <w:lang w:val="en-US" w:eastAsia="zh-CN"/>
        </w:rPr>
      </w:pPr>
    </w:p>
    <w:p w14:paraId="68DC7D1A">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  2.2  </w:t>
      </w:r>
      <w:r>
        <w:rPr>
          <w:rFonts w:hint="eastAsia" w:ascii="宋体" w:hAnsi="宋体" w:cs="宋体"/>
          <w:b/>
          <w:color w:val="auto"/>
          <w:sz w:val="24"/>
          <w:szCs w:val="24"/>
          <w:highlight w:val="none"/>
        </w:rPr>
        <w:t>授权委托书</w:t>
      </w:r>
    </w:p>
    <w:p w14:paraId="62AC46AF">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（采购代理机构名称）：</w:t>
      </w:r>
    </w:p>
    <w:p w14:paraId="42AF5461">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我</w:t>
      </w:r>
      <w:r>
        <w:rPr>
          <w:rFonts w:hint="eastAsia" w:ascii="宋体" w:hAnsi="宋体" w:cs="宋体"/>
          <w:color w:val="auto"/>
          <w:sz w:val="24"/>
          <w:szCs w:val="24"/>
          <w:highlight w:val="none"/>
          <w:u w:val="single"/>
        </w:rPr>
        <w:t>（姓名）</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（投标人名称）</w:t>
      </w:r>
      <w:r>
        <w:rPr>
          <w:rFonts w:hint="eastAsia" w:ascii="宋体" w:hAnsi="宋体" w:cs="宋体"/>
          <w:color w:val="auto"/>
          <w:sz w:val="24"/>
          <w:szCs w:val="24"/>
          <w:highlight w:val="none"/>
        </w:rPr>
        <w:t>的法定代表人（负责人、自然人），现授权委托</w:t>
      </w:r>
      <w:r>
        <w:rPr>
          <w:rFonts w:hint="eastAsia" w:ascii="宋体" w:hAnsi="宋体" w:cs="宋体"/>
          <w:color w:val="auto"/>
          <w:sz w:val="24"/>
          <w:szCs w:val="24"/>
          <w:highlight w:val="none"/>
          <w:u w:val="single"/>
        </w:rPr>
        <w:t>（姓名）</w:t>
      </w:r>
      <w:r>
        <w:rPr>
          <w:rFonts w:hint="eastAsia" w:ascii="宋体" w:hAnsi="宋体" w:cs="宋体"/>
          <w:color w:val="auto"/>
          <w:sz w:val="24"/>
          <w:szCs w:val="24"/>
          <w:highlight w:val="none"/>
        </w:rPr>
        <w:t>以我方的名义参加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项目（项目编号：        ）</w:t>
      </w:r>
      <w:r>
        <w:rPr>
          <w:rFonts w:hint="eastAsia" w:ascii="宋体" w:hAnsi="宋体" w:cs="宋体"/>
          <w:color w:val="auto"/>
          <w:sz w:val="24"/>
          <w:szCs w:val="24"/>
          <w:highlight w:val="none"/>
        </w:rPr>
        <w:t>的投标活动，并代表我方全权办理针对上述项目的投标、开标、评标、签约等具体事务和签署相关文件。</w:t>
      </w:r>
    </w:p>
    <w:p w14:paraId="3071D5D7">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14:paraId="2BA40BD3">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被授权人在授权书有效期内签署的所有文件不因授权的撤销而失效。</w:t>
      </w:r>
    </w:p>
    <w:p w14:paraId="35EBA6DE">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14:paraId="2F4679CF">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 xml:space="preserve">签名：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被</w:t>
      </w:r>
      <w:r>
        <w:rPr>
          <w:rFonts w:hint="eastAsia" w:ascii="宋体" w:hAnsi="宋体" w:cs="宋体"/>
          <w:color w:val="auto"/>
          <w:sz w:val="24"/>
          <w:szCs w:val="24"/>
          <w:highlight w:val="none"/>
        </w:rPr>
        <w:t>授权人签名：</w:t>
      </w:r>
    </w:p>
    <w:p w14:paraId="3990AC6D">
      <w:pPr>
        <w:adjustRightInd w:val="0"/>
        <w:snapToGrid w:val="0"/>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 xml:space="preserve">职务：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职务：</w:t>
      </w:r>
    </w:p>
    <w:p w14:paraId="3A54C853">
      <w:pPr>
        <w:adjustRightInd w:val="0"/>
        <w:snapToGrid w:val="0"/>
        <w:spacing w:line="360" w:lineRule="auto"/>
        <w:rPr>
          <w:rFonts w:ascii="宋体" w:hAnsi="宋体" w:cs="宋体"/>
          <w:color w:val="auto"/>
          <w:sz w:val="24"/>
          <w:szCs w:val="24"/>
          <w:highlight w:val="none"/>
        </w:rPr>
      </w:pPr>
    </w:p>
    <w:tbl>
      <w:tblPr>
        <w:tblStyle w:val="39"/>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14:paraId="535E2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14:paraId="595CFB93">
            <w:pPr>
              <w:adjustRightInd w:val="0"/>
              <w:snapToGrid w:val="0"/>
              <w:spacing w:line="360" w:lineRule="auto"/>
              <w:ind w:right="480"/>
              <w:jc w:val="both"/>
              <w:rPr>
                <w:rFonts w:hint="default" w:eastAsia="宋体"/>
                <w:color w:val="auto"/>
                <w:highlight w:val="none"/>
                <w:lang w:val="en-US" w:eastAsia="zh-CN"/>
              </w:rPr>
            </w:pPr>
            <w:r>
              <w:rPr>
                <w:rFonts w:hint="eastAsia" w:ascii="宋体" w:hAnsi="宋体" w:cs="宋体"/>
                <w:color w:val="auto"/>
                <w:sz w:val="24"/>
                <w:szCs w:val="24"/>
                <w:highlight w:val="none"/>
              </w:rPr>
              <w:t>授权人身份证正面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国徽面</w:t>
            </w:r>
            <w:r>
              <w:rPr>
                <w:rFonts w:hint="eastAsia" w:ascii="宋体" w:hAnsi="宋体" w:cs="宋体"/>
                <w:color w:val="auto"/>
                <w:sz w:val="24"/>
                <w:szCs w:val="24"/>
                <w:highlight w:val="none"/>
                <w:lang w:eastAsia="zh-CN"/>
              </w:rPr>
              <w:t>）</w:t>
            </w:r>
          </w:p>
        </w:tc>
        <w:tc>
          <w:tcPr>
            <w:tcW w:w="4310" w:type="dxa"/>
            <w:vAlign w:val="center"/>
          </w:tcPr>
          <w:p w14:paraId="0F26FBC7">
            <w:pPr>
              <w:adjustRightInd w:val="0"/>
              <w:snapToGrid w:val="0"/>
              <w:spacing w:line="360" w:lineRule="auto"/>
              <w:ind w:right="480"/>
              <w:jc w:val="both"/>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国徽面</w:t>
            </w:r>
            <w:r>
              <w:rPr>
                <w:rFonts w:hint="eastAsia" w:ascii="宋体" w:hAnsi="宋体" w:cs="宋体"/>
                <w:color w:val="auto"/>
                <w:sz w:val="24"/>
                <w:szCs w:val="24"/>
                <w:highlight w:val="none"/>
                <w:lang w:eastAsia="zh-CN"/>
              </w:rPr>
              <w:t>）</w:t>
            </w:r>
          </w:p>
        </w:tc>
      </w:tr>
      <w:tr w14:paraId="3E322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trPr>
        <w:tc>
          <w:tcPr>
            <w:tcW w:w="4310" w:type="dxa"/>
            <w:vAlign w:val="center"/>
          </w:tcPr>
          <w:p w14:paraId="6819BB1C">
            <w:pPr>
              <w:adjustRightInd w:val="0"/>
              <w:snapToGrid w:val="0"/>
              <w:spacing w:line="360" w:lineRule="auto"/>
              <w:ind w:right="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授权人身份证反面</w:t>
            </w:r>
            <w:r>
              <w:rPr>
                <w:rFonts w:hint="eastAsia" w:ascii="宋体" w:hAnsi="宋体" w:eastAsia="宋体" w:cs="宋体"/>
                <w:color w:val="auto"/>
                <w:sz w:val="24"/>
                <w:szCs w:val="24"/>
                <w:highlight w:val="none"/>
                <w:lang w:val="en-US" w:eastAsia="zh-CN"/>
              </w:rPr>
              <w:t>（头像面）</w:t>
            </w:r>
          </w:p>
        </w:tc>
        <w:tc>
          <w:tcPr>
            <w:tcW w:w="4310" w:type="dxa"/>
            <w:vAlign w:val="center"/>
          </w:tcPr>
          <w:p w14:paraId="3DAE2591">
            <w:pPr>
              <w:adjustRightInd w:val="0"/>
              <w:snapToGrid w:val="0"/>
              <w:spacing w:line="360" w:lineRule="auto"/>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被授权人身份证反面</w:t>
            </w:r>
            <w:r>
              <w:rPr>
                <w:rFonts w:hint="eastAsia" w:ascii="宋体" w:hAnsi="宋体" w:eastAsia="宋体" w:cs="宋体"/>
                <w:color w:val="auto"/>
                <w:sz w:val="24"/>
                <w:szCs w:val="24"/>
                <w:highlight w:val="none"/>
                <w:lang w:val="en-US" w:eastAsia="zh-CN"/>
              </w:rPr>
              <w:t>（头像面）</w:t>
            </w:r>
          </w:p>
        </w:tc>
      </w:tr>
    </w:tbl>
    <w:p w14:paraId="77449F19">
      <w:pPr>
        <w:adjustRightInd w:val="0"/>
        <w:snapToGrid w:val="0"/>
        <w:spacing w:line="360" w:lineRule="auto"/>
        <w:ind w:right="480"/>
        <w:jc w:val="center"/>
        <w:rPr>
          <w:rFonts w:ascii="宋体" w:hAnsi="宋体" w:cs="宋体"/>
          <w:color w:val="auto"/>
          <w:sz w:val="24"/>
          <w:szCs w:val="24"/>
          <w:highlight w:val="none"/>
        </w:rPr>
      </w:pPr>
    </w:p>
    <w:p w14:paraId="3A9EB399">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14:paraId="3744D042">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117A41B7">
      <w:pPr>
        <w:rPr>
          <w:color w:val="auto"/>
          <w:highlight w:val="none"/>
        </w:rPr>
      </w:pPr>
    </w:p>
    <w:p w14:paraId="09D1F815">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14:paraId="72494CE8">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14:paraId="28F834A7">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14:paraId="679E70A5">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9"/>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14:paraId="53BF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1ADCB658">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14:paraId="066A3BA7">
            <w:pPr>
              <w:pStyle w:val="183"/>
              <w:numPr>
                <w:ilvl w:val="0"/>
                <w:numId w:val="12"/>
              </w:numPr>
              <w:spacing w:line="400" w:lineRule="exact"/>
              <w:ind w:firstLineChars="0"/>
              <w:rPr>
                <w:rFonts w:ascii="宋体" w:hAnsi="宋体" w:cs="宋体"/>
                <w:color w:val="auto"/>
                <w:sz w:val="24"/>
                <w:szCs w:val="24"/>
                <w:highlight w:val="none"/>
              </w:rPr>
            </w:pPr>
          </w:p>
        </w:tc>
      </w:tr>
      <w:tr w14:paraId="31389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27AC562F">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14:paraId="08CD64A2">
            <w:pPr>
              <w:pStyle w:val="183"/>
              <w:numPr>
                <w:ilvl w:val="0"/>
                <w:numId w:val="12"/>
              </w:numPr>
              <w:spacing w:line="400" w:lineRule="exact"/>
              <w:ind w:firstLineChars="0"/>
              <w:rPr>
                <w:rFonts w:ascii="宋体" w:hAnsi="宋体" w:cs="宋体"/>
                <w:color w:val="auto"/>
                <w:sz w:val="24"/>
                <w:szCs w:val="24"/>
                <w:highlight w:val="none"/>
              </w:rPr>
            </w:pPr>
          </w:p>
        </w:tc>
        <w:tc>
          <w:tcPr>
            <w:tcW w:w="1453" w:type="dxa"/>
            <w:vAlign w:val="center"/>
          </w:tcPr>
          <w:p w14:paraId="4F449518">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14:paraId="3648C7B3">
            <w:pPr>
              <w:pStyle w:val="183"/>
              <w:numPr>
                <w:ilvl w:val="0"/>
                <w:numId w:val="12"/>
              </w:numPr>
              <w:spacing w:line="400" w:lineRule="exact"/>
              <w:ind w:firstLineChars="0"/>
              <w:rPr>
                <w:rFonts w:ascii="宋体" w:hAnsi="宋体" w:cs="宋体"/>
                <w:color w:val="auto"/>
                <w:sz w:val="24"/>
                <w:szCs w:val="24"/>
                <w:highlight w:val="none"/>
              </w:rPr>
            </w:pPr>
          </w:p>
        </w:tc>
      </w:tr>
      <w:tr w14:paraId="62A9D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14:paraId="0487C27F">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14:paraId="0FF455E5">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14:paraId="7967262A">
            <w:pPr>
              <w:pStyle w:val="183"/>
              <w:numPr>
                <w:ilvl w:val="0"/>
                <w:numId w:val="12"/>
              </w:numPr>
              <w:spacing w:line="400" w:lineRule="exact"/>
              <w:ind w:firstLineChars="0"/>
              <w:rPr>
                <w:rFonts w:ascii="宋体" w:hAnsi="宋体" w:cs="宋体"/>
                <w:color w:val="auto"/>
                <w:sz w:val="24"/>
                <w:szCs w:val="24"/>
                <w:highlight w:val="none"/>
              </w:rPr>
            </w:pPr>
          </w:p>
        </w:tc>
        <w:tc>
          <w:tcPr>
            <w:tcW w:w="1453" w:type="dxa"/>
            <w:vAlign w:val="center"/>
          </w:tcPr>
          <w:p w14:paraId="1521A598">
            <w:pPr>
              <w:pStyle w:val="183"/>
              <w:numPr>
                <w:ilvl w:val="0"/>
                <w:numId w:val="12"/>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14:paraId="2ECC7C71">
            <w:pPr>
              <w:pStyle w:val="183"/>
              <w:numPr>
                <w:ilvl w:val="0"/>
                <w:numId w:val="12"/>
              </w:numPr>
              <w:spacing w:line="400" w:lineRule="exact"/>
              <w:ind w:firstLineChars="0"/>
              <w:rPr>
                <w:rFonts w:ascii="宋体" w:hAnsi="宋体" w:cs="宋体"/>
                <w:color w:val="auto"/>
                <w:sz w:val="24"/>
                <w:szCs w:val="24"/>
                <w:highlight w:val="none"/>
              </w:rPr>
            </w:pPr>
          </w:p>
        </w:tc>
      </w:tr>
      <w:tr w14:paraId="40D1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14:paraId="1640582C">
            <w:pPr>
              <w:pStyle w:val="183"/>
              <w:numPr>
                <w:ilvl w:val="0"/>
                <w:numId w:val="12"/>
              </w:numPr>
              <w:spacing w:line="400" w:lineRule="exact"/>
              <w:ind w:firstLineChars="0"/>
              <w:rPr>
                <w:rFonts w:ascii="宋体" w:hAnsi="宋体" w:cs="宋体"/>
                <w:color w:val="auto"/>
                <w:sz w:val="24"/>
                <w:szCs w:val="24"/>
                <w:highlight w:val="none"/>
              </w:rPr>
            </w:pPr>
          </w:p>
        </w:tc>
        <w:tc>
          <w:tcPr>
            <w:tcW w:w="1053" w:type="dxa"/>
            <w:vAlign w:val="center"/>
          </w:tcPr>
          <w:p w14:paraId="0331D8E6">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14:paraId="048BEA7C">
            <w:pPr>
              <w:pStyle w:val="183"/>
              <w:numPr>
                <w:ilvl w:val="0"/>
                <w:numId w:val="12"/>
              </w:numPr>
              <w:spacing w:line="400" w:lineRule="exact"/>
              <w:ind w:firstLineChars="0"/>
              <w:rPr>
                <w:rFonts w:ascii="宋体" w:hAnsi="宋体" w:cs="宋体"/>
                <w:color w:val="auto"/>
                <w:sz w:val="24"/>
                <w:szCs w:val="24"/>
                <w:highlight w:val="none"/>
              </w:rPr>
            </w:pPr>
          </w:p>
        </w:tc>
        <w:tc>
          <w:tcPr>
            <w:tcW w:w="1453" w:type="dxa"/>
            <w:vAlign w:val="center"/>
          </w:tcPr>
          <w:p w14:paraId="790404AE">
            <w:pPr>
              <w:pStyle w:val="183"/>
              <w:numPr>
                <w:ilvl w:val="0"/>
                <w:numId w:val="12"/>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14:paraId="19614616">
            <w:pPr>
              <w:pStyle w:val="183"/>
              <w:numPr>
                <w:ilvl w:val="0"/>
                <w:numId w:val="12"/>
              </w:numPr>
              <w:spacing w:line="400" w:lineRule="exact"/>
              <w:ind w:firstLineChars="0"/>
              <w:rPr>
                <w:rFonts w:ascii="宋体" w:hAnsi="宋体" w:cs="宋体"/>
                <w:color w:val="auto"/>
                <w:sz w:val="24"/>
                <w:szCs w:val="24"/>
                <w:highlight w:val="none"/>
              </w:rPr>
            </w:pPr>
          </w:p>
        </w:tc>
      </w:tr>
      <w:tr w14:paraId="1851B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29E5965F">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14:paraId="241E8C4E">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20283547">
            <w:pPr>
              <w:pStyle w:val="183"/>
              <w:numPr>
                <w:ilvl w:val="0"/>
                <w:numId w:val="12"/>
              </w:numPr>
              <w:spacing w:line="400" w:lineRule="exact"/>
              <w:ind w:firstLineChars="0"/>
              <w:rPr>
                <w:rFonts w:ascii="宋体" w:hAnsi="宋体" w:cs="宋体"/>
                <w:color w:val="auto"/>
                <w:sz w:val="24"/>
                <w:szCs w:val="24"/>
                <w:highlight w:val="none"/>
              </w:rPr>
            </w:pPr>
          </w:p>
        </w:tc>
        <w:tc>
          <w:tcPr>
            <w:tcW w:w="854" w:type="dxa"/>
            <w:vAlign w:val="center"/>
          </w:tcPr>
          <w:p w14:paraId="2DE3D4D5">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14856A52">
            <w:pPr>
              <w:pStyle w:val="183"/>
              <w:numPr>
                <w:ilvl w:val="0"/>
                <w:numId w:val="12"/>
              </w:numPr>
              <w:spacing w:line="400" w:lineRule="exact"/>
              <w:ind w:firstLineChars="0"/>
              <w:rPr>
                <w:rFonts w:ascii="宋体" w:hAnsi="宋体" w:cs="宋体"/>
                <w:color w:val="auto"/>
                <w:sz w:val="24"/>
                <w:szCs w:val="24"/>
                <w:highlight w:val="none"/>
              </w:rPr>
            </w:pPr>
          </w:p>
        </w:tc>
        <w:tc>
          <w:tcPr>
            <w:tcW w:w="765" w:type="dxa"/>
            <w:vAlign w:val="center"/>
          </w:tcPr>
          <w:p w14:paraId="65CF99F6">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461E0A12">
            <w:pPr>
              <w:pStyle w:val="183"/>
              <w:numPr>
                <w:ilvl w:val="0"/>
                <w:numId w:val="12"/>
              </w:numPr>
              <w:spacing w:line="400" w:lineRule="exact"/>
              <w:ind w:firstLineChars="0"/>
              <w:rPr>
                <w:rFonts w:ascii="宋体" w:hAnsi="宋体" w:cs="宋体"/>
                <w:color w:val="auto"/>
                <w:sz w:val="24"/>
                <w:szCs w:val="24"/>
                <w:highlight w:val="none"/>
              </w:rPr>
            </w:pPr>
          </w:p>
        </w:tc>
      </w:tr>
      <w:tr w14:paraId="452A8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771E9E92">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14:paraId="79EDF24F">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255ECE8E">
            <w:pPr>
              <w:pStyle w:val="183"/>
              <w:numPr>
                <w:ilvl w:val="0"/>
                <w:numId w:val="12"/>
              </w:numPr>
              <w:spacing w:line="400" w:lineRule="exact"/>
              <w:ind w:firstLineChars="0"/>
              <w:rPr>
                <w:rFonts w:ascii="宋体" w:hAnsi="宋体" w:cs="宋体"/>
                <w:color w:val="auto"/>
                <w:sz w:val="24"/>
                <w:szCs w:val="24"/>
                <w:highlight w:val="none"/>
              </w:rPr>
            </w:pPr>
          </w:p>
        </w:tc>
        <w:tc>
          <w:tcPr>
            <w:tcW w:w="854" w:type="dxa"/>
            <w:vAlign w:val="center"/>
          </w:tcPr>
          <w:p w14:paraId="5DE043FC">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6B7AACE8">
            <w:pPr>
              <w:pStyle w:val="183"/>
              <w:numPr>
                <w:ilvl w:val="0"/>
                <w:numId w:val="12"/>
              </w:numPr>
              <w:spacing w:line="400" w:lineRule="exact"/>
              <w:ind w:firstLineChars="0"/>
              <w:rPr>
                <w:rFonts w:ascii="宋体" w:hAnsi="宋体" w:cs="宋体"/>
                <w:color w:val="auto"/>
                <w:sz w:val="24"/>
                <w:szCs w:val="24"/>
                <w:highlight w:val="none"/>
              </w:rPr>
            </w:pPr>
          </w:p>
        </w:tc>
        <w:tc>
          <w:tcPr>
            <w:tcW w:w="765" w:type="dxa"/>
            <w:vAlign w:val="center"/>
          </w:tcPr>
          <w:p w14:paraId="60BFA2CF">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49909B8B">
            <w:pPr>
              <w:pStyle w:val="183"/>
              <w:numPr>
                <w:ilvl w:val="0"/>
                <w:numId w:val="12"/>
              </w:numPr>
              <w:spacing w:line="400" w:lineRule="exact"/>
              <w:ind w:firstLineChars="0"/>
              <w:rPr>
                <w:rFonts w:ascii="宋体" w:hAnsi="宋体" w:cs="宋体"/>
                <w:color w:val="auto"/>
                <w:sz w:val="24"/>
                <w:szCs w:val="24"/>
                <w:highlight w:val="none"/>
              </w:rPr>
            </w:pPr>
          </w:p>
        </w:tc>
      </w:tr>
      <w:tr w14:paraId="4BA7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17F5D567">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14:paraId="3297FC80">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14AF1FE6">
            <w:pPr>
              <w:pStyle w:val="183"/>
              <w:numPr>
                <w:ilvl w:val="0"/>
                <w:numId w:val="12"/>
              </w:numPr>
              <w:spacing w:line="400" w:lineRule="exact"/>
              <w:ind w:firstLineChars="0"/>
              <w:rPr>
                <w:rFonts w:ascii="宋体" w:hAnsi="宋体" w:cs="宋体"/>
                <w:color w:val="auto"/>
                <w:sz w:val="24"/>
                <w:szCs w:val="24"/>
                <w:highlight w:val="none"/>
              </w:rPr>
            </w:pPr>
          </w:p>
        </w:tc>
        <w:tc>
          <w:tcPr>
            <w:tcW w:w="854" w:type="dxa"/>
            <w:vAlign w:val="center"/>
          </w:tcPr>
          <w:p w14:paraId="4B190CD1">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23B28B79">
            <w:pPr>
              <w:pStyle w:val="183"/>
              <w:numPr>
                <w:ilvl w:val="0"/>
                <w:numId w:val="12"/>
              </w:numPr>
              <w:spacing w:line="400" w:lineRule="exact"/>
              <w:ind w:firstLineChars="0"/>
              <w:rPr>
                <w:rFonts w:ascii="宋体" w:hAnsi="宋体" w:cs="宋体"/>
                <w:color w:val="auto"/>
                <w:sz w:val="24"/>
                <w:szCs w:val="24"/>
                <w:highlight w:val="none"/>
              </w:rPr>
            </w:pPr>
          </w:p>
        </w:tc>
        <w:tc>
          <w:tcPr>
            <w:tcW w:w="765" w:type="dxa"/>
            <w:vAlign w:val="center"/>
          </w:tcPr>
          <w:p w14:paraId="1F1740D9">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09DE7F80">
            <w:pPr>
              <w:pStyle w:val="183"/>
              <w:numPr>
                <w:ilvl w:val="0"/>
                <w:numId w:val="12"/>
              </w:numPr>
              <w:spacing w:line="400" w:lineRule="exact"/>
              <w:ind w:firstLineChars="0"/>
              <w:rPr>
                <w:rFonts w:ascii="宋体" w:hAnsi="宋体" w:cs="宋体"/>
                <w:color w:val="auto"/>
                <w:sz w:val="24"/>
                <w:szCs w:val="24"/>
                <w:highlight w:val="none"/>
              </w:rPr>
            </w:pPr>
          </w:p>
        </w:tc>
      </w:tr>
      <w:tr w14:paraId="5D52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62CFFB45">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14:paraId="22735D00">
            <w:pPr>
              <w:pStyle w:val="183"/>
              <w:numPr>
                <w:ilvl w:val="0"/>
                <w:numId w:val="12"/>
              </w:numPr>
              <w:spacing w:line="400" w:lineRule="exact"/>
              <w:ind w:firstLineChars="0"/>
              <w:rPr>
                <w:rFonts w:ascii="宋体" w:hAnsi="宋体" w:cs="宋体"/>
                <w:color w:val="auto"/>
                <w:sz w:val="24"/>
                <w:szCs w:val="24"/>
                <w:highlight w:val="none"/>
              </w:rPr>
            </w:pPr>
          </w:p>
        </w:tc>
        <w:tc>
          <w:tcPr>
            <w:tcW w:w="2307" w:type="dxa"/>
            <w:gridSpan w:val="2"/>
            <w:vAlign w:val="center"/>
          </w:tcPr>
          <w:p w14:paraId="006BA86A">
            <w:pPr>
              <w:pStyle w:val="183"/>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14:paraId="2053D5C7">
            <w:pPr>
              <w:pStyle w:val="183"/>
              <w:numPr>
                <w:ilvl w:val="0"/>
                <w:numId w:val="12"/>
              </w:numPr>
              <w:spacing w:line="400" w:lineRule="exact"/>
              <w:ind w:firstLineChars="0"/>
              <w:rPr>
                <w:rFonts w:ascii="宋体" w:hAnsi="宋体" w:cs="宋体"/>
                <w:color w:val="auto"/>
                <w:sz w:val="24"/>
                <w:szCs w:val="24"/>
                <w:highlight w:val="none"/>
              </w:rPr>
            </w:pPr>
          </w:p>
        </w:tc>
      </w:tr>
      <w:tr w14:paraId="67F67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14:paraId="1991A372">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14:paraId="595BEAB3">
            <w:pPr>
              <w:pStyle w:val="183"/>
              <w:numPr>
                <w:ilvl w:val="0"/>
                <w:numId w:val="12"/>
              </w:numPr>
              <w:spacing w:line="400" w:lineRule="exact"/>
              <w:ind w:firstLineChars="0"/>
              <w:rPr>
                <w:rFonts w:ascii="宋体" w:hAnsi="宋体" w:cs="宋体"/>
                <w:color w:val="auto"/>
                <w:sz w:val="24"/>
                <w:szCs w:val="24"/>
                <w:highlight w:val="none"/>
              </w:rPr>
            </w:pPr>
          </w:p>
        </w:tc>
      </w:tr>
      <w:tr w14:paraId="4888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14:paraId="19871D77">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14:paraId="1200BFC7">
            <w:pPr>
              <w:pStyle w:val="183"/>
              <w:numPr>
                <w:ilvl w:val="0"/>
                <w:numId w:val="12"/>
              </w:numPr>
              <w:spacing w:line="400" w:lineRule="exact"/>
              <w:ind w:firstLineChars="0"/>
              <w:rPr>
                <w:rFonts w:ascii="宋体" w:hAnsi="宋体" w:cs="宋体"/>
                <w:color w:val="auto"/>
                <w:sz w:val="24"/>
                <w:szCs w:val="24"/>
                <w:highlight w:val="none"/>
              </w:rPr>
            </w:pPr>
          </w:p>
        </w:tc>
        <w:tc>
          <w:tcPr>
            <w:tcW w:w="2307" w:type="dxa"/>
            <w:gridSpan w:val="2"/>
            <w:vAlign w:val="center"/>
          </w:tcPr>
          <w:p w14:paraId="729C9DF7">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14:paraId="6D45A241">
            <w:pPr>
              <w:pStyle w:val="183"/>
              <w:numPr>
                <w:ilvl w:val="0"/>
                <w:numId w:val="12"/>
              </w:numPr>
              <w:spacing w:line="400" w:lineRule="exact"/>
              <w:ind w:firstLineChars="0"/>
              <w:rPr>
                <w:rFonts w:ascii="宋体" w:hAnsi="宋体" w:cs="宋体"/>
                <w:color w:val="auto"/>
                <w:sz w:val="24"/>
                <w:szCs w:val="24"/>
                <w:highlight w:val="none"/>
              </w:rPr>
            </w:pPr>
          </w:p>
        </w:tc>
      </w:tr>
      <w:tr w14:paraId="548E3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3743BA23">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14:paraId="6EFB8985">
            <w:pPr>
              <w:pStyle w:val="183"/>
              <w:numPr>
                <w:ilvl w:val="0"/>
                <w:numId w:val="12"/>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00786DC0">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14:paraId="5BD26569">
            <w:pPr>
              <w:pStyle w:val="183"/>
              <w:numPr>
                <w:ilvl w:val="0"/>
                <w:numId w:val="12"/>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14:paraId="2F161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029A7AD3">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14:paraId="71DED5E6">
            <w:pPr>
              <w:pStyle w:val="183"/>
              <w:numPr>
                <w:ilvl w:val="0"/>
                <w:numId w:val="12"/>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64B1A044">
            <w:pPr>
              <w:pStyle w:val="183"/>
              <w:numPr>
                <w:ilvl w:val="0"/>
                <w:numId w:val="12"/>
              </w:numPr>
              <w:spacing w:line="400" w:lineRule="exact"/>
              <w:ind w:firstLineChars="0"/>
              <w:rPr>
                <w:rFonts w:ascii="宋体" w:hAnsi="宋体" w:cs="宋体"/>
                <w:color w:val="auto"/>
                <w:sz w:val="24"/>
                <w:szCs w:val="24"/>
                <w:highlight w:val="none"/>
              </w:rPr>
            </w:pPr>
          </w:p>
        </w:tc>
        <w:tc>
          <w:tcPr>
            <w:tcW w:w="2165" w:type="dxa"/>
            <w:gridSpan w:val="2"/>
            <w:vAlign w:val="center"/>
          </w:tcPr>
          <w:p w14:paraId="032EF0E3">
            <w:pPr>
              <w:pStyle w:val="183"/>
              <w:numPr>
                <w:ilvl w:val="0"/>
                <w:numId w:val="12"/>
              </w:numPr>
              <w:spacing w:line="400" w:lineRule="exact"/>
              <w:ind w:firstLineChars="0"/>
              <w:rPr>
                <w:rFonts w:ascii="宋体" w:hAnsi="宋体" w:cs="宋体"/>
                <w:color w:val="auto"/>
                <w:sz w:val="24"/>
                <w:szCs w:val="24"/>
                <w:highlight w:val="none"/>
              </w:rPr>
            </w:pPr>
          </w:p>
        </w:tc>
      </w:tr>
      <w:tr w14:paraId="79531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51F2CFD8">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14:paraId="30F96E6C">
            <w:pPr>
              <w:pStyle w:val="183"/>
              <w:numPr>
                <w:ilvl w:val="0"/>
                <w:numId w:val="12"/>
              </w:numPr>
              <w:spacing w:line="400" w:lineRule="exact"/>
              <w:ind w:firstLineChars="0"/>
              <w:rPr>
                <w:rFonts w:ascii="宋体" w:hAnsi="宋体" w:cs="宋体"/>
                <w:color w:val="auto"/>
                <w:sz w:val="24"/>
                <w:szCs w:val="24"/>
                <w:highlight w:val="none"/>
              </w:rPr>
            </w:pPr>
          </w:p>
        </w:tc>
        <w:tc>
          <w:tcPr>
            <w:tcW w:w="2307" w:type="dxa"/>
            <w:gridSpan w:val="2"/>
            <w:vAlign w:val="center"/>
          </w:tcPr>
          <w:p w14:paraId="3B04FA93">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14:paraId="26CBE3AD">
            <w:pPr>
              <w:pStyle w:val="183"/>
              <w:numPr>
                <w:ilvl w:val="0"/>
                <w:numId w:val="12"/>
              </w:numPr>
              <w:spacing w:line="400" w:lineRule="exact"/>
              <w:ind w:firstLineChars="0"/>
              <w:rPr>
                <w:rFonts w:ascii="宋体" w:hAnsi="宋体" w:cs="宋体"/>
                <w:color w:val="auto"/>
                <w:sz w:val="24"/>
                <w:szCs w:val="24"/>
                <w:highlight w:val="none"/>
              </w:rPr>
            </w:pPr>
          </w:p>
        </w:tc>
      </w:tr>
      <w:tr w14:paraId="67A6D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014A0ECD">
            <w:pPr>
              <w:pStyle w:val="183"/>
              <w:spacing w:line="400" w:lineRule="exact"/>
              <w:ind w:left="200" w:leftChars="0" w:hanging="200" w:firstLineChars="0"/>
              <w:jc w:val="both"/>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股权关系</w:t>
            </w:r>
          </w:p>
        </w:tc>
        <w:tc>
          <w:tcPr>
            <w:tcW w:w="6994" w:type="dxa"/>
            <w:gridSpan w:val="6"/>
            <w:vAlign w:val="center"/>
          </w:tcPr>
          <w:p w14:paraId="32AF0236">
            <w:pPr>
              <w:pStyle w:val="183"/>
              <w:numPr>
                <w:ilvl w:val="0"/>
                <w:numId w:val="12"/>
              </w:numPr>
              <w:spacing w:line="400" w:lineRule="exact"/>
              <w:ind w:firstLineChars="0"/>
              <w:rPr>
                <w:rFonts w:ascii="宋体" w:hAnsi="宋体" w:cs="宋体"/>
                <w:color w:val="auto"/>
                <w:sz w:val="24"/>
                <w:szCs w:val="24"/>
                <w:highlight w:val="none"/>
              </w:rPr>
            </w:pPr>
          </w:p>
        </w:tc>
      </w:tr>
      <w:tr w14:paraId="67838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14:paraId="36D4CBC1">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14:paraId="1FF4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1658" w:type="dxa"/>
            <w:vAlign w:val="center"/>
          </w:tcPr>
          <w:p w14:paraId="56F73D9B">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14:paraId="00BF846F">
            <w:pPr>
              <w:pStyle w:val="183"/>
              <w:numPr>
                <w:ilvl w:val="0"/>
                <w:numId w:val="12"/>
              </w:numPr>
              <w:spacing w:line="400" w:lineRule="exact"/>
              <w:ind w:firstLineChars="0"/>
              <w:rPr>
                <w:rFonts w:ascii="宋体" w:hAnsi="宋体" w:cs="宋体"/>
                <w:color w:val="auto"/>
                <w:sz w:val="24"/>
                <w:szCs w:val="24"/>
                <w:highlight w:val="none"/>
              </w:rPr>
            </w:pPr>
          </w:p>
        </w:tc>
      </w:tr>
      <w:tr w14:paraId="6D76D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053FA490">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14:paraId="4B0DFE08">
            <w:pPr>
              <w:pStyle w:val="183"/>
              <w:numPr>
                <w:ilvl w:val="0"/>
                <w:numId w:val="12"/>
              </w:numPr>
              <w:spacing w:line="400" w:lineRule="exact"/>
              <w:ind w:firstLineChars="0"/>
              <w:rPr>
                <w:rFonts w:ascii="宋体" w:hAnsi="宋体" w:cs="宋体"/>
                <w:color w:val="auto"/>
                <w:sz w:val="24"/>
                <w:szCs w:val="24"/>
                <w:highlight w:val="none"/>
              </w:rPr>
            </w:pPr>
          </w:p>
        </w:tc>
      </w:tr>
      <w:tr w14:paraId="03E06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5D89415A">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14:paraId="130F2857">
            <w:pPr>
              <w:pStyle w:val="183"/>
              <w:numPr>
                <w:ilvl w:val="0"/>
                <w:numId w:val="12"/>
              </w:numPr>
              <w:spacing w:line="400" w:lineRule="exact"/>
              <w:ind w:firstLineChars="0"/>
              <w:rPr>
                <w:rFonts w:ascii="宋体" w:hAnsi="宋体" w:cs="宋体"/>
                <w:color w:val="auto"/>
                <w:sz w:val="24"/>
                <w:szCs w:val="24"/>
                <w:highlight w:val="none"/>
              </w:rPr>
            </w:pPr>
          </w:p>
        </w:tc>
      </w:tr>
    </w:tbl>
    <w:p w14:paraId="1D79D482">
      <w:pPr>
        <w:autoSpaceDE w:val="0"/>
        <w:autoSpaceDN w:val="0"/>
        <w:adjustRightInd w:val="0"/>
        <w:snapToGrid w:val="0"/>
        <w:spacing w:line="400" w:lineRule="exact"/>
        <w:ind w:firstLine="470" w:firstLineChars="196"/>
        <w:rPr>
          <w:rFonts w:ascii="宋体" w:hAnsi="宋体" w:cs="宋体"/>
          <w:b/>
          <w:color w:val="auto"/>
          <w:sz w:val="24"/>
          <w:szCs w:val="24"/>
          <w:highlight w:val="none"/>
        </w:rPr>
      </w:pPr>
    </w:p>
    <w:p w14:paraId="6DAC90F9">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29D89549">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00BFBC00">
      <w:pPr>
        <w:adjustRightInd w:val="0"/>
        <w:snapToGrid w:val="0"/>
        <w:spacing w:line="400" w:lineRule="exact"/>
        <w:ind w:left="-2" w:leftChars="-1" w:right="-816"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C9E9C7D">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70B466F9">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14:paraId="42502CC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应提供本单位</w:t>
      </w:r>
      <w:r>
        <w:rPr>
          <w:rFonts w:hint="eastAsia" w:ascii="宋体" w:hAnsi="宋体" w:cs="宋体"/>
          <w:color w:val="auto"/>
          <w:sz w:val="24"/>
          <w:szCs w:val="24"/>
          <w:highlight w:val="none"/>
          <w:lang w:val="en-US" w:eastAsia="zh-CN"/>
        </w:rPr>
        <w:t>2021、2022、2023</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lang w:val="en-US" w:eastAsia="zh-CN"/>
        </w:rPr>
        <w:t>中任意连续两年</w:t>
      </w:r>
      <w:r>
        <w:rPr>
          <w:rFonts w:hint="eastAsia" w:ascii="宋体" w:hAnsi="宋体" w:cs="宋体"/>
          <w:color w:val="auto"/>
          <w:sz w:val="24"/>
          <w:szCs w:val="24"/>
          <w:highlight w:val="none"/>
        </w:rPr>
        <w:t>经会计师事务所出具的审计报告复印件（报告中须包括资产负债表、利润表、现金流量表及财务报表附注）</w:t>
      </w:r>
      <w:r>
        <w:rPr>
          <w:rFonts w:hint="eastAsia" w:ascii="宋体" w:hAnsi="宋体" w:cs="宋体"/>
          <w:color w:val="auto"/>
          <w:sz w:val="24"/>
          <w:szCs w:val="24"/>
          <w:highlight w:val="none"/>
          <w:lang w:eastAsia="zh-CN"/>
        </w:rPr>
        <w:t>。如供应商注册不满</w:t>
      </w:r>
      <w:r>
        <w:rPr>
          <w:rFonts w:hint="eastAsia" w:ascii="宋体" w:hAnsi="宋体" w:cs="宋体"/>
          <w:color w:val="auto"/>
          <w:sz w:val="24"/>
          <w:szCs w:val="24"/>
          <w:highlight w:val="none"/>
          <w:lang w:val="en-US" w:eastAsia="zh-CN"/>
        </w:rPr>
        <w:t>1年无需提供上述资料。</w:t>
      </w:r>
    </w:p>
    <w:p w14:paraId="65C9F84A">
      <w:pPr>
        <w:adjustRightInd w:val="0"/>
        <w:snapToGrid w:val="0"/>
        <w:spacing w:line="400" w:lineRule="exact"/>
        <w:jc w:val="left"/>
        <w:rPr>
          <w:rFonts w:ascii="宋体" w:hAnsi="宋体" w:cs="宋体"/>
          <w:b/>
          <w:color w:val="auto"/>
          <w:sz w:val="24"/>
          <w:szCs w:val="24"/>
          <w:highlight w:val="none"/>
        </w:rPr>
      </w:pPr>
    </w:p>
    <w:p w14:paraId="3CB103F2">
      <w:pPr>
        <w:adjustRightInd w:val="0"/>
        <w:snapToGrid w:val="0"/>
        <w:spacing w:line="400" w:lineRule="exact"/>
        <w:jc w:val="left"/>
        <w:rPr>
          <w:rFonts w:ascii="宋体" w:hAnsi="宋体" w:cs="宋体"/>
          <w:b/>
          <w:color w:val="auto"/>
          <w:sz w:val="24"/>
          <w:szCs w:val="24"/>
          <w:highlight w:val="none"/>
        </w:rPr>
      </w:pPr>
    </w:p>
    <w:p w14:paraId="6ACA5266">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14:paraId="553CA9F5">
      <w:pPr>
        <w:pStyle w:val="196"/>
        <w:autoSpaceDE w:val="0"/>
        <w:autoSpaceDN w:val="0"/>
        <w:adjustRightInd w:val="0"/>
        <w:snapToGrid w:val="0"/>
        <w:spacing w:line="400" w:lineRule="exact"/>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格式：</w:t>
      </w:r>
    </w:p>
    <w:p w14:paraId="23A4CE53">
      <w:pPr>
        <w:pStyle w:val="196"/>
        <w:autoSpaceDE w:val="0"/>
        <w:autoSpaceDN w:val="0"/>
        <w:adjustRightInd w:val="0"/>
        <w:snapToGrid w:val="0"/>
        <w:spacing w:line="40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本投标人郑重声明：</w:t>
      </w:r>
    </w:p>
    <w:p w14:paraId="5C76B6D5">
      <w:pPr>
        <w:pStyle w:val="196"/>
        <w:autoSpaceDE w:val="0"/>
        <w:autoSpaceDN w:val="0"/>
        <w:adjustRightInd w:val="0"/>
        <w:snapToGrid w:val="0"/>
        <w:spacing w:line="4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本公司（或单位）具备本项目履行合同所必需的设备和专业技术能力，特此承诺。 </w:t>
      </w:r>
    </w:p>
    <w:p w14:paraId="7D5E3E6D">
      <w:pPr>
        <w:pStyle w:val="196"/>
        <w:autoSpaceDE w:val="0"/>
        <w:autoSpaceDN w:val="0"/>
        <w:adjustRightInd w:val="0"/>
        <w:snapToGrid w:val="0"/>
        <w:spacing w:line="4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被授权人签字： </w:t>
      </w:r>
    </w:p>
    <w:p w14:paraId="3F2CA6F1">
      <w:pPr>
        <w:pStyle w:val="196"/>
        <w:autoSpaceDE w:val="0"/>
        <w:autoSpaceDN w:val="0"/>
        <w:adjustRightInd w:val="0"/>
        <w:snapToGrid w:val="0"/>
        <w:spacing w:line="4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投标人名称（加盖公章）：</w:t>
      </w:r>
    </w:p>
    <w:p w14:paraId="25818C35">
      <w:pPr>
        <w:pStyle w:val="196"/>
        <w:autoSpaceDE w:val="0"/>
        <w:autoSpaceDN w:val="0"/>
        <w:adjustRightInd w:val="0"/>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日期：</w:t>
      </w:r>
      <w:r>
        <w:rPr>
          <w:rFonts w:hint="eastAsia" w:ascii="宋体" w:hAnsi="宋体" w:cs="宋体"/>
          <w:color w:val="auto"/>
          <w:kern w:val="0"/>
          <w:sz w:val="24"/>
          <w:szCs w:val="24"/>
          <w:highlight w:val="none"/>
        </w:rPr>
        <w:t xml:space="preserve">年 月 日 </w:t>
      </w:r>
    </w:p>
    <w:p w14:paraId="315BFD2F">
      <w:pPr>
        <w:adjustRightInd w:val="0"/>
        <w:snapToGrid w:val="0"/>
        <w:spacing w:line="400" w:lineRule="exact"/>
        <w:jc w:val="left"/>
        <w:rPr>
          <w:rFonts w:ascii="宋体" w:hAnsi="宋体" w:cs="宋体"/>
          <w:b/>
          <w:color w:val="auto"/>
          <w:sz w:val="24"/>
          <w:szCs w:val="24"/>
          <w:highlight w:val="none"/>
        </w:rPr>
      </w:pPr>
    </w:p>
    <w:p w14:paraId="3EF88722">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cs="宋体"/>
          <w:b/>
          <w:color w:val="auto"/>
          <w:sz w:val="24"/>
          <w:szCs w:val="24"/>
          <w:highlight w:val="none"/>
        </w:rPr>
        <w:t>、依法缴纳税收和社会保障资金的良好记录</w:t>
      </w:r>
    </w:p>
    <w:p w14:paraId="3060AAB0">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缴纳税收的证明材料，指</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缴纳增值税和企业所得税两种缴纳凭据；本项目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前6个月内（至少提供1个月）缴纳税收的凭据（</w:t>
      </w:r>
      <w:r>
        <w:rPr>
          <w:rFonts w:hint="eastAsia" w:ascii="宋体" w:hAnsi="宋体" w:eastAsia="宋体" w:cs="宋体"/>
          <w:b w:val="0"/>
          <w:color w:val="auto"/>
          <w:kern w:val="2"/>
          <w:sz w:val="24"/>
          <w:szCs w:val="24"/>
          <w:highlight w:val="none"/>
          <w:lang w:val="en-US" w:eastAsia="zh-CN" w:bidi="ar-SA"/>
        </w:rPr>
        <w:t>完税证、缴款书、印花税票、银行代扣（代缴）转账凭证等均可</w:t>
      </w:r>
      <w:r>
        <w:rPr>
          <w:rFonts w:hint="eastAsia" w:ascii="宋体" w:hAnsi="宋体" w:cs="宋体"/>
          <w:color w:val="auto"/>
          <w:sz w:val="24"/>
          <w:szCs w:val="24"/>
          <w:highlight w:val="none"/>
        </w:rPr>
        <w:t xml:space="preserve">）； </w:t>
      </w:r>
    </w:p>
    <w:p w14:paraId="6437056F">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依法缴纳社会保障资金的证明材料：本项目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 6个月内（至少提供1个月）缴纳社会保险的凭据（专用收据或社会保险交纳清单）； </w:t>
      </w:r>
    </w:p>
    <w:p w14:paraId="6FAE3B67">
      <w:pPr>
        <w:adjustRightInd w:val="0"/>
        <w:snapToGrid w:val="0"/>
        <w:spacing w:line="40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14:paraId="263B81CE">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1B355838">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8</w:t>
      </w:r>
      <w:r>
        <w:rPr>
          <w:rFonts w:hint="eastAsia" w:ascii="宋体" w:hAnsi="宋体" w:cs="宋体"/>
          <w:b/>
          <w:color w:val="auto"/>
          <w:sz w:val="24"/>
          <w:szCs w:val="24"/>
          <w:highlight w:val="none"/>
        </w:rPr>
        <w:t>、前三年内在经营活动中没有重大违法记录的书面声明：</w:t>
      </w:r>
    </w:p>
    <w:p w14:paraId="5436C7B4">
      <w:pPr>
        <w:pStyle w:val="196"/>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14:paraId="4855D575">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b w:val="0"/>
          <w:bCs w:val="0"/>
          <w:color w:val="auto"/>
          <w:sz w:val="24"/>
          <w:szCs w:val="24"/>
          <w:highlight w:val="none"/>
          <w:u w:val="single"/>
        </w:rPr>
        <w:t>（采购人）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8617A84">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14:paraId="19A574BD">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14:paraId="4D3BAB53">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3E0A149B">
      <w:pPr>
        <w:pStyle w:val="196"/>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14:paraId="5E61B0A5">
      <w:pPr>
        <w:widowControl/>
        <w:snapToGrid w:val="0"/>
        <w:spacing w:before="75" w:after="75" w:line="400" w:lineRule="exact"/>
        <w:rPr>
          <w:rFonts w:hAnsi="宋体" w:cs="宋体"/>
          <w:color w:val="auto"/>
          <w:highlight w:val="none"/>
        </w:rPr>
      </w:pPr>
      <w:r>
        <w:rPr>
          <w:rFonts w:hint="eastAsia" w:hAnsi="宋体" w:cs="宋体"/>
          <w:color w:val="auto"/>
          <w:kern w:val="0"/>
          <w:highlight w:val="none"/>
        </w:rPr>
        <w:t>日期：</w:t>
      </w:r>
    </w:p>
    <w:p w14:paraId="70C62392">
      <w:pPr>
        <w:adjustRightInd w:val="0"/>
        <w:snapToGrid w:val="0"/>
        <w:spacing w:line="400" w:lineRule="exact"/>
        <w:jc w:val="left"/>
        <w:rPr>
          <w:rFonts w:ascii="宋体" w:hAnsi="宋体" w:cs="宋体"/>
          <w:b/>
          <w:color w:val="auto"/>
          <w:sz w:val="24"/>
          <w:szCs w:val="24"/>
          <w:highlight w:val="none"/>
        </w:rPr>
      </w:pPr>
    </w:p>
    <w:p w14:paraId="62A66D22">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w:t>
      </w:r>
      <w:r>
        <w:rPr>
          <w:rFonts w:hint="eastAsia" w:ascii="宋体" w:hAnsi="宋体" w:cs="宋体"/>
          <w:b/>
          <w:color w:val="auto"/>
          <w:sz w:val="24"/>
          <w:szCs w:val="24"/>
          <w:highlight w:val="none"/>
          <w:lang w:eastAsia="zh-CN"/>
        </w:rPr>
        <w:t>重大税收违法</w:t>
      </w:r>
      <w:r>
        <w:rPr>
          <w:rFonts w:hint="eastAsia" w:ascii="宋体" w:hAnsi="宋体" w:cs="宋体"/>
          <w:b/>
          <w:color w:val="auto"/>
          <w:sz w:val="24"/>
          <w:szCs w:val="24"/>
          <w:highlight w:val="none"/>
          <w:lang w:val="en-US" w:eastAsia="zh-CN"/>
        </w:rPr>
        <w:t>失信主体</w:t>
      </w:r>
      <w:r>
        <w:rPr>
          <w:rFonts w:hint="eastAsia" w:ascii="宋体" w:hAnsi="宋体" w:cs="宋体"/>
          <w:b/>
          <w:color w:val="auto"/>
          <w:sz w:val="24"/>
          <w:szCs w:val="24"/>
          <w:highlight w:val="none"/>
        </w:rPr>
        <w:t>、政府采购严重违法失信行为记录名单及及其他不符合规定条件的投标人；投标人未被列入“信用中国”网站(www.creditchina.gov.cn)“记录失信被执行人或重大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14:paraId="17C06D92">
      <w:pPr>
        <w:adjustRightInd w:val="0"/>
        <w:snapToGrid w:val="0"/>
        <w:spacing w:line="400" w:lineRule="exact"/>
        <w:jc w:val="left"/>
        <w:rPr>
          <w:rFonts w:hint="eastAsia" w:ascii="宋体" w:hAnsi="宋体" w:cs="宋体"/>
          <w:b/>
          <w:color w:val="auto"/>
          <w:sz w:val="24"/>
          <w:szCs w:val="24"/>
          <w:highlight w:val="none"/>
        </w:rPr>
      </w:pPr>
    </w:p>
    <w:p w14:paraId="1D03AF28">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、投标人已取得的各种有效认证证书、政府部门（企业）或第三方权威鉴定机构出具的信用等级证书或证明复印件 (如有)。</w:t>
      </w:r>
    </w:p>
    <w:p w14:paraId="58270F23">
      <w:pPr>
        <w:adjustRightInd w:val="0"/>
        <w:snapToGrid w:val="0"/>
        <w:spacing w:line="400" w:lineRule="exact"/>
        <w:jc w:val="left"/>
        <w:rPr>
          <w:rFonts w:ascii="宋体" w:hAnsi="宋体" w:cs="宋体"/>
          <w:b/>
          <w:color w:val="auto"/>
          <w:sz w:val="24"/>
          <w:szCs w:val="24"/>
          <w:highlight w:val="none"/>
        </w:rPr>
      </w:pPr>
    </w:p>
    <w:p w14:paraId="26C29099">
      <w:pPr>
        <w:widowControl/>
        <w:snapToGrid w:val="0"/>
        <w:spacing w:line="400" w:lineRule="exact"/>
        <w:jc w:val="left"/>
        <w:rPr>
          <w:rFonts w:ascii="宋体" w:hAnsi="宋体" w:cs="宋体"/>
          <w:b/>
          <w:bCs/>
          <w:color w:val="auto"/>
          <w:sz w:val="24"/>
          <w:szCs w:val="24"/>
          <w:highlight w:val="none"/>
        </w:rPr>
      </w:pPr>
    </w:p>
    <w:p w14:paraId="3DFE97DF">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11</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2021</w:t>
      </w:r>
      <w:r>
        <w:rPr>
          <w:rFonts w:hint="eastAsia" w:ascii="宋体" w:hAnsi="宋体" w:cs="宋体"/>
          <w:b/>
          <w:color w:val="auto"/>
          <w:sz w:val="24"/>
          <w:szCs w:val="24"/>
          <w:highlight w:val="none"/>
          <w:lang w:eastAsia="zh-CN"/>
        </w:rPr>
        <w:t>年</w:t>
      </w:r>
      <w:r>
        <w:rPr>
          <w:rFonts w:hint="eastAsia" w:ascii="宋体" w:hAnsi="宋体" w:cs="宋体"/>
          <w:b/>
          <w:color w:val="auto"/>
          <w:sz w:val="24"/>
          <w:szCs w:val="24"/>
          <w:highlight w:val="none"/>
          <w:lang w:val="en-US" w:eastAsia="zh-CN"/>
        </w:rPr>
        <w:t>9</w:t>
      </w:r>
      <w:r>
        <w:rPr>
          <w:rFonts w:hint="eastAsia" w:ascii="宋体" w:hAnsi="宋体" w:cs="宋体"/>
          <w:b/>
          <w:color w:val="auto"/>
          <w:sz w:val="24"/>
          <w:szCs w:val="24"/>
          <w:highlight w:val="none"/>
          <w:lang w:eastAsia="zh-CN"/>
        </w:rPr>
        <w:t>月</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rPr>
        <w:t>日以来</w:t>
      </w:r>
      <w:r>
        <w:rPr>
          <w:rFonts w:hint="eastAsia" w:ascii="宋体" w:hAnsi="宋体" w:cs="宋体"/>
          <w:b/>
          <w:color w:val="auto"/>
          <w:sz w:val="24"/>
          <w:szCs w:val="24"/>
          <w:highlight w:val="none"/>
          <w:lang w:val="en-US" w:eastAsia="zh-CN"/>
        </w:rPr>
        <w:t>同类</w:t>
      </w:r>
      <w:r>
        <w:rPr>
          <w:rFonts w:hint="eastAsia" w:ascii="宋体" w:hAnsi="宋体" w:cs="宋体"/>
          <w:b/>
          <w:color w:val="auto"/>
          <w:sz w:val="24"/>
          <w:szCs w:val="24"/>
          <w:highlight w:val="none"/>
        </w:rPr>
        <w:t>业绩</w:t>
      </w:r>
    </w:p>
    <w:p w14:paraId="3F640FFB">
      <w:pPr>
        <w:adjustRightInd w:val="0"/>
        <w:snapToGrid w:val="0"/>
        <w:spacing w:line="400" w:lineRule="exact"/>
        <w:ind w:firstLine="470" w:firstLineChars="196"/>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以签订合同时间为准，需</w:t>
      </w:r>
      <w:r>
        <w:rPr>
          <w:rFonts w:hint="eastAsia" w:ascii="宋体" w:hAnsi="宋体" w:cs="宋体"/>
          <w:color w:val="auto"/>
          <w:sz w:val="24"/>
          <w:szCs w:val="24"/>
          <w:highlight w:val="none"/>
          <w:lang w:val="en-US" w:eastAsia="zh-CN"/>
        </w:rPr>
        <w:t>提供中标（成交）通知书和合同复印件</w:t>
      </w:r>
      <w:r>
        <w:rPr>
          <w:rFonts w:hint="eastAsia" w:ascii="宋体" w:hAnsi="宋体" w:cs="宋体"/>
          <w:color w:val="auto"/>
          <w:sz w:val="24"/>
          <w:szCs w:val="24"/>
          <w:highlight w:val="none"/>
        </w:rPr>
        <w:t>，复印件并加盖公章，如出现与事实不符等情况，将根据有关规定以“提供虚假材料谋取中标”予以处罚。</w:t>
      </w:r>
    </w:p>
    <w:p w14:paraId="5D5DB678">
      <w:pPr>
        <w:pStyle w:val="31"/>
        <w:rPr>
          <w:rFonts w:ascii="宋体" w:hAnsi="宋体" w:cs="宋体"/>
          <w:b/>
          <w:bCs/>
          <w:color w:val="auto"/>
          <w:sz w:val="24"/>
          <w:szCs w:val="24"/>
          <w:highlight w:val="none"/>
        </w:rPr>
      </w:pPr>
    </w:p>
    <w:p w14:paraId="0AA4C455">
      <w:pPr>
        <w:pStyle w:val="31"/>
        <w:rPr>
          <w:rFonts w:ascii="宋体" w:hAnsi="宋体" w:cs="宋体"/>
          <w:b/>
          <w:bCs/>
          <w:color w:val="auto"/>
          <w:sz w:val="24"/>
          <w:szCs w:val="24"/>
          <w:highlight w:val="none"/>
        </w:rPr>
      </w:pPr>
    </w:p>
    <w:p w14:paraId="2F0E1398">
      <w:pPr>
        <w:pStyle w:val="31"/>
        <w:rPr>
          <w:rFonts w:ascii="宋体" w:hAnsi="宋体" w:cs="宋体"/>
          <w:b/>
          <w:bCs/>
          <w:color w:val="auto"/>
          <w:sz w:val="24"/>
          <w:szCs w:val="24"/>
          <w:highlight w:val="none"/>
        </w:rPr>
      </w:pPr>
    </w:p>
    <w:p w14:paraId="2FD9CAAD">
      <w:pPr>
        <w:pStyle w:val="31"/>
        <w:rPr>
          <w:rFonts w:ascii="宋体" w:hAnsi="宋体" w:cs="宋体"/>
          <w:b/>
          <w:bCs/>
          <w:color w:val="auto"/>
          <w:sz w:val="24"/>
          <w:szCs w:val="24"/>
          <w:highlight w:val="none"/>
        </w:rPr>
      </w:pPr>
    </w:p>
    <w:p w14:paraId="73A1CBAA">
      <w:pPr>
        <w:pStyle w:val="31"/>
        <w:rPr>
          <w:rFonts w:ascii="宋体" w:hAnsi="宋体" w:cs="宋体"/>
          <w:b/>
          <w:bCs/>
          <w:color w:val="auto"/>
          <w:sz w:val="24"/>
          <w:szCs w:val="24"/>
          <w:highlight w:val="none"/>
        </w:rPr>
      </w:pPr>
    </w:p>
    <w:p w14:paraId="2E5E9B4E">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、政府采购政策扶持证明材料</w:t>
      </w:r>
    </w:p>
    <w:p w14:paraId="38AC288B">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14:paraId="55823F8A">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14:paraId="7D00CDBD">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2CED35C5">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352900F5">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14:paraId="55FD24C5">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14:paraId="0F703872">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14:paraId="123F265C">
      <w:pPr>
        <w:widowControl/>
        <w:snapToGrid w:val="0"/>
        <w:spacing w:before="75" w:after="75" w:line="400" w:lineRule="exact"/>
        <w:ind w:firstLine="480" w:firstLineChars="200"/>
        <w:rPr>
          <w:rFonts w:ascii="宋体" w:hAnsi="宋体" w:cs="宋体"/>
          <w:color w:val="auto"/>
          <w:kern w:val="0"/>
          <w:sz w:val="24"/>
          <w:szCs w:val="24"/>
          <w:highlight w:val="none"/>
        </w:rPr>
      </w:pPr>
    </w:p>
    <w:p w14:paraId="55BFE7F4">
      <w:pPr>
        <w:widowControl/>
        <w:snapToGrid w:val="0"/>
        <w:spacing w:before="75" w:after="75" w:line="400" w:lineRule="exact"/>
        <w:ind w:firstLine="480" w:firstLineChars="200"/>
        <w:rPr>
          <w:rFonts w:ascii="宋体" w:hAnsi="宋体" w:cs="宋体"/>
          <w:color w:val="auto"/>
          <w:kern w:val="0"/>
          <w:sz w:val="24"/>
          <w:szCs w:val="24"/>
          <w:highlight w:val="none"/>
        </w:rPr>
      </w:pPr>
    </w:p>
    <w:p w14:paraId="74C94048">
      <w:pPr>
        <w:widowControl/>
        <w:snapToGrid w:val="0"/>
        <w:spacing w:before="75" w:after="75" w:line="400" w:lineRule="exact"/>
        <w:ind w:firstLine="3840" w:firstLineChars="16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14:paraId="1160A62C">
      <w:pPr>
        <w:widowControl/>
        <w:snapToGrid w:val="0"/>
        <w:spacing w:before="75" w:after="75" w:line="400" w:lineRule="exact"/>
        <w:ind w:firstLine="3990" w:firstLineChars="1900"/>
        <w:rPr>
          <w:rFonts w:hAnsi="宋体" w:cs="宋体"/>
          <w:color w:val="auto"/>
          <w:highlight w:val="none"/>
        </w:rPr>
      </w:pPr>
      <w:r>
        <w:rPr>
          <w:rFonts w:hint="eastAsia" w:hAnsi="宋体" w:cs="宋体"/>
          <w:color w:val="auto"/>
          <w:kern w:val="0"/>
          <w:highlight w:val="none"/>
        </w:rPr>
        <w:t>日期：</w:t>
      </w:r>
    </w:p>
    <w:p w14:paraId="74B99ED0">
      <w:pPr>
        <w:snapToGrid w:val="0"/>
        <w:spacing w:line="400" w:lineRule="exact"/>
        <w:ind w:firstLine="480" w:firstLineChars="200"/>
        <w:rPr>
          <w:rFonts w:hint="eastAsia" w:ascii="宋体" w:hAnsi="宋体" w:cs="宋体"/>
          <w:color w:val="auto"/>
          <w:sz w:val="24"/>
          <w:highlight w:val="none"/>
        </w:rPr>
      </w:pPr>
    </w:p>
    <w:p w14:paraId="58662B3A">
      <w:pPr>
        <w:snapToGrid w:val="0"/>
        <w:spacing w:line="40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14:paraId="5C714B67">
      <w:pPr>
        <w:tabs>
          <w:tab w:val="left" w:pos="3777"/>
          <w:tab w:val="center" w:pos="4819"/>
        </w:tabs>
        <w:snapToGrid w:val="0"/>
        <w:spacing w:line="400" w:lineRule="exact"/>
        <w:ind w:firstLine="3324" w:firstLineChars="1385"/>
        <w:rPr>
          <w:rFonts w:ascii="宋体" w:hAnsi="宋体" w:cs="宋体"/>
          <w:b/>
          <w:color w:val="auto"/>
          <w:sz w:val="24"/>
          <w:szCs w:val="24"/>
          <w:highlight w:val="none"/>
        </w:rPr>
      </w:pPr>
    </w:p>
    <w:p w14:paraId="135EBC6E">
      <w:pPr>
        <w:tabs>
          <w:tab w:val="left" w:pos="3777"/>
          <w:tab w:val="center" w:pos="4819"/>
        </w:tabs>
        <w:snapToGrid w:val="0"/>
        <w:spacing w:line="400" w:lineRule="exact"/>
        <w:ind w:firstLine="3324" w:firstLineChars="1385"/>
        <w:rPr>
          <w:rFonts w:ascii="宋体" w:hAnsi="宋体" w:cs="宋体"/>
          <w:b/>
          <w:color w:val="auto"/>
          <w:sz w:val="24"/>
          <w:szCs w:val="24"/>
          <w:highlight w:val="none"/>
        </w:rPr>
      </w:pPr>
    </w:p>
    <w:p w14:paraId="2A672BE0">
      <w:pPr>
        <w:tabs>
          <w:tab w:val="left" w:pos="3777"/>
          <w:tab w:val="center" w:pos="4819"/>
        </w:tabs>
        <w:snapToGrid w:val="0"/>
        <w:spacing w:line="400" w:lineRule="exact"/>
        <w:ind w:firstLine="3324" w:firstLineChars="1385"/>
        <w:rPr>
          <w:rFonts w:ascii="宋体" w:hAnsi="宋体" w:cs="宋体"/>
          <w:b/>
          <w:color w:val="auto"/>
          <w:sz w:val="24"/>
          <w:szCs w:val="24"/>
          <w:highlight w:val="none"/>
        </w:rPr>
      </w:pPr>
    </w:p>
    <w:p w14:paraId="71596E10">
      <w:pPr>
        <w:tabs>
          <w:tab w:val="left" w:pos="3777"/>
          <w:tab w:val="center" w:pos="4819"/>
        </w:tabs>
        <w:snapToGrid w:val="0"/>
        <w:spacing w:line="400" w:lineRule="exact"/>
        <w:ind w:firstLine="3324" w:firstLineChars="1385"/>
        <w:rPr>
          <w:rFonts w:ascii="宋体" w:hAnsi="宋体" w:cs="宋体"/>
          <w:b/>
          <w:color w:val="auto"/>
          <w:sz w:val="24"/>
          <w:szCs w:val="24"/>
          <w:highlight w:val="none"/>
        </w:rPr>
      </w:pPr>
    </w:p>
    <w:p w14:paraId="22B8C9C2">
      <w:pPr>
        <w:tabs>
          <w:tab w:val="left" w:pos="3777"/>
          <w:tab w:val="center" w:pos="4819"/>
        </w:tabs>
        <w:snapToGrid w:val="0"/>
        <w:spacing w:line="400" w:lineRule="exact"/>
        <w:ind w:firstLine="3324" w:firstLineChars="1385"/>
        <w:rPr>
          <w:rFonts w:ascii="宋体" w:hAnsi="宋体" w:cs="宋体"/>
          <w:b/>
          <w:color w:val="auto"/>
          <w:sz w:val="24"/>
          <w:szCs w:val="24"/>
          <w:highlight w:val="none"/>
        </w:rPr>
      </w:pPr>
    </w:p>
    <w:p w14:paraId="49A9DAB1">
      <w:pPr>
        <w:rPr>
          <w:rFonts w:ascii="宋体" w:hAnsi="宋体" w:cs="宋体"/>
          <w:b/>
          <w:color w:val="auto"/>
          <w:sz w:val="24"/>
          <w:szCs w:val="24"/>
          <w:highlight w:val="none"/>
        </w:rPr>
      </w:pPr>
    </w:p>
    <w:p w14:paraId="61049B01">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14:paraId="10CCE49F">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14:paraId="0FECB76F">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14:paraId="64923765">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14:paraId="28AA39A0">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14:paraId="561173A6">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14:paraId="69996BD6">
      <w:pPr>
        <w:snapToGrid w:val="0"/>
        <w:spacing w:line="400" w:lineRule="exact"/>
        <w:ind w:firstLine="4860" w:firstLineChars="2025"/>
        <w:rPr>
          <w:rFonts w:ascii="宋体" w:hAnsi="宋体" w:cs="宋体"/>
          <w:color w:val="auto"/>
          <w:sz w:val="24"/>
          <w:highlight w:val="none"/>
        </w:rPr>
      </w:pPr>
    </w:p>
    <w:p w14:paraId="345070E4">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2ED228AC">
      <w:pPr>
        <w:pStyle w:val="23"/>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14:paraId="5E3CB4B1">
      <w:pPr>
        <w:pStyle w:val="23"/>
        <w:snapToGrid w:val="0"/>
        <w:spacing w:before="156" w:after="156"/>
        <w:ind w:firstLine="560" w:firstLineChars="200"/>
        <w:jc w:val="left"/>
        <w:rPr>
          <w:rFonts w:hAnsi="宋体" w:cs="宋体"/>
          <w:b/>
          <w:color w:val="auto"/>
          <w:sz w:val="28"/>
          <w:szCs w:val="28"/>
          <w:highlight w:val="none"/>
          <w:lang w:val="zh-CN"/>
        </w:rPr>
      </w:pPr>
    </w:p>
    <w:p w14:paraId="0FB71F1F">
      <w:pPr>
        <w:pStyle w:val="23"/>
        <w:snapToGrid w:val="0"/>
        <w:spacing w:before="156" w:after="156"/>
        <w:ind w:firstLine="420"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14:paraId="46689780">
      <w:pPr>
        <w:pStyle w:val="23"/>
        <w:snapToGrid w:val="0"/>
        <w:spacing w:before="156" w:after="156"/>
        <w:ind w:firstLine="420" w:firstLineChars="200"/>
        <w:jc w:val="center"/>
        <w:rPr>
          <w:rFonts w:hAnsi="宋体" w:cs="宋体"/>
          <w:b/>
          <w:color w:val="auto"/>
          <w:highlight w:val="none"/>
          <w:lang w:val="zh-CN"/>
        </w:rPr>
      </w:pPr>
    </w:p>
    <w:p w14:paraId="17BB496C">
      <w:pPr>
        <w:pStyle w:val="23"/>
        <w:snapToGrid w:val="0"/>
        <w:spacing w:before="156" w:after="156"/>
        <w:ind w:firstLine="560" w:firstLineChars="200"/>
        <w:jc w:val="center"/>
        <w:rPr>
          <w:rFonts w:hAnsi="宋体" w:cs="宋体"/>
          <w:b/>
          <w:color w:val="auto"/>
          <w:sz w:val="28"/>
          <w:szCs w:val="28"/>
          <w:highlight w:val="none"/>
          <w:lang w:val="zh-CN"/>
        </w:rPr>
      </w:pPr>
    </w:p>
    <w:p w14:paraId="6A8B5362">
      <w:pPr>
        <w:pStyle w:val="23"/>
        <w:snapToGrid w:val="0"/>
        <w:spacing w:before="156" w:after="156"/>
        <w:ind w:firstLine="560" w:firstLineChars="200"/>
        <w:jc w:val="center"/>
        <w:rPr>
          <w:rFonts w:hAnsi="宋体" w:cs="宋体"/>
          <w:b/>
          <w:color w:val="auto"/>
          <w:sz w:val="28"/>
          <w:szCs w:val="28"/>
          <w:highlight w:val="none"/>
          <w:lang w:val="zh-CN"/>
        </w:rPr>
      </w:pPr>
    </w:p>
    <w:p w14:paraId="5CCCB3DA">
      <w:pPr>
        <w:pStyle w:val="23"/>
        <w:snapToGrid w:val="0"/>
        <w:spacing w:before="156" w:after="156"/>
        <w:ind w:firstLine="560" w:firstLineChars="200"/>
        <w:jc w:val="center"/>
        <w:rPr>
          <w:rFonts w:hAnsi="宋体" w:cs="宋体"/>
          <w:b/>
          <w:color w:val="auto"/>
          <w:sz w:val="28"/>
          <w:szCs w:val="28"/>
          <w:highlight w:val="none"/>
          <w:lang w:val="zh-CN"/>
        </w:rPr>
      </w:pPr>
    </w:p>
    <w:p w14:paraId="33D8E345">
      <w:pPr>
        <w:pStyle w:val="23"/>
        <w:snapToGrid w:val="0"/>
        <w:spacing w:before="156" w:after="156"/>
        <w:ind w:firstLine="560" w:firstLineChars="200"/>
        <w:jc w:val="center"/>
        <w:rPr>
          <w:rFonts w:hAnsi="宋体" w:cs="宋体"/>
          <w:b/>
          <w:color w:val="auto"/>
          <w:sz w:val="28"/>
          <w:szCs w:val="28"/>
          <w:highlight w:val="none"/>
          <w:lang w:val="zh-CN"/>
        </w:rPr>
      </w:pPr>
    </w:p>
    <w:p w14:paraId="579A87E4">
      <w:pPr>
        <w:pStyle w:val="23"/>
        <w:snapToGrid w:val="0"/>
        <w:spacing w:before="156" w:after="156"/>
        <w:ind w:firstLine="560" w:firstLineChars="200"/>
        <w:jc w:val="center"/>
        <w:rPr>
          <w:rFonts w:hAnsi="宋体" w:cs="宋体"/>
          <w:b/>
          <w:color w:val="auto"/>
          <w:sz w:val="28"/>
          <w:szCs w:val="28"/>
          <w:highlight w:val="none"/>
          <w:lang w:val="zh-CN"/>
        </w:rPr>
      </w:pPr>
    </w:p>
    <w:p w14:paraId="44FF1505">
      <w:pPr>
        <w:pStyle w:val="23"/>
        <w:snapToGrid w:val="0"/>
        <w:spacing w:before="156" w:after="156"/>
        <w:ind w:firstLine="560" w:firstLineChars="200"/>
        <w:jc w:val="center"/>
        <w:rPr>
          <w:rFonts w:hAnsi="宋体" w:cs="宋体"/>
          <w:b/>
          <w:color w:val="auto"/>
          <w:sz w:val="28"/>
          <w:szCs w:val="28"/>
          <w:highlight w:val="none"/>
          <w:lang w:val="zh-CN"/>
        </w:rPr>
      </w:pPr>
    </w:p>
    <w:p w14:paraId="32C68484">
      <w:pPr>
        <w:pStyle w:val="23"/>
        <w:snapToGrid w:val="0"/>
        <w:spacing w:before="156" w:after="156"/>
        <w:ind w:firstLine="560" w:firstLineChars="200"/>
        <w:jc w:val="center"/>
        <w:rPr>
          <w:rFonts w:hAnsi="宋体" w:cs="宋体"/>
          <w:b/>
          <w:color w:val="auto"/>
          <w:sz w:val="28"/>
          <w:szCs w:val="28"/>
          <w:highlight w:val="none"/>
          <w:lang w:val="zh-CN"/>
        </w:rPr>
      </w:pPr>
    </w:p>
    <w:p w14:paraId="4BE5C1E2">
      <w:pPr>
        <w:pStyle w:val="23"/>
        <w:snapToGrid w:val="0"/>
        <w:spacing w:before="156" w:after="156"/>
        <w:ind w:firstLine="560" w:firstLineChars="200"/>
        <w:jc w:val="center"/>
        <w:rPr>
          <w:rFonts w:hAnsi="宋体" w:cs="宋体"/>
          <w:b/>
          <w:color w:val="auto"/>
          <w:sz w:val="28"/>
          <w:szCs w:val="28"/>
          <w:highlight w:val="none"/>
          <w:lang w:val="zh-CN"/>
        </w:rPr>
      </w:pPr>
    </w:p>
    <w:p w14:paraId="4111521A">
      <w:pPr>
        <w:pStyle w:val="23"/>
        <w:snapToGrid w:val="0"/>
        <w:spacing w:before="156" w:after="156"/>
        <w:ind w:firstLine="560" w:firstLineChars="200"/>
        <w:jc w:val="center"/>
        <w:rPr>
          <w:rFonts w:hAnsi="宋体" w:cs="宋体"/>
          <w:b/>
          <w:color w:val="auto"/>
          <w:sz w:val="28"/>
          <w:szCs w:val="28"/>
          <w:highlight w:val="none"/>
          <w:lang w:val="zh-CN"/>
        </w:rPr>
      </w:pPr>
    </w:p>
    <w:p w14:paraId="58C1EFFA">
      <w:pPr>
        <w:pStyle w:val="23"/>
        <w:snapToGrid w:val="0"/>
        <w:spacing w:before="156" w:after="156"/>
        <w:ind w:firstLine="560" w:firstLineChars="200"/>
        <w:jc w:val="left"/>
        <w:rPr>
          <w:rFonts w:hAnsi="宋体" w:cs="宋体"/>
          <w:b/>
          <w:color w:val="auto"/>
          <w:sz w:val="28"/>
          <w:szCs w:val="28"/>
          <w:highlight w:val="none"/>
          <w:lang w:val="zh-CN"/>
        </w:rPr>
      </w:pPr>
    </w:p>
    <w:p w14:paraId="349B5B4B">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13" w:name="OLE_LINK14"/>
      <w:bookmarkStart w:id="114" w:name="OLE_LINK13"/>
      <w:r>
        <w:rPr>
          <w:rFonts w:hint="eastAsia" w:ascii="宋体" w:hAnsi="宋体" w:cs="宋体"/>
          <w:b/>
          <w:color w:val="auto"/>
          <w:sz w:val="24"/>
          <w:szCs w:val="24"/>
          <w:highlight w:val="none"/>
        </w:rPr>
        <w:t>福利性单位声明函</w:t>
      </w:r>
    </w:p>
    <w:p w14:paraId="26E2400B">
      <w:pPr>
        <w:keepNext w:val="0"/>
        <w:keepLines w:val="0"/>
        <w:pageBreakBefore w:val="0"/>
        <w:widowControl w:val="0"/>
        <w:kinsoku/>
        <w:wordWrap/>
        <w:overflowPunct/>
        <w:topLinePunct w:val="0"/>
        <w:autoSpaceDE/>
        <w:autoSpaceDN/>
        <w:bidi w:val="0"/>
        <w:adjustRightInd/>
        <w:snapToGrid w:val="0"/>
        <w:spacing w:line="400" w:lineRule="exact"/>
        <w:ind w:firstLine="0" w:firstLineChars="0"/>
        <w:jc w:val="center"/>
        <w:textAlignment w:val="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13"/>
      <w:bookmarkEnd w:id="114"/>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14:paraId="4183384C">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BBC905">
      <w:pPr>
        <w:pStyle w:val="23"/>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14:paraId="6B60F7E2">
      <w:pPr>
        <w:pStyle w:val="23"/>
        <w:snapToGrid w:val="0"/>
        <w:spacing w:before="156" w:after="156"/>
        <w:ind w:firstLine="444" w:firstLineChars="200"/>
        <w:jc w:val="center"/>
        <w:rPr>
          <w:rFonts w:hAnsi="宋体" w:cs="宋体"/>
          <w:color w:val="auto"/>
          <w:spacing w:val="6"/>
          <w:highlight w:val="none"/>
        </w:rPr>
      </w:pPr>
    </w:p>
    <w:p w14:paraId="4968FD99">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5AE7D1B5">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14:paraId="3D955E33">
      <w:pPr>
        <w:pStyle w:val="198"/>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14:paraId="7008A4AE">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、其他证明文件或</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认为应提交的商务文件</w:t>
      </w:r>
    </w:p>
    <w:p w14:paraId="06404615">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14:paraId="78A1F819">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（2）其他</w:t>
      </w:r>
    </w:p>
    <w:p w14:paraId="149B0A1D">
      <w:pPr>
        <w:widowControl/>
        <w:snapToGrid w:val="0"/>
        <w:spacing w:line="400" w:lineRule="exact"/>
        <w:jc w:val="left"/>
        <w:rPr>
          <w:rFonts w:hint="eastAsia" w:ascii="宋体" w:hAnsi="宋体" w:cs="宋体"/>
          <w:b/>
          <w:bCs/>
          <w:color w:val="auto"/>
          <w:sz w:val="24"/>
          <w:szCs w:val="24"/>
          <w:highlight w:val="none"/>
        </w:rPr>
      </w:pPr>
    </w:p>
    <w:p w14:paraId="447BD33C">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、技术偏离表格式：</w:t>
      </w:r>
    </w:p>
    <w:p w14:paraId="75CE8825">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14:paraId="024BF8A7">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14:paraId="46B51632">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p w14:paraId="3159B06D">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标包</w:t>
      </w:r>
      <w:r>
        <w:rPr>
          <w:rFonts w:hint="eastAsia" w:ascii="宋体" w:hAnsi="宋体" w:cs="宋体"/>
          <w:color w:val="auto"/>
          <w:sz w:val="24"/>
          <w:szCs w:val="24"/>
          <w:highlight w:val="none"/>
        </w:rPr>
        <w:t xml:space="preserve">编号及内容： </w:t>
      </w:r>
    </w:p>
    <w:tbl>
      <w:tblPr>
        <w:tblStyle w:val="39"/>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14:paraId="171C78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14:paraId="4CDCC732">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14:paraId="407EBC27">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14:paraId="1FB5224B">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14:paraId="348395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36F8B4ED">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14:paraId="0EE37CEB">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14:paraId="21FF7E10">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14:paraId="7F9099A3">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14:paraId="3B0DDB4C">
            <w:pPr>
              <w:widowControl/>
              <w:adjustRightInd w:val="0"/>
              <w:snapToGrid w:val="0"/>
              <w:spacing w:line="400" w:lineRule="exact"/>
              <w:jc w:val="center"/>
              <w:rPr>
                <w:rFonts w:ascii="宋体" w:hAnsi="宋体" w:cs="宋体"/>
                <w:color w:val="auto"/>
                <w:sz w:val="24"/>
                <w:szCs w:val="24"/>
                <w:highlight w:val="none"/>
              </w:rPr>
            </w:pPr>
          </w:p>
        </w:tc>
      </w:tr>
      <w:tr w14:paraId="2A9BEA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6F56551C">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0F01096B">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497080E0">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249EA76A">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778BBB26">
            <w:pPr>
              <w:adjustRightInd w:val="0"/>
              <w:snapToGrid w:val="0"/>
              <w:spacing w:line="400" w:lineRule="exact"/>
              <w:jc w:val="center"/>
              <w:rPr>
                <w:rFonts w:ascii="宋体" w:hAnsi="宋体" w:cs="宋体"/>
                <w:color w:val="auto"/>
                <w:sz w:val="24"/>
                <w:szCs w:val="24"/>
                <w:highlight w:val="none"/>
              </w:rPr>
            </w:pPr>
          </w:p>
        </w:tc>
      </w:tr>
      <w:tr w14:paraId="077CBF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4B22C8E4">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358C4560">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3164EC8A">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0C7435DD">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3753D8F0">
            <w:pPr>
              <w:adjustRightInd w:val="0"/>
              <w:snapToGrid w:val="0"/>
              <w:spacing w:line="400" w:lineRule="exact"/>
              <w:jc w:val="center"/>
              <w:rPr>
                <w:rFonts w:ascii="宋体" w:hAnsi="宋体" w:cs="宋体"/>
                <w:color w:val="auto"/>
                <w:sz w:val="24"/>
                <w:szCs w:val="24"/>
                <w:highlight w:val="none"/>
              </w:rPr>
            </w:pPr>
          </w:p>
        </w:tc>
      </w:tr>
      <w:tr w14:paraId="2B6F5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698FA0B2">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2B4E52FE">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1A5D4A46">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7C650320">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2D2C8929">
            <w:pPr>
              <w:adjustRightInd w:val="0"/>
              <w:snapToGrid w:val="0"/>
              <w:spacing w:line="400" w:lineRule="exact"/>
              <w:jc w:val="center"/>
              <w:rPr>
                <w:rFonts w:ascii="宋体" w:hAnsi="宋体" w:cs="宋体"/>
                <w:color w:val="auto"/>
                <w:sz w:val="24"/>
                <w:szCs w:val="24"/>
                <w:highlight w:val="none"/>
              </w:rPr>
            </w:pPr>
          </w:p>
        </w:tc>
      </w:tr>
      <w:tr w14:paraId="580F91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3C5C65B0">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5A757E28">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5EB8237B">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2D8A9DC5">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0E47D451">
            <w:pPr>
              <w:adjustRightInd w:val="0"/>
              <w:snapToGrid w:val="0"/>
              <w:spacing w:line="400" w:lineRule="exact"/>
              <w:jc w:val="center"/>
              <w:rPr>
                <w:rFonts w:ascii="宋体" w:hAnsi="宋体" w:cs="宋体"/>
                <w:color w:val="auto"/>
                <w:sz w:val="24"/>
                <w:szCs w:val="24"/>
                <w:highlight w:val="none"/>
              </w:rPr>
            </w:pPr>
          </w:p>
        </w:tc>
      </w:tr>
      <w:tr w14:paraId="051346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48D9DA67">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13FC6964">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29B4D35C">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2AB3ACF4">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6F888DA8">
            <w:pPr>
              <w:adjustRightInd w:val="0"/>
              <w:snapToGrid w:val="0"/>
              <w:spacing w:line="400" w:lineRule="exact"/>
              <w:jc w:val="center"/>
              <w:rPr>
                <w:rFonts w:ascii="宋体" w:hAnsi="宋体" w:cs="宋体"/>
                <w:color w:val="auto"/>
                <w:sz w:val="24"/>
                <w:szCs w:val="24"/>
                <w:highlight w:val="none"/>
              </w:rPr>
            </w:pPr>
          </w:p>
        </w:tc>
      </w:tr>
    </w:tbl>
    <w:p w14:paraId="4A6684D0">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14:paraId="426A47D0">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14:paraId="3047C11B">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14:paraId="719DBB94">
      <w:pPr>
        <w:adjustRightInd w:val="0"/>
        <w:snapToGrid w:val="0"/>
        <w:spacing w:line="400" w:lineRule="exact"/>
        <w:ind w:right="-816" w:rightChars="-389"/>
        <w:rPr>
          <w:rFonts w:ascii="宋体" w:hAnsi="宋体" w:cs="宋体"/>
          <w:color w:val="auto"/>
          <w:sz w:val="24"/>
          <w:szCs w:val="24"/>
          <w:highlight w:val="none"/>
        </w:rPr>
      </w:pPr>
    </w:p>
    <w:p w14:paraId="0A28DBA1">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1C77020D">
      <w:pPr>
        <w:adjustRightInd w:val="0"/>
        <w:snapToGrid w:val="0"/>
        <w:spacing w:line="400" w:lineRule="exact"/>
        <w:ind w:left="-4" w:leftChars="-2" w:right="-816"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4295930E">
      <w:pPr>
        <w:adjustRightInd w:val="0"/>
        <w:snapToGrid w:val="0"/>
        <w:spacing w:line="400" w:lineRule="exact"/>
        <w:ind w:left="-2" w:leftChars="-1" w:right="-816"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7B0275A">
      <w:pPr>
        <w:pStyle w:val="31"/>
        <w:rPr>
          <w:rFonts w:hint="eastAsia"/>
          <w:color w:val="auto"/>
          <w:highlight w:val="none"/>
        </w:rPr>
      </w:pPr>
    </w:p>
    <w:p w14:paraId="0A456A8E">
      <w:pPr>
        <w:pStyle w:val="31"/>
        <w:rPr>
          <w:rFonts w:hint="eastAsia" w:ascii="宋体" w:hAnsi="宋体" w:cs="宋体"/>
          <w:b/>
          <w:bCs/>
          <w:color w:val="auto"/>
          <w:sz w:val="24"/>
          <w:szCs w:val="24"/>
          <w:highlight w:val="none"/>
        </w:rPr>
      </w:pPr>
    </w:p>
    <w:p w14:paraId="1F640EA3">
      <w:pPr>
        <w:pStyle w:val="31"/>
        <w:rPr>
          <w:rFonts w:hint="eastAsia" w:ascii="宋体" w:hAnsi="宋体" w:cs="宋体"/>
          <w:b/>
          <w:bCs/>
          <w:color w:val="auto"/>
          <w:sz w:val="24"/>
          <w:szCs w:val="24"/>
          <w:highlight w:val="none"/>
        </w:rPr>
      </w:pPr>
    </w:p>
    <w:p w14:paraId="42913B94">
      <w:pPr>
        <w:pStyle w:val="31"/>
        <w:rPr>
          <w:rFonts w:hint="eastAsia" w:ascii="宋体" w:hAnsi="宋体" w:cs="宋体"/>
          <w:b/>
          <w:bCs/>
          <w:color w:val="auto"/>
          <w:sz w:val="24"/>
          <w:szCs w:val="24"/>
          <w:highlight w:val="none"/>
        </w:rPr>
      </w:pPr>
    </w:p>
    <w:p w14:paraId="2606A3B3">
      <w:pPr>
        <w:pStyle w:val="31"/>
        <w:rPr>
          <w:rFonts w:hint="eastAsia" w:ascii="宋体" w:hAnsi="宋体" w:cs="宋体"/>
          <w:b/>
          <w:bCs/>
          <w:color w:val="auto"/>
          <w:sz w:val="24"/>
          <w:szCs w:val="24"/>
          <w:highlight w:val="none"/>
        </w:rPr>
      </w:pPr>
    </w:p>
    <w:p w14:paraId="126C3114">
      <w:pPr>
        <w:pStyle w:val="31"/>
        <w:rPr>
          <w:rFonts w:hint="eastAsia" w:ascii="宋体" w:hAnsi="宋体" w:cs="宋体"/>
          <w:b/>
          <w:bCs/>
          <w:color w:val="auto"/>
          <w:sz w:val="24"/>
          <w:szCs w:val="24"/>
          <w:highlight w:val="none"/>
        </w:rPr>
      </w:pPr>
    </w:p>
    <w:p w14:paraId="15D566BF">
      <w:pPr>
        <w:pStyle w:val="31"/>
        <w:rPr>
          <w:rFonts w:hint="eastAsia" w:ascii="宋体" w:hAnsi="宋体" w:cs="宋体"/>
          <w:b/>
          <w:bCs/>
          <w:color w:val="auto"/>
          <w:sz w:val="24"/>
          <w:szCs w:val="24"/>
          <w:highlight w:val="none"/>
        </w:rPr>
      </w:pPr>
    </w:p>
    <w:p w14:paraId="38036955">
      <w:pPr>
        <w:pStyle w:val="31"/>
        <w:rPr>
          <w:rFonts w:hint="eastAsia" w:ascii="宋体" w:hAnsi="宋体" w:cs="宋体"/>
          <w:b/>
          <w:bCs/>
          <w:color w:val="auto"/>
          <w:sz w:val="24"/>
          <w:szCs w:val="24"/>
          <w:highlight w:val="none"/>
        </w:rPr>
      </w:pPr>
    </w:p>
    <w:p w14:paraId="670130D5">
      <w:pPr>
        <w:pStyle w:val="31"/>
        <w:rPr>
          <w:rFonts w:hint="eastAsia" w:ascii="宋体" w:hAnsi="宋体" w:cs="宋体"/>
          <w:b/>
          <w:bCs/>
          <w:color w:val="auto"/>
          <w:sz w:val="24"/>
          <w:szCs w:val="24"/>
          <w:highlight w:val="none"/>
        </w:rPr>
      </w:pPr>
    </w:p>
    <w:p w14:paraId="4ED1907D">
      <w:pPr>
        <w:pStyle w:val="31"/>
        <w:rPr>
          <w:rFonts w:hint="eastAsia" w:ascii="宋体" w:hAnsi="宋体" w:cs="宋体"/>
          <w:b/>
          <w:bCs/>
          <w:color w:val="auto"/>
          <w:sz w:val="24"/>
          <w:szCs w:val="24"/>
          <w:highlight w:val="none"/>
        </w:rPr>
      </w:pPr>
    </w:p>
    <w:p w14:paraId="53E34A4B">
      <w:pPr>
        <w:widowControl/>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w:t>
      </w:r>
      <w:r>
        <w:rPr>
          <w:rFonts w:hint="eastAsia" w:ascii="宋体" w:hAnsi="宋体" w:cs="宋体"/>
          <w:b/>
          <w:color w:val="auto"/>
          <w:sz w:val="24"/>
          <w:szCs w:val="24"/>
          <w:highlight w:val="none"/>
          <w:lang w:eastAsia="zh-CN"/>
        </w:rPr>
        <w:t>产品详细技术规格书</w:t>
      </w:r>
    </w:p>
    <w:p w14:paraId="5E308463">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14:paraId="0668382F">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14:paraId="31CFB455">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14:paraId="7016A2B0">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14:paraId="3366608B">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14:paraId="011EED03">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14:paraId="0BC24889">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14:paraId="3BA6D467">
      <w:pPr>
        <w:pStyle w:val="31"/>
        <w:rPr>
          <w:rFonts w:hint="eastAsia" w:ascii="宋体" w:hAnsi="宋体" w:cs="宋体"/>
          <w:b/>
          <w:bCs/>
          <w:color w:val="auto"/>
          <w:sz w:val="24"/>
          <w:szCs w:val="24"/>
          <w:highlight w:val="none"/>
        </w:rPr>
      </w:pPr>
    </w:p>
    <w:p w14:paraId="5BE3628D">
      <w:pPr>
        <w:widowControl/>
        <w:snapToGrid w:val="0"/>
        <w:spacing w:line="400" w:lineRule="exact"/>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lang w:eastAsia="zh-CN"/>
        </w:rPr>
        <w:t>与产品相关的由国家认可的检测机构出具的检测报告</w:t>
      </w:r>
      <w:r>
        <w:rPr>
          <w:rFonts w:hint="eastAsia" w:ascii="宋体" w:hAnsi="宋体" w:cs="宋体"/>
          <w:b/>
          <w:color w:val="auto"/>
          <w:sz w:val="24"/>
          <w:szCs w:val="24"/>
          <w:highlight w:val="none"/>
          <w:lang w:eastAsia="zh-CN"/>
        </w:rPr>
        <w:t>（如有）。</w:t>
      </w:r>
    </w:p>
    <w:p w14:paraId="778049D3">
      <w:pPr>
        <w:pStyle w:val="31"/>
        <w:rPr>
          <w:rFonts w:hint="eastAsia" w:ascii="宋体" w:hAnsi="宋体" w:cs="宋体"/>
          <w:b/>
          <w:bCs/>
          <w:color w:val="auto"/>
          <w:sz w:val="24"/>
          <w:szCs w:val="24"/>
          <w:highlight w:val="none"/>
        </w:rPr>
      </w:pPr>
    </w:p>
    <w:p w14:paraId="27C1E60A">
      <w:pPr>
        <w:pStyle w:val="31"/>
        <w:rPr>
          <w:rFonts w:hint="eastAsia" w:ascii="宋体" w:hAnsi="宋体" w:cs="宋体"/>
          <w:b/>
          <w:bCs/>
          <w:color w:val="auto"/>
          <w:sz w:val="24"/>
          <w:szCs w:val="24"/>
          <w:highlight w:val="none"/>
        </w:rPr>
      </w:pPr>
    </w:p>
    <w:p w14:paraId="572FB201">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17、针对项目的组织方案：包括（但不限于）项目人员安排、供货方案、质量管控方案、测试（调试）方案等内容（格式自拟）；</w:t>
      </w:r>
    </w:p>
    <w:p w14:paraId="54A14739">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p>
    <w:p w14:paraId="5095F3C0">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18、针对本项目的技术培训方案：包括（但不限于）</w:t>
      </w:r>
      <w:r>
        <w:rPr>
          <w:rFonts w:hint="default" w:ascii="宋体" w:hAnsi="宋体" w:eastAsia="宋体" w:cs="宋体"/>
          <w:b/>
          <w:color w:val="auto"/>
          <w:sz w:val="24"/>
          <w:szCs w:val="24"/>
          <w:highlight w:val="none"/>
          <w:lang w:val="en-US" w:eastAsia="zh-CN"/>
        </w:rPr>
        <w:t>培训内容</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培训方式</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培训计划</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培训团队人员配置等</w:t>
      </w:r>
      <w:r>
        <w:rPr>
          <w:rFonts w:hint="eastAsia" w:ascii="宋体" w:hAnsi="宋体" w:eastAsia="宋体" w:cs="宋体"/>
          <w:b/>
          <w:color w:val="auto"/>
          <w:sz w:val="24"/>
          <w:szCs w:val="24"/>
          <w:highlight w:val="none"/>
          <w:lang w:val="en-US" w:eastAsia="zh-CN"/>
        </w:rPr>
        <w:t>内容。</w:t>
      </w:r>
    </w:p>
    <w:p w14:paraId="2E31EFD2">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45C987C4">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882A26B">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29BC9E6C">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4017D812">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1DF4ED6B">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13E39CFF">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C6A8180">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38D651BD">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4CFF0DA">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2C0CBA00">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19A13C44">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44E89F4B">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4D2E627">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FE1DD62">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2FCA1853">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19、针对本项目的售后服务方案：包括（但不限于）售后</w:t>
      </w:r>
      <w:r>
        <w:rPr>
          <w:rFonts w:hint="default" w:ascii="宋体" w:hAnsi="宋体" w:eastAsia="宋体" w:cs="宋体"/>
          <w:b/>
          <w:color w:val="auto"/>
          <w:sz w:val="24"/>
          <w:szCs w:val="24"/>
          <w:highlight w:val="none"/>
          <w:lang w:val="en-US" w:eastAsia="zh-CN"/>
        </w:rPr>
        <w:t>服务承诺</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服务响应方案</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备件（易耗品）供应方案</w:t>
      </w:r>
      <w:r>
        <w:rPr>
          <w:rFonts w:hint="eastAsia" w:ascii="宋体" w:hAnsi="宋体" w:eastAsia="宋体" w:cs="宋体"/>
          <w:b/>
          <w:color w:val="auto"/>
          <w:sz w:val="24"/>
          <w:szCs w:val="24"/>
          <w:highlight w:val="none"/>
          <w:lang w:val="en-US" w:eastAsia="zh-CN"/>
        </w:rPr>
        <w:t>（含备件价格）、</w:t>
      </w:r>
      <w:r>
        <w:rPr>
          <w:rFonts w:hint="default" w:ascii="宋体" w:hAnsi="宋体" w:eastAsia="宋体" w:cs="宋体"/>
          <w:b/>
          <w:color w:val="auto"/>
          <w:sz w:val="24"/>
          <w:szCs w:val="24"/>
          <w:highlight w:val="none"/>
          <w:lang w:val="en-US" w:eastAsia="zh-CN"/>
        </w:rPr>
        <w:t>服务人员配备</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故障响应</w:t>
      </w:r>
      <w:r>
        <w:rPr>
          <w:rFonts w:hint="eastAsia" w:ascii="宋体" w:hAnsi="宋体" w:eastAsia="宋体" w:cs="宋体"/>
          <w:b/>
          <w:color w:val="auto"/>
          <w:sz w:val="24"/>
          <w:szCs w:val="24"/>
          <w:highlight w:val="none"/>
          <w:lang w:val="en-US" w:eastAsia="zh-CN"/>
        </w:rPr>
        <w:t>措施、</w:t>
      </w:r>
      <w:r>
        <w:rPr>
          <w:rFonts w:hint="default" w:ascii="宋体" w:hAnsi="宋体" w:eastAsia="宋体" w:cs="宋体"/>
          <w:b/>
          <w:color w:val="auto"/>
          <w:sz w:val="24"/>
          <w:szCs w:val="24"/>
          <w:highlight w:val="none"/>
          <w:lang w:val="en-US" w:eastAsia="zh-CN"/>
        </w:rPr>
        <w:t>质保外服务措施等</w:t>
      </w:r>
      <w:r>
        <w:rPr>
          <w:rFonts w:hint="eastAsia" w:ascii="宋体" w:hAnsi="宋体" w:eastAsia="宋体" w:cs="宋体"/>
          <w:b/>
          <w:color w:val="auto"/>
          <w:sz w:val="24"/>
          <w:szCs w:val="24"/>
          <w:highlight w:val="none"/>
          <w:lang w:val="en-US" w:eastAsia="zh-CN"/>
        </w:rPr>
        <w:t>内容。</w:t>
      </w:r>
    </w:p>
    <w:p w14:paraId="525E2A7E">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14:paraId="1B8E75D7">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14:paraId="072C5C18">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lang w:val="en-US" w:eastAsia="zh-CN"/>
        </w:rPr>
        <w:t>项目</w:t>
      </w:r>
      <w:r>
        <w:rPr>
          <w:rFonts w:hint="eastAsia" w:asciiTheme="minorEastAsia" w:hAnsiTheme="minorEastAsia" w:eastAsiaTheme="minorEastAsia" w:cstheme="minorEastAsia"/>
          <w:color w:val="auto"/>
          <w:spacing w:val="1"/>
          <w:kern w:val="0"/>
          <w:sz w:val="24"/>
          <w:szCs w:val="24"/>
          <w:highlight w:val="none"/>
        </w:rPr>
        <w:t>编号：</w:t>
      </w:r>
    </w:p>
    <w:p w14:paraId="2E7D7D76">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标包</w:t>
      </w:r>
      <w:r>
        <w:rPr>
          <w:rFonts w:hint="eastAsia" w:asciiTheme="minorEastAsia" w:hAnsiTheme="minorEastAsia" w:eastAsiaTheme="minorEastAsia" w:cstheme="minorEastAsia"/>
          <w:color w:val="auto"/>
          <w:kern w:val="0"/>
          <w:sz w:val="24"/>
          <w:szCs w:val="24"/>
          <w:highlight w:val="none"/>
        </w:rPr>
        <w:t xml:space="preserve">编号及内容： </w:t>
      </w:r>
    </w:p>
    <w:tbl>
      <w:tblPr>
        <w:tblStyle w:val="39"/>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14:paraId="614B7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666B96FF">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14:paraId="495E4401">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610E9080">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14:paraId="34701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310517C0">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14:paraId="6A266E7E">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396950A5">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4AE1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14:paraId="1CBB3AE2">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14:paraId="5E967E9F">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6FEF8C1D">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14:paraId="6B3D0D4D">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69E0758F">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14:paraId="4CDF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57C422E3">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14:paraId="5795013C">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1BE284D3">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14:paraId="01C23ED2">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7F6A3EAD">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4FFC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4AEAADE1">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14:paraId="4CDFAF67">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7A780C22">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577B8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14:paraId="2CF83D98">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14:paraId="136473A5">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14:paraId="2B3C52E7">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14:paraId="2E3C6C30">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14:paraId="2067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1302E8C8">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14:paraId="79A74E7B">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422228C5">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14:paraId="13271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3478BAC6">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14:paraId="2654A091">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59D3DE92">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22F1D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2DFDE049">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14:paraId="62327AF4">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55A73566">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14:paraId="57169F97">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3F1B4E77">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14:paraId="1EE58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14:paraId="761A965A">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14:paraId="05EDF7BE">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7E210E60">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14:paraId="0EBB4A3A">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15E00590">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14:paraId="07CAF245">
      <w:pPr>
        <w:snapToGrid w:val="0"/>
        <w:spacing w:line="400" w:lineRule="exact"/>
        <w:jc w:val="left"/>
        <w:rPr>
          <w:rFonts w:asciiTheme="minorEastAsia" w:hAnsiTheme="minorEastAsia" w:eastAsiaTheme="minorEastAsia" w:cstheme="minorEastAsia"/>
          <w:color w:val="auto"/>
          <w:kern w:val="0"/>
          <w:sz w:val="24"/>
          <w:szCs w:val="24"/>
          <w:highlight w:val="none"/>
        </w:rPr>
      </w:pPr>
    </w:p>
    <w:p w14:paraId="256768E5">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5183AD37">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法定代表人（负责人、自然人）或其委托代理人（签字或盖章）：</w:t>
      </w:r>
    </w:p>
    <w:p w14:paraId="3605BA5A">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        年    月    日</w:t>
      </w:r>
    </w:p>
    <w:p w14:paraId="34278580">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29CCE303">
      <w:pPr>
        <w:pStyle w:val="31"/>
        <w:rPr>
          <w:rFonts w:hint="eastAsia" w:ascii="宋体" w:hAnsi="宋体" w:eastAsia="宋体" w:cs="宋体"/>
          <w:b/>
          <w:color w:val="auto"/>
          <w:sz w:val="24"/>
          <w:szCs w:val="24"/>
          <w:highlight w:val="none"/>
          <w:lang w:val="en-US" w:eastAsia="zh-CN"/>
        </w:rPr>
      </w:pPr>
    </w:p>
    <w:p w14:paraId="00F199D3">
      <w:pPr>
        <w:pStyle w:val="31"/>
        <w:rPr>
          <w:rFonts w:hint="eastAsia" w:ascii="宋体" w:hAnsi="宋体" w:eastAsia="宋体" w:cs="宋体"/>
          <w:b/>
          <w:color w:val="auto"/>
          <w:sz w:val="24"/>
          <w:szCs w:val="24"/>
          <w:highlight w:val="none"/>
          <w:lang w:val="en-US" w:eastAsia="zh-CN"/>
        </w:rPr>
      </w:pPr>
    </w:p>
    <w:p w14:paraId="392DD439">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20、其他优惠条件（如有）：投标人承诺给予采购人的各种优惠条件，包括备品备件、专用耗材等；</w:t>
      </w:r>
    </w:p>
    <w:p w14:paraId="07A1E9B5">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1FE0AC0E">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21、投标人需要提供的其他文件或资料（如有）。</w:t>
      </w:r>
    </w:p>
    <w:p w14:paraId="69DE5399">
      <w:pPr>
        <w:pStyle w:val="31"/>
        <w:rPr>
          <w:rFonts w:hint="eastAsia" w:ascii="宋体" w:hAnsi="宋体" w:cs="宋体"/>
          <w:b/>
          <w:bCs/>
          <w:color w:val="auto"/>
          <w:sz w:val="24"/>
          <w:szCs w:val="24"/>
          <w:highlight w:val="none"/>
        </w:rPr>
      </w:pPr>
    </w:p>
    <w:p w14:paraId="7EACC88D">
      <w:pPr>
        <w:pStyle w:val="31"/>
        <w:rPr>
          <w:rFonts w:hint="eastAsia" w:ascii="宋体" w:hAnsi="宋体" w:cs="宋体"/>
          <w:b/>
          <w:bCs/>
          <w:color w:val="auto"/>
          <w:sz w:val="24"/>
          <w:szCs w:val="24"/>
          <w:highlight w:val="none"/>
        </w:rPr>
      </w:pPr>
    </w:p>
    <w:p w14:paraId="5C8A938E">
      <w:pPr>
        <w:pStyle w:val="31"/>
        <w:rPr>
          <w:rFonts w:hint="eastAsia" w:ascii="宋体" w:hAnsi="宋体" w:cs="宋体"/>
          <w:b/>
          <w:bCs/>
          <w:color w:val="auto"/>
          <w:sz w:val="24"/>
          <w:szCs w:val="24"/>
          <w:highlight w:val="none"/>
        </w:rPr>
      </w:pPr>
    </w:p>
    <w:p w14:paraId="21FC3603">
      <w:pPr>
        <w:pStyle w:val="31"/>
        <w:rPr>
          <w:rFonts w:hint="eastAsia" w:ascii="宋体" w:hAnsi="宋体" w:cs="宋体"/>
          <w:b/>
          <w:bCs/>
          <w:color w:val="auto"/>
          <w:sz w:val="24"/>
          <w:szCs w:val="24"/>
          <w:highlight w:val="none"/>
        </w:rPr>
      </w:pPr>
    </w:p>
    <w:p w14:paraId="75562C0B">
      <w:pPr>
        <w:pStyle w:val="31"/>
        <w:rPr>
          <w:rFonts w:hint="eastAsia" w:ascii="宋体" w:hAnsi="宋体" w:cs="宋体"/>
          <w:b/>
          <w:bCs/>
          <w:color w:val="auto"/>
          <w:sz w:val="24"/>
          <w:szCs w:val="24"/>
          <w:highlight w:val="none"/>
        </w:rPr>
      </w:pPr>
    </w:p>
    <w:p w14:paraId="5341C094">
      <w:pPr>
        <w:pStyle w:val="31"/>
        <w:rPr>
          <w:rFonts w:hint="eastAsia" w:ascii="宋体" w:hAnsi="宋体" w:cs="宋体"/>
          <w:b/>
          <w:bCs/>
          <w:color w:val="auto"/>
          <w:sz w:val="24"/>
          <w:szCs w:val="24"/>
          <w:highlight w:val="none"/>
        </w:rPr>
      </w:pPr>
    </w:p>
    <w:p w14:paraId="00E007DF">
      <w:pPr>
        <w:pStyle w:val="31"/>
        <w:rPr>
          <w:rFonts w:hint="eastAsia" w:ascii="宋体" w:hAnsi="宋体" w:cs="宋体"/>
          <w:b/>
          <w:bCs/>
          <w:color w:val="auto"/>
          <w:sz w:val="24"/>
          <w:szCs w:val="24"/>
          <w:highlight w:val="none"/>
        </w:rPr>
      </w:pPr>
    </w:p>
    <w:p w14:paraId="5A892677">
      <w:pPr>
        <w:pStyle w:val="31"/>
        <w:rPr>
          <w:rFonts w:hint="eastAsia" w:ascii="宋体" w:hAnsi="宋体" w:cs="宋体"/>
          <w:b/>
          <w:bCs/>
          <w:color w:val="auto"/>
          <w:sz w:val="24"/>
          <w:szCs w:val="24"/>
          <w:highlight w:val="none"/>
        </w:rPr>
      </w:pPr>
    </w:p>
    <w:p w14:paraId="76DD3638">
      <w:pPr>
        <w:pStyle w:val="31"/>
        <w:rPr>
          <w:rFonts w:hint="eastAsia" w:ascii="宋体" w:hAnsi="宋体" w:cs="宋体"/>
          <w:b/>
          <w:bCs/>
          <w:color w:val="auto"/>
          <w:sz w:val="24"/>
          <w:szCs w:val="24"/>
          <w:highlight w:val="none"/>
        </w:rPr>
      </w:pPr>
    </w:p>
    <w:p w14:paraId="0FF96F49">
      <w:pPr>
        <w:pStyle w:val="31"/>
        <w:rPr>
          <w:rFonts w:hint="eastAsia" w:ascii="宋体" w:hAnsi="宋体" w:cs="宋体"/>
          <w:b/>
          <w:bCs/>
          <w:color w:val="auto"/>
          <w:sz w:val="24"/>
          <w:szCs w:val="24"/>
          <w:highlight w:val="none"/>
        </w:rPr>
      </w:pPr>
    </w:p>
    <w:p w14:paraId="12BB35DC">
      <w:pPr>
        <w:pStyle w:val="31"/>
        <w:rPr>
          <w:rFonts w:hint="eastAsia" w:ascii="宋体" w:hAnsi="宋体" w:cs="宋体"/>
          <w:b/>
          <w:bCs/>
          <w:color w:val="auto"/>
          <w:sz w:val="24"/>
          <w:szCs w:val="24"/>
          <w:highlight w:val="none"/>
        </w:rPr>
      </w:pPr>
    </w:p>
    <w:p w14:paraId="7924822E">
      <w:pPr>
        <w:pStyle w:val="31"/>
        <w:rPr>
          <w:rFonts w:hint="eastAsia" w:ascii="宋体" w:hAnsi="宋体" w:cs="宋体"/>
          <w:b/>
          <w:bCs/>
          <w:color w:val="auto"/>
          <w:sz w:val="24"/>
          <w:szCs w:val="24"/>
          <w:highlight w:val="none"/>
        </w:rPr>
      </w:pPr>
    </w:p>
    <w:p w14:paraId="73739A09">
      <w:pPr>
        <w:pStyle w:val="31"/>
        <w:rPr>
          <w:rFonts w:hint="eastAsia" w:ascii="宋体" w:hAnsi="宋体" w:cs="宋体"/>
          <w:b/>
          <w:bCs/>
          <w:color w:val="auto"/>
          <w:sz w:val="24"/>
          <w:szCs w:val="24"/>
          <w:highlight w:val="none"/>
        </w:rPr>
      </w:pPr>
    </w:p>
    <w:p w14:paraId="31E89BBC">
      <w:pPr>
        <w:pStyle w:val="31"/>
        <w:rPr>
          <w:rFonts w:hint="eastAsia" w:ascii="宋体" w:hAnsi="宋体" w:cs="宋体"/>
          <w:b/>
          <w:bCs/>
          <w:color w:val="auto"/>
          <w:sz w:val="24"/>
          <w:szCs w:val="24"/>
          <w:highlight w:val="none"/>
        </w:rPr>
      </w:pPr>
    </w:p>
    <w:p w14:paraId="60C5A684">
      <w:pPr>
        <w:pStyle w:val="31"/>
        <w:rPr>
          <w:rFonts w:hint="eastAsia" w:ascii="宋体" w:hAnsi="宋体" w:cs="宋体"/>
          <w:b/>
          <w:bCs/>
          <w:color w:val="auto"/>
          <w:sz w:val="24"/>
          <w:szCs w:val="24"/>
          <w:highlight w:val="none"/>
        </w:rPr>
      </w:pPr>
    </w:p>
    <w:p w14:paraId="5BAB2766">
      <w:pPr>
        <w:pStyle w:val="31"/>
        <w:rPr>
          <w:rFonts w:hint="eastAsia" w:ascii="宋体" w:hAnsi="宋体" w:cs="宋体"/>
          <w:b/>
          <w:bCs/>
          <w:color w:val="auto"/>
          <w:sz w:val="24"/>
          <w:szCs w:val="24"/>
          <w:highlight w:val="none"/>
        </w:rPr>
      </w:pPr>
    </w:p>
    <w:p w14:paraId="53433A72">
      <w:pPr>
        <w:pStyle w:val="31"/>
        <w:rPr>
          <w:rFonts w:hint="eastAsia" w:ascii="宋体" w:hAnsi="宋体" w:cs="宋体"/>
          <w:b/>
          <w:bCs/>
          <w:color w:val="auto"/>
          <w:sz w:val="24"/>
          <w:szCs w:val="24"/>
          <w:highlight w:val="none"/>
        </w:rPr>
      </w:pPr>
    </w:p>
    <w:p w14:paraId="4A26DD36">
      <w:pPr>
        <w:pStyle w:val="31"/>
        <w:rPr>
          <w:rFonts w:hint="eastAsia" w:ascii="宋体" w:hAnsi="宋体" w:cs="宋体"/>
          <w:b/>
          <w:bCs/>
          <w:color w:val="auto"/>
          <w:sz w:val="24"/>
          <w:szCs w:val="24"/>
          <w:highlight w:val="none"/>
        </w:rPr>
      </w:pPr>
    </w:p>
    <w:p w14:paraId="120425AE">
      <w:pPr>
        <w:pStyle w:val="31"/>
        <w:rPr>
          <w:rFonts w:hint="eastAsia" w:ascii="宋体" w:hAnsi="宋体" w:cs="宋体"/>
          <w:b/>
          <w:bCs/>
          <w:color w:val="auto"/>
          <w:sz w:val="24"/>
          <w:szCs w:val="24"/>
          <w:highlight w:val="none"/>
        </w:rPr>
      </w:pPr>
    </w:p>
    <w:p w14:paraId="0FB77EB6">
      <w:pPr>
        <w:pStyle w:val="31"/>
        <w:rPr>
          <w:rFonts w:hint="eastAsia" w:ascii="宋体" w:hAnsi="宋体" w:cs="宋体"/>
          <w:b/>
          <w:bCs/>
          <w:color w:val="auto"/>
          <w:sz w:val="24"/>
          <w:szCs w:val="24"/>
          <w:highlight w:val="none"/>
        </w:rPr>
      </w:pPr>
    </w:p>
    <w:p w14:paraId="3A53881B">
      <w:pPr>
        <w:pStyle w:val="31"/>
        <w:rPr>
          <w:rFonts w:hint="eastAsia" w:ascii="宋体" w:hAnsi="宋体" w:cs="宋体"/>
          <w:b/>
          <w:bCs/>
          <w:color w:val="auto"/>
          <w:sz w:val="24"/>
          <w:szCs w:val="24"/>
          <w:highlight w:val="none"/>
        </w:rPr>
      </w:pPr>
    </w:p>
    <w:p w14:paraId="07090F45">
      <w:pPr>
        <w:pStyle w:val="31"/>
        <w:rPr>
          <w:rFonts w:hint="eastAsia" w:ascii="宋体" w:hAnsi="宋体" w:cs="宋体"/>
          <w:b/>
          <w:bCs/>
          <w:color w:val="auto"/>
          <w:sz w:val="24"/>
          <w:szCs w:val="24"/>
          <w:highlight w:val="none"/>
        </w:rPr>
      </w:pPr>
    </w:p>
    <w:p w14:paraId="0ABCBD13">
      <w:pPr>
        <w:pStyle w:val="31"/>
        <w:rPr>
          <w:rFonts w:hint="eastAsia" w:ascii="宋体" w:hAnsi="宋体" w:cs="宋体"/>
          <w:b/>
          <w:bCs/>
          <w:color w:val="auto"/>
          <w:sz w:val="24"/>
          <w:szCs w:val="24"/>
          <w:highlight w:val="none"/>
        </w:rPr>
      </w:pPr>
    </w:p>
    <w:p w14:paraId="65CDD233">
      <w:pPr>
        <w:pStyle w:val="31"/>
        <w:rPr>
          <w:rFonts w:hint="eastAsia" w:ascii="宋体" w:hAnsi="宋体" w:cs="宋体"/>
          <w:b/>
          <w:bCs/>
          <w:color w:val="auto"/>
          <w:sz w:val="24"/>
          <w:szCs w:val="24"/>
          <w:highlight w:val="none"/>
        </w:rPr>
      </w:pPr>
    </w:p>
    <w:p w14:paraId="40ACBE5A">
      <w:pPr>
        <w:pStyle w:val="31"/>
        <w:rPr>
          <w:rFonts w:hint="eastAsia" w:ascii="宋体" w:hAnsi="宋体" w:cs="宋体"/>
          <w:b/>
          <w:bCs/>
          <w:color w:val="auto"/>
          <w:sz w:val="24"/>
          <w:szCs w:val="24"/>
          <w:highlight w:val="none"/>
        </w:rPr>
      </w:pPr>
    </w:p>
    <w:p w14:paraId="1CF4432F">
      <w:pPr>
        <w:pStyle w:val="31"/>
        <w:rPr>
          <w:rFonts w:hint="eastAsia" w:ascii="宋体" w:hAnsi="宋体" w:cs="宋体"/>
          <w:b/>
          <w:bCs/>
          <w:color w:val="auto"/>
          <w:sz w:val="24"/>
          <w:szCs w:val="24"/>
          <w:highlight w:val="none"/>
        </w:rPr>
      </w:pPr>
    </w:p>
    <w:p w14:paraId="31348C2C">
      <w:pPr>
        <w:pStyle w:val="31"/>
        <w:rPr>
          <w:rFonts w:hint="eastAsia" w:ascii="宋体" w:hAnsi="宋体" w:cs="宋体"/>
          <w:b/>
          <w:bCs/>
          <w:color w:val="auto"/>
          <w:sz w:val="24"/>
          <w:szCs w:val="24"/>
          <w:highlight w:val="none"/>
        </w:rPr>
      </w:pPr>
    </w:p>
    <w:p w14:paraId="2F157275">
      <w:pPr>
        <w:widowControl/>
        <w:snapToGrid w:val="0"/>
        <w:spacing w:line="400" w:lineRule="exact"/>
        <w:jc w:val="left"/>
        <w:rPr>
          <w:rFonts w:hint="eastAsia" w:ascii="宋体" w:hAnsi="宋体" w:cs="宋体"/>
          <w:b/>
          <w:bCs/>
          <w:color w:val="auto"/>
          <w:sz w:val="24"/>
          <w:szCs w:val="24"/>
          <w:highlight w:val="none"/>
        </w:rPr>
      </w:pPr>
    </w:p>
    <w:p w14:paraId="2585B2DF">
      <w:pPr>
        <w:adjustRightInd w:val="0"/>
        <w:snapToGrid w:val="0"/>
        <w:spacing w:line="400" w:lineRule="exact"/>
        <w:jc w:val="left"/>
        <w:rPr>
          <w:rFonts w:ascii="宋体" w:hAnsi="宋体" w:cs="宋体"/>
          <w:b/>
          <w:color w:val="auto"/>
          <w:sz w:val="24"/>
          <w:szCs w:val="24"/>
          <w:highlight w:val="none"/>
        </w:rPr>
      </w:pPr>
    </w:p>
    <w:p w14:paraId="22F24FFE">
      <w:pPr>
        <w:pStyle w:val="18"/>
        <w:spacing w:line="480" w:lineRule="exact"/>
        <w:rPr>
          <w:rFonts w:ascii="仿宋" w:hAnsi="仿宋" w:eastAsia="仿宋" w:cs="仿宋"/>
          <w:b/>
          <w:bCs/>
          <w:color w:val="auto"/>
          <w:kern w:val="0"/>
          <w:sz w:val="24"/>
          <w:szCs w:val="24"/>
          <w:highlight w:val="none"/>
        </w:rPr>
      </w:pPr>
    </w:p>
    <w:p w14:paraId="5650B40E">
      <w:pPr>
        <w:pStyle w:val="18"/>
        <w:spacing w:line="480" w:lineRule="exact"/>
        <w:jc w:val="center"/>
        <w:rPr>
          <w:rFonts w:ascii="仿宋" w:hAnsi="仿宋" w:eastAsia="仿宋" w:cs="仿宋"/>
          <w:b/>
          <w:bCs/>
          <w:color w:val="auto"/>
          <w:kern w:val="0"/>
          <w:sz w:val="24"/>
          <w:szCs w:val="24"/>
          <w:highlight w:val="none"/>
        </w:rPr>
      </w:pPr>
    </w:p>
    <w:p w14:paraId="509D0EF9">
      <w:pPr>
        <w:pStyle w:val="38"/>
        <w:ind w:firstLine="0" w:firstLineChars="0"/>
        <w:rPr>
          <w:rFonts w:hint="eastAsia"/>
          <w:color w:val="auto"/>
          <w:sz w:val="24"/>
          <w:szCs w:val="22"/>
          <w:highlight w:val="none"/>
        </w:rPr>
      </w:pPr>
    </w:p>
    <w:p w14:paraId="6FF88809">
      <w:pPr>
        <w:pStyle w:val="38"/>
        <w:ind w:firstLine="0" w:firstLineChars="0"/>
        <w:rPr>
          <w:rFonts w:hint="eastAsia"/>
          <w:color w:val="auto"/>
          <w:sz w:val="24"/>
          <w:szCs w:val="22"/>
          <w:highlight w:val="none"/>
        </w:rPr>
      </w:pPr>
    </w:p>
    <w:p w14:paraId="52807C48">
      <w:pPr>
        <w:pStyle w:val="38"/>
        <w:ind w:firstLine="0" w:firstLineChars="0"/>
        <w:rPr>
          <w:rFonts w:hint="eastAsia"/>
          <w:color w:val="auto"/>
          <w:sz w:val="24"/>
          <w:szCs w:val="22"/>
          <w:highlight w:val="none"/>
        </w:rPr>
      </w:pPr>
    </w:p>
    <w:p w14:paraId="20BDBC56">
      <w:pPr>
        <w:pStyle w:val="38"/>
        <w:ind w:firstLine="0" w:firstLineChars="0"/>
        <w:rPr>
          <w:rFonts w:hint="eastAsia"/>
          <w:color w:val="auto"/>
          <w:sz w:val="24"/>
          <w:szCs w:val="22"/>
          <w:highlight w:val="none"/>
        </w:rPr>
      </w:pPr>
    </w:p>
    <w:p w14:paraId="3EB5C295">
      <w:pPr>
        <w:pStyle w:val="38"/>
        <w:ind w:firstLine="0" w:firstLineChars="0"/>
        <w:rPr>
          <w:color w:val="auto"/>
          <w:sz w:val="24"/>
          <w:szCs w:val="22"/>
          <w:highlight w:val="none"/>
        </w:rPr>
      </w:pPr>
      <w:r>
        <w:rPr>
          <w:rFonts w:hint="eastAsia"/>
          <w:color w:val="auto"/>
          <w:sz w:val="24"/>
          <w:szCs w:val="22"/>
          <w:highlight w:val="none"/>
        </w:rPr>
        <w:t>附：</w:t>
      </w:r>
    </w:p>
    <w:p w14:paraId="04B2E173">
      <w:pPr>
        <w:pStyle w:val="38"/>
        <w:ind w:firstLine="0" w:firstLineChars="0"/>
        <w:jc w:val="center"/>
        <w:rPr>
          <w:color w:val="auto"/>
          <w:sz w:val="24"/>
          <w:szCs w:val="22"/>
          <w:highlight w:val="none"/>
        </w:rPr>
      </w:pPr>
      <w:r>
        <w:rPr>
          <w:rFonts w:hint="eastAsia"/>
          <w:color w:val="auto"/>
          <w:sz w:val="24"/>
          <w:szCs w:val="22"/>
          <w:highlight w:val="none"/>
        </w:rPr>
        <w:t>质疑函范本</w:t>
      </w:r>
    </w:p>
    <w:p w14:paraId="35603141">
      <w:pPr>
        <w:pStyle w:val="38"/>
        <w:ind w:firstLine="480"/>
        <w:rPr>
          <w:color w:val="auto"/>
          <w:sz w:val="24"/>
          <w:szCs w:val="22"/>
          <w:highlight w:val="none"/>
        </w:rPr>
      </w:pPr>
      <w:r>
        <w:rPr>
          <w:rFonts w:hint="eastAsia"/>
          <w:color w:val="auto"/>
          <w:sz w:val="24"/>
          <w:szCs w:val="22"/>
          <w:highlight w:val="none"/>
        </w:rPr>
        <w:t>一、质疑供应商基本信息</w:t>
      </w:r>
    </w:p>
    <w:p w14:paraId="126FEA43">
      <w:pPr>
        <w:pStyle w:val="38"/>
        <w:ind w:firstLine="480"/>
        <w:rPr>
          <w:color w:val="auto"/>
          <w:sz w:val="24"/>
          <w:szCs w:val="22"/>
          <w:highlight w:val="none"/>
          <w:u w:val="single"/>
        </w:rPr>
      </w:pPr>
      <w:r>
        <w:rPr>
          <w:rFonts w:hint="eastAsia"/>
          <w:color w:val="auto"/>
          <w:sz w:val="24"/>
          <w:szCs w:val="22"/>
          <w:highlight w:val="none"/>
        </w:rPr>
        <w:t xml:space="preserve">质疑供应商：  </w:t>
      </w:r>
    </w:p>
    <w:p w14:paraId="5B2E2353">
      <w:pPr>
        <w:pStyle w:val="38"/>
        <w:ind w:firstLine="480"/>
        <w:rPr>
          <w:color w:val="auto"/>
          <w:sz w:val="24"/>
          <w:szCs w:val="22"/>
          <w:highlight w:val="none"/>
        </w:rPr>
      </w:pPr>
      <w:r>
        <w:rPr>
          <w:rFonts w:hint="eastAsia"/>
          <w:color w:val="auto"/>
          <w:sz w:val="24"/>
          <w:szCs w:val="22"/>
          <w:highlight w:val="none"/>
        </w:rPr>
        <w:t xml:space="preserve">地址：                          邮编：                  </w:t>
      </w:r>
    </w:p>
    <w:p w14:paraId="432A8D37">
      <w:pPr>
        <w:pStyle w:val="38"/>
        <w:ind w:firstLine="480"/>
        <w:rPr>
          <w:color w:val="auto"/>
          <w:sz w:val="24"/>
          <w:szCs w:val="22"/>
          <w:highlight w:val="none"/>
        </w:rPr>
      </w:pPr>
      <w:r>
        <w:rPr>
          <w:rFonts w:hint="eastAsia"/>
          <w:color w:val="auto"/>
          <w:sz w:val="24"/>
          <w:szCs w:val="22"/>
          <w:highlight w:val="none"/>
        </w:rPr>
        <w:t xml:space="preserve">联系人：                      联系电话：                 </w:t>
      </w:r>
    </w:p>
    <w:p w14:paraId="3DDAC53D">
      <w:pPr>
        <w:pStyle w:val="38"/>
        <w:ind w:firstLine="480"/>
        <w:rPr>
          <w:color w:val="auto"/>
          <w:sz w:val="24"/>
          <w:szCs w:val="22"/>
          <w:highlight w:val="none"/>
        </w:rPr>
      </w:pPr>
      <w:r>
        <w:rPr>
          <w:rFonts w:hint="eastAsia"/>
          <w:color w:val="auto"/>
          <w:sz w:val="24"/>
          <w:szCs w:val="22"/>
          <w:highlight w:val="none"/>
        </w:rPr>
        <w:t xml:space="preserve">授权代表：                                          </w:t>
      </w:r>
    </w:p>
    <w:p w14:paraId="33349484">
      <w:pPr>
        <w:pStyle w:val="38"/>
        <w:ind w:firstLine="480"/>
        <w:rPr>
          <w:color w:val="auto"/>
          <w:sz w:val="24"/>
          <w:szCs w:val="22"/>
          <w:highlight w:val="none"/>
        </w:rPr>
      </w:pPr>
      <w:r>
        <w:rPr>
          <w:rFonts w:hint="eastAsia"/>
          <w:color w:val="auto"/>
          <w:sz w:val="24"/>
          <w:szCs w:val="22"/>
          <w:highlight w:val="none"/>
        </w:rPr>
        <w:t xml:space="preserve">联系电话：                                            </w:t>
      </w:r>
    </w:p>
    <w:p w14:paraId="2632A12F">
      <w:pPr>
        <w:pStyle w:val="38"/>
        <w:ind w:firstLine="480"/>
        <w:rPr>
          <w:color w:val="auto"/>
          <w:sz w:val="24"/>
          <w:szCs w:val="22"/>
          <w:highlight w:val="none"/>
        </w:rPr>
      </w:pPr>
      <w:r>
        <w:rPr>
          <w:rFonts w:hint="eastAsia"/>
          <w:color w:val="auto"/>
          <w:sz w:val="24"/>
          <w:szCs w:val="22"/>
          <w:highlight w:val="none"/>
        </w:rPr>
        <w:t xml:space="preserve">地址：                         邮编：                    </w:t>
      </w:r>
    </w:p>
    <w:p w14:paraId="76C2E7E1">
      <w:pPr>
        <w:pStyle w:val="38"/>
        <w:ind w:firstLine="480"/>
        <w:rPr>
          <w:color w:val="auto"/>
          <w:sz w:val="24"/>
          <w:szCs w:val="22"/>
          <w:highlight w:val="none"/>
        </w:rPr>
      </w:pPr>
      <w:r>
        <w:rPr>
          <w:rFonts w:hint="eastAsia"/>
          <w:color w:val="auto"/>
          <w:sz w:val="24"/>
          <w:szCs w:val="22"/>
          <w:highlight w:val="none"/>
        </w:rPr>
        <w:t>二、质疑项目基本情况</w:t>
      </w:r>
    </w:p>
    <w:p w14:paraId="5A64F0D8">
      <w:pPr>
        <w:pStyle w:val="38"/>
        <w:ind w:firstLine="480"/>
        <w:rPr>
          <w:color w:val="auto"/>
          <w:sz w:val="24"/>
          <w:szCs w:val="22"/>
          <w:highlight w:val="none"/>
        </w:rPr>
      </w:pPr>
      <w:r>
        <w:rPr>
          <w:rFonts w:hint="eastAsia"/>
          <w:color w:val="auto"/>
          <w:sz w:val="24"/>
          <w:szCs w:val="22"/>
          <w:highlight w:val="none"/>
        </w:rPr>
        <w:t xml:space="preserve">质疑项目的名称：                                      </w:t>
      </w:r>
    </w:p>
    <w:p w14:paraId="51C99C70">
      <w:pPr>
        <w:pStyle w:val="38"/>
        <w:ind w:firstLine="480"/>
        <w:rPr>
          <w:color w:val="auto"/>
          <w:sz w:val="24"/>
          <w:szCs w:val="22"/>
          <w:highlight w:val="none"/>
        </w:rPr>
      </w:pPr>
      <w:r>
        <w:rPr>
          <w:rFonts w:hint="eastAsia"/>
          <w:color w:val="auto"/>
          <w:sz w:val="24"/>
          <w:szCs w:val="22"/>
          <w:highlight w:val="none"/>
        </w:rPr>
        <w:t xml:space="preserve">质疑项目的编号：               包号：                 </w:t>
      </w:r>
    </w:p>
    <w:p w14:paraId="27A4D575">
      <w:pPr>
        <w:pStyle w:val="38"/>
        <w:ind w:firstLine="480"/>
        <w:rPr>
          <w:color w:val="auto"/>
          <w:sz w:val="24"/>
          <w:szCs w:val="22"/>
          <w:highlight w:val="none"/>
        </w:rPr>
      </w:pPr>
      <w:r>
        <w:rPr>
          <w:rFonts w:hint="eastAsia"/>
          <w:color w:val="auto"/>
          <w:sz w:val="24"/>
          <w:szCs w:val="22"/>
          <w:highlight w:val="none"/>
        </w:rPr>
        <w:t xml:space="preserve">采购人名称：                                         </w:t>
      </w:r>
    </w:p>
    <w:p w14:paraId="6B535031">
      <w:pPr>
        <w:pStyle w:val="38"/>
        <w:ind w:firstLine="480"/>
        <w:rPr>
          <w:color w:val="auto"/>
          <w:sz w:val="24"/>
          <w:szCs w:val="22"/>
          <w:highlight w:val="none"/>
        </w:rPr>
      </w:pPr>
      <w:r>
        <w:rPr>
          <w:rFonts w:hint="eastAsia"/>
          <w:color w:val="auto"/>
          <w:sz w:val="24"/>
          <w:szCs w:val="22"/>
          <w:highlight w:val="none"/>
        </w:rPr>
        <w:t xml:space="preserve">招标文件获取日期：                                           </w:t>
      </w:r>
    </w:p>
    <w:p w14:paraId="1992503B">
      <w:pPr>
        <w:pStyle w:val="38"/>
        <w:ind w:firstLine="480"/>
        <w:rPr>
          <w:color w:val="auto"/>
          <w:sz w:val="24"/>
          <w:szCs w:val="22"/>
          <w:highlight w:val="none"/>
        </w:rPr>
      </w:pPr>
      <w:r>
        <w:rPr>
          <w:rFonts w:hint="eastAsia"/>
          <w:color w:val="auto"/>
          <w:sz w:val="24"/>
          <w:szCs w:val="22"/>
          <w:highlight w:val="none"/>
        </w:rPr>
        <w:t>三、质疑事项具体内容</w:t>
      </w:r>
    </w:p>
    <w:p w14:paraId="0B184131">
      <w:pPr>
        <w:pStyle w:val="38"/>
        <w:ind w:firstLine="480"/>
        <w:rPr>
          <w:color w:val="auto"/>
          <w:sz w:val="24"/>
          <w:szCs w:val="22"/>
          <w:highlight w:val="none"/>
        </w:rPr>
      </w:pPr>
      <w:r>
        <w:rPr>
          <w:rFonts w:hint="eastAsia"/>
          <w:color w:val="auto"/>
          <w:sz w:val="24"/>
          <w:szCs w:val="22"/>
          <w:highlight w:val="none"/>
        </w:rPr>
        <w:t xml:space="preserve">质疑事项1：                                         </w:t>
      </w:r>
    </w:p>
    <w:p w14:paraId="2F8AE419">
      <w:pPr>
        <w:pStyle w:val="38"/>
        <w:ind w:firstLine="480"/>
        <w:rPr>
          <w:color w:val="auto"/>
          <w:sz w:val="24"/>
          <w:szCs w:val="22"/>
          <w:highlight w:val="none"/>
        </w:rPr>
      </w:pPr>
      <w:r>
        <w:rPr>
          <w:rFonts w:hint="eastAsia"/>
          <w:color w:val="auto"/>
          <w:sz w:val="24"/>
          <w:szCs w:val="22"/>
          <w:highlight w:val="none"/>
        </w:rPr>
        <w:t xml:space="preserve">事实依据：                                          </w:t>
      </w:r>
    </w:p>
    <w:p w14:paraId="4A1AD5AC">
      <w:pPr>
        <w:pStyle w:val="38"/>
        <w:ind w:firstLine="480"/>
        <w:rPr>
          <w:color w:val="auto"/>
          <w:sz w:val="24"/>
          <w:szCs w:val="22"/>
          <w:highlight w:val="none"/>
        </w:rPr>
      </w:pPr>
    </w:p>
    <w:p w14:paraId="32154841">
      <w:pPr>
        <w:pStyle w:val="38"/>
        <w:ind w:firstLine="480"/>
        <w:rPr>
          <w:color w:val="auto"/>
          <w:sz w:val="24"/>
          <w:szCs w:val="22"/>
          <w:highlight w:val="none"/>
        </w:rPr>
      </w:pPr>
      <w:r>
        <w:rPr>
          <w:rFonts w:hint="eastAsia"/>
          <w:color w:val="auto"/>
          <w:sz w:val="24"/>
          <w:szCs w:val="22"/>
          <w:highlight w:val="none"/>
        </w:rPr>
        <w:t xml:space="preserve">法律依据：                                          </w:t>
      </w:r>
    </w:p>
    <w:p w14:paraId="338502BF">
      <w:pPr>
        <w:pStyle w:val="38"/>
        <w:ind w:firstLine="480"/>
        <w:rPr>
          <w:color w:val="auto"/>
          <w:sz w:val="24"/>
          <w:szCs w:val="22"/>
          <w:highlight w:val="none"/>
        </w:rPr>
      </w:pPr>
    </w:p>
    <w:p w14:paraId="0D32A9FB">
      <w:pPr>
        <w:pStyle w:val="38"/>
        <w:ind w:firstLine="480"/>
        <w:rPr>
          <w:color w:val="auto"/>
          <w:sz w:val="24"/>
          <w:szCs w:val="22"/>
          <w:highlight w:val="none"/>
        </w:rPr>
      </w:pPr>
      <w:r>
        <w:rPr>
          <w:rFonts w:hint="eastAsia"/>
          <w:color w:val="auto"/>
          <w:sz w:val="24"/>
          <w:szCs w:val="22"/>
          <w:highlight w:val="none"/>
        </w:rPr>
        <w:t>质疑事项2</w:t>
      </w:r>
    </w:p>
    <w:p w14:paraId="0AA9DF05">
      <w:pPr>
        <w:pStyle w:val="38"/>
        <w:ind w:firstLine="480"/>
        <w:rPr>
          <w:color w:val="auto"/>
          <w:sz w:val="24"/>
          <w:szCs w:val="22"/>
          <w:highlight w:val="none"/>
        </w:rPr>
      </w:pPr>
      <w:r>
        <w:rPr>
          <w:rFonts w:hint="eastAsia"/>
          <w:color w:val="auto"/>
          <w:sz w:val="24"/>
          <w:szCs w:val="22"/>
          <w:highlight w:val="none"/>
        </w:rPr>
        <w:t>……</w:t>
      </w:r>
    </w:p>
    <w:p w14:paraId="268424D5">
      <w:pPr>
        <w:pStyle w:val="38"/>
        <w:ind w:firstLine="480"/>
        <w:rPr>
          <w:color w:val="auto"/>
          <w:sz w:val="24"/>
          <w:szCs w:val="22"/>
          <w:highlight w:val="none"/>
        </w:rPr>
      </w:pPr>
      <w:r>
        <w:rPr>
          <w:rFonts w:hint="eastAsia"/>
          <w:color w:val="auto"/>
          <w:sz w:val="24"/>
          <w:szCs w:val="22"/>
          <w:highlight w:val="none"/>
        </w:rPr>
        <w:t>四、与质疑事项相关的质疑请求</w:t>
      </w:r>
    </w:p>
    <w:p w14:paraId="34E6333C">
      <w:pPr>
        <w:pStyle w:val="38"/>
        <w:ind w:firstLine="480"/>
        <w:rPr>
          <w:color w:val="auto"/>
          <w:sz w:val="24"/>
          <w:szCs w:val="22"/>
          <w:highlight w:val="none"/>
        </w:rPr>
      </w:pPr>
      <w:r>
        <w:rPr>
          <w:rFonts w:hint="eastAsia"/>
          <w:color w:val="auto"/>
          <w:sz w:val="24"/>
          <w:szCs w:val="22"/>
          <w:highlight w:val="none"/>
        </w:rPr>
        <w:t xml:space="preserve">请求：                                               </w:t>
      </w:r>
    </w:p>
    <w:p w14:paraId="6A389B72">
      <w:pPr>
        <w:pStyle w:val="38"/>
        <w:ind w:firstLine="480"/>
        <w:rPr>
          <w:color w:val="auto"/>
          <w:sz w:val="24"/>
          <w:szCs w:val="22"/>
          <w:highlight w:val="none"/>
        </w:rPr>
      </w:pPr>
      <w:r>
        <w:rPr>
          <w:rFonts w:hint="eastAsia"/>
          <w:color w:val="auto"/>
          <w:sz w:val="24"/>
          <w:szCs w:val="22"/>
          <w:highlight w:val="none"/>
        </w:rPr>
        <w:t xml:space="preserve">签字(签章)：                   公章：                      </w:t>
      </w:r>
    </w:p>
    <w:p w14:paraId="55D30E24">
      <w:pPr>
        <w:pStyle w:val="38"/>
        <w:ind w:firstLine="480"/>
        <w:rPr>
          <w:color w:val="auto"/>
          <w:sz w:val="24"/>
          <w:szCs w:val="22"/>
          <w:highlight w:val="none"/>
        </w:rPr>
      </w:pPr>
      <w:r>
        <w:rPr>
          <w:rFonts w:hint="eastAsia"/>
          <w:color w:val="auto"/>
          <w:sz w:val="24"/>
          <w:szCs w:val="22"/>
          <w:highlight w:val="none"/>
        </w:rPr>
        <w:t xml:space="preserve">日期：    </w:t>
      </w:r>
    </w:p>
    <w:p w14:paraId="5A4819DB">
      <w:pPr>
        <w:rPr>
          <w:color w:val="auto"/>
          <w:sz w:val="24"/>
          <w:szCs w:val="22"/>
          <w:highlight w:val="none"/>
        </w:rPr>
      </w:pPr>
      <w:r>
        <w:rPr>
          <w:rFonts w:hint="eastAsia"/>
          <w:color w:val="auto"/>
          <w:sz w:val="24"/>
          <w:szCs w:val="22"/>
          <w:highlight w:val="none"/>
        </w:rPr>
        <w:br w:type="page"/>
      </w:r>
    </w:p>
    <w:p w14:paraId="4A44001F">
      <w:pPr>
        <w:pStyle w:val="38"/>
        <w:ind w:firstLine="480"/>
        <w:rPr>
          <w:color w:val="auto"/>
          <w:sz w:val="24"/>
          <w:szCs w:val="22"/>
          <w:highlight w:val="none"/>
        </w:rPr>
      </w:pPr>
      <w:r>
        <w:rPr>
          <w:rFonts w:hint="eastAsia"/>
          <w:color w:val="auto"/>
          <w:sz w:val="24"/>
          <w:szCs w:val="22"/>
          <w:highlight w:val="none"/>
        </w:rPr>
        <w:t>质疑函制作说明：</w:t>
      </w:r>
    </w:p>
    <w:p w14:paraId="6839EB21">
      <w:pPr>
        <w:pStyle w:val="38"/>
        <w:ind w:firstLine="480"/>
        <w:rPr>
          <w:color w:val="auto"/>
          <w:sz w:val="24"/>
          <w:szCs w:val="22"/>
          <w:highlight w:val="none"/>
        </w:rPr>
      </w:pPr>
      <w:r>
        <w:rPr>
          <w:rFonts w:hint="eastAsia"/>
          <w:color w:val="auto"/>
          <w:sz w:val="24"/>
          <w:szCs w:val="22"/>
          <w:highlight w:val="none"/>
        </w:rPr>
        <w:t>1.供应商提出质疑时，应提交质疑函和必要的证明材料。</w:t>
      </w:r>
    </w:p>
    <w:p w14:paraId="2FFDED38">
      <w:pPr>
        <w:pStyle w:val="38"/>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1AEF8EE">
      <w:pPr>
        <w:pStyle w:val="38"/>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14:paraId="71F42EF4">
      <w:pPr>
        <w:pStyle w:val="38"/>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14:paraId="4514FFE4">
      <w:pPr>
        <w:pStyle w:val="38"/>
        <w:ind w:firstLine="480"/>
        <w:rPr>
          <w:color w:val="auto"/>
          <w:sz w:val="24"/>
          <w:szCs w:val="22"/>
          <w:highlight w:val="none"/>
        </w:rPr>
      </w:pPr>
      <w:r>
        <w:rPr>
          <w:rFonts w:hint="eastAsia"/>
          <w:color w:val="auto"/>
          <w:sz w:val="24"/>
          <w:szCs w:val="22"/>
          <w:highlight w:val="none"/>
        </w:rPr>
        <w:t>5.质疑函的质疑请求应与质疑事项相关。</w:t>
      </w:r>
    </w:p>
    <w:p w14:paraId="32393FD4">
      <w:pPr>
        <w:pStyle w:val="38"/>
        <w:ind w:firstLine="480"/>
        <w:rPr>
          <w:rFonts w:hint="eastAsia" w:ascii="楷体_GB2312" w:hAnsi="楷体_GB2312" w:eastAsia="宋体" w:cs="Times New Roman"/>
          <w:b/>
          <w:color w:val="auto"/>
          <w:kern w:val="2"/>
          <w:sz w:val="32"/>
          <w:szCs w:val="32"/>
          <w:highlight w:val="none"/>
          <w:lang w:val="en-US" w:eastAsia="zh-CN" w:bidi="ar-SA"/>
        </w:rPr>
        <w:sectPr>
          <w:headerReference r:id="rId10" w:type="default"/>
          <w:footerReference r:id="rId11" w:type="default"/>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docGrid w:type="linesAndChars" w:linePitch="319" w:charSpace="0"/>
        </w:sect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14:paraId="09DE1BFD">
      <w:pPr>
        <w:pStyle w:val="3"/>
        <w:numPr>
          <w:ilvl w:val="0"/>
          <w:numId w:val="0"/>
        </w:numPr>
        <w:rPr>
          <w:rFonts w:hint="eastAsia" w:ascii="宋体" w:hAnsi="宋体" w:eastAsia="宋体" w:cs="宋体"/>
          <w:color w:val="auto"/>
          <w:kern w:val="2"/>
          <w:sz w:val="24"/>
          <w:szCs w:val="24"/>
          <w:highlight w:val="none"/>
          <w:lang w:val="en-US" w:eastAsia="zh-CN" w:bidi="ar-SA"/>
        </w:rPr>
      </w:pPr>
      <w:r>
        <w:rPr>
          <w:rFonts w:hint="eastAsia" w:ascii="楷体_GB2312" w:hAnsi="楷体_GB2312" w:eastAsia="宋体" w:cs="Times New Roman"/>
          <w:b/>
          <w:color w:val="auto"/>
          <w:kern w:val="2"/>
          <w:sz w:val="32"/>
          <w:szCs w:val="32"/>
          <w:highlight w:val="none"/>
          <w:lang w:val="en-US" w:eastAsia="zh-CN" w:bidi="ar-SA"/>
        </w:rPr>
        <w:t>第六章</w:t>
      </w:r>
      <w:r>
        <w:rPr>
          <w:rFonts w:hint="eastAsia" w:cs="Times New Roman"/>
          <w:b/>
          <w:color w:val="auto"/>
          <w:kern w:val="2"/>
          <w:sz w:val="32"/>
          <w:szCs w:val="32"/>
          <w:highlight w:val="none"/>
          <w:lang w:val="en-US" w:eastAsia="zh-CN" w:bidi="ar-SA"/>
        </w:rPr>
        <w:t xml:space="preserve">   </w:t>
      </w:r>
      <w:r>
        <w:rPr>
          <w:rFonts w:hint="eastAsia"/>
          <w:color w:val="auto"/>
          <w:highlight w:val="none"/>
        </w:rPr>
        <w:t>项目需求</w:t>
      </w:r>
    </w:p>
    <w:tbl>
      <w:tblPr>
        <w:tblStyle w:val="39"/>
        <w:tblpPr w:leftFromText="180" w:rightFromText="180" w:vertAnchor="text" w:horzAnchor="page" w:tblpX="1804" w:tblpY="730"/>
        <w:tblOverlap w:val="never"/>
        <w:tblW w:w="87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1"/>
        <w:gridCol w:w="1788"/>
        <w:gridCol w:w="701"/>
        <w:gridCol w:w="746"/>
        <w:gridCol w:w="1325"/>
        <w:gridCol w:w="1215"/>
        <w:gridCol w:w="1215"/>
        <w:gridCol w:w="1215"/>
      </w:tblGrid>
      <w:tr w14:paraId="5C7A6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511" w:type="dxa"/>
            <w:tcBorders>
              <w:top w:val="single" w:color="auto" w:sz="4" w:space="0"/>
              <w:left w:val="single" w:color="auto" w:sz="4" w:space="0"/>
              <w:bottom w:val="nil"/>
              <w:right w:val="single" w:color="auto" w:sz="4" w:space="0"/>
            </w:tcBorders>
            <w:shd w:val="clear" w:color="auto" w:fill="auto"/>
            <w:noWrap/>
            <w:vAlign w:val="center"/>
          </w:tcPr>
          <w:p w14:paraId="1B2DA1AF">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包号</w:t>
            </w:r>
          </w:p>
        </w:tc>
        <w:tc>
          <w:tcPr>
            <w:tcW w:w="1788" w:type="dxa"/>
            <w:tcBorders>
              <w:top w:val="single" w:color="auto" w:sz="4" w:space="0"/>
              <w:left w:val="single" w:color="auto" w:sz="4" w:space="0"/>
              <w:bottom w:val="nil"/>
              <w:right w:val="single" w:color="auto" w:sz="4" w:space="0"/>
            </w:tcBorders>
            <w:shd w:val="clear" w:color="auto" w:fill="auto"/>
            <w:noWrap/>
            <w:vAlign w:val="center"/>
          </w:tcPr>
          <w:p w14:paraId="5B706B9C">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装备名称</w:t>
            </w:r>
          </w:p>
        </w:tc>
        <w:tc>
          <w:tcPr>
            <w:tcW w:w="701" w:type="dxa"/>
            <w:tcBorders>
              <w:top w:val="single" w:color="auto" w:sz="4" w:space="0"/>
              <w:left w:val="single" w:color="auto" w:sz="4" w:space="0"/>
              <w:bottom w:val="nil"/>
              <w:right w:val="single" w:color="auto" w:sz="4" w:space="0"/>
            </w:tcBorders>
            <w:shd w:val="clear" w:color="auto" w:fill="auto"/>
            <w:noWrap/>
            <w:vAlign w:val="center"/>
          </w:tcPr>
          <w:p w14:paraId="7FBF7075">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数量</w:t>
            </w:r>
          </w:p>
        </w:tc>
        <w:tc>
          <w:tcPr>
            <w:tcW w:w="746" w:type="dxa"/>
            <w:tcBorders>
              <w:top w:val="single" w:color="auto" w:sz="4" w:space="0"/>
              <w:left w:val="single" w:color="auto" w:sz="4" w:space="0"/>
              <w:bottom w:val="nil"/>
              <w:right w:val="single" w:color="auto" w:sz="4" w:space="0"/>
            </w:tcBorders>
            <w:shd w:val="clear" w:color="auto" w:fill="auto"/>
            <w:noWrap/>
            <w:vAlign w:val="center"/>
          </w:tcPr>
          <w:p w14:paraId="0587B4B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计量单位</w:t>
            </w:r>
          </w:p>
        </w:tc>
        <w:tc>
          <w:tcPr>
            <w:tcW w:w="13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F11995">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单价（万元）</w:t>
            </w:r>
          </w:p>
        </w:tc>
        <w:tc>
          <w:tcPr>
            <w:tcW w:w="12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634138">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合价（万元）</w:t>
            </w:r>
          </w:p>
        </w:tc>
        <w:tc>
          <w:tcPr>
            <w:tcW w:w="12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211A45">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核心产品</w:t>
            </w:r>
          </w:p>
        </w:tc>
        <w:tc>
          <w:tcPr>
            <w:tcW w:w="12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E511DE">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样品</w:t>
            </w:r>
          </w:p>
        </w:tc>
      </w:tr>
      <w:tr w14:paraId="16E10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511" w:type="dxa"/>
            <w:vMerge w:val="restart"/>
            <w:tcBorders>
              <w:top w:val="single" w:color="000000" w:sz="4" w:space="0"/>
              <w:left w:val="single" w:color="000000" w:sz="4" w:space="0"/>
              <w:right w:val="single" w:color="000000" w:sz="4" w:space="0"/>
            </w:tcBorders>
            <w:shd w:val="clear" w:color="auto" w:fill="auto"/>
            <w:vAlign w:val="center"/>
          </w:tcPr>
          <w:p w14:paraId="6DBB38EB">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eastAsia" w:cs="Times New Roman"/>
                <w:i w:val="0"/>
                <w:iCs w:val="0"/>
                <w:color w:val="auto"/>
                <w:kern w:val="0"/>
                <w:sz w:val="24"/>
                <w:szCs w:val="24"/>
                <w:highlight w:val="none"/>
                <w:u w:val="none"/>
                <w:lang w:val="en-US" w:eastAsia="zh-CN" w:bidi="ar"/>
              </w:rPr>
              <w:t>九包</w:t>
            </w: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8AA4F">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坑道小型空气输送机</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1490">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18</w:t>
            </w:r>
          </w:p>
        </w:tc>
        <w:tc>
          <w:tcPr>
            <w:tcW w:w="746" w:type="dxa"/>
            <w:tcBorders>
              <w:top w:val="single" w:color="000000" w:sz="4" w:space="0"/>
              <w:left w:val="single" w:color="000000" w:sz="4" w:space="0"/>
              <w:bottom w:val="single" w:color="000000" w:sz="4" w:space="0"/>
              <w:right w:val="single" w:color="auto" w:sz="4" w:space="0"/>
            </w:tcBorders>
            <w:shd w:val="clear" w:color="auto" w:fill="auto"/>
            <w:vAlign w:val="center"/>
          </w:tcPr>
          <w:p w14:paraId="55C43977">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台</w:t>
            </w:r>
          </w:p>
        </w:tc>
        <w:tc>
          <w:tcPr>
            <w:tcW w:w="1325" w:type="dxa"/>
            <w:tcBorders>
              <w:top w:val="single" w:color="auto" w:sz="4" w:space="0"/>
              <w:left w:val="single" w:color="auto" w:sz="4" w:space="0"/>
              <w:bottom w:val="single" w:color="000000" w:sz="4" w:space="0"/>
              <w:right w:val="single" w:color="auto" w:sz="4" w:space="0"/>
            </w:tcBorders>
            <w:shd w:val="clear" w:color="auto" w:fill="auto"/>
            <w:vAlign w:val="center"/>
          </w:tcPr>
          <w:p w14:paraId="086E9685">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0.6</w:t>
            </w:r>
          </w:p>
        </w:tc>
        <w:tc>
          <w:tcPr>
            <w:tcW w:w="1215" w:type="dxa"/>
            <w:vMerge w:val="restart"/>
            <w:tcBorders>
              <w:top w:val="single" w:color="auto" w:sz="4" w:space="0"/>
              <w:left w:val="single" w:color="auto" w:sz="4" w:space="0"/>
              <w:right w:val="single" w:color="auto" w:sz="4" w:space="0"/>
            </w:tcBorders>
            <w:shd w:val="clear" w:color="auto" w:fill="auto"/>
            <w:vAlign w:val="center"/>
          </w:tcPr>
          <w:p w14:paraId="260EF619">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87.1</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4712B150">
            <w:pPr>
              <w:jc w:val="center"/>
              <w:rPr>
                <w:rFonts w:hint="eastAsia" w:ascii="宋体" w:hAnsi="宋体" w:cs="宋体"/>
                <w:i w:val="0"/>
                <w:iCs w:val="0"/>
                <w:color w:val="auto"/>
                <w:sz w:val="24"/>
                <w:szCs w:val="24"/>
                <w:highlight w:val="none"/>
                <w:u w:val="none"/>
                <w:lang w:val="en-US" w:eastAsia="zh-CN"/>
              </w:rPr>
            </w:pPr>
            <w:r>
              <w:rPr>
                <w:rFonts w:hint="default" w:ascii="Arial" w:hAnsi="Arial" w:cs="Arial"/>
                <w:i w:val="0"/>
                <w:iCs w:val="0"/>
                <w:color w:val="auto"/>
                <w:sz w:val="24"/>
                <w:szCs w:val="24"/>
                <w:highlight w:val="none"/>
                <w:u w:val="none"/>
                <w:lang w:val="en-US" w:eastAsia="zh-CN"/>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3882B0D2">
            <w:pPr>
              <w:jc w:val="center"/>
              <w:rPr>
                <w:rFonts w:hint="default" w:ascii="宋体" w:hAnsi="宋体" w:eastAsia="宋体" w:cs="宋体"/>
                <w:i w:val="0"/>
                <w:iCs w:val="0"/>
                <w:color w:val="auto"/>
                <w:sz w:val="24"/>
                <w:szCs w:val="24"/>
                <w:highlight w:val="none"/>
                <w:u w:val="none"/>
                <w:lang w:val="en-US" w:eastAsia="zh-CN"/>
              </w:rPr>
            </w:pPr>
          </w:p>
        </w:tc>
      </w:tr>
      <w:tr w14:paraId="5B7E0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511" w:type="dxa"/>
            <w:vMerge w:val="continue"/>
            <w:tcBorders>
              <w:left w:val="single" w:color="000000" w:sz="4" w:space="0"/>
              <w:right w:val="single" w:color="000000" w:sz="4" w:space="0"/>
            </w:tcBorders>
            <w:shd w:val="clear" w:color="auto" w:fill="auto"/>
            <w:vAlign w:val="center"/>
          </w:tcPr>
          <w:p w14:paraId="242D4DEC">
            <w:pPr>
              <w:keepNext w:val="0"/>
              <w:keepLines w:val="0"/>
              <w:widowControl/>
              <w:suppressLineNumbers w:val="0"/>
              <w:jc w:val="center"/>
              <w:textAlignment w:val="center"/>
              <w:rPr>
                <w:rFonts w:hint="eastAsia" w:cs="Times New Roman"/>
                <w:i w:val="0"/>
                <w:iCs w:val="0"/>
                <w:color w:val="auto"/>
                <w:kern w:val="0"/>
                <w:sz w:val="24"/>
                <w:szCs w:val="24"/>
                <w:highlight w:val="none"/>
                <w:u w:val="none"/>
                <w:lang w:val="en-US" w:eastAsia="zh-CN" w:bidi="ar"/>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1566">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空气充填泵</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719F3">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7</w:t>
            </w:r>
          </w:p>
        </w:tc>
        <w:tc>
          <w:tcPr>
            <w:tcW w:w="746" w:type="dxa"/>
            <w:tcBorders>
              <w:top w:val="single" w:color="000000" w:sz="4" w:space="0"/>
              <w:left w:val="single" w:color="000000" w:sz="4" w:space="0"/>
              <w:bottom w:val="single" w:color="000000" w:sz="4" w:space="0"/>
              <w:right w:val="single" w:color="auto" w:sz="4" w:space="0"/>
            </w:tcBorders>
            <w:shd w:val="clear" w:color="auto" w:fill="auto"/>
            <w:vAlign w:val="center"/>
          </w:tcPr>
          <w:p w14:paraId="6DADBAD6">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台</w:t>
            </w:r>
          </w:p>
        </w:tc>
        <w:tc>
          <w:tcPr>
            <w:tcW w:w="1325" w:type="dxa"/>
            <w:tcBorders>
              <w:top w:val="single" w:color="auto" w:sz="4" w:space="0"/>
              <w:left w:val="single" w:color="auto" w:sz="4" w:space="0"/>
              <w:bottom w:val="single" w:color="000000" w:sz="4" w:space="0"/>
              <w:right w:val="single" w:color="auto" w:sz="4" w:space="0"/>
            </w:tcBorders>
            <w:shd w:val="clear" w:color="auto" w:fill="auto"/>
            <w:vAlign w:val="center"/>
          </w:tcPr>
          <w:p w14:paraId="234BE1EB">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9</w:t>
            </w:r>
          </w:p>
        </w:tc>
        <w:tc>
          <w:tcPr>
            <w:tcW w:w="1215" w:type="dxa"/>
            <w:vMerge w:val="continue"/>
            <w:tcBorders>
              <w:left w:val="single" w:color="auto" w:sz="4" w:space="0"/>
              <w:right w:val="single" w:color="auto" w:sz="4" w:space="0"/>
            </w:tcBorders>
            <w:shd w:val="clear" w:color="auto" w:fill="auto"/>
            <w:vAlign w:val="center"/>
          </w:tcPr>
          <w:p w14:paraId="1DE52344">
            <w:pPr>
              <w:jc w:val="center"/>
              <w:rPr>
                <w:rFonts w:hint="eastAsia"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09B115A1">
            <w:pPr>
              <w:jc w:val="center"/>
              <w:rPr>
                <w:rFonts w:hint="eastAsia"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23FBCA73">
            <w:pPr>
              <w:jc w:val="center"/>
              <w:rPr>
                <w:rFonts w:hint="eastAsia" w:ascii="宋体" w:hAnsi="宋体" w:eastAsia="宋体" w:cs="宋体"/>
                <w:i w:val="0"/>
                <w:iCs w:val="0"/>
                <w:color w:val="auto"/>
                <w:sz w:val="24"/>
                <w:szCs w:val="24"/>
                <w:highlight w:val="none"/>
                <w:u w:val="none"/>
                <w:lang w:val="en-US" w:eastAsia="zh-CN"/>
              </w:rPr>
            </w:pPr>
          </w:p>
        </w:tc>
      </w:tr>
      <w:tr w14:paraId="14724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511" w:type="dxa"/>
            <w:vMerge w:val="continue"/>
            <w:tcBorders>
              <w:left w:val="single" w:color="000000" w:sz="4" w:space="0"/>
              <w:bottom w:val="single" w:color="000000" w:sz="4" w:space="0"/>
              <w:right w:val="single" w:color="000000" w:sz="4" w:space="0"/>
            </w:tcBorders>
            <w:shd w:val="clear" w:color="auto" w:fill="auto"/>
            <w:vAlign w:val="center"/>
          </w:tcPr>
          <w:p w14:paraId="250E0900">
            <w:pPr>
              <w:keepNext w:val="0"/>
              <w:keepLines w:val="0"/>
              <w:widowControl/>
              <w:suppressLineNumbers w:val="0"/>
              <w:jc w:val="center"/>
              <w:textAlignment w:val="center"/>
              <w:rPr>
                <w:rFonts w:hint="eastAsia" w:cs="Times New Roman"/>
                <w:i w:val="0"/>
                <w:iCs w:val="0"/>
                <w:color w:val="auto"/>
                <w:kern w:val="0"/>
                <w:sz w:val="24"/>
                <w:szCs w:val="24"/>
                <w:highlight w:val="none"/>
                <w:u w:val="none"/>
                <w:lang w:val="en-US" w:eastAsia="zh-CN" w:bidi="ar"/>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A263">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强制送风机</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31025">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38</w:t>
            </w:r>
          </w:p>
        </w:tc>
        <w:tc>
          <w:tcPr>
            <w:tcW w:w="746" w:type="dxa"/>
            <w:tcBorders>
              <w:top w:val="single" w:color="000000" w:sz="4" w:space="0"/>
              <w:left w:val="single" w:color="000000" w:sz="4" w:space="0"/>
              <w:bottom w:val="single" w:color="000000" w:sz="4" w:space="0"/>
              <w:right w:val="single" w:color="auto" w:sz="4" w:space="0"/>
            </w:tcBorders>
            <w:shd w:val="clear" w:color="auto" w:fill="auto"/>
            <w:vAlign w:val="center"/>
          </w:tcPr>
          <w:p w14:paraId="0A8456B3">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台</w:t>
            </w:r>
          </w:p>
        </w:tc>
        <w:tc>
          <w:tcPr>
            <w:tcW w:w="1325" w:type="dxa"/>
            <w:tcBorders>
              <w:top w:val="single" w:color="auto" w:sz="4" w:space="0"/>
              <w:left w:val="single" w:color="auto" w:sz="4" w:space="0"/>
              <w:bottom w:val="single" w:color="000000" w:sz="4" w:space="0"/>
              <w:right w:val="single" w:color="auto" w:sz="4" w:space="0"/>
            </w:tcBorders>
            <w:shd w:val="clear" w:color="auto" w:fill="auto"/>
            <w:vAlign w:val="center"/>
          </w:tcPr>
          <w:p w14:paraId="4B188301">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0.35</w:t>
            </w:r>
          </w:p>
        </w:tc>
        <w:tc>
          <w:tcPr>
            <w:tcW w:w="1215" w:type="dxa"/>
            <w:vMerge w:val="continue"/>
            <w:tcBorders>
              <w:left w:val="single" w:color="auto" w:sz="4" w:space="0"/>
              <w:bottom w:val="single" w:color="000000" w:sz="4" w:space="0"/>
              <w:right w:val="single" w:color="auto" w:sz="4" w:space="0"/>
            </w:tcBorders>
            <w:shd w:val="clear" w:color="auto" w:fill="auto"/>
            <w:vAlign w:val="center"/>
          </w:tcPr>
          <w:p w14:paraId="0FD25C32">
            <w:pPr>
              <w:jc w:val="center"/>
              <w:rPr>
                <w:rFonts w:hint="eastAsia"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auto" w:sz="4" w:space="0"/>
              <w:bottom w:val="single" w:color="000000" w:sz="4" w:space="0"/>
              <w:right w:val="single" w:color="auto" w:sz="4" w:space="0"/>
            </w:tcBorders>
            <w:shd w:val="clear" w:color="auto" w:fill="auto"/>
            <w:vAlign w:val="center"/>
          </w:tcPr>
          <w:p w14:paraId="58FD10D3">
            <w:pPr>
              <w:jc w:val="center"/>
              <w:rPr>
                <w:rFonts w:hint="eastAsia"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auto" w:sz="4" w:space="0"/>
              <w:bottom w:val="single" w:color="000000" w:sz="4" w:space="0"/>
              <w:right w:val="single" w:color="auto" w:sz="4" w:space="0"/>
            </w:tcBorders>
            <w:shd w:val="clear" w:color="auto" w:fill="auto"/>
            <w:vAlign w:val="center"/>
          </w:tcPr>
          <w:p w14:paraId="2B8AD515">
            <w:pPr>
              <w:jc w:val="center"/>
              <w:rPr>
                <w:rFonts w:hint="eastAsia" w:ascii="宋体" w:hAnsi="宋体" w:eastAsia="宋体" w:cs="宋体"/>
                <w:i w:val="0"/>
                <w:iCs w:val="0"/>
                <w:color w:val="auto"/>
                <w:sz w:val="24"/>
                <w:szCs w:val="24"/>
                <w:highlight w:val="none"/>
                <w:u w:val="none"/>
                <w:lang w:val="en-US" w:eastAsia="zh-CN"/>
              </w:rPr>
            </w:pPr>
          </w:p>
        </w:tc>
      </w:tr>
      <w:tr w14:paraId="4836D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511" w:type="dxa"/>
            <w:vMerge w:val="restart"/>
            <w:tcBorders>
              <w:top w:val="single" w:color="000000" w:sz="4" w:space="0"/>
              <w:left w:val="single" w:color="000000" w:sz="4" w:space="0"/>
              <w:right w:val="single" w:color="000000" w:sz="4" w:space="0"/>
            </w:tcBorders>
            <w:shd w:val="clear" w:color="auto" w:fill="auto"/>
            <w:vAlign w:val="center"/>
          </w:tcPr>
          <w:p w14:paraId="6E9B100B">
            <w:pPr>
              <w:keepNext w:val="0"/>
              <w:keepLines w:val="0"/>
              <w:widowControl/>
              <w:suppressLineNumbers w:val="0"/>
              <w:jc w:val="center"/>
              <w:textAlignment w:val="center"/>
              <w:rPr>
                <w:rFonts w:hint="default" w:cs="Times New Roman"/>
                <w:i w:val="0"/>
                <w:iCs w:val="0"/>
                <w:color w:val="auto"/>
                <w:kern w:val="0"/>
                <w:sz w:val="24"/>
                <w:szCs w:val="24"/>
                <w:highlight w:val="none"/>
                <w:u w:val="none"/>
                <w:lang w:val="en-US" w:eastAsia="zh-CN" w:bidi="ar"/>
              </w:rPr>
            </w:pPr>
            <w:r>
              <w:rPr>
                <w:rFonts w:hint="eastAsia" w:cs="Times New Roman"/>
                <w:i w:val="0"/>
                <w:iCs w:val="0"/>
                <w:color w:val="auto"/>
                <w:kern w:val="0"/>
                <w:sz w:val="24"/>
                <w:szCs w:val="24"/>
                <w:highlight w:val="none"/>
                <w:u w:val="none"/>
                <w:lang w:val="en-US" w:eastAsia="zh-CN" w:bidi="ar"/>
              </w:rPr>
              <w:t>十包</w:t>
            </w: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B99E">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多功能消防水枪</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D7863">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94</w:t>
            </w:r>
          </w:p>
        </w:tc>
        <w:tc>
          <w:tcPr>
            <w:tcW w:w="746" w:type="dxa"/>
            <w:tcBorders>
              <w:top w:val="single" w:color="000000" w:sz="4" w:space="0"/>
              <w:left w:val="single" w:color="000000" w:sz="4" w:space="0"/>
              <w:bottom w:val="single" w:color="000000" w:sz="4" w:space="0"/>
              <w:right w:val="single" w:color="auto" w:sz="4" w:space="0"/>
            </w:tcBorders>
            <w:shd w:val="clear" w:color="auto" w:fill="auto"/>
            <w:vAlign w:val="center"/>
          </w:tcPr>
          <w:p w14:paraId="7A2D365D">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把</w:t>
            </w:r>
          </w:p>
        </w:tc>
        <w:tc>
          <w:tcPr>
            <w:tcW w:w="1325" w:type="dxa"/>
            <w:tcBorders>
              <w:top w:val="single" w:color="auto" w:sz="4" w:space="0"/>
              <w:left w:val="single" w:color="auto" w:sz="4" w:space="0"/>
              <w:bottom w:val="single" w:color="000000" w:sz="4" w:space="0"/>
              <w:right w:val="single" w:color="auto" w:sz="4" w:space="0"/>
            </w:tcBorders>
            <w:shd w:val="clear" w:color="auto" w:fill="auto"/>
            <w:vAlign w:val="center"/>
          </w:tcPr>
          <w:p w14:paraId="1DD544E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0.6</w:t>
            </w:r>
          </w:p>
        </w:tc>
        <w:tc>
          <w:tcPr>
            <w:tcW w:w="1215" w:type="dxa"/>
            <w:vMerge w:val="restart"/>
            <w:tcBorders>
              <w:top w:val="single" w:color="auto" w:sz="4" w:space="0"/>
              <w:left w:val="single" w:color="auto" w:sz="4" w:space="0"/>
              <w:right w:val="single" w:color="auto" w:sz="4" w:space="0"/>
            </w:tcBorders>
            <w:shd w:val="clear" w:color="auto" w:fill="auto"/>
            <w:vAlign w:val="center"/>
          </w:tcPr>
          <w:p w14:paraId="656894B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79.4</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684630C4">
            <w:pPr>
              <w:jc w:val="center"/>
              <w:rPr>
                <w:rFonts w:hint="eastAsia" w:ascii="宋体" w:hAnsi="宋体" w:cs="宋体"/>
                <w:i w:val="0"/>
                <w:iCs w:val="0"/>
                <w:color w:val="auto"/>
                <w:sz w:val="24"/>
                <w:szCs w:val="24"/>
                <w:highlight w:val="none"/>
                <w:u w:val="none"/>
                <w:lang w:val="en-US" w:eastAsia="zh-CN"/>
              </w:rPr>
            </w:pPr>
            <w:r>
              <w:rPr>
                <w:rFonts w:hint="default" w:ascii="Arial" w:hAnsi="Arial" w:cs="Arial"/>
                <w:i w:val="0"/>
                <w:iCs w:val="0"/>
                <w:color w:val="auto"/>
                <w:sz w:val="24"/>
                <w:szCs w:val="24"/>
                <w:highlight w:val="none"/>
                <w:u w:val="none"/>
                <w:lang w:val="en-US" w:eastAsia="zh-CN"/>
              </w:rPr>
              <w:t>√</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698955B8">
            <w:pPr>
              <w:jc w:val="center"/>
              <w:rPr>
                <w:rFonts w:hint="default" w:ascii="宋体" w:hAnsi="宋体" w:eastAsia="宋体" w:cs="宋体"/>
                <w:i w:val="0"/>
                <w:iCs w:val="0"/>
                <w:color w:val="auto"/>
                <w:sz w:val="24"/>
                <w:szCs w:val="24"/>
                <w:highlight w:val="none"/>
                <w:u w:val="none"/>
                <w:lang w:val="en-US" w:eastAsia="zh-CN"/>
              </w:rPr>
            </w:pPr>
            <w:r>
              <w:rPr>
                <w:rFonts w:hint="default" w:ascii="Arial" w:hAnsi="Arial" w:cs="Arial"/>
                <w:i w:val="0"/>
                <w:iCs w:val="0"/>
                <w:color w:val="auto"/>
                <w:sz w:val="24"/>
                <w:szCs w:val="24"/>
                <w:highlight w:val="none"/>
                <w:u w:val="none"/>
                <w:lang w:val="en-US" w:eastAsia="zh-CN"/>
              </w:rPr>
              <w:t>√</w:t>
            </w:r>
          </w:p>
        </w:tc>
      </w:tr>
      <w:tr w14:paraId="5FE83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511" w:type="dxa"/>
            <w:vMerge w:val="continue"/>
            <w:tcBorders>
              <w:left w:val="single" w:color="000000" w:sz="4" w:space="0"/>
              <w:right w:val="single" w:color="000000" w:sz="4" w:space="0"/>
            </w:tcBorders>
            <w:shd w:val="clear" w:color="auto" w:fill="auto"/>
            <w:vAlign w:val="center"/>
          </w:tcPr>
          <w:p w14:paraId="12B5752D">
            <w:pPr>
              <w:keepNext w:val="0"/>
              <w:keepLines w:val="0"/>
              <w:widowControl/>
              <w:suppressLineNumbers w:val="0"/>
              <w:jc w:val="center"/>
              <w:textAlignment w:val="center"/>
              <w:rPr>
                <w:rFonts w:hint="eastAsia" w:cs="Times New Roman"/>
                <w:i w:val="0"/>
                <w:iCs w:val="0"/>
                <w:color w:val="auto"/>
                <w:kern w:val="0"/>
                <w:sz w:val="24"/>
                <w:szCs w:val="24"/>
                <w:highlight w:val="none"/>
                <w:u w:val="none"/>
                <w:lang w:val="en-US" w:eastAsia="zh-CN" w:bidi="ar"/>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D3AD9">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穿刺式破拆水枪</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FA5E">
            <w:pPr>
              <w:jc w:val="center"/>
              <w:rPr>
                <w:rFonts w:hint="eastAsia" w:ascii="宋体" w:hAnsi="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10</w:t>
            </w:r>
          </w:p>
        </w:tc>
        <w:tc>
          <w:tcPr>
            <w:tcW w:w="746" w:type="dxa"/>
            <w:tcBorders>
              <w:top w:val="single" w:color="000000" w:sz="4" w:space="0"/>
              <w:left w:val="single" w:color="000000" w:sz="4" w:space="0"/>
              <w:bottom w:val="single" w:color="000000" w:sz="4" w:space="0"/>
              <w:right w:val="single" w:color="auto" w:sz="4" w:space="0"/>
            </w:tcBorders>
            <w:shd w:val="clear" w:color="auto" w:fill="auto"/>
            <w:vAlign w:val="center"/>
          </w:tcPr>
          <w:p w14:paraId="60978F18">
            <w:pPr>
              <w:jc w:val="center"/>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把</w:t>
            </w:r>
          </w:p>
        </w:tc>
        <w:tc>
          <w:tcPr>
            <w:tcW w:w="1325" w:type="dxa"/>
            <w:tcBorders>
              <w:top w:val="single" w:color="auto" w:sz="4" w:space="0"/>
              <w:left w:val="single" w:color="auto" w:sz="4" w:space="0"/>
              <w:bottom w:val="single" w:color="000000" w:sz="4" w:space="0"/>
              <w:right w:val="single" w:color="auto" w:sz="4" w:space="0"/>
            </w:tcBorders>
            <w:shd w:val="clear" w:color="auto" w:fill="auto"/>
            <w:vAlign w:val="center"/>
          </w:tcPr>
          <w:p w14:paraId="2D6B2EB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0.8</w:t>
            </w:r>
          </w:p>
        </w:tc>
        <w:tc>
          <w:tcPr>
            <w:tcW w:w="1215" w:type="dxa"/>
            <w:vMerge w:val="continue"/>
            <w:tcBorders>
              <w:left w:val="single" w:color="auto" w:sz="4" w:space="0"/>
              <w:right w:val="single" w:color="auto" w:sz="4" w:space="0"/>
            </w:tcBorders>
            <w:shd w:val="clear" w:color="auto" w:fill="auto"/>
            <w:vAlign w:val="center"/>
          </w:tcPr>
          <w:p w14:paraId="56880CA4">
            <w:pPr>
              <w:jc w:val="center"/>
              <w:rPr>
                <w:rFonts w:hint="eastAsia"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32D5FDC2">
            <w:pPr>
              <w:jc w:val="center"/>
              <w:rPr>
                <w:rFonts w:hint="default" w:ascii="Arial" w:hAnsi="Arial" w:cs="Arial"/>
                <w:i w:val="0"/>
                <w:iCs w:val="0"/>
                <w:color w:val="auto"/>
                <w:sz w:val="24"/>
                <w:szCs w:val="24"/>
                <w:highlight w:val="none"/>
                <w:u w:val="none"/>
                <w:lang w:val="en-US" w:eastAsia="zh-CN"/>
              </w:rPr>
            </w:pP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2628C5EE">
            <w:pPr>
              <w:jc w:val="center"/>
              <w:rPr>
                <w:rFonts w:hint="default" w:ascii="Arial" w:hAnsi="Arial" w:cs="Arial"/>
                <w:i w:val="0"/>
                <w:iCs w:val="0"/>
                <w:color w:val="auto"/>
                <w:sz w:val="24"/>
                <w:szCs w:val="24"/>
                <w:highlight w:val="none"/>
                <w:u w:val="none"/>
                <w:lang w:val="en-US" w:eastAsia="zh-CN"/>
              </w:rPr>
            </w:pPr>
          </w:p>
        </w:tc>
      </w:tr>
      <w:tr w14:paraId="70EAC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trPr>
        <w:tc>
          <w:tcPr>
            <w:tcW w:w="511" w:type="dxa"/>
            <w:vMerge w:val="continue"/>
            <w:tcBorders>
              <w:left w:val="single" w:color="000000" w:sz="4" w:space="0"/>
              <w:bottom w:val="single" w:color="000000" w:sz="4" w:space="0"/>
              <w:right w:val="single" w:color="000000" w:sz="4" w:space="0"/>
            </w:tcBorders>
            <w:shd w:val="clear" w:color="auto" w:fill="auto"/>
            <w:vAlign w:val="center"/>
          </w:tcPr>
          <w:p w14:paraId="62CCC794">
            <w:pPr>
              <w:keepNext w:val="0"/>
              <w:keepLines w:val="0"/>
              <w:widowControl/>
              <w:suppressLineNumbers w:val="0"/>
              <w:jc w:val="center"/>
              <w:textAlignment w:val="center"/>
              <w:rPr>
                <w:rFonts w:hint="eastAsia" w:cs="Times New Roman"/>
                <w:i w:val="0"/>
                <w:iCs w:val="0"/>
                <w:color w:val="auto"/>
                <w:kern w:val="0"/>
                <w:sz w:val="24"/>
                <w:szCs w:val="24"/>
                <w:highlight w:val="none"/>
                <w:u w:val="none"/>
                <w:lang w:val="en-US" w:eastAsia="zh-CN" w:bidi="ar"/>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AA9CC">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高倍数泡沫发生器</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7A70">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10</w:t>
            </w:r>
          </w:p>
        </w:tc>
        <w:tc>
          <w:tcPr>
            <w:tcW w:w="746" w:type="dxa"/>
            <w:tcBorders>
              <w:top w:val="single" w:color="000000" w:sz="4" w:space="0"/>
              <w:left w:val="single" w:color="000000" w:sz="4" w:space="0"/>
              <w:bottom w:val="single" w:color="000000" w:sz="4" w:space="0"/>
              <w:right w:val="single" w:color="auto" w:sz="4" w:space="0"/>
            </w:tcBorders>
            <w:shd w:val="clear" w:color="auto" w:fill="auto"/>
            <w:vAlign w:val="center"/>
          </w:tcPr>
          <w:p w14:paraId="009D069B">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具</w:t>
            </w:r>
          </w:p>
        </w:tc>
        <w:tc>
          <w:tcPr>
            <w:tcW w:w="1325" w:type="dxa"/>
            <w:tcBorders>
              <w:top w:val="single" w:color="auto" w:sz="4" w:space="0"/>
              <w:left w:val="single" w:color="auto" w:sz="4" w:space="0"/>
              <w:bottom w:val="single" w:color="000000" w:sz="4" w:space="0"/>
              <w:right w:val="single" w:color="auto" w:sz="4" w:space="0"/>
            </w:tcBorders>
            <w:shd w:val="clear" w:color="auto" w:fill="auto"/>
            <w:vAlign w:val="center"/>
          </w:tcPr>
          <w:p w14:paraId="2D7A925B">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1.5</w:t>
            </w:r>
          </w:p>
        </w:tc>
        <w:tc>
          <w:tcPr>
            <w:tcW w:w="1215" w:type="dxa"/>
            <w:vMerge w:val="continue"/>
            <w:tcBorders>
              <w:left w:val="single" w:color="auto" w:sz="4" w:space="0"/>
              <w:bottom w:val="single" w:color="000000" w:sz="4" w:space="0"/>
              <w:right w:val="single" w:color="auto" w:sz="4" w:space="0"/>
            </w:tcBorders>
            <w:shd w:val="clear" w:color="auto" w:fill="auto"/>
            <w:vAlign w:val="center"/>
          </w:tcPr>
          <w:p w14:paraId="29CD5713">
            <w:pPr>
              <w:jc w:val="center"/>
              <w:rPr>
                <w:rFonts w:hint="default"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auto" w:sz="4" w:space="0"/>
              <w:bottom w:val="single" w:color="000000" w:sz="4" w:space="0"/>
              <w:right w:val="single" w:color="auto" w:sz="4" w:space="0"/>
            </w:tcBorders>
            <w:shd w:val="clear" w:color="auto" w:fill="auto"/>
            <w:vAlign w:val="center"/>
          </w:tcPr>
          <w:p w14:paraId="30063A50">
            <w:pPr>
              <w:jc w:val="center"/>
              <w:rPr>
                <w:rFonts w:hint="default"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auto" w:sz="4" w:space="0"/>
              <w:bottom w:val="single" w:color="000000" w:sz="4" w:space="0"/>
              <w:right w:val="single" w:color="auto" w:sz="4" w:space="0"/>
            </w:tcBorders>
            <w:shd w:val="clear" w:color="auto" w:fill="auto"/>
            <w:vAlign w:val="center"/>
          </w:tcPr>
          <w:p w14:paraId="61427A7F">
            <w:pPr>
              <w:jc w:val="center"/>
              <w:rPr>
                <w:rFonts w:hint="default" w:ascii="宋体" w:hAnsi="宋体" w:eastAsia="宋体" w:cs="宋体"/>
                <w:i w:val="0"/>
                <w:iCs w:val="0"/>
                <w:color w:val="auto"/>
                <w:sz w:val="24"/>
                <w:szCs w:val="24"/>
                <w:highlight w:val="none"/>
                <w:u w:val="none"/>
                <w:lang w:val="en-US" w:eastAsia="zh-CN"/>
              </w:rPr>
            </w:pPr>
          </w:p>
        </w:tc>
      </w:tr>
      <w:tr w14:paraId="2A1A0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11" w:type="dxa"/>
            <w:vMerge w:val="restart"/>
            <w:tcBorders>
              <w:top w:val="single" w:color="000000" w:sz="4" w:space="0"/>
              <w:left w:val="single" w:color="000000" w:sz="4" w:space="0"/>
              <w:right w:val="single" w:color="000000" w:sz="4" w:space="0"/>
            </w:tcBorders>
            <w:shd w:val="clear" w:color="auto" w:fill="auto"/>
            <w:vAlign w:val="center"/>
          </w:tcPr>
          <w:p w14:paraId="375CEFED">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eastAsia" w:cs="Times New Roman"/>
                <w:i w:val="0"/>
                <w:iCs w:val="0"/>
                <w:color w:val="auto"/>
                <w:kern w:val="0"/>
                <w:sz w:val="24"/>
                <w:szCs w:val="24"/>
                <w:highlight w:val="none"/>
                <w:u w:val="none"/>
                <w:lang w:val="en-US" w:eastAsia="zh-CN" w:bidi="ar"/>
              </w:rPr>
              <w:t>十一包</w:t>
            </w: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1EF8">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电动链锯</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177E6">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37</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67F6">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台</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6E79A">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w:t>
            </w:r>
          </w:p>
        </w:tc>
        <w:tc>
          <w:tcPr>
            <w:tcW w:w="1215" w:type="dxa"/>
            <w:vMerge w:val="restart"/>
            <w:tcBorders>
              <w:top w:val="single" w:color="000000" w:sz="4" w:space="0"/>
              <w:left w:val="single" w:color="000000" w:sz="4" w:space="0"/>
              <w:right w:val="single" w:color="000000" w:sz="4" w:space="0"/>
            </w:tcBorders>
            <w:shd w:val="clear" w:color="auto" w:fill="auto"/>
            <w:vAlign w:val="center"/>
          </w:tcPr>
          <w:p w14:paraId="43B76895">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144.53</w:t>
            </w:r>
          </w:p>
        </w:tc>
        <w:tc>
          <w:tcPr>
            <w:tcW w:w="1215" w:type="dxa"/>
            <w:tcBorders>
              <w:top w:val="single" w:color="000000" w:sz="4" w:space="0"/>
              <w:left w:val="single" w:color="000000" w:sz="4" w:space="0"/>
              <w:bottom w:val="single" w:color="auto" w:sz="4" w:space="0"/>
              <w:right w:val="single" w:color="000000" w:sz="4" w:space="0"/>
            </w:tcBorders>
            <w:shd w:val="clear" w:color="auto" w:fill="auto"/>
            <w:vAlign w:val="center"/>
          </w:tcPr>
          <w:p w14:paraId="199CC69C">
            <w:pPr>
              <w:jc w:val="center"/>
              <w:rPr>
                <w:rFonts w:hint="eastAsia" w:ascii="宋体" w:hAnsi="宋体" w:cs="宋体"/>
                <w:i w:val="0"/>
                <w:iCs w:val="0"/>
                <w:color w:val="auto"/>
                <w:sz w:val="24"/>
                <w:szCs w:val="24"/>
                <w:highlight w:val="none"/>
                <w:u w:val="none"/>
                <w:lang w:val="en-US" w:eastAsia="zh-CN"/>
              </w:rPr>
            </w:pPr>
          </w:p>
        </w:tc>
        <w:tc>
          <w:tcPr>
            <w:tcW w:w="1215" w:type="dxa"/>
            <w:tcBorders>
              <w:top w:val="single" w:color="000000" w:sz="4" w:space="0"/>
              <w:left w:val="single" w:color="000000" w:sz="4" w:space="0"/>
              <w:bottom w:val="single" w:color="auto" w:sz="4" w:space="0"/>
              <w:right w:val="single" w:color="000000" w:sz="4" w:space="0"/>
            </w:tcBorders>
            <w:shd w:val="clear" w:color="auto" w:fill="auto"/>
            <w:vAlign w:val="center"/>
          </w:tcPr>
          <w:p w14:paraId="29CF02BE">
            <w:pPr>
              <w:jc w:val="center"/>
              <w:rPr>
                <w:rFonts w:hint="default" w:ascii="宋体" w:hAnsi="宋体" w:eastAsia="宋体" w:cs="宋体"/>
                <w:i w:val="0"/>
                <w:iCs w:val="0"/>
                <w:color w:val="auto"/>
                <w:sz w:val="24"/>
                <w:szCs w:val="24"/>
                <w:highlight w:val="none"/>
                <w:u w:val="none"/>
                <w:lang w:val="en-US" w:eastAsia="zh-CN"/>
              </w:rPr>
            </w:pPr>
            <w:r>
              <w:rPr>
                <w:rFonts w:hint="default" w:ascii="Arial" w:hAnsi="Arial" w:cs="Arial"/>
                <w:i w:val="0"/>
                <w:iCs w:val="0"/>
                <w:color w:val="auto"/>
                <w:sz w:val="24"/>
                <w:szCs w:val="24"/>
                <w:highlight w:val="none"/>
                <w:u w:val="none"/>
                <w:lang w:val="en-US" w:eastAsia="zh-CN"/>
              </w:rPr>
              <w:t>√</w:t>
            </w:r>
          </w:p>
        </w:tc>
      </w:tr>
      <w:tr w14:paraId="6294F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511" w:type="dxa"/>
            <w:vMerge w:val="continue"/>
            <w:tcBorders>
              <w:left w:val="single" w:color="000000" w:sz="4" w:space="0"/>
              <w:right w:val="single" w:color="000000" w:sz="4" w:space="0"/>
            </w:tcBorders>
            <w:shd w:val="clear" w:color="auto" w:fill="auto"/>
            <w:vAlign w:val="center"/>
          </w:tcPr>
          <w:p w14:paraId="57EAF093">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000000" w:sz="4" w:space="0"/>
              <w:left w:val="single" w:color="000000" w:sz="4" w:space="0"/>
              <w:bottom w:val="single" w:color="auto" w:sz="4" w:space="0"/>
              <w:right w:val="single" w:color="000000" w:sz="4" w:space="0"/>
            </w:tcBorders>
            <w:shd w:val="clear" w:color="auto" w:fill="auto"/>
            <w:vAlign w:val="center"/>
          </w:tcPr>
          <w:p w14:paraId="192D7DFD">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哈利根铁铤</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CEFA">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53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F504F">
            <w:pPr>
              <w:jc w:val="center"/>
              <w:rPr>
                <w:rFonts w:hint="eastAsia" w:ascii="Times New Roman" w:hAnsi="Times New Roman" w:eastAsia="宋体"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根</w:t>
            </w:r>
          </w:p>
        </w:tc>
        <w:tc>
          <w:tcPr>
            <w:tcW w:w="1325" w:type="dxa"/>
            <w:tcBorders>
              <w:top w:val="single" w:color="000000" w:sz="4" w:space="0"/>
              <w:left w:val="single" w:color="000000" w:sz="4" w:space="0"/>
              <w:bottom w:val="single" w:color="auto" w:sz="4" w:space="0"/>
              <w:right w:val="single" w:color="000000" w:sz="4" w:space="0"/>
            </w:tcBorders>
            <w:shd w:val="clear" w:color="auto" w:fill="auto"/>
            <w:vAlign w:val="center"/>
          </w:tcPr>
          <w:p w14:paraId="3B325952">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0.31</w:t>
            </w:r>
          </w:p>
        </w:tc>
        <w:tc>
          <w:tcPr>
            <w:tcW w:w="1215" w:type="dxa"/>
            <w:vMerge w:val="continue"/>
            <w:tcBorders>
              <w:left w:val="single" w:color="000000" w:sz="4" w:space="0"/>
              <w:right w:val="single" w:color="000000" w:sz="4" w:space="0"/>
            </w:tcBorders>
            <w:shd w:val="clear" w:color="auto" w:fill="auto"/>
            <w:vAlign w:val="center"/>
          </w:tcPr>
          <w:p w14:paraId="0694433C">
            <w:pPr>
              <w:jc w:val="center"/>
              <w:rPr>
                <w:rFonts w:hint="default"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3B5C77F3">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75477AE6">
            <w:pPr>
              <w:jc w:val="center"/>
              <w:rPr>
                <w:rFonts w:hint="default" w:ascii="Times New Roman" w:hAnsi="Times New Roman" w:eastAsia="宋体" w:cs="Times New Roman"/>
                <w:i w:val="0"/>
                <w:iCs w:val="0"/>
                <w:color w:val="auto"/>
                <w:sz w:val="24"/>
                <w:szCs w:val="24"/>
                <w:highlight w:val="none"/>
                <w:u w:val="none"/>
              </w:rPr>
            </w:pPr>
          </w:p>
        </w:tc>
      </w:tr>
      <w:tr w14:paraId="7FB2E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511" w:type="dxa"/>
            <w:vMerge w:val="continue"/>
            <w:tcBorders>
              <w:left w:val="single" w:color="000000" w:sz="4" w:space="0"/>
              <w:bottom w:val="single" w:color="auto" w:sz="4" w:space="0"/>
              <w:right w:val="single" w:color="000000" w:sz="4" w:space="0"/>
            </w:tcBorders>
            <w:shd w:val="clear" w:color="auto" w:fill="auto"/>
            <w:vAlign w:val="center"/>
          </w:tcPr>
          <w:p w14:paraId="4F2336F2">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000000" w:sz="4" w:space="0"/>
              <w:left w:val="single" w:color="000000" w:sz="4" w:space="0"/>
              <w:bottom w:val="single" w:color="auto" w:sz="4" w:space="0"/>
              <w:right w:val="single" w:color="000000" w:sz="4" w:space="0"/>
            </w:tcBorders>
            <w:shd w:val="clear" w:color="auto" w:fill="auto"/>
            <w:vAlign w:val="center"/>
          </w:tcPr>
          <w:p w14:paraId="130FDAE3">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液压破拆工具组A</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165C2">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9</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BA6F">
            <w:pPr>
              <w:jc w:val="center"/>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套</w:t>
            </w:r>
          </w:p>
        </w:tc>
        <w:tc>
          <w:tcPr>
            <w:tcW w:w="1325" w:type="dxa"/>
            <w:tcBorders>
              <w:top w:val="single" w:color="000000" w:sz="4" w:space="0"/>
              <w:left w:val="single" w:color="000000" w:sz="4" w:space="0"/>
              <w:bottom w:val="single" w:color="auto" w:sz="4" w:space="0"/>
              <w:right w:val="single" w:color="000000" w:sz="4" w:space="0"/>
            </w:tcBorders>
            <w:shd w:val="clear" w:color="auto" w:fill="auto"/>
            <w:vAlign w:val="center"/>
          </w:tcPr>
          <w:p w14:paraId="414418D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13</w:t>
            </w:r>
          </w:p>
        </w:tc>
        <w:tc>
          <w:tcPr>
            <w:tcW w:w="1215" w:type="dxa"/>
            <w:vMerge w:val="continue"/>
            <w:tcBorders>
              <w:left w:val="single" w:color="000000" w:sz="4" w:space="0"/>
              <w:bottom w:val="single" w:color="auto" w:sz="4" w:space="0"/>
              <w:right w:val="single" w:color="000000" w:sz="4" w:space="0"/>
            </w:tcBorders>
            <w:shd w:val="clear" w:color="auto" w:fill="auto"/>
            <w:vAlign w:val="center"/>
          </w:tcPr>
          <w:p w14:paraId="4E1AD208">
            <w:pPr>
              <w:jc w:val="center"/>
              <w:rPr>
                <w:rFonts w:hint="default"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68E7AEA2">
            <w:pPr>
              <w:jc w:val="center"/>
              <w:rPr>
                <w:rFonts w:hint="default" w:ascii="Times New Roman" w:hAnsi="Times New Roman" w:eastAsia="宋体" w:cs="Times New Roman"/>
                <w:i w:val="0"/>
                <w:iCs w:val="0"/>
                <w:color w:val="auto"/>
                <w:sz w:val="24"/>
                <w:szCs w:val="24"/>
                <w:highlight w:val="none"/>
                <w:u w:val="none"/>
              </w:rPr>
            </w:pPr>
            <w:r>
              <w:rPr>
                <w:rFonts w:hint="default" w:ascii="Arial" w:hAnsi="Arial" w:cs="Arial"/>
                <w:i w:val="0"/>
                <w:iCs w:val="0"/>
                <w:color w:val="auto"/>
                <w:sz w:val="24"/>
                <w:szCs w:val="24"/>
                <w:highlight w:val="none"/>
                <w:u w:val="none"/>
                <w:lang w:val="en-US" w:eastAsia="zh-CN"/>
              </w:rPr>
              <w:t>√</w:t>
            </w: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3F895164">
            <w:pPr>
              <w:jc w:val="center"/>
              <w:rPr>
                <w:rFonts w:hint="default" w:ascii="Arial" w:hAnsi="Arial" w:cs="Arial"/>
                <w:i w:val="0"/>
                <w:iCs w:val="0"/>
                <w:color w:val="auto"/>
                <w:sz w:val="24"/>
                <w:szCs w:val="24"/>
                <w:highlight w:val="none"/>
                <w:u w:val="none"/>
                <w:lang w:val="en-US" w:eastAsia="zh-CN"/>
              </w:rPr>
            </w:pPr>
          </w:p>
        </w:tc>
      </w:tr>
      <w:tr w14:paraId="74FF3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4" w:hRule="atLeast"/>
        </w:trPr>
        <w:tc>
          <w:tcPr>
            <w:tcW w:w="511" w:type="dxa"/>
            <w:vMerge w:val="restart"/>
            <w:tcBorders>
              <w:left w:val="single" w:color="000000" w:sz="4" w:space="0"/>
              <w:right w:val="single" w:color="000000" w:sz="4" w:space="0"/>
            </w:tcBorders>
            <w:shd w:val="clear" w:color="auto" w:fill="auto"/>
            <w:vAlign w:val="center"/>
          </w:tcPr>
          <w:p w14:paraId="3B2008E0">
            <w:pPr>
              <w:keepNext w:val="0"/>
              <w:keepLines w:val="0"/>
              <w:widowControl/>
              <w:suppressLineNumbers w:val="0"/>
              <w:jc w:val="both"/>
              <w:textAlignment w:val="center"/>
              <w:rPr>
                <w:rFonts w:hint="default" w:ascii="Times New Roman" w:hAnsi="Times New Roman" w:eastAsia="宋体" w:cs="Times New Roman"/>
                <w:i w:val="0"/>
                <w:iCs w:val="0"/>
                <w:color w:val="auto"/>
                <w:sz w:val="24"/>
                <w:szCs w:val="24"/>
                <w:highlight w:val="none"/>
                <w:u w:val="none"/>
              </w:rPr>
            </w:pPr>
            <w:r>
              <w:rPr>
                <w:rFonts w:hint="eastAsia" w:cs="Times New Roman"/>
                <w:i w:val="0"/>
                <w:iCs w:val="0"/>
                <w:color w:val="auto"/>
                <w:kern w:val="0"/>
                <w:sz w:val="24"/>
                <w:szCs w:val="24"/>
                <w:highlight w:val="none"/>
                <w:u w:val="none"/>
                <w:lang w:val="en-US" w:eastAsia="zh-CN" w:bidi="ar"/>
              </w:rPr>
              <w:t>十二包</w:t>
            </w:r>
          </w:p>
        </w:tc>
        <w:tc>
          <w:tcPr>
            <w:tcW w:w="1788" w:type="dxa"/>
            <w:tcBorders>
              <w:top w:val="single" w:color="000000" w:sz="4" w:space="0"/>
              <w:left w:val="single" w:color="000000" w:sz="4" w:space="0"/>
              <w:right w:val="single" w:color="000000" w:sz="4" w:space="0"/>
            </w:tcBorders>
            <w:shd w:val="clear" w:color="auto" w:fill="auto"/>
            <w:vAlign w:val="center"/>
          </w:tcPr>
          <w:p w14:paraId="600A5970">
            <w:pPr>
              <w:jc w:val="center"/>
              <w:rPr>
                <w:rFonts w:hint="eastAsia"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单兵携行包（箱）</w:t>
            </w:r>
          </w:p>
        </w:tc>
        <w:tc>
          <w:tcPr>
            <w:tcW w:w="701" w:type="dxa"/>
            <w:tcBorders>
              <w:top w:val="single" w:color="000000" w:sz="4" w:space="0"/>
              <w:left w:val="single" w:color="000000" w:sz="4" w:space="0"/>
              <w:right w:val="single" w:color="000000" w:sz="4" w:space="0"/>
            </w:tcBorders>
            <w:shd w:val="clear" w:color="auto" w:fill="auto"/>
            <w:vAlign w:val="center"/>
          </w:tcPr>
          <w:p w14:paraId="42FB912B">
            <w:pPr>
              <w:jc w:val="center"/>
              <w:rPr>
                <w:rFonts w:hint="eastAsia" w:ascii="宋体" w:hAnsi="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180</w:t>
            </w:r>
          </w:p>
        </w:tc>
        <w:tc>
          <w:tcPr>
            <w:tcW w:w="746" w:type="dxa"/>
            <w:tcBorders>
              <w:top w:val="single" w:color="000000" w:sz="4" w:space="0"/>
              <w:left w:val="single" w:color="000000" w:sz="4" w:space="0"/>
              <w:right w:val="single" w:color="000000" w:sz="4" w:space="0"/>
            </w:tcBorders>
            <w:shd w:val="clear" w:color="auto" w:fill="auto"/>
            <w:vAlign w:val="center"/>
          </w:tcPr>
          <w:p w14:paraId="1BDA24BA">
            <w:pPr>
              <w:jc w:val="center"/>
              <w:rPr>
                <w:rFonts w:hint="eastAsia"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套</w:t>
            </w:r>
          </w:p>
        </w:tc>
        <w:tc>
          <w:tcPr>
            <w:tcW w:w="1325" w:type="dxa"/>
            <w:tcBorders>
              <w:top w:val="single" w:color="000000" w:sz="4" w:space="0"/>
              <w:left w:val="single" w:color="000000" w:sz="4" w:space="0"/>
              <w:right w:val="single" w:color="000000" w:sz="4" w:space="0"/>
            </w:tcBorders>
            <w:shd w:val="clear" w:color="auto" w:fill="auto"/>
            <w:vAlign w:val="center"/>
          </w:tcPr>
          <w:p w14:paraId="63750008">
            <w:pPr>
              <w:jc w:val="center"/>
              <w:rPr>
                <w:rFonts w:hint="eastAsia"/>
                <w:color w:val="auto"/>
                <w:highlight w:val="none"/>
                <w:lang w:val="en-US" w:eastAsia="zh-CN"/>
              </w:rPr>
            </w:pPr>
            <w:r>
              <w:rPr>
                <w:rFonts w:hint="eastAsia" w:ascii="宋体" w:hAnsi="宋体" w:eastAsia="宋体" w:cs="宋体"/>
                <w:i w:val="0"/>
                <w:iCs w:val="0"/>
                <w:color w:val="auto"/>
                <w:sz w:val="24"/>
                <w:szCs w:val="24"/>
                <w:highlight w:val="none"/>
                <w:u w:val="none"/>
                <w:lang w:val="en-US" w:eastAsia="zh-CN"/>
              </w:rPr>
              <w:t>0.3</w:t>
            </w:r>
          </w:p>
        </w:tc>
        <w:tc>
          <w:tcPr>
            <w:tcW w:w="1215" w:type="dxa"/>
            <w:vMerge w:val="restart"/>
            <w:tcBorders>
              <w:left w:val="single" w:color="000000" w:sz="4" w:space="0"/>
              <w:right w:val="single" w:color="000000" w:sz="4" w:space="0"/>
            </w:tcBorders>
            <w:shd w:val="clear" w:color="auto" w:fill="auto"/>
            <w:vAlign w:val="center"/>
          </w:tcPr>
          <w:p w14:paraId="29593BAA">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85.8</w:t>
            </w:r>
          </w:p>
        </w:tc>
        <w:tc>
          <w:tcPr>
            <w:tcW w:w="1215" w:type="dxa"/>
            <w:tcBorders>
              <w:top w:val="single" w:color="auto" w:sz="4" w:space="0"/>
              <w:left w:val="single" w:color="000000" w:sz="4" w:space="0"/>
              <w:right w:val="single" w:color="000000" w:sz="4" w:space="0"/>
            </w:tcBorders>
            <w:shd w:val="clear" w:color="auto" w:fill="auto"/>
            <w:vAlign w:val="center"/>
          </w:tcPr>
          <w:p w14:paraId="12B04CEC">
            <w:pPr>
              <w:jc w:val="center"/>
              <w:rPr>
                <w:rFonts w:hint="default" w:ascii="Times New Roman" w:hAnsi="Times New Roman" w:eastAsia="宋体" w:cs="Times New Roman"/>
                <w:i w:val="0"/>
                <w:iCs w:val="0"/>
                <w:color w:val="auto"/>
                <w:sz w:val="24"/>
                <w:szCs w:val="24"/>
                <w:highlight w:val="none"/>
                <w:u w:val="none"/>
              </w:rPr>
            </w:pPr>
            <w:r>
              <w:rPr>
                <w:rFonts w:hint="default" w:ascii="Arial" w:hAnsi="Arial" w:cs="Arial"/>
                <w:i w:val="0"/>
                <w:iCs w:val="0"/>
                <w:color w:val="auto"/>
                <w:sz w:val="24"/>
                <w:szCs w:val="24"/>
                <w:highlight w:val="none"/>
                <w:u w:val="none"/>
                <w:lang w:val="en-US" w:eastAsia="zh-CN"/>
              </w:rPr>
              <w:t>√</w:t>
            </w: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2FB1ECAA">
            <w:pPr>
              <w:jc w:val="center"/>
              <w:rPr>
                <w:rFonts w:hint="default" w:ascii="Times New Roman" w:hAnsi="Times New Roman" w:eastAsia="宋体" w:cs="Times New Roman"/>
                <w:i w:val="0"/>
                <w:iCs w:val="0"/>
                <w:color w:val="auto"/>
                <w:sz w:val="24"/>
                <w:szCs w:val="24"/>
                <w:highlight w:val="none"/>
                <w:u w:val="none"/>
              </w:rPr>
            </w:pPr>
            <w:r>
              <w:rPr>
                <w:rFonts w:hint="default" w:ascii="Arial" w:hAnsi="Arial" w:cs="Arial"/>
                <w:i w:val="0"/>
                <w:iCs w:val="0"/>
                <w:color w:val="auto"/>
                <w:sz w:val="24"/>
                <w:szCs w:val="24"/>
                <w:highlight w:val="none"/>
                <w:u w:val="none"/>
                <w:lang w:val="en-US" w:eastAsia="zh-CN"/>
              </w:rPr>
              <w:t>√</w:t>
            </w:r>
          </w:p>
        </w:tc>
      </w:tr>
      <w:tr w14:paraId="07419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11" w:type="dxa"/>
            <w:vMerge w:val="continue"/>
            <w:tcBorders>
              <w:left w:val="single" w:color="000000" w:sz="4" w:space="0"/>
              <w:right w:val="single" w:color="000000" w:sz="4" w:space="0"/>
            </w:tcBorders>
            <w:shd w:val="clear" w:color="auto" w:fill="auto"/>
            <w:vAlign w:val="center"/>
          </w:tcPr>
          <w:p w14:paraId="594FDA83">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3300">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便携式推车</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8B47B">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21</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196C9">
            <w:pPr>
              <w:jc w:val="center"/>
              <w:rPr>
                <w:rFonts w:hint="default" w:ascii="Times New Roman" w:hAnsi="Times New Roman" w:eastAsia="宋体" w:cs="Times New Roman"/>
                <w:i w:val="0"/>
                <w:iCs w:val="0"/>
                <w:color w:val="auto"/>
                <w:sz w:val="24"/>
                <w:szCs w:val="24"/>
                <w:highlight w:val="none"/>
                <w:u w:val="none"/>
              </w:rPr>
            </w:pPr>
            <w:r>
              <w:rPr>
                <w:rFonts w:hint="eastAsia" w:cs="Times New Roman"/>
                <w:i w:val="0"/>
                <w:iCs w:val="0"/>
                <w:color w:val="auto"/>
                <w:sz w:val="24"/>
                <w:szCs w:val="24"/>
                <w:highlight w:val="none"/>
                <w:u w:val="none"/>
                <w:lang w:val="en-US" w:eastAsia="zh-CN"/>
              </w:rPr>
              <w:t>辆</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8356">
            <w:pPr>
              <w:jc w:val="center"/>
              <w:rPr>
                <w:rFonts w:hint="default"/>
                <w:color w:val="auto"/>
                <w:highlight w:val="none"/>
                <w:lang w:val="en-US" w:eastAsia="zh-CN"/>
              </w:rPr>
            </w:pPr>
            <w:r>
              <w:rPr>
                <w:rFonts w:hint="eastAsia" w:ascii="宋体" w:hAnsi="宋体" w:eastAsia="宋体" w:cs="宋体"/>
                <w:i w:val="0"/>
                <w:iCs w:val="0"/>
                <w:color w:val="auto"/>
                <w:sz w:val="24"/>
                <w:szCs w:val="24"/>
                <w:highlight w:val="none"/>
                <w:u w:val="none"/>
                <w:lang w:val="en-US" w:eastAsia="zh-CN"/>
              </w:rPr>
              <w:t>0.8</w:t>
            </w:r>
          </w:p>
        </w:tc>
        <w:tc>
          <w:tcPr>
            <w:tcW w:w="1215" w:type="dxa"/>
            <w:vMerge w:val="continue"/>
            <w:tcBorders>
              <w:left w:val="single" w:color="000000" w:sz="4" w:space="0"/>
              <w:right w:val="single" w:color="000000" w:sz="4" w:space="0"/>
            </w:tcBorders>
            <w:shd w:val="clear" w:color="auto" w:fill="auto"/>
            <w:vAlign w:val="center"/>
          </w:tcPr>
          <w:p w14:paraId="52E6C1BA">
            <w:pPr>
              <w:jc w:val="center"/>
              <w:rPr>
                <w:rFonts w:hint="default"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637DD222">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3DC86E0F">
            <w:pPr>
              <w:jc w:val="center"/>
              <w:rPr>
                <w:rFonts w:hint="default" w:ascii="Times New Roman" w:hAnsi="Times New Roman" w:eastAsia="宋体" w:cs="Times New Roman"/>
                <w:i w:val="0"/>
                <w:iCs w:val="0"/>
                <w:color w:val="auto"/>
                <w:sz w:val="24"/>
                <w:szCs w:val="24"/>
                <w:highlight w:val="none"/>
                <w:u w:val="none"/>
              </w:rPr>
            </w:pPr>
          </w:p>
        </w:tc>
      </w:tr>
      <w:tr w14:paraId="538A8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511" w:type="dxa"/>
            <w:vMerge w:val="continue"/>
            <w:tcBorders>
              <w:left w:val="single" w:color="000000" w:sz="4" w:space="0"/>
              <w:bottom w:val="single" w:color="auto" w:sz="4" w:space="0"/>
              <w:right w:val="single" w:color="000000" w:sz="4" w:space="0"/>
            </w:tcBorders>
            <w:shd w:val="clear" w:color="auto" w:fill="auto"/>
            <w:vAlign w:val="center"/>
          </w:tcPr>
          <w:p w14:paraId="20F3E283">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000000" w:sz="4" w:space="0"/>
              <w:left w:val="single" w:color="000000" w:sz="4" w:space="0"/>
              <w:bottom w:val="single" w:color="auto" w:sz="4" w:space="0"/>
              <w:right w:val="single" w:color="000000" w:sz="4" w:space="0"/>
            </w:tcBorders>
            <w:shd w:val="clear" w:color="auto" w:fill="auto"/>
            <w:vAlign w:val="center"/>
          </w:tcPr>
          <w:p w14:paraId="1648CC74">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移动水囊</w:t>
            </w:r>
          </w:p>
        </w:tc>
        <w:tc>
          <w:tcPr>
            <w:tcW w:w="701" w:type="dxa"/>
            <w:tcBorders>
              <w:top w:val="single" w:color="000000" w:sz="4" w:space="0"/>
              <w:left w:val="single" w:color="000000" w:sz="4" w:space="0"/>
              <w:bottom w:val="single" w:color="auto" w:sz="4" w:space="0"/>
              <w:right w:val="single" w:color="000000" w:sz="4" w:space="0"/>
            </w:tcBorders>
            <w:shd w:val="clear" w:color="auto" w:fill="auto"/>
            <w:vAlign w:val="center"/>
          </w:tcPr>
          <w:p w14:paraId="180591A0">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10</w:t>
            </w:r>
          </w:p>
        </w:tc>
        <w:tc>
          <w:tcPr>
            <w:tcW w:w="746" w:type="dxa"/>
            <w:tcBorders>
              <w:top w:val="single" w:color="000000" w:sz="4" w:space="0"/>
              <w:left w:val="single" w:color="000000" w:sz="4" w:space="0"/>
              <w:bottom w:val="single" w:color="auto" w:sz="4" w:space="0"/>
              <w:right w:val="single" w:color="000000" w:sz="4" w:space="0"/>
            </w:tcBorders>
            <w:shd w:val="clear" w:color="auto" w:fill="auto"/>
            <w:vAlign w:val="center"/>
          </w:tcPr>
          <w:p w14:paraId="60CBC650">
            <w:pPr>
              <w:jc w:val="center"/>
              <w:rPr>
                <w:rFonts w:hint="default" w:ascii="Times New Roman" w:hAnsi="Times New Roman" w:eastAsia="宋体"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个</w:t>
            </w:r>
          </w:p>
        </w:tc>
        <w:tc>
          <w:tcPr>
            <w:tcW w:w="1325" w:type="dxa"/>
            <w:tcBorders>
              <w:top w:val="single" w:color="000000" w:sz="4" w:space="0"/>
              <w:left w:val="single" w:color="000000" w:sz="4" w:space="0"/>
              <w:bottom w:val="single" w:color="auto" w:sz="4" w:space="0"/>
              <w:right w:val="single" w:color="000000" w:sz="4" w:space="0"/>
            </w:tcBorders>
            <w:shd w:val="clear" w:color="auto" w:fill="auto"/>
            <w:vAlign w:val="center"/>
          </w:tcPr>
          <w:p w14:paraId="14937E49">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1.5</w:t>
            </w:r>
          </w:p>
        </w:tc>
        <w:tc>
          <w:tcPr>
            <w:tcW w:w="1215" w:type="dxa"/>
            <w:vMerge w:val="continue"/>
            <w:tcBorders>
              <w:left w:val="single" w:color="000000" w:sz="4" w:space="0"/>
              <w:bottom w:val="single" w:color="auto" w:sz="4" w:space="0"/>
              <w:right w:val="single" w:color="000000" w:sz="4" w:space="0"/>
            </w:tcBorders>
            <w:shd w:val="clear" w:color="auto" w:fill="auto"/>
            <w:vAlign w:val="center"/>
          </w:tcPr>
          <w:p w14:paraId="06E34C19">
            <w:pPr>
              <w:jc w:val="center"/>
              <w:rPr>
                <w:rFonts w:hint="default" w:ascii="宋体" w:hAnsi="宋体" w:eastAsia="宋体" w:cs="宋体"/>
                <w:i w:val="0"/>
                <w:iCs w:val="0"/>
                <w:color w:val="auto"/>
                <w:sz w:val="24"/>
                <w:szCs w:val="24"/>
                <w:highlight w:val="none"/>
                <w:u w:val="none"/>
                <w:lang w:val="en-US" w:eastAsia="zh-CN"/>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6BAD8427">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78E5C6D6">
            <w:pPr>
              <w:jc w:val="center"/>
              <w:rPr>
                <w:rFonts w:hint="default" w:ascii="Times New Roman" w:hAnsi="Times New Roman" w:eastAsia="宋体" w:cs="Times New Roman"/>
                <w:i w:val="0"/>
                <w:iCs w:val="0"/>
                <w:color w:val="auto"/>
                <w:sz w:val="24"/>
                <w:szCs w:val="24"/>
                <w:highlight w:val="none"/>
                <w:u w:val="none"/>
              </w:rPr>
            </w:pPr>
          </w:p>
        </w:tc>
      </w:tr>
      <w:tr w14:paraId="5FAC5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5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67E9553">
            <w:pPr>
              <w:jc w:val="center"/>
              <w:rPr>
                <w:rFonts w:hint="default" w:ascii="Times New Roman" w:hAnsi="Times New Roman" w:eastAsia="宋体"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十三包</w:t>
            </w:r>
          </w:p>
        </w:tc>
        <w:tc>
          <w:tcPr>
            <w:tcW w:w="1788" w:type="dxa"/>
            <w:tcBorders>
              <w:top w:val="single" w:color="auto" w:sz="4" w:space="0"/>
              <w:left w:val="single" w:color="auto" w:sz="4" w:space="0"/>
              <w:bottom w:val="single" w:color="auto" w:sz="4" w:space="0"/>
              <w:right w:val="single" w:color="auto" w:sz="4" w:space="0"/>
            </w:tcBorders>
            <w:shd w:val="clear" w:color="auto" w:fill="auto"/>
            <w:vAlign w:val="center"/>
          </w:tcPr>
          <w:p w14:paraId="45F584A6">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水域救生套装</w:t>
            </w: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6DDD2F65">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209</w:t>
            </w:r>
          </w:p>
        </w:tc>
        <w:tc>
          <w:tcPr>
            <w:tcW w:w="746" w:type="dxa"/>
            <w:tcBorders>
              <w:top w:val="single" w:color="auto" w:sz="4" w:space="0"/>
              <w:left w:val="single" w:color="auto" w:sz="4" w:space="0"/>
              <w:bottom w:val="single" w:color="auto" w:sz="4" w:space="0"/>
              <w:right w:val="single" w:color="auto" w:sz="4" w:space="0"/>
            </w:tcBorders>
            <w:shd w:val="clear" w:color="auto" w:fill="auto"/>
            <w:vAlign w:val="center"/>
          </w:tcPr>
          <w:p w14:paraId="6BAECE96">
            <w:pPr>
              <w:jc w:val="center"/>
              <w:rPr>
                <w:rFonts w:hint="eastAsia"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套</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14:paraId="2688981E">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0.2</w:t>
            </w:r>
          </w:p>
        </w:tc>
        <w:tc>
          <w:tcPr>
            <w:tcW w:w="121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D01F48B">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112.8</w:t>
            </w:r>
          </w:p>
        </w:tc>
        <w:tc>
          <w:tcPr>
            <w:tcW w:w="1215" w:type="dxa"/>
            <w:tcBorders>
              <w:top w:val="single" w:color="auto" w:sz="4" w:space="0"/>
              <w:left w:val="single" w:color="auto" w:sz="4" w:space="0"/>
              <w:bottom w:val="single" w:color="auto" w:sz="4" w:space="0"/>
              <w:right w:val="single" w:color="000000" w:sz="4" w:space="0"/>
            </w:tcBorders>
            <w:shd w:val="clear" w:color="auto" w:fill="auto"/>
            <w:vAlign w:val="center"/>
          </w:tcPr>
          <w:p w14:paraId="0DDE2C0F">
            <w:pPr>
              <w:jc w:val="center"/>
              <w:rPr>
                <w:rFonts w:hint="default" w:ascii="Times New Roman" w:hAnsi="Times New Roman" w:eastAsia="宋体" w:cs="Times New Roman"/>
                <w:i w:val="0"/>
                <w:iCs w:val="0"/>
                <w:color w:val="auto"/>
                <w:sz w:val="24"/>
                <w:szCs w:val="24"/>
                <w:highlight w:val="none"/>
                <w:u w:val="none"/>
              </w:rPr>
            </w:pPr>
            <w:r>
              <w:rPr>
                <w:rFonts w:hint="default" w:ascii="Arial" w:hAnsi="Arial" w:cs="Arial"/>
                <w:i w:val="0"/>
                <w:iCs w:val="0"/>
                <w:color w:val="auto"/>
                <w:sz w:val="24"/>
                <w:szCs w:val="24"/>
                <w:highlight w:val="none"/>
                <w:u w:val="none"/>
                <w:lang w:val="en-US" w:eastAsia="zh-CN"/>
              </w:rPr>
              <w:t>√</w:t>
            </w: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092F60C6">
            <w:pPr>
              <w:jc w:val="center"/>
              <w:rPr>
                <w:rFonts w:hint="default" w:ascii="Times New Roman" w:hAnsi="Times New Roman" w:eastAsia="宋体" w:cs="Times New Roman"/>
                <w:i w:val="0"/>
                <w:iCs w:val="0"/>
                <w:color w:val="auto"/>
                <w:sz w:val="24"/>
                <w:szCs w:val="24"/>
                <w:highlight w:val="none"/>
                <w:u w:val="none"/>
              </w:rPr>
            </w:pPr>
            <w:r>
              <w:rPr>
                <w:rFonts w:hint="default" w:ascii="Arial" w:hAnsi="Arial" w:cs="Arial"/>
                <w:i w:val="0"/>
                <w:iCs w:val="0"/>
                <w:color w:val="auto"/>
                <w:sz w:val="24"/>
                <w:szCs w:val="24"/>
                <w:highlight w:val="none"/>
                <w:u w:val="none"/>
                <w:lang w:val="en-US" w:eastAsia="zh-CN"/>
              </w:rPr>
              <w:t>√</w:t>
            </w:r>
          </w:p>
        </w:tc>
      </w:tr>
      <w:tr w14:paraId="53487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511" w:type="dxa"/>
            <w:vMerge w:val="continue"/>
            <w:tcBorders>
              <w:top w:val="single" w:color="auto" w:sz="4" w:space="0"/>
              <w:left w:val="single" w:color="auto" w:sz="4" w:space="0"/>
              <w:right w:val="single" w:color="000000" w:sz="4" w:space="0"/>
            </w:tcBorders>
            <w:shd w:val="clear" w:color="auto" w:fill="auto"/>
            <w:vAlign w:val="center"/>
          </w:tcPr>
          <w:p w14:paraId="73CC87EC">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auto" w:sz="4" w:space="0"/>
              <w:left w:val="single" w:color="000000" w:sz="4" w:space="0"/>
              <w:bottom w:val="single" w:color="000000" w:sz="4" w:space="0"/>
              <w:right w:val="single" w:color="000000" w:sz="4" w:space="0"/>
            </w:tcBorders>
            <w:shd w:val="clear" w:color="auto" w:fill="auto"/>
            <w:vAlign w:val="center"/>
          </w:tcPr>
          <w:p w14:paraId="4B6F233A">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干式水域救援服</w:t>
            </w:r>
          </w:p>
        </w:tc>
        <w:tc>
          <w:tcPr>
            <w:tcW w:w="701" w:type="dxa"/>
            <w:tcBorders>
              <w:top w:val="single" w:color="auto" w:sz="4" w:space="0"/>
              <w:left w:val="single" w:color="000000" w:sz="4" w:space="0"/>
              <w:bottom w:val="single" w:color="000000" w:sz="4" w:space="0"/>
              <w:right w:val="single" w:color="000000" w:sz="4" w:space="0"/>
            </w:tcBorders>
            <w:shd w:val="clear" w:color="auto" w:fill="auto"/>
            <w:vAlign w:val="center"/>
          </w:tcPr>
          <w:p w14:paraId="4EBEF6BE">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28</w:t>
            </w:r>
          </w:p>
        </w:tc>
        <w:tc>
          <w:tcPr>
            <w:tcW w:w="746" w:type="dxa"/>
            <w:tcBorders>
              <w:top w:val="single" w:color="auto" w:sz="4" w:space="0"/>
              <w:left w:val="single" w:color="000000" w:sz="4" w:space="0"/>
              <w:bottom w:val="single" w:color="000000" w:sz="4" w:space="0"/>
              <w:right w:val="single" w:color="000000" w:sz="4" w:space="0"/>
            </w:tcBorders>
            <w:shd w:val="clear" w:color="auto" w:fill="auto"/>
            <w:vAlign w:val="center"/>
          </w:tcPr>
          <w:p w14:paraId="2A7FB00D">
            <w:pPr>
              <w:jc w:val="center"/>
              <w:rPr>
                <w:rFonts w:hint="eastAsia"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件</w:t>
            </w:r>
          </w:p>
        </w:tc>
        <w:tc>
          <w:tcPr>
            <w:tcW w:w="1325" w:type="dxa"/>
            <w:tcBorders>
              <w:top w:val="single" w:color="auto" w:sz="4" w:space="0"/>
              <w:left w:val="single" w:color="000000" w:sz="4" w:space="0"/>
              <w:bottom w:val="single" w:color="000000" w:sz="4" w:space="0"/>
              <w:right w:val="single" w:color="000000" w:sz="4" w:space="0"/>
            </w:tcBorders>
            <w:shd w:val="clear" w:color="auto" w:fill="auto"/>
            <w:vAlign w:val="center"/>
          </w:tcPr>
          <w:p w14:paraId="4E91E19B">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0.5</w:t>
            </w:r>
          </w:p>
        </w:tc>
        <w:tc>
          <w:tcPr>
            <w:tcW w:w="1215" w:type="dxa"/>
            <w:vMerge w:val="continue"/>
            <w:tcBorders>
              <w:top w:val="single" w:color="auto" w:sz="4" w:space="0"/>
              <w:left w:val="single" w:color="000000" w:sz="4" w:space="0"/>
              <w:right w:val="single" w:color="auto" w:sz="4" w:space="0"/>
            </w:tcBorders>
            <w:shd w:val="clear" w:color="auto" w:fill="auto"/>
            <w:vAlign w:val="center"/>
          </w:tcPr>
          <w:p w14:paraId="399ACBB8">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auto" w:sz="4" w:space="0"/>
              <w:bottom w:val="single" w:color="auto" w:sz="4" w:space="0"/>
              <w:right w:val="single" w:color="000000" w:sz="4" w:space="0"/>
            </w:tcBorders>
            <w:shd w:val="clear" w:color="auto" w:fill="auto"/>
            <w:vAlign w:val="center"/>
          </w:tcPr>
          <w:p w14:paraId="099598F8">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5AFDD0D5">
            <w:pPr>
              <w:jc w:val="center"/>
              <w:rPr>
                <w:rFonts w:hint="default" w:ascii="Times New Roman" w:hAnsi="Times New Roman" w:eastAsia="宋体" w:cs="Times New Roman"/>
                <w:i w:val="0"/>
                <w:iCs w:val="0"/>
                <w:color w:val="auto"/>
                <w:sz w:val="24"/>
                <w:szCs w:val="24"/>
                <w:highlight w:val="none"/>
                <w:u w:val="none"/>
              </w:rPr>
            </w:pPr>
            <w:r>
              <w:rPr>
                <w:rFonts w:hint="default" w:ascii="Arial" w:hAnsi="Arial" w:cs="Arial"/>
                <w:i w:val="0"/>
                <w:iCs w:val="0"/>
                <w:color w:val="auto"/>
                <w:sz w:val="24"/>
                <w:szCs w:val="24"/>
                <w:highlight w:val="none"/>
                <w:u w:val="none"/>
                <w:lang w:val="en-US" w:eastAsia="zh-CN"/>
              </w:rPr>
              <w:t>√</w:t>
            </w:r>
          </w:p>
        </w:tc>
      </w:tr>
      <w:tr w14:paraId="158BB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511" w:type="dxa"/>
            <w:vMerge w:val="continue"/>
            <w:tcBorders>
              <w:left w:val="single" w:color="auto" w:sz="4" w:space="0"/>
              <w:right w:val="single" w:color="000000" w:sz="4" w:space="0"/>
            </w:tcBorders>
            <w:shd w:val="clear" w:color="auto" w:fill="auto"/>
            <w:vAlign w:val="center"/>
          </w:tcPr>
          <w:p w14:paraId="6FFB3F5A">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37E7A">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湿式水域救援服</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57C55">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28</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A6EE1">
            <w:pPr>
              <w:jc w:val="center"/>
              <w:rPr>
                <w:rFonts w:hint="eastAsia"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套</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A6694">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w:t>
            </w:r>
          </w:p>
        </w:tc>
        <w:tc>
          <w:tcPr>
            <w:tcW w:w="1215" w:type="dxa"/>
            <w:vMerge w:val="continue"/>
            <w:tcBorders>
              <w:left w:val="single" w:color="000000" w:sz="4" w:space="0"/>
              <w:right w:val="single" w:color="auto" w:sz="4" w:space="0"/>
            </w:tcBorders>
            <w:shd w:val="clear" w:color="auto" w:fill="auto"/>
            <w:vAlign w:val="center"/>
          </w:tcPr>
          <w:p w14:paraId="1EA795A6">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auto" w:sz="4" w:space="0"/>
              <w:bottom w:val="single" w:color="auto" w:sz="4" w:space="0"/>
              <w:right w:val="single" w:color="000000" w:sz="4" w:space="0"/>
            </w:tcBorders>
            <w:shd w:val="clear" w:color="auto" w:fill="auto"/>
            <w:vAlign w:val="center"/>
          </w:tcPr>
          <w:p w14:paraId="735B8C30">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75BDBE9F">
            <w:pPr>
              <w:jc w:val="center"/>
              <w:rPr>
                <w:rFonts w:hint="default" w:ascii="Times New Roman" w:hAnsi="Times New Roman" w:eastAsia="宋体" w:cs="Times New Roman"/>
                <w:i w:val="0"/>
                <w:iCs w:val="0"/>
                <w:color w:val="auto"/>
                <w:sz w:val="24"/>
                <w:szCs w:val="24"/>
                <w:highlight w:val="none"/>
                <w:u w:val="none"/>
              </w:rPr>
            </w:pPr>
            <w:r>
              <w:rPr>
                <w:rFonts w:hint="default" w:ascii="Arial" w:hAnsi="Arial" w:cs="Arial"/>
                <w:i w:val="0"/>
                <w:iCs w:val="0"/>
                <w:color w:val="auto"/>
                <w:sz w:val="24"/>
                <w:szCs w:val="24"/>
                <w:highlight w:val="none"/>
                <w:u w:val="none"/>
                <w:lang w:val="en-US" w:eastAsia="zh-CN"/>
              </w:rPr>
              <w:t>√</w:t>
            </w:r>
          </w:p>
        </w:tc>
      </w:tr>
      <w:tr w14:paraId="16D66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511" w:type="dxa"/>
            <w:vMerge w:val="continue"/>
            <w:tcBorders>
              <w:left w:val="single" w:color="auto" w:sz="4" w:space="0"/>
              <w:right w:val="single" w:color="000000" w:sz="4" w:space="0"/>
            </w:tcBorders>
            <w:shd w:val="clear" w:color="auto" w:fill="auto"/>
            <w:vAlign w:val="center"/>
          </w:tcPr>
          <w:p w14:paraId="2191FF12">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08D1">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冰面救援服</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3F41C">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17</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91A84">
            <w:pPr>
              <w:jc w:val="center"/>
              <w:rPr>
                <w:rFonts w:hint="eastAsia"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件</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6365">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1.2</w:t>
            </w:r>
          </w:p>
        </w:tc>
        <w:tc>
          <w:tcPr>
            <w:tcW w:w="1215" w:type="dxa"/>
            <w:vMerge w:val="continue"/>
            <w:tcBorders>
              <w:left w:val="single" w:color="000000" w:sz="4" w:space="0"/>
              <w:right w:val="single" w:color="auto" w:sz="4" w:space="0"/>
            </w:tcBorders>
            <w:shd w:val="clear" w:color="auto" w:fill="auto"/>
            <w:vAlign w:val="center"/>
          </w:tcPr>
          <w:p w14:paraId="0E8E7F51">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auto" w:sz="4" w:space="0"/>
              <w:bottom w:val="single" w:color="auto" w:sz="4" w:space="0"/>
              <w:right w:val="single" w:color="000000" w:sz="4" w:space="0"/>
            </w:tcBorders>
            <w:shd w:val="clear" w:color="auto" w:fill="auto"/>
            <w:vAlign w:val="center"/>
          </w:tcPr>
          <w:p w14:paraId="5B9F3209">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52F974CD">
            <w:pPr>
              <w:jc w:val="center"/>
              <w:rPr>
                <w:rFonts w:hint="default" w:ascii="Times New Roman" w:hAnsi="Times New Roman" w:eastAsia="宋体" w:cs="Times New Roman"/>
                <w:i w:val="0"/>
                <w:iCs w:val="0"/>
                <w:color w:val="auto"/>
                <w:sz w:val="24"/>
                <w:szCs w:val="24"/>
                <w:highlight w:val="none"/>
                <w:u w:val="none"/>
              </w:rPr>
            </w:pPr>
          </w:p>
        </w:tc>
      </w:tr>
      <w:tr w14:paraId="7B7ED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511" w:type="dxa"/>
            <w:vMerge w:val="continue"/>
            <w:tcBorders>
              <w:left w:val="single" w:color="auto" w:sz="4" w:space="0"/>
              <w:right w:val="single" w:color="000000" w:sz="4" w:space="0"/>
            </w:tcBorders>
            <w:shd w:val="clear" w:color="auto" w:fill="auto"/>
            <w:vAlign w:val="center"/>
          </w:tcPr>
          <w:p w14:paraId="7BF74D54">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7E2A4">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水面漂浮救生（200米）</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4C33">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28</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74F58">
            <w:pPr>
              <w:jc w:val="center"/>
              <w:rPr>
                <w:rFonts w:hint="eastAsia"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盘</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610D">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0.35</w:t>
            </w:r>
          </w:p>
        </w:tc>
        <w:tc>
          <w:tcPr>
            <w:tcW w:w="1215" w:type="dxa"/>
            <w:vMerge w:val="continue"/>
            <w:tcBorders>
              <w:left w:val="single" w:color="000000" w:sz="4" w:space="0"/>
              <w:right w:val="single" w:color="auto" w:sz="4" w:space="0"/>
            </w:tcBorders>
            <w:shd w:val="clear" w:color="auto" w:fill="auto"/>
            <w:vAlign w:val="center"/>
          </w:tcPr>
          <w:p w14:paraId="581FB4CB">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auto" w:sz="4" w:space="0"/>
              <w:bottom w:val="single" w:color="auto" w:sz="4" w:space="0"/>
              <w:right w:val="single" w:color="000000" w:sz="4" w:space="0"/>
            </w:tcBorders>
            <w:shd w:val="clear" w:color="auto" w:fill="auto"/>
            <w:vAlign w:val="center"/>
          </w:tcPr>
          <w:p w14:paraId="52FE4616">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176E4717">
            <w:pPr>
              <w:jc w:val="center"/>
              <w:rPr>
                <w:rFonts w:hint="default" w:ascii="Times New Roman" w:hAnsi="Times New Roman" w:eastAsia="宋体" w:cs="Times New Roman"/>
                <w:i w:val="0"/>
                <w:iCs w:val="0"/>
                <w:color w:val="auto"/>
                <w:sz w:val="24"/>
                <w:szCs w:val="24"/>
                <w:highlight w:val="none"/>
                <w:u w:val="none"/>
              </w:rPr>
            </w:pPr>
          </w:p>
        </w:tc>
      </w:tr>
      <w:tr w14:paraId="2DEAF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511" w:type="dxa"/>
            <w:vMerge w:val="continue"/>
            <w:tcBorders>
              <w:left w:val="single" w:color="auto" w:sz="4" w:space="0"/>
              <w:right w:val="single" w:color="000000" w:sz="4" w:space="0"/>
            </w:tcBorders>
            <w:shd w:val="clear" w:color="auto" w:fill="auto"/>
            <w:vAlign w:val="center"/>
          </w:tcPr>
          <w:p w14:paraId="4F4913D7">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A0F2">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充气救生筏</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D451">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4</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D4B1">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部</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1421">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2.6</w:t>
            </w:r>
          </w:p>
        </w:tc>
        <w:tc>
          <w:tcPr>
            <w:tcW w:w="1215" w:type="dxa"/>
            <w:vMerge w:val="continue"/>
            <w:tcBorders>
              <w:left w:val="single" w:color="000000" w:sz="4" w:space="0"/>
              <w:right w:val="single" w:color="auto" w:sz="4" w:space="0"/>
            </w:tcBorders>
            <w:shd w:val="clear" w:color="auto" w:fill="auto"/>
            <w:vAlign w:val="center"/>
          </w:tcPr>
          <w:p w14:paraId="251F0DBC">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auto" w:sz="4" w:space="0"/>
              <w:bottom w:val="single" w:color="auto" w:sz="4" w:space="0"/>
              <w:right w:val="single" w:color="000000" w:sz="4" w:space="0"/>
            </w:tcBorders>
            <w:shd w:val="clear" w:color="auto" w:fill="auto"/>
            <w:vAlign w:val="center"/>
          </w:tcPr>
          <w:p w14:paraId="2BC3C843">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000000" w:sz="4" w:space="0"/>
              <w:bottom w:val="single" w:color="auto" w:sz="4" w:space="0"/>
              <w:right w:val="single" w:color="000000" w:sz="4" w:space="0"/>
            </w:tcBorders>
            <w:shd w:val="clear" w:color="auto" w:fill="auto"/>
            <w:vAlign w:val="center"/>
          </w:tcPr>
          <w:p w14:paraId="12CDCE3C">
            <w:pPr>
              <w:jc w:val="center"/>
              <w:rPr>
                <w:rFonts w:hint="default" w:ascii="Times New Roman" w:hAnsi="Times New Roman" w:eastAsia="宋体" w:cs="Times New Roman"/>
                <w:i w:val="0"/>
                <w:iCs w:val="0"/>
                <w:color w:val="auto"/>
                <w:sz w:val="24"/>
                <w:szCs w:val="24"/>
                <w:highlight w:val="none"/>
                <w:u w:val="none"/>
              </w:rPr>
            </w:pPr>
          </w:p>
        </w:tc>
      </w:tr>
      <w:tr w14:paraId="486EC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511" w:type="dxa"/>
            <w:vMerge w:val="continue"/>
            <w:tcBorders>
              <w:left w:val="single" w:color="auto" w:sz="4" w:space="0"/>
              <w:bottom w:val="single" w:color="000000" w:sz="4" w:space="0"/>
              <w:right w:val="single" w:color="000000" w:sz="4" w:space="0"/>
            </w:tcBorders>
            <w:shd w:val="clear" w:color="auto" w:fill="auto"/>
            <w:vAlign w:val="center"/>
          </w:tcPr>
          <w:p w14:paraId="026AFEFE">
            <w:pPr>
              <w:jc w:val="center"/>
              <w:rPr>
                <w:rFonts w:hint="default" w:ascii="Times New Roman" w:hAnsi="Times New Roman" w:eastAsia="宋体" w:cs="Times New Roman"/>
                <w:i w:val="0"/>
                <w:iCs w:val="0"/>
                <w:color w:val="auto"/>
                <w:sz w:val="24"/>
                <w:szCs w:val="24"/>
                <w:highlight w:val="none"/>
                <w:u w:val="none"/>
              </w:rPr>
            </w:pP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4646">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冰面救援滑板</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B987">
            <w:pPr>
              <w:jc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sz w:val="24"/>
                <w:szCs w:val="24"/>
                <w:highlight w:val="none"/>
                <w:u w:val="none"/>
                <w:lang w:val="en-US" w:eastAsia="zh-CN"/>
              </w:rPr>
              <w:t>10</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C5F61">
            <w:pPr>
              <w:jc w:val="center"/>
              <w:rPr>
                <w:rFonts w:hint="default"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部</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B02B">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0.8</w:t>
            </w:r>
          </w:p>
        </w:tc>
        <w:tc>
          <w:tcPr>
            <w:tcW w:w="1215" w:type="dxa"/>
            <w:vMerge w:val="continue"/>
            <w:tcBorders>
              <w:left w:val="single" w:color="000000" w:sz="4" w:space="0"/>
              <w:bottom w:val="single" w:color="000000" w:sz="4" w:space="0"/>
              <w:right w:val="single" w:color="auto" w:sz="4" w:space="0"/>
            </w:tcBorders>
            <w:shd w:val="clear" w:color="auto" w:fill="auto"/>
            <w:vAlign w:val="center"/>
          </w:tcPr>
          <w:p w14:paraId="617C329F">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auto" w:sz="4" w:space="0"/>
              <w:bottom w:val="single" w:color="000000" w:sz="4" w:space="0"/>
              <w:right w:val="single" w:color="000000" w:sz="4" w:space="0"/>
            </w:tcBorders>
            <w:shd w:val="clear" w:color="auto" w:fill="auto"/>
            <w:vAlign w:val="center"/>
          </w:tcPr>
          <w:p w14:paraId="63B3876B">
            <w:pPr>
              <w:jc w:val="center"/>
              <w:rPr>
                <w:rFonts w:hint="default" w:ascii="Times New Roman" w:hAnsi="Times New Roman" w:eastAsia="宋体" w:cs="Times New Roman"/>
                <w:i w:val="0"/>
                <w:iCs w:val="0"/>
                <w:color w:val="auto"/>
                <w:sz w:val="24"/>
                <w:szCs w:val="24"/>
                <w:highlight w:val="none"/>
                <w:u w:val="none"/>
              </w:rPr>
            </w:pPr>
          </w:p>
        </w:tc>
        <w:tc>
          <w:tcPr>
            <w:tcW w:w="1215" w:type="dxa"/>
            <w:tcBorders>
              <w:top w:val="single" w:color="auto" w:sz="4" w:space="0"/>
              <w:left w:val="single" w:color="000000" w:sz="4" w:space="0"/>
              <w:bottom w:val="single" w:color="000000" w:sz="4" w:space="0"/>
              <w:right w:val="single" w:color="000000" w:sz="4" w:space="0"/>
            </w:tcBorders>
            <w:shd w:val="clear" w:color="auto" w:fill="auto"/>
            <w:vAlign w:val="center"/>
          </w:tcPr>
          <w:p w14:paraId="083DF52B">
            <w:pPr>
              <w:jc w:val="center"/>
              <w:rPr>
                <w:rFonts w:hint="default" w:ascii="Times New Roman" w:hAnsi="Times New Roman" w:eastAsia="宋体" w:cs="Times New Roman"/>
                <w:i w:val="0"/>
                <w:iCs w:val="0"/>
                <w:color w:val="auto"/>
                <w:sz w:val="24"/>
                <w:szCs w:val="24"/>
                <w:highlight w:val="none"/>
                <w:u w:val="none"/>
              </w:rPr>
            </w:pPr>
          </w:p>
        </w:tc>
      </w:tr>
    </w:tbl>
    <w:p w14:paraId="034BEEBA">
      <w:pPr>
        <w:keepNext w:val="0"/>
        <w:keepLines w:val="0"/>
        <w:widowControl/>
        <w:suppressLineNumbers w:val="0"/>
        <w:jc w:val="left"/>
        <w:textAlignment w:val="center"/>
        <w:rPr>
          <w:rFonts w:hint="eastAsia" w:ascii="宋体" w:hAnsi="宋体" w:eastAsia="宋体" w:cs="宋体"/>
          <w:color w:val="auto"/>
          <w:kern w:val="2"/>
          <w:sz w:val="24"/>
          <w:szCs w:val="24"/>
          <w:highlight w:val="none"/>
          <w:lang w:val="en-US" w:eastAsia="zh-CN" w:bidi="ar-SA"/>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AndChars" w:linePitch="319" w:charSpace="577"/>
        </w:sectPr>
      </w:pPr>
    </w:p>
    <w:p w14:paraId="5614DCB5">
      <w:pPr>
        <w:keepNext w:val="0"/>
        <w:keepLines w:val="0"/>
        <w:widowControl/>
        <w:suppressLineNumbers w:val="0"/>
        <w:jc w:val="left"/>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技术参数需求</w:t>
      </w:r>
    </w:p>
    <w:p w14:paraId="60DBB34F">
      <w:pPr>
        <w:pStyle w:val="31"/>
        <w:rPr>
          <w:rFonts w:hint="default" w:ascii="宋体" w:hAnsi="宋体" w:cs="宋体"/>
          <w:color w:val="auto"/>
          <w:kern w:val="2"/>
          <w:sz w:val="24"/>
          <w:szCs w:val="24"/>
          <w:highlight w:val="none"/>
          <w:vertAlign w:val="subscript"/>
          <w:lang w:val="en-US" w:eastAsia="zh-CN" w:bidi="ar-SA"/>
        </w:rPr>
      </w:pPr>
      <w:r>
        <w:rPr>
          <w:rFonts w:hint="eastAsia" w:ascii="宋体" w:hAnsi="宋体" w:cs="宋体"/>
          <w:color w:val="auto"/>
          <w:kern w:val="2"/>
          <w:sz w:val="24"/>
          <w:szCs w:val="24"/>
          <w:highlight w:val="none"/>
          <w:lang w:val="en-US" w:eastAsia="zh-CN" w:bidi="ar-SA"/>
        </w:rPr>
        <w:t>第九包：</w:t>
      </w:r>
    </w:p>
    <w:tbl>
      <w:tblPr>
        <w:tblStyle w:val="39"/>
        <w:tblW w:w="139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0"/>
        <w:gridCol w:w="13037"/>
      </w:tblGrid>
      <w:tr w14:paraId="680C6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8"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17C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坑道小型空气输送机</w:t>
            </w:r>
          </w:p>
        </w:tc>
        <w:tc>
          <w:tcPr>
            <w:tcW w:w="13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868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★1、总体性能符合市场准入标准的要求，投标时提供或承诺验收时提供国家级（第三方）检验机构出具的检测报告；</w:t>
            </w:r>
          </w:p>
          <w:p w14:paraId="79677BC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2、适用于罐内、隧道内、地下室，有毒气体以及烟、粉尘等场所送排风，抗静电机壳，防爆；防爆等级：不低于ExibIIBT4；</w:t>
            </w:r>
          </w:p>
          <w:p w14:paraId="7E6EFA9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3、电动驱动，驱动电压：220V，电机功率≥500w，转速≥2800r/min，风量≥3600m³/h，重量≤20kg，风管≥5m（×2）；</w:t>
            </w:r>
          </w:p>
          <w:p w14:paraId="273BDDA7">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4、电缆长度≥5m。</w:t>
            </w:r>
          </w:p>
        </w:tc>
      </w:tr>
      <w:tr w14:paraId="0ACFD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573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空气充填泵</w:t>
            </w:r>
          </w:p>
        </w:tc>
        <w:tc>
          <w:tcPr>
            <w:tcW w:w="13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50D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★1、投标时或承诺验收时提供国家级检测机构出具的检测报告或具有CNAS/CMA资质认证的第三方检测机构出具的产品检测报告；</w:t>
            </w:r>
          </w:p>
          <w:p w14:paraId="45FB043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2、主要功能：主要用于消防及工业系统等行业空气呼吸器的快速充气；</w:t>
            </w:r>
          </w:p>
          <w:p w14:paraId="0DD8BD8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3、技术要求：</w:t>
            </w:r>
          </w:p>
          <w:p w14:paraId="28BA3CA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（1）压缩机：</w:t>
            </w:r>
          </w:p>
          <w:p w14:paraId="4341A25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1 单个压缩机排气量：≥300L/min。</w:t>
            </w:r>
          </w:p>
          <w:p w14:paraId="54C54E2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2 功率：≥7KW。</w:t>
            </w:r>
          </w:p>
          <w:p w14:paraId="179001F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3 工作压力≥30MPa。</w:t>
            </w:r>
          </w:p>
          <w:p w14:paraId="5F97CA6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4 压缩空气中润滑剂含量：≤0.5 ㎎/m³。</w:t>
            </w:r>
          </w:p>
          <w:p w14:paraId="492BCE2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5 整机防水等级≥IP55；绝缘等级≥F。；</w:t>
            </w:r>
          </w:p>
          <w:p w14:paraId="5BB76F9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6 可同时充填2个气瓶，单瓶充气时间≤10min；</w:t>
            </w:r>
          </w:p>
          <w:p w14:paraId="6F7F44D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★（2）储气容量：≥150L；排量≥1000L/min；</w:t>
            </w:r>
          </w:p>
          <w:p w14:paraId="0FF9B59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（3）安全阀：≥2个级间安全阀，≥1个末级安全阀；</w:t>
            </w:r>
          </w:p>
          <w:p w14:paraId="17D81A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（4）配备充气接头、充气管、维修工具、空气滤芯、活性碳滤芯、压缩机体原装润滑油≥5L,气瓶口转换头等附件；</w:t>
            </w:r>
          </w:p>
          <w:p w14:paraId="6282745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（5）含充气防爆箱（同时容纳≥2个气瓶）1台；</w:t>
            </w:r>
          </w:p>
          <w:p w14:paraId="72A2468A">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4、其他要求：主要由压缩机组、防爆充气箱、储气系统、PLC控制及模块化管理软件等组成，可安全快速地对气瓶进行充气或补气。</w:t>
            </w:r>
          </w:p>
        </w:tc>
      </w:tr>
      <w:tr w14:paraId="4F355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0"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BE5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强制送风机</w:t>
            </w:r>
          </w:p>
        </w:tc>
        <w:tc>
          <w:tcPr>
            <w:tcW w:w="13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E4C6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★1、投标时或承诺验收时提供国家级检测机构出具的检测报告或具有CNAS/CMA资质认证的第三方检测机构出具的产品检测报告；</w:t>
            </w:r>
          </w:p>
          <w:p w14:paraId="49FF16A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2、佩戴方式为背负式；</w:t>
            </w:r>
          </w:p>
          <w:p w14:paraId="6B192FD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3、由静音电动送风呼吸器、全面罩、输送管、背带、滤毒罐等组成；</w:t>
            </w:r>
          </w:p>
          <w:p w14:paraId="5A3B6D5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▲4、配备3个滤毒罐，可防护气体、蒸汽、固体及液体颗粒，过滤精度≤0.4μm，过滤常见有毒气体≥5种，有效期≥5年；</w:t>
            </w:r>
          </w:p>
          <w:p w14:paraId="7CBE755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5、流量≥150l/min,风压≥380Pa，噪音≤70dB，续航时间≥10h；</w:t>
            </w:r>
          </w:p>
          <w:p w14:paraId="7806437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6、配备携行箱及3个备用滤毒罐。</w:t>
            </w:r>
          </w:p>
        </w:tc>
      </w:tr>
    </w:tbl>
    <w:p w14:paraId="4FB50969">
      <w:pPr>
        <w:pStyle w:val="31"/>
        <w:rPr>
          <w:rFonts w:hint="eastAsia" w:ascii="宋体" w:hAnsi="宋体" w:cs="宋体"/>
          <w:color w:val="auto"/>
          <w:kern w:val="2"/>
          <w:sz w:val="24"/>
          <w:szCs w:val="24"/>
          <w:highlight w:val="none"/>
          <w:lang w:val="en-US" w:eastAsia="zh-CN" w:bidi="ar-SA"/>
        </w:rPr>
      </w:pPr>
    </w:p>
    <w:p w14:paraId="4A444681">
      <w:pPr>
        <w:pStyle w:val="31"/>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第十包：</w:t>
      </w:r>
    </w:p>
    <w:tbl>
      <w:tblPr>
        <w:tblStyle w:val="39"/>
        <w:tblW w:w="139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0"/>
        <w:gridCol w:w="13052"/>
      </w:tblGrid>
      <w:tr w14:paraId="093A8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C86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多功能消防水枪</w:t>
            </w:r>
          </w:p>
        </w:tc>
        <w:tc>
          <w:tcPr>
            <w:tcW w:w="1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D42E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★1、符合GB8181-2005标准，提供由国家相关部门批准的具有该产品检测资质的国家级检验检测机构出具的检测报告（检测项目应涵盖GB8181-2005的所有检验项目）；</w:t>
            </w:r>
          </w:p>
          <w:p w14:paraId="0C9FB83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2、第三类或第四类喷雾角可调的低压直流喷雾水枪，具有直流喷雾无级转换、流量可调等功能，可调节≥4个档位的流量变化；</w:t>
            </w:r>
          </w:p>
          <w:p w14:paraId="7C34A3E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3、进水口径65mm，内扣式防打结接口；</w:t>
            </w:r>
          </w:p>
          <w:p w14:paraId="4191A78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▲4、喷射压力≥0.6MPa，额定流量≥12L/s，直流射程≥30m；</w:t>
            </w:r>
          </w:p>
          <w:p w14:paraId="1721C73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5、重量≤3kg。</w:t>
            </w:r>
          </w:p>
          <w:p w14:paraId="35B2D6A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6、配备10盘25-65-20水带：</w:t>
            </w:r>
          </w:p>
          <w:p w14:paraId="7490B58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★（1）、满足GB6246-2011标准，提供由国家相关部门批准的具有该产品检测资质的国家级检验检测机构出具的检测报告（检验项目应涵盖GB6246-2011的所有检测项目）</w:t>
            </w:r>
          </w:p>
          <w:p w14:paraId="1DBA2BA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（2）、衬里消防水带织物层选用高强度合成纤维（优质涤纶长丝）编织而成，内衬采用聚氨酯薄膜；</w:t>
            </w:r>
          </w:p>
          <w:p w14:paraId="089433A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（3）、接口表面无结疤、裂痕、砂眼；锻压式一体铝镁合金材质,带扣形式根据需求单位要求提供，长度20m+0.2m；</w:t>
            </w:r>
          </w:p>
          <w:p w14:paraId="21E7869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★（4）、水带工作压力≥2.5Mpa，口径65mm；</w:t>
            </w:r>
          </w:p>
          <w:p w14:paraId="722421CB">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▲（5）、单位长度质量≤330g/m，延伸率（%）≤5，膨胀率（%）≤6，附着强度（N/25m)≥35，厚度规格≥0.3mm。</w:t>
            </w:r>
          </w:p>
        </w:tc>
      </w:tr>
      <w:tr w14:paraId="007CB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A8D3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穿刺式破拆水枪</w:t>
            </w:r>
          </w:p>
        </w:tc>
        <w:tc>
          <w:tcPr>
            <w:tcW w:w="1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EB5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★1、投标时或承诺验收时提供国家级检测机构出具的检测报告或具有CNAS/CMA资质认证的第三方检测机构出具的产品检测报告；</w:t>
            </w:r>
          </w:p>
          <w:p w14:paraId="6E27B0D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2、穿刺水枪通过穿刺头进行注水、喷射，以达到直接灭火的目的；</w:t>
            </w:r>
          </w:p>
          <w:p w14:paraId="43D9EA0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3、枪体采用铝合金材质，枪头采用不锈钢或同等质量材质；</w:t>
            </w:r>
          </w:p>
          <w:p w14:paraId="5EA8416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4、工作压力0-1MPa；</w:t>
            </w:r>
          </w:p>
          <w:p w14:paraId="15B0B59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5、最大流量≥300L/min；</w:t>
            </w:r>
          </w:p>
          <w:p w14:paraId="487E732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6、长度≥1m；</w:t>
            </w:r>
          </w:p>
          <w:p w14:paraId="0272BE4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7、穿刺能力：≥2mm钢板；枪头（≥3种）；</w:t>
            </w:r>
          </w:p>
          <w:p w14:paraId="160C185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8、重量：≤4kg；</w:t>
            </w:r>
          </w:p>
          <w:p w14:paraId="6D6F82F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9、具有永久性标志及产品数据标识。</w:t>
            </w:r>
          </w:p>
          <w:p w14:paraId="6E73F27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10、配备10盘25-65-20水带：</w:t>
            </w:r>
          </w:p>
          <w:p w14:paraId="77F2478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★（1）、满足GB6246-2011标准，提供由国家相关部门批准的具有该产品检测资质的国家级检验检测机构出具的检测报告（检验项目应涵盖GB6246-2011的所有检测项目）</w:t>
            </w:r>
          </w:p>
          <w:p w14:paraId="00D6586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（2）、衬里消防水带织物层选用高强度合成纤维（优质涤纶长丝）编织而成，内衬采用聚氨酯薄膜；</w:t>
            </w:r>
          </w:p>
          <w:p w14:paraId="2FE1019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（3）、接口表面无结疤、裂痕、砂眼；锻压式一体铝镁合金材质,带扣形式根据需求单位要求提供，长度20m+0.2m</w:t>
            </w:r>
            <w:bookmarkStart w:id="115" w:name="_GoBack"/>
            <w:bookmarkEnd w:id="115"/>
            <w:r>
              <w:rPr>
                <w:rFonts w:hint="eastAsia" w:ascii="宋体" w:hAnsi="宋体" w:eastAsia="宋体" w:cs="宋体"/>
                <w:i w:val="0"/>
                <w:iCs w:val="0"/>
                <w:color w:val="auto"/>
                <w:kern w:val="0"/>
                <w:sz w:val="18"/>
                <w:szCs w:val="18"/>
                <w:highlight w:val="none"/>
                <w:u w:val="none"/>
                <w:lang w:val="en-US" w:eastAsia="zh-CN" w:bidi="ar"/>
              </w:rPr>
              <w:t>；</w:t>
            </w:r>
          </w:p>
          <w:p w14:paraId="2FADFD4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★（4）、水带工作压力≥2.5Mpa，口径65mm；</w:t>
            </w:r>
          </w:p>
          <w:p w14:paraId="2A316CD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▲（5）、单位长度质量≤330g/m，延伸率（%）≤5，膨胀率（%）≤6，附着强度（N/25m)≥35，厚度规格≥0.3mm。</w:t>
            </w:r>
          </w:p>
        </w:tc>
      </w:tr>
      <w:tr w14:paraId="6C98F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5"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44E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高倍数泡沫发生器</w:t>
            </w:r>
          </w:p>
        </w:tc>
        <w:tc>
          <w:tcPr>
            <w:tcW w:w="1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B2DD5">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符合GB20031-2005《泡沫灭火系统及部件通用技术条件》，提供由国家相关部门批准的具有该产品检测资质的国家级检验检测机构出具的检测报告（检测项目应涵盖GB20031-2005中的高倍数泡沫发生器所有检验项目）；</w:t>
            </w:r>
          </w:p>
          <w:p w14:paraId="265DB541">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2.手提式或移动式；</w:t>
            </w:r>
          </w:p>
          <w:p w14:paraId="6C4FE588">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★3.泡沫发泡倍数≥200；</w:t>
            </w:r>
          </w:p>
          <w:p w14:paraId="7D438AD6">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4.重量≤8kg；</w:t>
            </w:r>
          </w:p>
          <w:p w14:paraId="12B1A8D5">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▲5.工作压力0.4～0.8MPa。</w:t>
            </w:r>
          </w:p>
          <w:p w14:paraId="725CD02B">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6、配备10盘25-80-20水带。</w:t>
            </w:r>
          </w:p>
          <w:p w14:paraId="1EA1EAAF">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★（1）、满足GB6246-2011标准，提供由国家相关部门批准的具有该产品检测资质的国家级检验检测机构出具的检测报告（检验项目应涵盖GB6246-2011的所有检测项目）</w:t>
            </w:r>
          </w:p>
          <w:p w14:paraId="6E21CBD4">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（2）、衬里消防水带织物层选用高强度合成纤维（优质涤纶长丝）编织而成，内衬采用聚氨酯薄膜；</w:t>
            </w:r>
          </w:p>
          <w:p w14:paraId="218E236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（3）、接口表面无结疤、裂痕、砂眼；锻压式一体铝镁合金材质,带扣形式根据需求单位要求提供，长度20m+0.2m；</w:t>
            </w:r>
          </w:p>
          <w:p w14:paraId="4150DF53">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★（4）、工作压力≥2.5Mpa，口径：80mm；</w:t>
            </w:r>
          </w:p>
          <w:p w14:paraId="2079B81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▲（5）、单位长度质量≤400g/m，延伸率（%）≤6，膨胀率（%）≤6，附着强度（N/25m)≥35，厚度规格≥0.3mm。</w:t>
            </w:r>
          </w:p>
        </w:tc>
      </w:tr>
    </w:tbl>
    <w:p w14:paraId="56EC7936">
      <w:pPr>
        <w:pStyle w:val="31"/>
        <w:rPr>
          <w:rFonts w:hint="default" w:ascii="宋体" w:hAnsi="宋体" w:cs="宋体"/>
          <w:color w:val="auto"/>
          <w:kern w:val="2"/>
          <w:sz w:val="24"/>
          <w:szCs w:val="24"/>
          <w:highlight w:val="none"/>
          <w:lang w:val="en-US" w:eastAsia="zh-CN" w:bidi="ar-SA"/>
        </w:rPr>
      </w:pPr>
    </w:p>
    <w:p w14:paraId="5E0DB54F">
      <w:pPr>
        <w:pStyle w:val="31"/>
        <w:rPr>
          <w:rFonts w:hint="eastAsia" w:ascii="宋体" w:hAnsi="宋体" w:cs="宋体"/>
          <w:color w:val="auto"/>
          <w:kern w:val="2"/>
          <w:sz w:val="24"/>
          <w:szCs w:val="24"/>
          <w:highlight w:val="none"/>
          <w:lang w:val="en-US" w:eastAsia="zh-CN" w:bidi="ar-SA"/>
        </w:rPr>
      </w:pPr>
    </w:p>
    <w:p w14:paraId="3CA91D26">
      <w:pPr>
        <w:pStyle w:val="31"/>
        <w:rPr>
          <w:rFonts w:hint="eastAsia" w:ascii="宋体" w:hAnsi="宋体" w:cs="宋体"/>
          <w:color w:val="auto"/>
          <w:kern w:val="2"/>
          <w:sz w:val="24"/>
          <w:szCs w:val="24"/>
          <w:highlight w:val="none"/>
          <w:lang w:val="en-US" w:eastAsia="zh-CN" w:bidi="ar-SA"/>
        </w:rPr>
      </w:pPr>
    </w:p>
    <w:p w14:paraId="741A10BA">
      <w:pPr>
        <w:pStyle w:val="31"/>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第十一包：</w:t>
      </w:r>
    </w:p>
    <w:tbl>
      <w:tblPr>
        <w:tblStyle w:val="39"/>
        <w:tblW w:w="139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0"/>
        <w:gridCol w:w="13037"/>
      </w:tblGrid>
      <w:tr w14:paraId="69A3F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3"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B0D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电动链锯</w:t>
            </w:r>
          </w:p>
        </w:tc>
        <w:tc>
          <w:tcPr>
            <w:tcW w:w="13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9C2D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★1.投标时或承诺验收时提供国家级检测机构出具的检测报告或具有CNAS/CMA资质认证的第三方检测机构出具的产品检测报告；</w:t>
            </w:r>
          </w:p>
          <w:p w14:paraId="47E38D9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2.用于救援过程中切割混凝土、砖石、管道、木材等材质；由无刷电机、导板、链条、锂电池、导板护套、护目镜、专用工具箱、充电器等部件组成；</w:t>
            </w:r>
          </w:p>
          <w:p w14:paraId="103B495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▲3、功率≥1.8kW；双锂电池供电；无刷电机转速≥4200r/min；</w:t>
            </w:r>
          </w:p>
          <w:p w14:paraId="1764B40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▲4、单电池容量：≥5Ah，单块电池充电时间≤4小时；</w:t>
            </w:r>
          </w:p>
          <w:p w14:paraId="27305C0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5、重量(不含链条和电池)：≤6kg；</w:t>
            </w:r>
          </w:p>
          <w:p w14:paraId="5F1666A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6、链条最大转速：≥12m/s；</w:t>
            </w:r>
          </w:p>
          <w:p w14:paraId="4D56932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7、导板长度：≥400(mm)；</w:t>
            </w:r>
          </w:p>
          <w:p w14:paraId="521F3B1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8、润滑具有自动喷油功能；</w:t>
            </w:r>
          </w:p>
          <w:p w14:paraId="5B3BA93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▲9、切割长度≥350mm；</w:t>
            </w:r>
          </w:p>
          <w:p w14:paraId="1373155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10、蓄电池≥4块；导板≥2块，链条≥4条；</w:t>
            </w:r>
          </w:p>
          <w:p w14:paraId="3A009ED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11、具有永久性标志及产品数据标识；</w:t>
            </w:r>
          </w:p>
          <w:p w14:paraId="4415A10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12、导板为钨钢合金材质或优于钨钢合金材质；</w:t>
            </w:r>
          </w:p>
          <w:p w14:paraId="2DEC6A3E">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13、提供使用说明书。</w:t>
            </w:r>
          </w:p>
        </w:tc>
      </w:tr>
      <w:tr w14:paraId="32591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99"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E6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哈利根铁铤</w:t>
            </w:r>
          </w:p>
        </w:tc>
        <w:tc>
          <w:tcPr>
            <w:tcW w:w="13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90499">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★1、符合手动破拆工具通用技术条件 GB32459-2015标准，提供由国家相关部门批准的具有该产品检测资质的国家级检验检测机构出具的检测报告（检测项目应涵盖GB32459-2015的所有检验项目）；</w:t>
            </w:r>
          </w:p>
          <w:p w14:paraId="6F69B109">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2、钢制杆体，杆体表面设置有防滑部，杆体一端羊角撬头，另一端尖镐头和扁镐头；</w:t>
            </w:r>
          </w:p>
          <w:p w14:paraId="2054A950">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▲3、铁铤头部为高碳钢材质，铁铤表面经处理涂有塑层抗腐蚀防静电；</w:t>
            </w:r>
          </w:p>
          <w:p w14:paraId="2D580B0F">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▲4、长度：≥75CM；</w:t>
            </w:r>
          </w:p>
          <w:p w14:paraId="3725017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5、重量：≤10kg；</w:t>
            </w:r>
          </w:p>
          <w:p w14:paraId="365C33BA">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▲6、镐头凿击性能应能凿穿厚度≥1.5mmQ235A 型钢板,且刃口无明显崩刀开裂；</w:t>
            </w:r>
          </w:p>
          <w:p w14:paraId="4CD9497D">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▲7、撬斧起撬部位应能承受载荷≥7840N；</w:t>
            </w:r>
          </w:p>
          <w:p w14:paraId="1E1A3F7B">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8、产品具有永久性标志及产品数据标识。</w:t>
            </w:r>
          </w:p>
        </w:tc>
      </w:tr>
      <w:tr w14:paraId="5223F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99"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24B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液压破拆工具组A</w:t>
            </w:r>
          </w:p>
        </w:tc>
        <w:tc>
          <w:tcPr>
            <w:tcW w:w="13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3DAD9">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★1、满足国家标准《消防应急装备液压破拆工具通用技术条件》（GB/T17906-2021），由国家相关部门批准的具有该产品检测资质的检验检测机构出具的检测报告（检测项目应涵盖GB/T17906-2021的所有检验项目）；</w:t>
            </w:r>
          </w:p>
          <w:p w14:paraId="47187DB6">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2、主要功能：用于建筑倒塌、交通事故现场等剪切、扩张、撑顶作业；</w:t>
            </w:r>
          </w:p>
          <w:p w14:paraId="557642B5">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3、由1台液压机动泵、1 台手动泵、3 套液压软管、1具液压扩张器、1 具液压剪切器、1 具液压剪扩器、1 具液压顶杆组成；</w:t>
            </w:r>
          </w:p>
          <w:p w14:paraId="4396A3F3">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4、输出输入为同一接口，可带压插拔，配备2条≥10m液压油管，采用双输出，可同时接 2 套工具，同时工作时间≥4h；</w:t>
            </w:r>
          </w:p>
          <w:p w14:paraId="2FE0B120">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5、液压撑顶器：额定工作压力≥70MPa，二级液压撑顶总行程≥560mm，一级行程≥290mm，一级撑顶力≥260kN，二级行程≥270mm，二级撑顶力≥130kN，伸出后最大长度≥1065mm，回缩后长度≥460mm，重量≤18kg；</w:t>
            </w:r>
          </w:p>
          <w:p w14:paraId="2A67E7E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6、液压机动泵：可同时连接两件工具使用，四冲程汽油机，发动机功率≥2kW，额定工作压力≥70MPa，额定输出流量≥0.5L/min，具有高低压自动转换功能，低压工作压力≥10MPa，低压输出流量≥2.0L/min，液压油箱容积≥3L，重量≤30kg；</w:t>
            </w:r>
          </w:p>
          <w:p w14:paraId="0445213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7、液压手动泵：额定工作压力≥70MPa，额定输出流量≥1.5mL/次，具有高低压自动调节功能，低压输出流量≥15ml/次，液压油箱容量≥2.0L，重量≤10kg；</w:t>
            </w:r>
          </w:p>
          <w:p w14:paraId="0BF5223A">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8、液压扩张器：额定工作压力≥70MPa，最小扩张力≥40kN，最大扩张距离≥700mm，最大牵引力≥40kN，最大牵引距离≥400mm，重量≤14kg；</w:t>
            </w:r>
          </w:p>
          <w:p w14:paraId="2AAFA6F4">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9、液压剪切器：额定工作压力≥70MPa，最大剪切力≥600kN，剪切圆钢直径≥35mm，开口距离≥150mm，重量≤15kg；</w:t>
            </w:r>
          </w:p>
          <w:p w14:paraId="1F85C35D">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10、液压剪扩器：额定工作压力≥70MPa，剪切圆钢直径≥30mm，最小扩张力≥35kN，最大扩张距离≥350mm，牵拉距离≥380mm，最大牵拉力≥60kN，重量≤15kg。</w:t>
            </w:r>
          </w:p>
        </w:tc>
      </w:tr>
    </w:tbl>
    <w:p w14:paraId="6D02818B">
      <w:pPr>
        <w:pStyle w:val="31"/>
        <w:rPr>
          <w:rFonts w:hint="eastAsia" w:ascii="宋体" w:hAnsi="宋体" w:eastAsia="宋体" w:cs="宋体"/>
          <w:color w:val="auto"/>
          <w:kern w:val="2"/>
          <w:sz w:val="24"/>
          <w:szCs w:val="24"/>
          <w:highlight w:val="none"/>
          <w:lang w:val="en-US" w:eastAsia="zh-CN" w:bidi="ar-SA"/>
        </w:rPr>
      </w:pPr>
    </w:p>
    <w:p w14:paraId="2B166729">
      <w:pPr>
        <w:pStyle w:val="31"/>
        <w:rPr>
          <w:rFonts w:hint="eastAsia" w:ascii="宋体" w:hAnsi="宋体" w:cs="宋体"/>
          <w:color w:val="auto"/>
          <w:kern w:val="2"/>
          <w:sz w:val="24"/>
          <w:szCs w:val="24"/>
          <w:highlight w:val="none"/>
          <w:lang w:val="en-US" w:eastAsia="zh-CN" w:bidi="ar-SA"/>
        </w:rPr>
      </w:pPr>
    </w:p>
    <w:p w14:paraId="6C3F7EA4">
      <w:pPr>
        <w:keepNext w:val="0"/>
        <w:keepLines w:val="0"/>
        <w:widowControl/>
        <w:suppressLineNumbers w:val="0"/>
        <w:jc w:val="left"/>
        <w:textAlignment w:val="center"/>
        <w:rPr>
          <w:rFonts w:hint="default" w:ascii="宋体" w:hAnsi="宋体" w:eastAsia="宋体" w:cs="宋体"/>
          <w:i w:val="0"/>
          <w:iCs w:val="0"/>
          <w:color w:val="auto"/>
          <w:kern w:val="0"/>
          <w:sz w:val="20"/>
          <w:szCs w:val="20"/>
          <w:highlight w:val="none"/>
          <w:u w:val="none"/>
          <w:lang w:val="en-US" w:eastAsia="zh-CN" w:bidi="ar"/>
        </w:rPr>
      </w:pPr>
    </w:p>
    <w:p w14:paraId="46EA4892">
      <w:pPr>
        <w:pStyle w:val="4"/>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第</w:t>
      </w:r>
      <w:r>
        <w:rPr>
          <w:rFonts w:hint="eastAsia" w:ascii="宋体" w:hAnsi="宋体" w:cs="宋体"/>
          <w:color w:val="auto"/>
          <w:kern w:val="2"/>
          <w:sz w:val="24"/>
          <w:szCs w:val="24"/>
          <w:highlight w:val="none"/>
          <w:lang w:val="en-US" w:eastAsia="zh-CN" w:bidi="ar-SA"/>
        </w:rPr>
        <w:t>十二</w:t>
      </w:r>
      <w:r>
        <w:rPr>
          <w:rFonts w:hint="eastAsia" w:ascii="宋体" w:hAnsi="宋体" w:eastAsia="宋体" w:cs="宋体"/>
          <w:color w:val="auto"/>
          <w:kern w:val="2"/>
          <w:sz w:val="24"/>
          <w:szCs w:val="24"/>
          <w:highlight w:val="none"/>
          <w:lang w:val="en-US" w:eastAsia="zh-CN" w:bidi="ar-SA"/>
        </w:rPr>
        <w:t>包：</w:t>
      </w:r>
    </w:p>
    <w:tbl>
      <w:tblPr>
        <w:tblStyle w:val="39"/>
        <w:tblW w:w="139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0"/>
        <w:gridCol w:w="13022"/>
      </w:tblGrid>
      <w:tr w14:paraId="3CF57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85"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5C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单兵携行包（箱）</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59A98">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★1、投标时或承诺验收时提供国家级检测机构出具的检测报告或具有CNAS/CMA资质认证的第三方检测机构出具的产品检测报告；</w:t>
            </w:r>
          </w:p>
          <w:p w14:paraId="6E30D5DD">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2、主要功能：主要用于单兵紧急救援使用（配备72小时物资）；</w:t>
            </w:r>
          </w:p>
          <w:p w14:paraId="743E8433">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3、技术要求：符合人体功能学设计，内部产品分袋放置；</w:t>
            </w:r>
          </w:p>
          <w:p w14:paraId="354F8E88">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 、睡袋面料防水、透气，规格长度≥2.2m，宽度≥85cm，保暖填充物为鹅绒，含绒量≥80％，填充量≥1.5kg，蓬松度≥550，舒适室外温度≤-18℃，极限室外温度≤-30℃，配套高强度防水抗撕裂收纳袋，双面拉链；</w:t>
            </w:r>
          </w:p>
          <w:p w14:paraId="36F8D876">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帐篷为双层，由内帐（设透气网纱）、外帐和铝杆组成，可满足1～2人野外四季住宿，防风防雨防雪，搭建操作简单，便于携带，防撕裂、防水，也可优于上述材质，支架为高强度轻质铝合金支架；（帐篷颜色橘红）</w:t>
            </w:r>
          </w:p>
          <w:p w14:paraId="3E9A2A08">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6、防潮垫（带枕头）,尺寸长度≥1.9m、宽度≥0.6m，厚度≥2cm，配备收纳袋，可折叠放入收纳袋；</w:t>
            </w:r>
          </w:p>
          <w:p w14:paraId="22F37884">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7、配备LED宿营灯1个，可悬挂可放立，体积小、便于携带，内置锂电池且可快速充电，连续稳定照明时间≥11h，可满足阅读照明；</w:t>
            </w:r>
          </w:p>
          <w:p w14:paraId="63F71CB0">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★8、背囊容积90L±10L，TCS或CR+TR背负系统+超轻铝合金支架，背包主料为杜邦尼龙材质，背带材料为高纤涤纶，背包底部采用耐磨防水、防潮面料，重量≤2.2kg；（背囊颜色根据客户需求定制），承重≥60kg；</w:t>
            </w:r>
          </w:p>
          <w:p w14:paraId="1BCE7B3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9、指南针：罗盘式军用指南针，具有夜视功能，有防护盖；</w:t>
            </w:r>
          </w:p>
          <w:p w14:paraId="0D78D100">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10、雨衣：超轻防暴雨雨衣，接缝压胶，门襟魔术贴+拉链设计，袖口松紧设计，口袋防雨防盗设计，腰部松紧设计，后背设计隐藏式独立背包仓方便排汗，帽子网状内衬+松紧带固定设计，外层采用防水透气面料，内衬防水布+透气网设计；</w:t>
            </w:r>
          </w:p>
          <w:p w14:paraId="065B6110">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11、急救包：包含常用药品和急救（云南白药急救包）用品（所有药品必须为当年生产，且使用期限≥2年）；</w:t>
            </w:r>
          </w:p>
          <w:p w14:paraId="735565A8">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12、便携式多功能刀具：规格≥9mm，不锈钢材质，红色光面纤维塑料，有≥15种功能；</w:t>
            </w:r>
          </w:p>
          <w:p w14:paraId="5E54E0A8">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13、水壶容量≥1.5L，品牌保温水壶，双层304食品级不锈钢，带独立杯盖和小碗设计，沸水24h保温≥50℃；</w:t>
            </w:r>
          </w:p>
          <w:p w14:paraId="132E4CE1">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14、简易洗漱用品：含牙刷、牙膏、梳子、洗发水、洗浴液；</w:t>
            </w:r>
          </w:p>
          <w:p w14:paraId="28E1E49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15、其他物品：放大镜、反光镜、温度计高能量自热即食食品、饮用水、蚊虫药、防静电内衣裤、袜子、折叠拖鞋等；</w:t>
            </w:r>
          </w:p>
          <w:p w14:paraId="3BFC3D9E">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16、需提供涂装方案供用户参考；</w:t>
            </w:r>
          </w:p>
          <w:p w14:paraId="1AA741F3">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17、其他要求： 包内配物品清单：军用指南针，防潮垫、睡袋、单兵帐篷、急救包、军用水壶、饭盒（含刀叉勺）、简易洗漱用品：含牙刷、牙膏、梳子、洗发水、洗浴液、哨子、LED灯、放大镜、反光镜、温度计、口哨、指南针、密封舱，高频口哨、手电筒、雨衣、水质净化片、高能量自热即食食品、饮用水、蚊虫药、防静电内衣裤、袜子、折叠拖鞋等；</w:t>
            </w:r>
          </w:p>
          <w:p w14:paraId="098C76AE">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18、单兵携行包（箱）中食品生产日期不得早于2024年10月1日。</w:t>
            </w:r>
          </w:p>
        </w:tc>
      </w:tr>
      <w:tr w14:paraId="34CDC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2"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E8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便携式推车</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2C46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1、主要功能：消防员运送物资；</w:t>
            </w:r>
          </w:p>
          <w:p w14:paraId="218A197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2、可载人电动升降，可坐可折叠；</w:t>
            </w:r>
          </w:p>
          <w:p w14:paraId="4DBE84C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3、平板尺寸≥2m*1m；护栏采用加厚方管；（护栏可拆卸）</w:t>
            </w:r>
          </w:p>
          <w:p w14:paraId="31BA8CB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★4、电机≥1500w；可拆卸电瓶≥60v；电池续航≥40km，5块同款备用电瓶；</w:t>
            </w:r>
          </w:p>
          <w:p w14:paraId="4055FDC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▲5、升降高度≥1.5m；</w:t>
            </w:r>
          </w:p>
          <w:p w14:paraId="12DBC2B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6、爬坡角度≥30°；</w:t>
            </w:r>
          </w:p>
          <w:p w14:paraId="021588D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★7、载重≥1t；升降载重≥0.5t；</w:t>
            </w:r>
          </w:p>
          <w:p w14:paraId="26E3BBD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8、可一键升降及悬停；</w:t>
            </w:r>
          </w:p>
          <w:p w14:paraId="7898E51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9、其他要求：配备电源钥匙开关、电量、充电显示和充电设备；投标时提供或承诺验收时提供第三方检测报告。</w:t>
            </w:r>
          </w:p>
        </w:tc>
      </w:tr>
      <w:tr w14:paraId="08FFC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FE0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default" w:ascii="宋体" w:hAnsi="宋体" w:eastAsia="宋体" w:cs="宋体"/>
                <w:i w:val="0"/>
                <w:iCs w:val="0"/>
                <w:color w:val="auto"/>
                <w:kern w:val="0"/>
                <w:sz w:val="20"/>
                <w:szCs w:val="20"/>
                <w:highlight w:val="none"/>
                <w:u w:val="none"/>
                <w:lang w:val="en-US" w:eastAsia="zh-CN" w:bidi="ar"/>
              </w:rPr>
              <w:t>移动水囊</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1F21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★1、投标时或承诺验收时提供国家级检测机构出具的检测报告或具有CNAS/CMA资质认证的第三方检测机构出具的产品检测报告；   </w:t>
            </w:r>
          </w:p>
          <w:p w14:paraId="38F6537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2、高强度PVC材质或更优材质；</w:t>
            </w:r>
          </w:p>
          <w:p w14:paraId="2185DEE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★3、容量≥30t，储水高度1.2～1.5m；</w:t>
            </w:r>
          </w:p>
          <w:p w14:paraId="2B51B66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4、加厚耐磨双层失网布；</w:t>
            </w:r>
          </w:p>
          <w:p w14:paraId="3BC9AB2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5、具有抗摔、抗磨性能，高温下不起泡、不流淌、不漏液，低温下不断裂性能；</w:t>
            </w:r>
          </w:p>
          <w:p w14:paraId="1C6CD99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6、设置注水口，底部设置≥2个出水口；</w:t>
            </w:r>
          </w:p>
          <w:p w14:paraId="5CA0D2B8">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7、配备收纳袋或箱，修补工具及辅料。</w:t>
            </w:r>
          </w:p>
        </w:tc>
      </w:tr>
    </w:tbl>
    <w:p w14:paraId="4C3B8C59">
      <w:pPr>
        <w:pStyle w:val="4"/>
        <w:ind w:left="0" w:leftChars="0" w:firstLine="0" w:firstLineChars="0"/>
        <w:rPr>
          <w:rFonts w:hint="eastAsia" w:ascii="宋体" w:hAnsi="宋体" w:eastAsia="宋体" w:cs="宋体"/>
          <w:color w:val="auto"/>
          <w:kern w:val="2"/>
          <w:sz w:val="24"/>
          <w:szCs w:val="24"/>
          <w:highlight w:val="none"/>
          <w:lang w:val="en-US" w:eastAsia="zh-CN" w:bidi="ar-SA"/>
        </w:rPr>
      </w:pPr>
    </w:p>
    <w:p w14:paraId="12939209">
      <w:pPr>
        <w:pStyle w:val="4"/>
        <w:ind w:left="0" w:leftChars="0" w:firstLine="0" w:firstLineChars="0"/>
        <w:rPr>
          <w:rFonts w:hint="eastAsia" w:ascii="宋体" w:hAnsi="宋体" w:eastAsia="宋体" w:cs="宋体"/>
          <w:color w:val="auto"/>
          <w:kern w:val="2"/>
          <w:sz w:val="24"/>
          <w:szCs w:val="24"/>
          <w:highlight w:val="none"/>
          <w:lang w:val="en-US" w:eastAsia="zh-CN" w:bidi="ar-SA"/>
        </w:rPr>
      </w:pPr>
    </w:p>
    <w:p w14:paraId="65AC0582">
      <w:pPr>
        <w:pStyle w:val="4"/>
        <w:ind w:left="0" w:leftChars="0" w:firstLine="0" w:firstLineChars="0"/>
        <w:rPr>
          <w:rFonts w:hint="eastAsia" w:ascii="宋体" w:hAnsi="宋体" w:eastAsia="宋体" w:cs="宋体"/>
          <w:color w:val="auto"/>
          <w:kern w:val="2"/>
          <w:sz w:val="24"/>
          <w:szCs w:val="24"/>
          <w:highlight w:val="none"/>
          <w:lang w:val="en-US" w:eastAsia="zh-CN" w:bidi="ar-SA"/>
        </w:rPr>
      </w:pPr>
    </w:p>
    <w:p w14:paraId="1E951A66">
      <w:pPr>
        <w:pStyle w:val="4"/>
        <w:ind w:left="0" w:leftChars="0" w:firstLine="0" w:firstLineChars="0"/>
        <w:rPr>
          <w:rFonts w:hint="eastAsia" w:ascii="宋体" w:hAnsi="宋体" w:eastAsia="宋体" w:cs="宋体"/>
          <w:color w:val="auto"/>
          <w:kern w:val="2"/>
          <w:sz w:val="24"/>
          <w:szCs w:val="24"/>
          <w:highlight w:val="none"/>
          <w:lang w:val="en-US" w:eastAsia="zh-CN" w:bidi="ar-SA"/>
        </w:rPr>
      </w:pPr>
    </w:p>
    <w:p w14:paraId="77ADDD7B">
      <w:pPr>
        <w:pStyle w:val="4"/>
        <w:ind w:left="0" w:leftChars="0" w:firstLine="0" w:firstLineChars="0"/>
        <w:rPr>
          <w:rFonts w:hint="eastAsia" w:ascii="宋体" w:hAnsi="宋体" w:eastAsia="宋体" w:cs="宋体"/>
          <w:color w:val="auto"/>
          <w:kern w:val="2"/>
          <w:sz w:val="24"/>
          <w:szCs w:val="24"/>
          <w:highlight w:val="none"/>
          <w:lang w:val="en-US" w:eastAsia="zh-CN" w:bidi="ar-SA"/>
        </w:rPr>
      </w:pPr>
    </w:p>
    <w:p w14:paraId="418C9A87">
      <w:pPr>
        <w:pStyle w:val="4"/>
        <w:ind w:left="0" w:leftChars="0" w:firstLine="0" w:firstLineChars="0"/>
        <w:rPr>
          <w:rFonts w:hint="eastAsia" w:ascii="宋体" w:hAnsi="宋体" w:eastAsia="宋体" w:cs="宋体"/>
          <w:color w:val="auto"/>
          <w:kern w:val="2"/>
          <w:sz w:val="24"/>
          <w:szCs w:val="24"/>
          <w:highlight w:val="none"/>
          <w:lang w:val="en-US" w:eastAsia="zh-CN" w:bidi="ar-SA"/>
        </w:rPr>
      </w:pPr>
    </w:p>
    <w:p w14:paraId="622D61A0">
      <w:pPr>
        <w:pStyle w:val="4"/>
        <w:ind w:left="0" w:leftChars="0" w:firstLine="0" w:firstLineChars="0"/>
        <w:rPr>
          <w:rFonts w:hint="eastAsia" w:ascii="宋体" w:hAnsi="宋体" w:eastAsia="宋体" w:cs="宋体"/>
          <w:color w:val="auto"/>
          <w:kern w:val="2"/>
          <w:sz w:val="24"/>
          <w:szCs w:val="24"/>
          <w:highlight w:val="none"/>
          <w:lang w:val="en-US" w:eastAsia="zh-CN" w:bidi="ar-SA"/>
        </w:rPr>
      </w:pPr>
    </w:p>
    <w:p w14:paraId="29EAA890">
      <w:pPr>
        <w:pStyle w:val="4"/>
        <w:ind w:left="0" w:leftChars="0" w:firstLine="0" w:firstLineChars="0"/>
        <w:rPr>
          <w:rFonts w:hint="eastAsia" w:ascii="宋体" w:hAnsi="宋体" w:eastAsia="宋体" w:cs="宋体"/>
          <w:color w:val="auto"/>
          <w:kern w:val="2"/>
          <w:sz w:val="24"/>
          <w:szCs w:val="24"/>
          <w:highlight w:val="none"/>
          <w:lang w:val="en-US" w:eastAsia="zh-CN" w:bidi="ar-SA"/>
        </w:rPr>
      </w:pPr>
    </w:p>
    <w:p w14:paraId="790342D8">
      <w:pPr>
        <w:pStyle w:val="4"/>
        <w:ind w:left="0" w:leftChars="0" w:firstLine="0" w:firstLineChars="0"/>
        <w:rPr>
          <w:rFonts w:hint="eastAsia" w:ascii="宋体" w:hAnsi="宋体" w:eastAsia="宋体" w:cs="宋体"/>
          <w:color w:val="auto"/>
          <w:kern w:val="2"/>
          <w:sz w:val="24"/>
          <w:szCs w:val="24"/>
          <w:highlight w:val="none"/>
          <w:lang w:val="en-US" w:eastAsia="zh-CN" w:bidi="ar-SA"/>
        </w:rPr>
      </w:pPr>
    </w:p>
    <w:p w14:paraId="357A90EB">
      <w:pPr>
        <w:pStyle w:val="4"/>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第</w:t>
      </w:r>
      <w:r>
        <w:rPr>
          <w:rFonts w:hint="eastAsia" w:ascii="宋体" w:hAnsi="宋体" w:cs="宋体"/>
          <w:color w:val="auto"/>
          <w:kern w:val="2"/>
          <w:sz w:val="24"/>
          <w:szCs w:val="24"/>
          <w:highlight w:val="none"/>
          <w:lang w:val="en-US" w:eastAsia="zh-CN" w:bidi="ar-SA"/>
        </w:rPr>
        <w:t>十三</w:t>
      </w:r>
      <w:r>
        <w:rPr>
          <w:rFonts w:hint="eastAsia" w:ascii="宋体" w:hAnsi="宋体" w:eastAsia="宋体" w:cs="宋体"/>
          <w:color w:val="auto"/>
          <w:kern w:val="2"/>
          <w:sz w:val="24"/>
          <w:szCs w:val="24"/>
          <w:highlight w:val="none"/>
          <w:lang w:val="en-US" w:eastAsia="zh-CN" w:bidi="ar-SA"/>
        </w:rPr>
        <w:t>包：</w:t>
      </w:r>
    </w:p>
    <w:tbl>
      <w:tblPr>
        <w:tblStyle w:val="39"/>
        <w:tblW w:w="139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0"/>
        <w:gridCol w:w="13022"/>
      </w:tblGrid>
      <w:tr w14:paraId="6AE5A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3ED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水域救生套装</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2370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★1、总体性能符合市场准入标准的要求，投标时或承诺验收时提供国家级检测机构出具的检测报告或具有CNAS/CMA资质认证的第三方检测机构出具的产品检测报告；</w:t>
            </w:r>
          </w:p>
          <w:p w14:paraId="1E2448A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★2、整套装备包括激流救援专用救生衣1套、救援牛尾绳1根、15m水域抛绳包1个、高频口哨1个和配套携行包1个；</w:t>
            </w:r>
          </w:p>
          <w:p w14:paraId="3F63864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激流救援专用救生衣采用背心式设计，浮力≥150N，配备1根多功能腰带（宽度≥5cm，材质为尼龙织带）环绕在胸部，腰带前部设置自救脱困快解装置，腰带后部设置牵引绳连接拉环，正面设置可拆卸式置物袋（数量≥2个），后背设置可拆卸式置物袋（数量≥1个），设计多个与水域割绳刀、定位示位灯、口哨等配套的挂点；</w:t>
            </w:r>
          </w:p>
          <w:p w14:paraId="0EA4B73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4、救援牛尾绳与救生衣配套使用，用于救生衣PFD上面的牵引绳，带有0型环和三角形连接锁，牵引绳应具有良好的延展效果，紧急情况下PFD救生衣可与该牵引绳快速分离，绳长≥80cm，延展长度≥150cm；</w:t>
            </w:r>
          </w:p>
          <w:p w14:paraId="5165DA3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5、15m水域抛绳包面料采用优质尼龙布料，颜色为红色或橙色，中部设置网布，顶端设有收紧拉绳，侧面设置魔术贴挂点，可挂闪光棒或荧光棒，配备专用水面荧光漂浮绳，直径≥8mm，长度≥15m；</w:t>
            </w:r>
          </w:p>
          <w:p w14:paraId="6E6BFE2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6、高频口哨采用ABS工程塑料材质，音量≥100dB，质量≤15g；</w:t>
            </w:r>
          </w:p>
          <w:p w14:paraId="7E28B3F8">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7、携行包颜色为橘黄色或红色，具有一定的防水性能，容积≥50L。</w:t>
            </w:r>
          </w:p>
        </w:tc>
      </w:tr>
      <w:tr w14:paraId="44CB4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1A8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干式水域救援服</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0004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 款式：连体干式救援服整体为高防水设计。</w:t>
            </w:r>
          </w:p>
          <w:p w14:paraId="7991D7C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 衣领处有反光嵌线及透水网,身体正前方或者背后为横向或斜向防水拉链，袖口、领口魔术贴束紧带设计，（用于调节至舒适度）。领口、袖口均使用全防水密封圈；腰部有弹性松紧带设计，（用于调节至舒适度）小腿部和手臂处设有环状反光条，（提高夜间救援360°可视度）。内置背带可调节；</w:t>
            </w:r>
          </w:p>
          <w:p w14:paraId="33E0BF0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 肘部、膝盖和臀部有补强，增加耐磨性能；裆部设计高强度防水拉链，（如厕时不用脱下整件服装）腿部两侧配有带盖板的排水孔工具袋，可以储存物品；附带一体的乳胶袜套可以防水，且确保脚部更为保暖。</w:t>
            </w:r>
          </w:p>
          <w:p w14:paraId="51B4B77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 内里缝合处采用先缝制再压胶技术，热熔贴合处理，加固接缝，增强防水性能，每件干衣都进行单独测试；</w:t>
            </w:r>
          </w:p>
          <w:p w14:paraId="222D108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 、技术参数：符合《消防水域救援个人防护装备试验大纲》的依据。</w:t>
            </w:r>
          </w:p>
          <w:p w14:paraId="771DB85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2.1 保温性能：经保温性能试验后，受试者的体表（手、脚和腰部皮肤表面）温度均未降低≤10℃，体温下降≤0.4℃，且受试者能捡一支直径8mm的铅笔并书写。</w:t>
            </w:r>
          </w:p>
          <w:p w14:paraId="727198C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2.2 防渗漏性能：经静水中持续 1h 的渗透性能试验，消防员水域救援防护服的进水量≤ 0.25 kg。</w:t>
            </w:r>
          </w:p>
          <w:p w14:paraId="093D824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2.3 携行质量（含消防员水域救援服、保温内衣和携行袋）：≤2790g。</w:t>
            </w:r>
          </w:p>
          <w:p w14:paraId="39D8674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2.4 穿着时间：≤25s。</w:t>
            </w:r>
          </w:p>
          <w:p w14:paraId="758D241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2.5 服装质量：≤1667g。 </w:t>
            </w:r>
          </w:p>
          <w:p w14:paraId="40B948D4">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★3.总体性能符合市场准入标准的要求，投标时提供或承诺验收时提供国家级检测机构的检测报告或具有CNAS/CMA资质认证的第三方检测机构出具的产品检测报告。</w:t>
            </w:r>
          </w:p>
        </w:tc>
      </w:tr>
      <w:tr w14:paraId="554DC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3B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default" w:ascii="宋体" w:hAnsi="宋体" w:eastAsia="宋体" w:cs="宋体"/>
                <w:i w:val="0"/>
                <w:iCs w:val="0"/>
                <w:color w:val="auto"/>
                <w:kern w:val="0"/>
                <w:sz w:val="20"/>
                <w:szCs w:val="20"/>
                <w:highlight w:val="none"/>
                <w:u w:val="none"/>
                <w:lang w:val="en-US" w:eastAsia="zh-CN" w:bidi="ar"/>
              </w:rPr>
              <w:t>湿式水域救援服</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BB09">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1、总体要求</w:t>
            </w:r>
          </w:p>
          <w:p w14:paraId="7E77DED3">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▲（1）水上或冰上救援作业时的专用防护，技术性能符合《消防水域救援个人防护装备》试验大纲的规定，投标时提供或承诺验收时提供相应检测报告；</w:t>
            </w:r>
          </w:p>
          <w:p w14:paraId="79E51353">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（2）含防护服、水域救援靴、水域救援手套、水域救援头盔、防水头灯、割绳刀；</w:t>
            </w:r>
          </w:p>
          <w:p w14:paraId="2DFD811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2、外观要求</w:t>
            </w:r>
          </w:p>
          <w:p w14:paraId="311A1420">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（1）黑、橙色立体拼接剪裁，连体式或分体式结构，裤脚和袖口设有可调节开口大小的拉链；</w:t>
            </w:r>
          </w:p>
          <w:p w14:paraId="4D33399F">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（2）在臀部、膝部、肘部敷有用于增强耐磨性的补强材料；</w:t>
            </w:r>
          </w:p>
          <w:p w14:paraId="744A3F1D">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★（3）主体采用≥3mm氯丁橡胶材质，具有舒适保暖防寒的性能；</w:t>
            </w:r>
          </w:p>
          <w:p w14:paraId="505800BB">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（4）合理位置设有盛放工具的口袋，口袋底部有排水孔；</w:t>
            </w:r>
          </w:p>
          <w:p w14:paraId="14E9039B">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（5）多处合理设有反光标志带，根据采购人需求适当位置印制反光统型标识；</w:t>
            </w:r>
          </w:p>
          <w:p w14:paraId="1BCB6E4B">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3、材料要求：</w:t>
            </w:r>
          </w:p>
          <w:p w14:paraId="33D8B806">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（1）耐磨性：面料经2000次摩擦后试样未被磨穿，补强材料经6000次循环摩擦后试样未被磨穿；</w:t>
            </w:r>
          </w:p>
          <w:p w14:paraId="4495A0A1">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（2）耐静水压性能≥17kPa；</w:t>
            </w:r>
          </w:p>
          <w:p w14:paraId="17647B85">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4、适用性能：</w:t>
            </w:r>
          </w:p>
          <w:p w14:paraId="03381E3E">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（1）穿着消防救生衣限制性：无限制；</w:t>
            </w:r>
          </w:p>
          <w:p w14:paraId="3A972D49">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（2）水域救援防护服穿着时间≤30S；</w:t>
            </w:r>
          </w:p>
          <w:p w14:paraId="0792C45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（3）穿着者可活动性：穿着防护服的人员能行走、爬行、游泳并登上平台；</w:t>
            </w:r>
          </w:p>
          <w:p w14:paraId="6D0B9D51">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★（4）质量≤2kg；</w:t>
            </w:r>
          </w:p>
          <w:p w14:paraId="2536215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（5）面料甲醛含量：0mg/kg；</w:t>
            </w:r>
          </w:p>
          <w:p w14:paraId="22EBDD0F">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（6）异味：无；</w:t>
            </w:r>
          </w:p>
          <w:p w14:paraId="3D6893E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（7）耐磨性：试样经过100圈磨损后，无破洞；</w:t>
            </w:r>
          </w:p>
          <w:p w14:paraId="3950FA65">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5、水域救援靴</w:t>
            </w:r>
          </w:p>
          <w:p w14:paraId="3F72F005">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（1）水域救援靴主体颜色为黑色，鞋带采用系带式，靴身上设有永久性布标，布标上有产品名称、鞋号、检验号、生产日期及承制单位名称。</w:t>
            </w:r>
          </w:p>
          <w:p w14:paraId="37733EE5">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水域救援靴采用中帮设计，鞋面采用蜂窝结构的速干透气网布材料，具有透气、耐穿刺、耐切割、防滑等保护性能；鞋底采用EVA+MD防滑橡胶等材料，具有排水和砂石过滤，以及吸收（走路时所带来的）震动、减缓冲击的功能；鞋垫厚度≥5mm,具有减震，防臭，抗菌，透气功能，主体颜色为黑色；水域救援靴鞋头处防踢设计，保护足趾；侧面带有多个排水孔，可以快速将水排出；靴帮抗刺穿性能：≥120N；靴帮抗切割性能:靴帮材料经抗切割试验后，未被割穿；防滑性能: ≥ 23°；</w:t>
            </w:r>
          </w:p>
          <w:p w14:paraId="46097DCB">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6、五指式水域救援手套；</w:t>
            </w:r>
          </w:p>
          <w:p w14:paraId="35474331">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（1）水域救援手套由外层、防护保暖复合层组合制成；</w:t>
            </w:r>
          </w:p>
          <w:p w14:paraId="2ED09A14">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（2）手套的掌心和手指部分缝有用于增强外层耐磨性的材料，手掌氯丁橡胶层≥3mm，手套背面氯丁橡胶层≥2mm，缓冲垫层≥3mm；</w:t>
            </w:r>
          </w:p>
          <w:p w14:paraId="49736B4E">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（3）手掌和手指上设计有橡胶合成皮革护甲片或同等作用材质材料。拇指和手腕上设计有拉绒羊毛或同等材质材料，腕带需为弹性材质；</w:t>
            </w:r>
          </w:p>
          <w:p w14:paraId="646475F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（4）手腕处有魔术贴搭扣，可调节松紧，加强固定，手腕内侧带有按扣，可以在存储时将两只手套固定在一起防止丢失；</w:t>
            </w:r>
          </w:p>
          <w:p w14:paraId="6E414C2E">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（5）灵巧性能：徒手控制百分比≤110%；</w:t>
            </w:r>
          </w:p>
          <w:p w14:paraId="51D58B8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（6）穿戴性能：水域救援防护手套穿戴时间≤10s，抓握性能≥100%；</w:t>
            </w:r>
          </w:p>
          <w:p w14:paraId="69987AFE">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（7）耐磨性能：在≥9kPA的压力下，经过≥5000次循环摩擦后，不能被磨穿。</w:t>
            </w:r>
          </w:p>
          <w:p w14:paraId="3D1468A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7、水域救援头盔：</w:t>
            </w:r>
          </w:p>
          <w:p w14:paraId="6C0B213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（1）主要由盔壳、缓冲垫、系带、帽衬调节、护耳部件等组成；</w:t>
            </w:r>
          </w:p>
          <w:p w14:paraId="6606402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（2）材质：外壳采用采用ABS树脂材质、内衬采用EVA泡沫缓冲垫层或更高性能材质制成；</w:t>
            </w:r>
          </w:p>
          <w:p w14:paraId="27707C0A">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（3）通风口≥6个、设计有排水槽；</w:t>
            </w:r>
          </w:p>
          <w:p w14:paraId="5025B287">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（4）下颚带护垫快速调节带，可快速调节至适合尺寸；后脑部分带有额外的快速调节荆轮和缓冲垫，头盔设有导轨，可加装头灯架，配件采用不锈钢柳钉，不易生锈；</w:t>
            </w:r>
          </w:p>
          <w:p w14:paraId="64862D49">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（5）冲击吸收性能：经高温、低温、浸水处理后进行吸收性能实验，头模所受到的最大冲击力：≤4900N，帽壳不应有碎片脱落，头盔正面喷涂19式消防徽；</w:t>
            </w:r>
          </w:p>
          <w:p w14:paraId="5AF0EF6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（6）漂浮性能：在 15～25 度水中浸泡 ≥24h，仍然可以漂浮在水面上；</w:t>
            </w:r>
          </w:p>
          <w:p w14:paraId="51B1F8ED">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（7）主色为红色。</w:t>
            </w:r>
          </w:p>
          <w:p w14:paraId="6DD2BF2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8、防水灯</w:t>
            </w:r>
          </w:p>
          <w:p w14:paraId="4D3A3ACB">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1、防水灯采用独立式电路防水设计，电池仓进水不影响使用；</w:t>
            </w:r>
          </w:p>
          <w:p w14:paraId="0B97317A">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2、能在水下1m处，连续照明时间≥30min，不会进水，性能不受其影响，防水等级≥IP68；</w:t>
            </w:r>
          </w:p>
          <w:p w14:paraId="1AF00652">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3、最高亮度≥300lm，高亮度模式续航≥20h，低亮度模式续航≥100h；</w:t>
            </w:r>
          </w:p>
          <w:p w14:paraId="515CDD29">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4、照射角度≥30°，具备强光、白光和黄光三种模式，带有频闪模式；</w:t>
            </w:r>
          </w:p>
          <w:p w14:paraId="58503341">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5、具有永久性标志及产品数据标识；</w:t>
            </w:r>
          </w:p>
          <w:p w14:paraId="5D3EADAB">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9、水域救援刀1把：</w:t>
            </w:r>
          </w:p>
          <w:p w14:paraId="2C78661E">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（1）符合GB/T230.1-2018《金属材料洛氏硬度试验 第1部分：试验方法》；</w:t>
            </w:r>
          </w:p>
          <w:p w14:paraId="5C8CC969">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（2）钛合金潜水救援刀是极轻、超强韧和高耐腐蚀的结合体；</w:t>
            </w:r>
          </w:p>
          <w:p w14:paraId="2C595827">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 xml:space="preserve">（3）整刀长≥18cm，刃长≥7cm，硬度：≥HRC51；刀鞘（刀鞘材料采用玻璃纤维加强型尼龙）。   </w:t>
            </w:r>
          </w:p>
          <w:p w14:paraId="5F56E2AA">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10、在救援服的显著位置有永久性的标志，其内容为：产品型号、用途、商标（或者生产厂名）、批号以及生产日期等；</w:t>
            </w:r>
          </w:p>
          <w:p w14:paraId="0911FB99">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11、每套救援服配有独立的保存运输包装袋；</w:t>
            </w:r>
          </w:p>
        </w:tc>
      </w:tr>
      <w:tr w14:paraId="5AD81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0EDC">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冰面救援服</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4E2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1、投标时或承诺验收时提供国家级检测机构出具的检测报告或具有CNAS/CMA资质认证的第三方检测机构出具的产品检测报告；</w:t>
            </w:r>
          </w:p>
          <w:p w14:paraId="23B2E8E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★2、整体设计成密封连体服装，手套、靴子和头罩都与服装为一整体，具有防水、防寒功能，可快速穿脱；</w:t>
            </w:r>
          </w:p>
          <w:p w14:paraId="1BC634C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3、手套为五指，里面有保暖内衬。靴底防滑，里面有厚靴垫。服装里有可拆式透气保暖内衬，做到防水保暖兼具，穿脱便捷；</w:t>
            </w:r>
          </w:p>
          <w:p w14:paraId="2AC33C7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4、技术参数：</w:t>
            </w:r>
          </w:p>
          <w:p w14:paraId="41FF031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▲（1）适合于-30-0℃温度作业，内部可配置多功能口袋和拉链口袋，口袋拉链防水压胶设计，方便携带救援工具适合于。内背带设计，可将救援服调节至感觉最舒适的位置。配有舒适可拆卸的头罩；</w:t>
            </w:r>
          </w:p>
          <w:p w14:paraId="070915C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▲（2）肩部有反光带，膝盖处加配2块护垫保护，厚度：2mm，厚实耐磨，具有更好的护膝作用。全身配有5处反光条和魔术贴，胸部配有全调式安全吊带，可与绳索连接，设置携带冰面 爬行辅助器口袋。大腿部有特殊调整带，腿部宽松设计方便穿脱；</w:t>
            </w:r>
          </w:p>
          <w:p w14:paraId="475EA02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（3）尺寸：均码 适合身高1.5-1.9m；</w:t>
            </w:r>
          </w:p>
          <w:p w14:paraId="01325B8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（4）前胸后背都印有夜光反光标识。整套衣服都为高频热压而成，无车缝拼接，且防水拉链为OEB纯铜水密拉链；</w:t>
            </w:r>
          </w:p>
          <w:p w14:paraId="4EC5317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（5）在150N拉伸强度下持续10S，未出现断裂；</w:t>
            </w:r>
          </w:p>
          <w:p w14:paraId="18A7F58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（6）耐水色牢度4，pH值5，耐干摩擦色牢度4；</w:t>
            </w:r>
          </w:p>
          <w:p w14:paraId="06B3A58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（7）穿着救生衣经受1h浸水后，体温下降≤0.6℃，且能捡起直径9mm的铅笔进行书写；</w:t>
            </w:r>
          </w:p>
          <w:p w14:paraId="479BD57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（8）穿着救援服在静水中1h后，救援服的进水量≤20g，靴底抗刺穿性能≥1300N。</w:t>
            </w:r>
          </w:p>
        </w:tc>
      </w:tr>
      <w:tr w14:paraId="3763C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5F731">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水面漂浮救生绳（200米）</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6780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符合GB/T8834-2016绳索有关物理和机械性能的测定,救生绳线密度测试按GB/T8834-2016规定的方法进行测量，救生绳包装箱体对应GB/T191规定提供相关标志,投标时提供或承诺验收时提供国家级检测机构的检测报告或具有CNAS/CMA资质认证的第三方检测机构出具的产品检测报告。</w:t>
            </w:r>
          </w:p>
          <w:p w14:paraId="337D720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2、水面漂浮绳索材料：高强聚乙烯+抗老化剂，水面漂浮绳具有自动发光、反光的功能；</w:t>
            </w:r>
          </w:p>
          <w:p w14:paraId="0F49BF0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▲3、直径≥9.5mm;长度≥200m，破断强力≥20kN，漂浮时间≥48h；</w:t>
            </w:r>
          </w:p>
          <w:p w14:paraId="3D35AAB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4、配防水绳包、手环、金属挂钩；</w:t>
            </w:r>
          </w:p>
          <w:p w14:paraId="07279E8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5、绳头设有检验标识、生产日期等信息。</w:t>
            </w:r>
          </w:p>
        </w:tc>
      </w:tr>
      <w:tr w14:paraId="53A53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62FE8">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充气救生筏</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854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★1、投标时或承诺验收时提供国家级检测机构出具的检测报告或具有CNAS/CMA资质认证的第三方检测机构出具的产品检测报告；</w:t>
            </w:r>
          </w:p>
          <w:p w14:paraId="6A9C264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2、由环形柱状气囊和充气底板两部分构成，主体采用PVC/Polyester合成材质，气囊两端翘起设计，充气底板和气囊之间带有镂空区域；</w:t>
            </w:r>
          </w:p>
          <w:p w14:paraId="7BA4092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▲3、气囊4气室设计，带有4个LEAF充气阀门和4个LEAF自动泄压阀门；</w:t>
            </w:r>
          </w:p>
          <w:p w14:paraId="70CE26E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★4、充气后整体尺寸≥505x128x75cm，气囊直径≥30cm，充气底板尺寸≥241x67x10cm，充气底板带有1个LEAF充气阀门，充气底板表面带有EVA凹凸表面防滑区域；</w:t>
            </w:r>
          </w:p>
          <w:p w14:paraId="7DDD49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5、单侧镂空处长度≥70cm，最宽处≥60cm，气囊内侧≥20个尼龙织带把手，气囊外侧≥4个橡胶把手；</w:t>
            </w:r>
          </w:p>
          <w:p w14:paraId="7B94D3E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6、救生筏两边船舷有≥16个金属环，救生筏两端各1个橡胶把手，救生筏两端各有1个金属环。</w:t>
            </w:r>
          </w:p>
        </w:tc>
      </w:tr>
      <w:tr w14:paraId="79A0F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1CDA3">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冰面救援滑板</w:t>
            </w:r>
          </w:p>
        </w:tc>
        <w:tc>
          <w:tcPr>
            <w:tcW w:w="1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F8F6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1、投标时或承诺验收时提供国家级检测机构出具的检测报告或具有CNAS/CMA资质认证的第三方检测机构出具的产品检测报告；</w:t>
            </w:r>
          </w:p>
          <w:p w14:paraId="3EFBDB8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★2、适用于冰面、水面、湿地工作平台；</w:t>
            </w:r>
          </w:p>
          <w:p w14:paraId="2486502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3、技术参数：</w:t>
            </w:r>
          </w:p>
          <w:p w14:paraId="2A8904F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（1）展开尺寸：长≥3m，宽≥1m；</w:t>
            </w:r>
          </w:p>
          <w:p w14:paraId="1FA3165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（2）折叠尺寸：长≤1m，宽≤0.5m；</w:t>
            </w:r>
          </w:p>
          <w:p w14:paraId="60ABBAF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（3）重量≤40kg；</w:t>
            </w:r>
          </w:p>
          <w:p w14:paraId="4BB176E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▲（4）非空心结构，正反板材之间带有支撑连接结构，防止充气后变形；</w:t>
            </w:r>
          </w:p>
          <w:p w14:paraId="753E3F5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▲（5）静态均衡承载浮力≥900kg；</w:t>
            </w:r>
          </w:p>
          <w:p w14:paraId="637A1EE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▲（6）带有充气气筒，也可以通过空气呼吸器充气，充气时间≤3min；</w:t>
            </w:r>
          </w:p>
          <w:p w14:paraId="4A7101A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（7）频闪灯，重量≤100g，频闪灯标准续航能力≥30h；</w:t>
            </w:r>
          </w:p>
          <w:p w14:paraId="3EFE2B9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4、具有永久性标志及产品数据标识。</w:t>
            </w:r>
          </w:p>
        </w:tc>
      </w:tr>
    </w:tbl>
    <w:p w14:paraId="5A5C6974">
      <w:pPr>
        <w:rPr>
          <w:rFonts w:hint="eastAsia" w:ascii="宋体" w:hAnsi="宋体" w:eastAsia="宋体" w:cs="宋体"/>
          <w:color w:val="auto"/>
          <w:highlight w:val="none"/>
          <w:lang w:val="en-US" w:eastAsia="zh-CN"/>
        </w:rPr>
      </w:pPr>
    </w:p>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方正小标宋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Corbel">
    <w:panose1 w:val="020B0503020204020204"/>
    <w:charset w:val="00"/>
    <w:family w:val="auto"/>
    <w:pitch w:val="default"/>
    <w:sig w:usb0="A00002EF" w:usb1="4000A44B" w:usb2="00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70473">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9F213">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4F0A8">
    <w:pPr>
      <w:tabs>
        <w:tab w:val="left" w:pos="3305"/>
      </w:tabs>
      <w:ind w:right="36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6F9B8">
                          <w:pPr>
                            <w:pStyle w:val="2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7F6F9B8">
                    <w:pPr>
                      <w:pStyle w:val="27"/>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16B0E">
    <w:pPr>
      <w:widowControl w:val="0"/>
      <w:tabs>
        <w:tab w:val="center" w:pos="4153"/>
        <w:tab w:val="right" w:pos="8306"/>
      </w:tabs>
      <w:snapToGrid w:val="0"/>
      <w:jc w:val="left"/>
      <w:rPr>
        <w:rFonts w:ascii="Times New Roman" w:hAnsi="Times New Roman" w:eastAsia="宋体" w:cs="Symbol"/>
        <w:color w:val="000000"/>
        <w:kern w:val="2"/>
        <w:sz w:val="18"/>
        <w:szCs w:val="18"/>
        <w:lang w:val="en-US" w:eastAsia="zh-CN" w:bidi="ar-SA"/>
      </w:rPr>
    </w:pPr>
    <w:r>
      <w:rPr>
        <w:rFonts w:ascii="Times New Roman" w:hAnsi="Times New Roman" w:eastAsia="宋体" w:cs="Symbol"/>
        <w:color w:val="000000"/>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B6EDB">
                          <w:pPr>
                            <w:widowControl w:val="0"/>
                            <w:tabs>
                              <w:tab w:val="center" w:pos="4153"/>
                              <w:tab w:val="right" w:pos="8306"/>
                            </w:tabs>
                            <w:snapToGrid w:val="0"/>
                            <w:jc w:val="left"/>
                            <w:rPr>
                              <w:rFonts w:ascii="Times New Roman" w:hAnsi="Times New Roman" w:eastAsia="宋体" w:cs="Symbol"/>
                              <w:color w:val="000000"/>
                              <w:kern w:val="2"/>
                              <w:sz w:val="18"/>
                              <w:szCs w:val="18"/>
                              <w:lang w:val="en-US" w:eastAsia="zh-CN" w:bidi="ar-SA"/>
                            </w:rPr>
                          </w:pPr>
                          <w:r>
                            <w:rPr>
                              <w:rFonts w:ascii="Times New Roman" w:hAnsi="Times New Roman" w:eastAsia="宋体" w:cs="Symbol"/>
                              <w:color w:val="000000"/>
                              <w:kern w:val="2"/>
                              <w:sz w:val="18"/>
                              <w:szCs w:val="18"/>
                              <w:lang w:val="en-US" w:eastAsia="zh-CN" w:bidi="ar-SA"/>
                            </w:rPr>
                            <w:fldChar w:fldCharType="begin"/>
                          </w:r>
                          <w:r>
                            <w:rPr>
                              <w:rFonts w:ascii="Times New Roman" w:hAnsi="Times New Roman" w:eastAsia="宋体" w:cs="Symbol"/>
                              <w:color w:val="000000"/>
                              <w:kern w:val="2"/>
                              <w:sz w:val="18"/>
                              <w:szCs w:val="18"/>
                              <w:lang w:val="en-US" w:eastAsia="zh-CN" w:bidi="ar-SA"/>
                            </w:rPr>
                            <w:instrText xml:space="preserve"> PAGE  \* MERGEFORMAT </w:instrText>
                          </w:r>
                          <w:r>
                            <w:rPr>
                              <w:rFonts w:ascii="Times New Roman" w:hAnsi="Times New Roman" w:eastAsia="宋体" w:cs="Symbol"/>
                              <w:color w:val="000000"/>
                              <w:kern w:val="2"/>
                              <w:sz w:val="18"/>
                              <w:szCs w:val="18"/>
                              <w:lang w:val="en-US" w:eastAsia="zh-CN" w:bidi="ar-SA"/>
                            </w:rPr>
                            <w:fldChar w:fldCharType="separate"/>
                          </w:r>
                          <w:r>
                            <w:rPr>
                              <w:rFonts w:ascii="Times New Roman" w:hAnsi="Times New Roman" w:eastAsia="宋体" w:cs="Symbol"/>
                              <w:color w:val="000000"/>
                              <w:kern w:val="2"/>
                              <w:sz w:val="18"/>
                              <w:szCs w:val="18"/>
                              <w:lang w:val="en-US" w:eastAsia="zh-CN" w:bidi="ar-SA"/>
                            </w:rPr>
                            <w:t>2</w:t>
                          </w:r>
                          <w:r>
                            <w:rPr>
                              <w:rFonts w:ascii="Times New Roman" w:hAnsi="Times New Roman" w:eastAsia="宋体" w:cs="Symbol"/>
                              <w:color w:val="000000"/>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37EB6EDB">
                    <w:pPr>
                      <w:widowControl w:val="0"/>
                      <w:tabs>
                        <w:tab w:val="center" w:pos="4153"/>
                        <w:tab w:val="right" w:pos="8306"/>
                      </w:tabs>
                      <w:snapToGrid w:val="0"/>
                      <w:jc w:val="left"/>
                      <w:rPr>
                        <w:rFonts w:ascii="Times New Roman" w:hAnsi="Times New Roman" w:eastAsia="宋体" w:cs="Symbol"/>
                        <w:color w:val="000000"/>
                        <w:kern w:val="2"/>
                        <w:sz w:val="18"/>
                        <w:szCs w:val="18"/>
                        <w:lang w:val="en-US" w:eastAsia="zh-CN" w:bidi="ar-SA"/>
                      </w:rPr>
                    </w:pPr>
                    <w:r>
                      <w:rPr>
                        <w:rFonts w:ascii="Times New Roman" w:hAnsi="Times New Roman" w:eastAsia="宋体" w:cs="Symbol"/>
                        <w:color w:val="000000"/>
                        <w:kern w:val="2"/>
                        <w:sz w:val="18"/>
                        <w:szCs w:val="18"/>
                        <w:lang w:val="en-US" w:eastAsia="zh-CN" w:bidi="ar-SA"/>
                      </w:rPr>
                      <w:fldChar w:fldCharType="begin"/>
                    </w:r>
                    <w:r>
                      <w:rPr>
                        <w:rFonts w:ascii="Times New Roman" w:hAnsi="Times New Roman" w:eastAsia="宋体" w:cs="Symbol"/>
                        <w:color w:val="000000"/>
                        <w:kern w:val="2"/>
                        <w:sz w:val="18"/>
                        <w:szCs w:val="18"/>
                        <w:lang w:val="en-US" w:eastAsia="zh-CN" w:bidi="ar-SA"/>
                      </w:rPr>
                      <w:instrText xml:space="preserve"> PAGE  \* MERGEFORMAT </w:instrText>
                    </w:r>
                    <w:r>
                      <w:rPr>
                        <w:rFonts w:ascii="Times New Roman" w:hAnsi="Times New Roman" w:eastAsia="宋体" w:cs="Symbol"/>
                        <w:color w:val="000000"/>
                        <w:kern w:val="2"/>
                        <w:sz w:val="18"/>
                        <w:szCs w:val="18"/>
                        <w:lang w:val="en-US" w:eastAsia="zh-CN" w:bidi="ar-SA"/>
                      </w:rPr>
                      <w:fldChar w:fldCharType="separate"/>
                    </w:r>
                    <w:r>
                      <w:rPr>
                        <w:rFonts w:ascii="Times New Roman" w:hAnsi="Times New Roman" w:eastAsia="宋体" w:cs="Symbol"/>
                        <w:color w:val="000000"/>
                        <w:kern w:val="2"/>
                        <w:sz w:val="18"/>
                        <w:szCs w:val="18"/>
                        <w:lang w:val="en-US" w:eastAsia="zh-CN" w:bidi="ar-SA"/>
                      </w:rPr>
                      <w:t>2</w:t>
                    </w:r>
                    <w:r>
                      <w:rPr>
                        <w:rFonts w:ascii="Times New Roman" w:hAnsi="Times New Roman" w:eastAsia="宋体" w:cs="Symbol"/>
                        <w:color w:val="000000"/>
                        <w:kern w:val="2"/>
                        <w:sz w:val="18"/>
                        <w:szCs w:val="18"/>
                        <w:lang w:val="en-US" w:eastAsia="zh-CN" w:bidi="ar-S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B5C31">
    <w:pPr>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AC68D4D">
                          <w:pPr>
                            <w:pStyle w:val="27"/>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1AC68D4D">
                    <w:pPr>
                      <w:pStyle w:val="27"/>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0204F">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24B3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6B508">
    <w:pPr>
      <w:widowControl w:val="0"/>
      <w:pBdr>
        <w:bottom w:val="none" w:color="auto" w:sz="0"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69AD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380DFF"/>
    <w:multiLevelType w:val="singleLevel"/>
    <w:tmpl w:val="BE380DFF"/>
    <w:lvl w:ilvl="0" w:tentative="0">
      <w:start w:val="1"/>
      <w:numFmt w:val="decimal"/>
      <w:suff w:val="nothing"/>
      <w:lvlText w:val="（%1）"/>
      <w:lvlJc w:val="left"/>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5">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3A15682F"/>
    <w:multiLevelType w:val="singleLevel"/>
    <w:tmpl w:val="3A15682F"/>
    <w:lvl w:ilvl="0" w:tentative="0">
      <w:start w:val="0"/>
      <w:numFmt w:val="none"/>
      <w:lvlText w:val=""/>
      <w:lvlJc w:val="left"/>
      <w:pPr>
        <w:tabs>
          <w:tab w:val="left" w:pos="360"/>
        </w:tabs>
      </w:p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2"/>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0">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1">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num w:numId="1">
    <w:abstractNumId w:val="11"/>
  </w:num>
  <w:num w:numId="2">
    <w:abstractNumId w:val="9"/>
  </w:num>
  <w:num w:numId="3">
    <w:abstractNumId w:val="7"/>
  </w:num>
  <w:num w:numId="4">
    <w:abstractNumId w:val="8"/>
  </w:num>
  <w:num w:numId="5">
    <w:abstractNumId w:val="4"/>
  </w:num>
  <w:num w:numId="6">
    <w:abstractNumId w:val="10"/>
  </w:num>
  <w:num w:numId="7">
    <w:abstractNumId w:val="0"/>
  </w:num>
  <w:num w:numId="8">
    <w:abstractNumId w:val="3"/>
  </w:num>
  <w:num w:numId="9">
    <w:abstractNumId w:val="2"/>
  </w:num>
  <w:num w:numId="10">
    <w:abstractNumId w:val="1"/>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NhNDRkNGE0NWE2YjQ1YmZlYzk0M2Q1MDAyOWVmZWU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550"/>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76C63"/>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6A2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46CEE"/>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51B4"/>
    <w:rsid w:val="007A74E5"/>
    <w:rsid w:val="007A7A18"/>
    <w:rsid w:val="007B14B1"/>
    <w:rsid w:val="007B16DD"/>
    <w:rsid w:val="007B20C4"/>
    <w:rsid w:val="007B2ECE"/>
    <w:rsid w:val="007B6BE6"/>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9C7"/>
    <w:rsid w:val="008547DC"/>
    <w:rsid w:val="00854A2D"/>
    <w:rsid w:val="00854A8D"/>
    <w:rsid w:val="008551BA"/>
    <w:rsid w:val="008568AC"/>
    <w:rsid w:val="008576EF"/>
    <w:rsid w:val="00860E5C"/>
    <w:rsid w:val="00861F00"/>
    <w:rsid w:val="0086232B"/>
    <w:rsid w:val="00863D85"/>
    <w:rsid w:val="00864C9C"/>
    <w:rsid w:val="008659D6"/>
    <w:rsid w:val="00866672"/>
    <w:rsid w:val="0086712E"/>
    <w:rsid w:val="00870AAD"/>
    <w:rsid w:val="008715E0"/>
    <w:rsid w:val="00874BAB"/>
    <w:rsid w:val="00875931"/>
    <w:rsid w:val="00875A8A"/>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4C1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64B9"/>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44F"/>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2607"/>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C7C1D"/>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53C"/>
    <w:rsid w:val="00FE7430"/>
    <w:rsid w:val="00FF03A7"/>
    <w:rsid w:val="00FF0EE1"/>
    <w:rsid w:val="00FF1B23"/>
    <w:rsid w:val="00FF29B8"/>
    <w:rsid w:val="00FF2FAE"/>
    <w:rsid w:val="00FF38FA"/>
    <w:rsid w:val="00FF5B2A"/>
    <w:rsid w:val="00FF6DB0"/>
    <w:rsid w:val="00FF74FF"/>
    <w:rsid w:val="00FF76BA"/>
    <w:rsid w:val="01087389"/>
    <w:rsid w:val="010C4123"/>
    <w:rsid w:val="0112363F"/>
    <w:rsid w:val="01142947"/>
    <w:rsid w:val="01200505"/>
    <w:rsid w:val="0122216F"/>
    <w:rsid w:val="01325A8F"/>
    <w:rsid w:val="013516BE"/>
    <w:rsid w:val="01374E54"/>
    <w:rsid w:val="014A0D22"/>
    <w:rsid w:val="01747137"/>
    <w:rsid w:val="017E3632"/>
    <w:rsid w:val="0192652E"/>
    <w:rsid w:val="01967639"/>
    <w:rsid w:val="01A919FB"/>
    <w:rsid w:val="01BB5FED"/>
    <w:rsid w:val="01FB1BFF"/>
    <w:rsid w:val="0205056A"/>
    <w:rsid w:val="02190BBE"/>
    <w:rsid w:val="021B6D21"/>
    <w:rsid w:val="02322F28"/>
    <w:rsid w:val="023B08EE"/>
    <w:rsid w:val="023F388C"/>
    <w:rsid w:val="02421CC3"/>
    <w:rsid w:val="02561DE2"/>
    <w:rsid w:val="02583B9E"/>
    <w:rsid w:val="02695A35"/>
    <w:rsid w:val="02725E2D"/>
    <w:rsid w:val="02775E4F"/>
    <w:rsid w:val="027D11A2"/>
    <w:rsid w:val="028227B2"/>
    <w:rsid w:val="0286314D"/>
    <w:rsid w:val="02914561"/>
    <w:rsid w:val="02935814"/>
    <w:rsid w:val="0295050C"/>
    <w:rsid w:val="029E5B2D"/>
    <w:rsid w:val="02A0096B"/>
    <w:rsid w:val="02AE013F"/>
    <w:rsid w:val="02B64DFD"/>
    <w:rsid w:val="02C1579F"/>
    <w:rsid w:val="02C32118"/>
    <w:rsid w:val="02CA6108"/>
    <w:rsid w:val="02D60F91"/>
    <w:rsid w:val="02D76984"/>
    <w:rsid w:val="02E1474E"/>
    <w:rsid w:val="02E40D97"/>
    <w:rsid w:val="02E85072"/>
    <w:rsid w:val="02E921E3"/>
    <w:rsid w:val="02F333A9"/>
    <w:rsid w:val="02FB21AB"/>
    <w:rsid w:val="030247BA"/>
    <w:rsid w:val="030544FF"/>
    <w:rsid w:val="030D1793"/>
    <w:rsid w:val="030E29BA"/>
    <w:rsid w:val="031831F2"/>
    <w:rsid w:val="03357038"/>
    <w:rsid w:val="033A0C2B"/>
    <w:rsid w:val="0344566F"/>
    <w:rsid w:val="03513633"/>
    <w:rsid w:val="03654039"/>
    <w:rsid w:val="03663018"/>
    <w:rsid w:val="036D74E1"/>
    <w:rsid w:val="03704A13"/>
    <w:rsid w:val="037D1336"/>
    <w:rsid w:val="03806F86"/>
    <w:rsid w:val="038A1BB2"/>
    <w:rsid w:val="038B45C5"/>
    <w:rsid w:val="038E120F"/>
    <w:rsid w:val="0394298E"/>
    <w:rsid w:val="03991DF6"/>
    <w:rsid w:val="039E1095"/>
    <w:rsid w:val="03A30167"/>
    <w:rsid w:val="03A54CF2"/>
    <w:rsid w:val="03AA04B8"/>
    <w:rsid w:val="03AF714B"/>
    <w:rsid w:val="03B24C65"/>
    <w:rsid w:val="03B57082"/>
    <w:rsid w:val="03BE7AAE"/>
    <w:rsid w:val="03C2134C"/>
    <w:rsid w:val="03C345D9"/>
    <w:rsid w:val="03CD305E"/>
    <w:rsid w:val="03D55B09"/>
    <w:rsid w:val="03E80CD8"/>
    <w:rsid w:val="03EE48EF"/>
    <w:rsid w:val="03F11BF1"/>
    <w:rsid w:val="03F24DC9"/>
    <w:rsid w:val="03F34100"/>
    <w:rsid w:val="04161F26"/>
    <w:rsid w:val="04170DF7"/>
    <w:rsid w:val="04320854"/>
    <w:rsid w:val="043D5D21"/>
    <w:rsid w:val="04413768"/>
    <w:rsid w:val="04483D61"/>
    <w:rsid w:val="045020EC"/>
    <w:rsid w:val="045301F6"/>
    <w:rsid w:val="04577A1A"/>
    <w:rsid w:val="046A30BA"/>
    <w:rsid w:val="046A53CB"/>
    <w:rsid w:val="046E16F6"/>
    <w:rsid w:val="047821E2"/>
    <w:rsid w:val="04947470"/>
    <w:rsid w:val="04B74C29"/>
    <w:rsid w:val="04B81F6C"/>
    <w:rsid w:val="04C40E62"/>
    <w:rsid w:val="04CD61FB"/>
    <w:rsid w:val="04D66201"/>
    <w:rsid w:val="04DB2929"/>
    <w:rsid w:val="04DD3F64"/>
    <w:rsid w:val="04DF6DC5"/>
    <w:rsid w:val="04E94C35"/>
    <w:rsid w:val="04EC00DF"/>
    <w:rsid w:val="04FC3F5D"/>
    <w:rsid w:val="04FF5314"/>
    <w:rsid w:val="05010644"/>
    <w:rsid w:val="051313AC"/>
    <w:rsid w:val="05144C7F"/>
    <w:rsid w:val="052924F1"/>
    <w:rsid w:val="053013D0"/>
    <w:rsid w:val="05401924"/>
    <w:rsid w:val="0544423B"/>
    <w:rsid w:val="05510C33"/>
    <w:rsid w:val="056612F2"/>
    <w:rsid w:val="056C5A14"/>
    <w:rsid w:val="057B42FE"/>
    <w:rsid w:val="058645FB"/>
    <w:rsid w:val="05B37535"/>
    <w:rsid w:val="05C87C95"/>
    <w:rsid w:val="05D11D1B"/>
    <w:rsid w:val="05DC08CF"/>
    <w:rsid w:val="05E31168"/>
    <w:rsid w:val="05E337FC"/>
    <w:rsid w:val="05E40F06"/>
    <w:rsid w:val="05FB6170"/>
    <w:rsid w:val="06021ED4"/>
    <w:rsid w:val="060646BB"/>
    <w:rsid w:val="06096F34"/>
    <w:rsid w:val="061C53B3"/>
    <w:rsid w:val="064017F2"/>
    <w:rsid w:val="064560CE"/>
    <w:rsid w:val="064737C1"/>
    <w:rsid w:val="06482973"/>
    <w:rsid w:val="06546BB6"/>
    <w:rsid w:val="065B3392"/>
    <w:rsid w:val="06626E56"/>
    <w:rsid w:val="06636C72"/>
    <w:rsid w:val="0671705A"/>
    <w:rsid w:val="0672304F"/>
    <w:rsid w:val="06835943"/>
    <w:rsid w:val="06843843"/>
    <w:rsid w:val="0686299B"/>
    <w:rsid w:val="068A2316"/>
    <w:rsid w:val="068C384C"/>
    <w:rsid w:val="068D21A7"/>
    <w:rsid w:val="069B4513"/>
    <w:rsid w:val="069F2BB4"/>
    <w:rsid w:val="06A17F3E"/>
    <w:rsid w:val="06A20FC1"/>
    <w:rsid w:val="06A42F8B"/>
    <w:rsid w:val="06A833F4"/>
    <w:rsid w:val="06B34496"/>
    <w:rsid w:val="06B66577"/>
    <w:rsid w:val="06B95AC7"/>
    <w:rsid w:val="06C158EB"/>
    <w:rsid w:val="06C74C9F"/>
    <w:rsid w:val="06CC3929"/>
    <w:rsid w:val="06CC7CBA"/>
    <w:rsid w:val="06CF60DB"/>
    <w:rsid w:val="06E23AB3"/>
    <w:rsid w:val="06E82CFE"/>
    <w:rsid w:val="06F15AA5"/>
    <w:rsid w:val="06F313BF"/>
    <w:rsid w:val="06F51A39"/>
    <w:rsid w:val="07175BFC"/>
    <w:rsid w:val="071C0C28"/>
    <w:rsid w:val="072A23D5"/>
    <w:rsid w:val="07380F03"/>
    <w:rsid w:val="073B74A1"/>
    <w:rsid w:val="074B379C"/>
    <w:rsid w:val="07561504"/>
    <w:rsid w:val="07565F25"/>
    <w:rsid w:val="075864F0"/>
    <w:rsid w:val="076C4500"/>
    <w:rsid w:val="07751C03"/>
    <w:rsid w:val="07762B7A"/>
    <w:rsid w:val="0777098F"/>
    <w:rsid w:val="077940B7"/>
    <w:rsid w:val="078401DB"/>
    <w:rsid w:val="07841BEF"/>
    <w:rsid w:val="0786398B"/>
    <w:rsid w:val="078813F7"/>
    <w:rsid w:val="078932FF"/>
    <w:rsid w:val="079C1EB4"/>
    <w:rsid w:val="07AA0244"/>
    <w:rsid w:val="07AB0349"/>
    <w:rsid w:val="07B224B6"/>
    <w:rsid w:val="07B5030F"/>
    <w:rsid w:val="07B75BB0"/>
    <w:rsid w:val="07BF3D6F"/>
    <w:rsid w:val="07C225C7"/>
    <w:rsid w:val="07D12B5A"/>
    <w:rsid w:val="07D45005"/>
    <w:rsid w:val="07DD49A7"/>
    <w:rsid w:val="07DD5D59"/>
    <w:rsid w:val="07E037EB"/>
    <w:rsid w:val="07E71830"/>
    <w:rsid w:val="07F53F9D"/>
    <w:rsid w:val="07F615C4"/>
    <w:rsid w:val="07F712E9"/>
    <w:rsid w:val="07F93618"/>
    <w:rsid w:val="07FA0547"/>
    <w:rsid w:val="080571A2"/>
    <w:rsid w:val="080A2255"/>
    <w:rsid w:val="080D777F"/>
    <w:rsid w:val="081239B4"/>
    <w:rsid w:val="0814117C"/>
    <w:rsid w:val="0828314D"/>
    <w:rsid w:val="084E0BD6"/>
    <w:rsid w:val="08503979"/>
    <w:rsid w:val="085A158C"/>
    <w:rsid w:val="085D7497"/>
    <w:rsid w:val="086428B3"/>
    <w:rsid w:val="08656BD0"/>
    <w:rsid w:val="087071EE"/>
    <w:rsid w:val="087760D1"/>
    <w:rsid w:val="087B0710"/>
    <w:rsid w:val="087B66AE"/>
    <w:rsid w:val="08854A3B"/>
    <w:rsid w:val="089D7D7B"/>
    <w:rsid w:val="08B35707"/>
    <w:rsid w:val="08DD6B03"/>
    <w:rsid w:val="08E43B0F"/>
    <w:rsid w:val="08FF7DDD"/>
    <w:rsid w:val="090166A2"/>
    <w:rsid w:val="09022534"/>
    <w:rsid w:val="090D5D07"/>
    <w:rsid w:val="0922667C"/>
    <w:rsid w:val="09275236"/>
    <w:rsid w:val="092B119A"/>
    <w:rsid w:val="093506E3"/>
    <w:rsid w:val="0940385B"/>
    <w:rsid w:val="0941465B"/>
    <w:rsid w:val="094F6709"/>
    <w:rsid w:val="0952183D"/>
    <w:rsid w:val="09637930"/>
    <w:rsid w:val="09664528"/>
    <w:rsid w:val="096C5C58"/>
    <w:rsid w:val="096D038B"/>
    <w:rsid w:val="097848B8"/>
    <w:rsid w:val="0983683C"/>
    <w:rsid w:val="098470A4"/>
    <w:rsid w:val="09853824"/>
    <w:rsid w:val="09985395"/>
    <w:rsid w:val="099F7FEA"/>
    <w:rsid w:val="09A82D92"/>
    <w:rsid w:val="09B34198"/>
    <w:rsid w:val="09B65D38"/>
    <w:rsid w:val="09CB3C0A"/>
    <w:rsid w:val="09D24C53"/>
    <w:rsid w:val="09EF672A"/>
    <w:rsid w:val="09FA3203"/>
    <w:rsid w:val="09FC3DD6"/>
    <w:rsid w:val="09FC59BE"/>
    <w:rsid w:val="09FF7BFE"/>
    <w:rsid w:val="0A1B7A08"/>
    <w:rsid w:val="0A2F5262"/>
    <w:rsid w:val="0A336C6B"/>
    <w:rsid w:val="0A3C4682"/>
    <w:rsid w:val="0A3D1A29"/>
    <w:rsid w:val="0A3F5CD9"/>
    <w:rsid w:val="0A5A637B"/>
    <w:rsid w:val="0A663B0A"/>
    <w:rsid w:val="0A6E4652"/>
    <w:rsid w:val="0A7C228C"/>
    <w:rsid w:val="0A823DA7"/>
    <w:rsid w:val="0A867835"/>
    <w:rsid w:val="0AA536BF"/>
    <w:rsid w:val="0AA82F3B"/>
    <w:rsid w:val="0AB47515"/>
    <w:rsid w:val="0AB75001"/>
    <w:rsid w:val="0ACB0F48"/>
    <w:rsid w:val="0AD754CD"/>
    <w:rsid w:val="0AE83ED5"/>
    <w:rsid w:val="0AFA761E"/>
    <w:rsid w:val="0B04224A"/>
    <w:rsid w:val="0B0634FA"/>
    <w:rsid w:val="0B087721"/>
    <w:rsid w:val="0B0B1729"/>
    <w:rsid w:val="0B0C5CC4"/>
    <w:rsid w:val="0B143B8D"/>
    <w:rsid w:val="0B1612A2"/>
    <w:rsid w:val="0B212588"/>
    <w:rsid w:val="0B217B56"/>
    <w:rsid w:val="0B2C6CAB"/>
    <w:rsid w:val="0B3F2C19"/>
    <w:rsid w:val="0B470389"/>
    <w:rsid w:val="0B5012DA"/>
    <w:rsid w:val="0B523A95"/>
    <w:rsid w:val="0B5624AD"/>
    <w:rsid w:val="0B6218A0"/>
    <w:rsid w:val="0B681ED1"/>
    <w:rsid w:val="0B6B22C9"/>
    <w:rsid w:val="0B70168E"/>
    <w:rsid w:val="0B72147D"/>
    <w:rsid w:val="0B771E56"/>
    <w:rsid w:val="0B7725F4"/>
    <w:rsid w:val="0B8B2703"/>
    <w:rsid w:val="0B8D3F60"/>
    <w:rsid w:val="0B951D43"/>
    <w:rsid w:val="0B9A1F23"/>
    <w:rsid w:val="0B9B6EF1"/>
    <w:rsid w:val="0B9C1C9D"/>
    <w:rsid w:val="0BA706AC"/>
    <w:rsid w:val="0BB02E2A"/>
    <w:rsid w:val="0BB8526F"/>
    <w:rsid w:val="0BC71C64"/>
    <w:rsid w:val="0BC8644B"/>
    <w:rsid w:val="0BDB78F8"/>
    <w:rsid w:val="0BDC31C7"/>
    <w:rsid w:val="0BF72442"/>
    <w:rsid w:val="0BFC49CA"/>
    <w:rsid w:val="0BFF7F8F"/>
    <w:rsid w:val="0C196FEE"/>
    <w:rsid w:val="0C1A74BA"/>
    <w:rsid w:val="0C2658DC"/>
    <w:rsid w:val="0C2B5D0D"/>
    <w:rsid w:val="0C3410D8"/>
    <w:rsid w:val="0C410A25"/>
    <w:rsid w:val="0C4329D6"/>
    <w:rsid w:val="0C477D93"/>
    <w:rsid w:val="0C55652A"/>
    <w:rsid w:val="0C5D5223"/>
    <w:rsid w:val="0C5E1BFD"/>
    <w:rsid w:val="0C631F97"/>
    <w:rsid w:val="0C7042B9"/>
    <w:rsid w:val="0C7512C7"/>
    <w:rsid w:val="0C777867"/>
    <w:rsid w:val="0C793191"/>
    <w:rsid w:val="0C7B02EA"/>
    <w:rsid w:val="0C937576"/>
    <w:rsid w:val="0C9647F8"/>
    <w:rsid w:val="0C992063"/>
    <w:rsid w:val="0C9F6118"/>
    <w:rsid w:val="0CA14B3C"/>
    <w:rsid w:val="0CA77312"/>
    <w:rsid w:val="0CB45923"/>
    <w:rsid w:val="0CC441C8"/>
    <w:rsid w:val="0CC53C5B"/>
    <w:rsid w:val="0CCC04F1"/>
    <w:rsid w:val="0CCD169F"/>
    <w:rsid w:val="0CCD5722"/>
    <w:rsid w:val="0CDC0754"/>
    <w:rsid w:val="0CDE1E48"/>
    <w:rsid w:val="0CE831C7"/>
    <w:rsid w:val="0CF85DDF"/>
    <w:rsid w:val="0D0208D3"/>
    <w:rsid w:val="0D033888"/>
    <w:rsid w:val="0D091841"/>
    <w:rsid w:val="0D1A0B50"/>
    <w:rsid w:val="0D20300D"/>
    <w:rsid w:val="0D2C070A"/>
    <w:rsid w:val="0D2C767A"/>
    <w:rsid w:val="0D3247FD"/>
    <w:rsid w:val="0D354660"/>
    <w:rsid w:val="0D4F346B"/>
    <w:rsid w:val="0D694F5F"/>
    <w:rsid w:val="0D6A79DB"/>
    <w:rsid w:val="0D8D73B9"/>
    <w:rsid w:val="0D914636"/>
    <w:rsid w:val="0D957AD2"/>
    <w:rsid w:val="0D9678A1"/>
    <w:rsid w:val="0DA6181C"/>
    <w:rsid w:val="0DAE75C1"/>
    <w:rsid w:val="0DAF2A5B"/>
    <w:rsid w:val="0DB00D5C"/>
    <w:rsid w:val="0DB8226D"/>
    <w:rsid w:val="0DB902A0"/>
    <w:rsid w:val="0DC85F26"/>
    <w:rsid w:val="0DCA7EF8"/>
    <w:rsid w:val="0DCC706A"/>
    <w:rsid w:val="0DD028B8"/>
    <w:rsid w:val="0DD2548D"/>
    <w:rsid w:val="0DDF0D4D"/>
    <w:rsid w:val="0DDF7BF6"/>
    <w:rsid w:val="0DE133C7"/>
    <w:rsid w:val="0DE657DA"/>
    <w:rsid w:val="0DF03072"/>
    <w:rsid w:val="0DF575E7"/>
    <w:rsid w:val="0E0B0E89"/>
    <w:rsid w:val="0E191823"/>
    <w:rsid w:val="0E227B23"/>
    <w:rsid w:val="0E2E708F"/>
    <w:rsid w:val="0E3A292E"/>
    <w:rsid w:val="0E502AAA"/>
    <w:rsid w:val="0E5A03D3"/>
    <w:rsid w:val="0E5D364A"/>
    <w:rsid w:val="0E95015F"/>
    <w:rsid w:val="0EA86FBB"/>
    <w:rsid w:val="0EB164FC"/>
    <w:rsid w:val="0EC842D6"/>
    <w:rsid w:val="0ED8416C"/>
    <w:rsid w:val="0EE43BCF"/>
    <w:rsid w:val="0EEA02B1"/>
    <w:rsid w:val="0EED0C82"/>
    <w:rsid w:val="0EEE428F"/>
    <w:rsid w:val="0EF42513"/>
    <w:rsid w:val="0EF94317"/>
    <w:rsid w:val="0EFC6C34"/>
    <w:rsid w:val="0F020558"/>
    <w:rsid w:val="0F052A35"/>
    <w:rsid w:val="0F18383B"/>
    <w:rsid w:val="0F196507"/>
    <w:rsid w:val="0F1B39EB"/>
    <w:rsid w:val="0F204B19"/>
    <w:rsid w:val="0F2D739E"/>
    <w:rsid w:val="0F2D7847"/>
    <w:rsid w:val="0F343334"/>
    <w:rsid w:val="0F34514F"/>
    <w:rsid w:val="0F375BC5"/>
    <w:rsid w:val="0F3B242E"/>
    <w:rsid w:val="0F3B3452"/>
    <w:rsid w:val="0F4E2DD2"/>
    <w:rsid w:val="0F5D26D7"/>
    <w:rsid w:val="0F661A9F"/>
    <w:rsid w:val="0F8344AB"/>
    <w:rsid w:val="0F8632D3"/>
    <w:rsid w:val="0F8B118C"/>
    <w:rsid w:val="0F8F1D65"/>
    <w:rsid w:val="0F915FE1"/>
    <w:rsid w:val="0F9C07C7"/>
    <w:rsid w:val="0FA3477A"/>
    <w:rsid w:val="0FD757AD"/>
    <w:rsid w:val="0FE07CC3"/>
    <w:rsid w:val="0FEB5787"/>
    <w:rsid w:val="0FF44CA3"/>
    <w:rsid w:val="100173F2"/>
    <w:rsid w:val="1005338D"/>
    <w:rsid w:val="10090303"/>
    <w:rsid w:val="100C4023"/>
    <w:rsid w:val="100E76C7"/>
    <w:rsid w:val="101156F6"/>
    <w:rsid w:val="10120F66"/>
    <w:rsid w:val="10132D37"/>
    <w:rsid w:val="10140AB7"/>
    <w:rsid w:val="10142F30"/>
    <w:rsid w:val="102121B6"/>
    <w:rsid w:val="102E22AB"/>
    <w:rsid w:val="103A2F9B"/>
    <w:rsid w:val="103C085C"/>
    <w:rsid w:val="10532861"/>
    <w:rsid w:val="105E23FD"/>
    <w:rsid w:val="10606175"/>
    <w:rsid w:val="10607C17"/>
    <w:rsid w:val="106D3EDC"/>
    <w:rsid w:val="108035FE"/>
    <w:rsid w:val="109B3F51"/>
    <w:rsid w:val="10AA3894"/>
    <w:rsid w:val="10AC4127"/>
    <w:rsid w:val="10BE21EF"/>
    <w:rsid w:val="10E45CE2"/>
    <w:rsid w:val="110C7F5E"/>
    <w:rsid w:val="110F7B9B"/>
    <w:rsid w:val="111431D1"/>
    <w:rsid w:val="112C3B78"/>
    <w:rsid w:val="113811B9"/>
    <w:rsid w:val="113F131D"/>
    <w:rsid w:val="11402938"/>
    <w:rsid w:val="114751E1"/>
    <w:rsid w:val="11512B20"/>
    <w:rsid w:val="115305C3"/>
    <w:rsid w:val="11563AAD"/>
    <w:rsid w:val="11610A29"/>
    <w:rsid w:val="11671A45"/>
    <w:rsid w:val="11682FBD"/>
    <w:rsid w:val="117046DB"/>
    <w:rsid w:val="118440E5"/>
    <w:rsid w:val="11924301"/>
    <w:rsid w:val="11992D75"/>
    <w:rsid w:val="11A93A6B"/>
    <w:rsid w:val="11A97B89"/>
    <w:rsid w:val="11B54ED8"/>
    <w:rsid w:val="11BD1C00"/>
    <w:rsid w:val="11BF511D"/>
    <w:rsid w:val="11C664AC"/>
    <w:rsid w:val="11C9491E"/>
    <w:rsid w:val="11CD12FD"/>
    <w:rsid w:val="11CE5425"/>
    <w:rsid w:val="11DF6EC3"/>
    <w:rsid w:val="11ED1B8B"/>
    <w:rsid w:val="11F40BF5"/>
    <w:rsid w:val="11FA5A8C"/>
    <w:rsid w:val="11FC73C1"/>
    <w:rsid w:val="121823DF"/>
    <w:rsid w:val="121B3B70"/>
    <w:rsid w:val="121C4D18"/>
    <w:rsid w:val="122136E2"/>
    <w:rsid w:val="122300F0"/>
    <w:rsid w:val="123553DF"/>
    <w:rsid w:val="12377FD1"/>
    <w:rsid w:val="12495C37"/>
    <w:rsid w:val="124F3FCF"/>
    <w:rsid w:val="12515BAB"/>
    <w:rsid w:val="125F3B3E"/>
    <w:rsid w:val="12601EFA"/>
    <w:rsid w:val="126401D3"/>
    <w:rsid w:val="12662A16"/>
    <w:rsid w:val="12734291"/>
    <w:rsid w:val="127614B6"/>
    <w:rsid w:val="127F42ED"/>
    <w:rsid w:val="128028CE"/>
    <w:rsid w:val="12917963"/>
    <w:rsid w:val="129206AA"/>
    <w:rsid w:val="12932067"/>
    <w:rsid w:val="12970D18"/>
    <w:rsid w:val="12993E25"/>
    <w:rsid w:val="12A7080A"/>
    <w:rsid w:val="12A70C59"/>
    <w:rsid w:val="12B3472F"/>
    <w:rsid w:val="12BD6C7F"/>
    <w:rsid w:val="12D13428"/>
    <w:rsid w:val="12D1659E"/>
    <w:rsid w:val="12D746E8"/>
    <w:rsid w:val="12DD495A"/>
    <w:rsid w:val="12DF77AA"/>
    <w:rsid w:val="12E02E18"/>
    <w:rsid w:val="12E35613"/>
    <w:rsid w:val="13013A04"/>
    <w:rsid w:val="130A326B"/>
    <w:rsid w:val="13142C82"/>
    <w:rsid w:val="1320256D"/>
    <w:rsid w:val="132A4818"/>
    <w:rsid w:val="132E3653"/>
    <w:rsid w:val="132F4AB0"/>
    <w:rsid w:val="133B323C"/>
    <w:rsid w:val="133E409F"/>
    <w:rsid w:val="134279E1"/>
    <w:rsid w:val="13524BCD"/>
    <w:rsid w:val="13541569"/>
    <w:rsid w:val="135610DD"/>
    <w:rsid w:val="135B7BC8"/>
    <w:rsid w:val="135D4BEE"/>
    <w:rsid w:val="13600450"/>
    <w:rsid w:val="136649CE"/>
    <w:rsid w:val="136C4A0E"/>
    <w:rsid w:val="137D5290"/>
    <w:rsid w:val="137E5CEB"/>
    <w:rsid w:val="137F7DA4"/>
    <w:rsid w:val="13866697"/>
    <w:rsid w:val="1392083D"/>
    <w:rsid w:val="139E0BBF"/>
    <w:rsid w:val="13A22600"/>
    <w:rsid w:val="13AA53FC"/>
    <w:rsid w:val="13AE5829"/>
    <w:rsid w:val="13C76879"/>
    <w:rsid w:val="13C90091"/>
    <w:rsid w:val="13D562D3"/>
    <w:rsid w:val="13EE3A98"/>
    <w:rsid w:val="13F31769"/>
    <w:rsid w:val="13FF65A9"/>
    <w:rsid w:val="141C1984"/>
    <w:rsid w:val="14397409"/>
    <w:rsid w:val="1440200A"/>
    <w:rsid w:val="14462972"/>
    <w:rsid w:val="1450411B"/>
    <w:rsid w:val="145C7AB8"/>
    <w:rsid w:val="14724B98"/>
    <w:rsid w:val="14751C07"/>
    <w:rsid w:val="14771CDF"/>
    <w:rsid w:val="147B7D72"/>
    <w:rsid w:val="147C72F5"/>
    <w:rsid w:val="14851EA0"/>
    <w:rsid w:val="148E6C36"/>
    <w:rsid w:val="14A2036B"/>
    <w:rsid w:val="14A6471E"/>
    <w:rsid w:val="14A81CBB"/>
    <w:rsid w:val="14AE1156"/>
    <w:rsid w:val="14C2372B"/>
    <w:rsid w:val="14CB13CC"/>
    <w:rsid w:val="14DC1B42"/>
    <w:rsid w:val="14DC5587"/>
    <w:rsid w:val="14DD1797"/>
    <w:rsid w:val="14DE3B0C"/>
    <w:rsid w:val="14EC1251"/>
    <w:rsid w:val="14F678B5"/>
    <w:rsid w:val="1500607F"/>
    <w:rsid w:val="150115A9"/>
    <w:rsid w:val="150263BE"/>
    <w:rsid w:val="15036EB4"/>
    <w:rsid w:val="15282A43"/>
    <w:rsid w:val="15393AAF"/>
    <w:rsid w:val="153F63FD"/>
    <w:rsid w:val="15417FCB"/>
    <w:rsid w:val="15577CE9"/>
    <w:rsid w:val="157F3DAD"/>
    <w:rsid w:val="15810381"/>
    <w:rsid w:val="15863900"/>
    <w:rsid w:val="158F1B42"/>
    <w:rsid w:val="158F7650"/>
    <w:rsid w:val="15C5777A"/>
    <w:rsid w:val="15CF75C2"/>
    <w:rsid w:val="15DB4E8B"/>
    <w:rsid w:val="15DB629E"/>
    <w:rsid w:val="15E909BB"/>
    <w:rsid w:val="15EB24F8"/>
    <w:rsid w:val="16005B4D"/>
    <w:rsid w:val="16023749"/>
    <w:rsid w:val="16117F11"/>
    <w:rsid w:val="16122D70"/>
    <w:rsid w:val="16236FDB"/>
    <w:rsid w:val="163500E7"/>
    <w:rsid w:val="16390BF0"/>
    <w:rsid w:val="16394F6A"/>
    <w:rsid w:val="163A5649"/>
    <w:rsid w:val="16511CDE"/>
    <w:rsid w:val="16596187"/>
    <w:rsid w:val="165C63EB"/>
    <w:rsid w:val="166169AF"/>
    <w:rsid w:val="166C4748"/>
    <w:rsid w:val="166D15EC"/>
    <w:rsid w:val="166D5CF9"/>
    <w:rsid w:val="1679677C"/>
    <w:rsid w:val="167F30CD"/>
    <w:rsid w:val="16806F5F"/>
    <w:rsid w:val="16891110"/>
    <w:rsid w:val="16B200D8"/>
    <w:rsid w:val="16B53E81"/>
    <w:rsid w:val="16C91A60"/>
    <w:rsid w:val="16D30DE4"/>
    <w:rsid w:val="16D53A3A"/>
    <w:rsid w:val="16E16162"/>
    <w:rsid w:val="16EC69F2"/>
    <w:rsid w:val="16F46BD4"/>
    <w:rsid w:val="16F5338F"/>
    <w:rsid w:val="17011FF5"/>
    <w:rsid w:val="17082077"/>
    <w:rsid w:val="17086A04"/>
    <w:rsid w:val="170C79EF"/>
    <w:rsid w:val="1720040C"/>
    <w:rsid w:val="1733704F"/>
    <w:rsid w:val="1739584F"/>
    <w:rsid w:val="174F484D"/>
    <w:rsid w:val="175D2140"/>
    <w:rsid w:val="17704AAB"/>
    <w:rsid w:val="17731FA9"/>
    <w:rsid w:val="1776627E"/>
    <w:rsid w:val="178158F6"/>
    <w:rsid w:val="1785028E"/>
    <w:rsid w:val="178F1DC2"/>
    <w:rsid w:val="179F445C"/>
    <w:rsid w:val="17A301DE"/>
    <w:rsid w:val="17A36B40"/>
    <w:rsid w:val="17A377C9"/>
    <w:rsid w:val="17A408D6"/>
    <w:rsid w:val="17A974E2"/>
    <w:rsid w:val="17B920AF"/>
    <w:rsid w:val="17BA6CC5"/>
    <w:rsid w:val="17BC7BFC"/>
    <w:rsid w:val="17BE4DD5"/>
    <w:rsid w:val="17D23C27"/>
    <w:rsid w:val="17DA4D62"/>
    <w:rsid w:val="17F20E8A"/>
    <w:rsid w:val="180715CC"/>
    <w:rsid w:val="18142066"/>
    <w:rsid w:val="181D2B9D"/>
    <w:rsid w:val="181F450F"/>
    <w:rsid w:val="182401DB"/>
    <w:rsid w:val="18242F81"/>
    <w:rsid w:val="184053F5"/>
    <w:rsid w:val="184344B9"/>
    <w:rsid w:val="184B2CE6"/>
    <w:rsid w:val="185524EF"/>
    <w:rsid w:val="185858F1"/>
    <w:rsid w:val="186B4D4A"/>
    <w:rsid w:val="188B6D6F"/>
    <w:rsid w:val="188E5E3A"/>
    <w:rsid w:val="188F5CA0"/>
    <w:rsid w:val="189034AD"/>
    <w:rsid w:val="189622E4"/>
    <w:rsid w:val="189F5400"/>
    <w:rsid w:val="18A15213"/>
    <w:rsid w:val="18B53C23"/>
    <w:rsid w:val="18B74DA0"/>
    <w:rsid w:val="18BD1C8B"/>
    <w:rsid w:val="18C33FDF"/>
    <w:rsid w:val="18CD25A4"/>
    <w:rsid w:val="18D3152C"/>
    <w:rsid w:val="18D712D8"/>
    <w:rsid w:val="18D82E24"/>
    <w:rsid w:val="18E16A9E"/>
    <w:rsid w:val="18E54E69"/>
    <w:rsid w:val="18FE3820"/>
    <w:rsid w:val="19130E36"/>
    <w:rsid w:val="191C4C03"/>
    <w:rsid w:val="19352757"/>
    <w:rsid w:val="19462C46"/>
    <w:rsid w:val="194B1EC4"/>
    <w:rsid w:val="19550C97"/>
    <w:rsid w:val="1962306A"/>
    <w:rsid w:val="19775154"/>
    <w:rsid w:val="198364F1"/>
    <w:rsid w:val="198D4077"/>
    <w:rsid w:val="19A36B5B"/>
    <w:rsid w:val="19A87196"/>
    <w:rsid w:val="19AB225A"/>
    <w:rsid w:val="19AD7F51"/>
    <w:rsid w:val="19D65577"/>
    <w:rsid w:val="19FB1C97"/>
    <w:rsid w:val="1A0A4ACB"/>
    <w:rsid w:val="1A0B3CBA"/>
    <w:rsid w:val="1A0E1E02"/>
    <w:rsid w:val="1A134223"/>
    <w:rsid w:val="1A1846F1"/>
    <w:rsid w:val="1A2062AD"/>
    <w:rsid w:val="1A3261AF"/>
    <w:rsid w:val="1A352916"/>
    <w:rsid w:val="1A606D71"/>
    <w:rsid w:val="1A8D27AD"/>
    <w:rsid w:val="1A8E7D82"/>
    <w:rsid w:val="1A9021AA"/>
    <w:rsid w:val="1A920900"/>
    <w:rsid w:val="1A9349CE"/>
    <w:rsid w:val="1A942CB7"/>
    <w:rsid w:val="1A9E57EB"/>
    <w:rsid w:val="1AA151CF"/>
    <w:rsid w:val="1AA2653D"/>
    <w:rsid w:val="1AA82093"/>
    <w:rsid w:val="1AD244DF"/>
    <w:rsid w:val="1AF06026"/>
    <w:rsid w:val="1AF54F22"/>
    <w:rsid w:val="1B0811F8"/>
    <w:rsid w:val="1B0B7197"/>
    <w:rsid w:val="1B1B7673"/>
    <w:rsid w:val="1B270D19"/>
    <w:rsid w:val="1B2A18AE"/>
    <w:rsid w:val="1B312411"/>
    <w:rsid w:val="1B3157F0"/>
    <w:rsid w:val="1B347B21"/>
    <w:rsid w:val="1B35192A"/>
    <w:rsid w:val="1B375D24"/>
    <w:rsid w:val="1B4120DC"/>
    <w:rsid w:val="1B473D6A"/>
    <w:rsid w:val="1B50316D"/>
    <w:rsid w:val="1B5230EB"/>
    <w:rsid w:val="1B593292"/>
    <w:rsid w:val="1B5B3A17"/>
    <w:rsid w:val="1B6B1457"/>
    <w:rsid w:val="1B6B1CE4"/>
    <w:rsid w:val="1B6B6F05"/>
    <w:rsid w:val="1B6B7277"/>
    <w:rsid w:val="1B701516"/>
    <w:rsid w:val="1B77374A"/>
    <w:rsid w:val="1B7927FA"/>
    <w:rsid w:val="1B832673"/>
    <w:rsid w:val="1B870F6D"/>
    <w:rsid w:val="1B873604"/>
    <w:rsid w:val="1B9008DD"/>
    <w:rsid w:val="1B993082"/>
    <w:rsid w:val="1BAD6F45"/>
    <w:rsid w:val="1BB25C71"/>
    <w:rsid w:val="1BBC2E22"/>
    <w:rsid w:val="1BE572E1"/>
    <w:rsid w:val="1BE834C2"/>
    <w:rsid w:val="1BEA548C"/>
    <w:rsid w:val="1BF16305"/>
    <w:rsid w:val="1C122B82"/>
    <w:rsid w:val="1C153B71"/>
    <w:rsid w:val="1C1952D0"/>
    <w:rsid w:val="1C226D51"/>
    <w:rsid w:val="1C281B11"/>
    <w:rsid w:val="1C2D27CB"/>
    <w:rsid w:val="1C3109C5"/>
    <w:rsid w:val="1C5300CD"/>
    <w:rsid w:val="1C784A20"/>
    <w:rsid w:val="1C7E52F6"/>
    <w:rsid w:val="1C7E5910"/>
    <w:rsid w:val="1C8A179F"/>
    <w:rsid w:val="1C9C180B"/>
    <w:rsid w:val="1CB3003D"/>
    <w:rsid w:val="1CC00E4E"/>
    <w:rsid w:val="1CC10B52"/>
    <w:rsid w:val="1CCC725F"/>
    <w:rsid w:val="1CD53DBF"/>
    <w:rsid w:val="1CDB373E"/>
    <w:rsid w:val="1CE27F12"/>
    <w:rsid w:val="1CE65EB6"/>
    <w:rsid w:val="1CF00DBA"/>
    <w:rsid w:val="1D012A8E"/>
    <w:rsid w:val="1D0807A5"/>
    <w:rsid w:val="1D090ADB"/>
    <w:rsid w:val="1D0B61A0"/>
    <w:rsid w:val="1D0E00EC"/>
    <w:rsid w:val="1D100F23"/>
    <w:rsid w:val="1D1939ED"/>
    <w:rsid w:val="1D2101C2"/>
    <w:rsid w:val="1D29203C"/>
    <w:rsid w:val="1D294E26"/>
    <w:rsid w:val="1D5613CC"/>
    <w:rsid w:val="1D61352C"/>
    <w:rsid w:val="1D652F47"/>
    <w:rsid w:val="1D657F1B"/>
    <w:rsid w:val="1D6926C1"/>
    <w:rsid w:val="1D6F3E9B"/>
    <w:rsid w:val="1D7A117D"/>
    <w:rsid w:val="1D880D96"/>
    <w:rsid w:val="1D9A1B1C"/>
    <w:rsid w:val="1D9B3BF5"/>
    <w:rsid w:val="1D9E241B"/>
    <w:rsid w:val="1DA014B3"/>
    <w:rsid w:val="1DA04055"/>
    <w:rsid w:val="1DB213DC"/>
    <w:rsid w:val="1DBF4C41"/>
    <w:rsid w:val="1DC615E1"/>
    <w:rsid w:val="1DCE7F11"/>
    <w:rsid w:val="1DD0331B"/>
    <w:rsid w:val="1DFD4F3E"/>
    <w:rsid w:val="1E021E39"/>
    <w:rsid w:val="1E0358BF"/>
    <w:rsid w:val="1E10228D"/>
    <w:rsid w:val="1E1E141D"/>
    <w:rsid w:val="1E244853"/>
    <w:rsid w:val="1E28091B"/>
    <w:rsid w:val="1E286DFF"/>
    <w:rsid w:val="1E2D10E0"/>
    <w:rsid w:val="1E3D3A5F"/>
    <w:rsid w:val="1E3E15B2"/>
    <w:rsid w:val="1E3E4FF3"/>
    <w:rsid w:val="1E4F234C"/>
    <w:rsid w:val="1E532A67"/>
    <w:rsid w:val="1E5D2340"/>
    <w:rsid w:val="1E620067"/>
    <w:rsid w:val="1E74103D"/>
    <w:rsid w:val="1E766B63"/>
    <w:rsid w:val="1E7E1EBC"/>
    <w:rsid w:val="1E8474D2"/>
    <w:rsid w:val="1E9004FA"/>
    <w:rsid w:val="1E9646FF"/>
    <w:rsid w:val="1E966318"/>
    <w:rsid w:val="1E9B0CC0"/>
    <w:rsid w:val="1EA03724"/>
    <w:rsid w:val="1EA11680"/>
    <w:rsid w:val="1EAC104B"/>
    <w:rsid w:val="1EC3007D"/>
    <w:rsid w:val="1EC75611"/>
    <w:rsid w:val="1ECF054D"/>
    <w:rsid w:val="1EEF5642"/>
    <w:rsid w:val="1EFD7285"/>
    <w:rsid w:val="1F045F88"/>
    <w:rsid w:val="1F1B5386"/>
    <w:rsid w:val="1F3D5A2B"/>
    <w:rsid w:val="1F422AE4"/>
    <w:rsid w:val="1F434323"/>
    <w:rsid w:val="1F4924CA"/>
    <w:rsid w:val="1F4E0DE8"/>
    <w:rsid w:val="1F694BB5"/>
    <w:rsid w:val="1F77383F"/>
    <w:rsid w:val="1F7E73A9"/>
    <w:rsid w:val="1F83291B"/>
    <w:rsid w:val="1F87452F"/>
    <w:rsid w:val="1F875D46"/>
    <w:rsid w:val="1F896D6A"/>
    <w:rsid w:val="1F8F514E"/>
    <w:rsid w:val="1F95416B"/>
    <w:rsid w:val="1FA3607E"/>
    <w:rsid w:val="1FA871F0"/>
    <w:rsid w:val="1FB72D07"/>
    <w:rsid w:val="1FBC2A59"/>
    <w:rsid w:val="1FC37E78"/>
    <w:rsid w:val="1FD54EF5"/>
    <w:rsid w:val="1FDA4D78"/>
    <w:rsid w:val="1FF52A08"/>
    <w:rsid w:val="1FFD0BB5"/>
    <w:rsid w:val="20012DA5"/>
    <w:rsid w:val="2003179C"/>
    <w:rsid w:val="2003268C"/>
    <w:rsid w:val="200B5C0B"/>
    <w:rsid w:val="200D1367"/>
    <w:rsid w:val="20150AF2"/>
    <w:rsid w:val="201C4CA7"/>
    <w:rsid w:val="20201E76"/>
    <w:rsid w:val="2033450B"/>
    <w:rsid w:val="203D3B8D"/>
    <w:rsid w:val="204108B6"/>
    <w:rsid w:val="20526EB3"/>
    <w:rsid w:val="20536715"/>
    <w:rsid w:val="2064551F"/>
    <w:rsid w:val="206D6F3E"/>
    <w:rsid w:val="207D3B26"/>
    <w:rsid w:val="208A249A"/>
    <w:rsid w:val="209C2B3E"/>
    <w:rsid w:val="20AF2801"/>
    <w:rsid w:val="20B35BED"/>
    <w:rsid w:val="20B36678"/>
    <w:rsid w:val="20BD4F1E"/>
    <w:rsid w:val="20CA66FD"/>
    <w:rsid w:val="20CE77B0"/>
    <w:rsid w:val="20D13B63"/>
    <w:rsid w:val="20E85164"/>
    <w:rsid w:val="20E95D13"/>
    <w:rsid w:val="20ED5FC1"/>
    <w:rsid w:val="20F109A7"/>
    <w:rsid w:val="20F50EA7"/>
    <w:rsid w:val="20FB5A46"/>
    <w:rsid w:val="212142FA"/>
    <w:rsid w:val="212B1CCB"/>
    <w:rsid w:val="212D5B2C"/>
    <w:rsid w:val="213E0604"/>
    <w:rsid w:val="213F2BAB"/>
    <w:rsid w:val="21484179"/>
    <w:rsid w:val="214B1829"/>
    <w:rsid w:val="214E088D"/>
    <w:rsid w:val="21535882"/>
    <w:rsid w:val="2157409E"/>
    <w:rsid w:val="215C01B1"/>
    <w:rsid w:val="21603FBE"/>
    <w:rsid w:val="21613AFB"/>
    <w:rsid w:val="21711F9F"/>
    <w:rsid w:val="2194182A"/>
    <w:rsid w:val="21A77AE0"/>
    <w:rsid w:val="21A95B62"/>
    <w:rsid w:val="21B667D4"/>
    <w:rsid w:val="21B87BA4"/>
    <w:rsid w:val="21C5052E"/>
    <w:rsid w:val="21D555AC"/>
    <w:rsid w:val="21F04E7F"/>
    <w:rsid w:val="21FC1E0A"/>
    <w:rsid w:val="22165C38"/>
    <w:rsid w:val="22224D86"/>
    <w:rsid w:val="22386FD2"/>
    <w:rsid w:val="22410FAB"/>
    <w:rsid w:val="22414157"/>
    <w:rsid w:val="224263F9"/>
    <w:rsid w:val="22440002"/>
    <w:rsid w:val="22481730"/>
    <w:rsid w:val="224C30CF"/>
    <w:rsid w:val="224F2D6A"/>
    <w:rsid w:val="225116B9"/>
    <w:rsid w:val="22547524"/>
    <w:rsid w:val="22567C75"/>
    <w:rsid w:val="225F67AC"/>
    <w:rsid w:val="22607573"/>
    <w:rsid w:val="22621291"/>
    <w:rsid w:val="226E6D66"/>
    <w:rsid w:val="228C0017"/>
    <w:rsid w:val="228D0920"/>
    <w:rsid w:val="228F35D6"/>
    <w:rsid w:val="229949E3"/>
    <w:rsid w:val="229F3AC6"/>
    <w:rsid w:val="22B24BDD"/>
    <w:rsid w:val="22C01A09"/>
    <w:rsid w:val="22C2681B"/>
    <w:rsid w:val="22C52F66"/>
    <w:rsid w:val="22C708C4"/>
    <w:rsid w:val="22C7230E"/>
    <w:rsid w:val="22D842DA"/>
    <w:rsid w:val="22E71D38"/>
    <w:rsid w:val="22EA0933"/>
    <w:rsid w:val="22EC07EF"/>
    <w:rsid w:val="22EE7D2D"/>
    <w:rsid w:val="22F10EAE"/>
    <w:rsid w:val="23001F1B"/>
    <w:rsid w:val="23036601"/>
    <w:rsid w:val="230D48E9"/>
    <w:rsid w:val="2321231C"/>
    <w:rsid w:val="23331BF5"/>
    <w:rsid w:val="233D0BA3"/>
    <w:rsid w:val="23425054"/>
    <w:rsid w:val="234A56F8"/>
    <w:rsid w:val="23501055"/>
    <w:rsid w:val="235B5E01"/>
    <w:rsid w:val="236C5D90"/>
    <w:rsid w:val="236E4580"/>
    <w:rsid w:val="237A70F6"/>
    <w:rsid w:val="237C6924"/>
    <w:rsid w:val="237D0994"/>
    <w:rsid w:val="2390111C"/>
    <w:rsid w:val="23BC14BC"/>
    <w:rsid w:val="23BD3CBF"/>
    <w:rsid w:val="23CA51A8"/>
    <w:rsid w:val="23CC7174"/>
    <w:rsid w:val="23DF1584"/>
    <w:rsid w:val="23F068E4"/>
    <w:rsid w:val="23FA639B"/>
    <w:rsid w:val="23FD4981"/>
    <w:rsid w:val="24131E75"/>
    <w:rsid w:val="241C3500"/>
    <w:rsid w:val="241C3808"/>
    <w:rsid w:val="24244E40"/>
    <w:rsid w:val="242530D9"/>
    <w:rsid w:val="243A2CDC"/>
    <w:rsid w:val="24450C8E"/>
    <w:rsid w:val="244F0F32"/>
    <w:rsid w:val="24505030"/>
    <w:rsid w:val="245142FB"/>
    <w:rsid w:val="24544436"/>
    <w:rsid w:val="246254F1"/>
    <w:rsid w:val="246256CC"/>
    <w:rsid w:val="246A5AC3"/>
    <w:rsid w:val="24706571"/>
    <w:rsid w:val="2480376B"/>
    <w:rsid w:val="24803A09"/>
    <w:rsid w:val="24805846"/>
    <w:rsid w:val="248C219B"/>
    <w:rsid w:val="24941808"/>
    <w:rsid w:val="249F59AA"/>
    <w:rsid w:val="24A45F57"/>
    <w:rsid w:val="24A77CC7"/>
    <w:rsid w:val="24AA572C"/>
    <w:rsid w:val="24B11A33"/>
    <w:rsid w:val="24BD0D51"/>
    <w:rsid w:val="24F61E87"/>
    <w:rsid w:val="24F77329"/>
    <w:rsid w:val="24FC6EB5"/>
    <w:rsid w:val="250107BC"/>
    <w:rsid w:val="250170D7"/>
    <w:rsid w:val="250C1416"/>
    <w:rsid w:val="25215F5B"/>
    <w:rsid w:val="25287EFC"/>
    <w:rsid w:val="25305A8C"/>
    <w:rsid w:val="25314CEF"/>
    <w:rsid w:val="253506B3"/>
    <w:rsid w:val="253F224B"/>
    <w:rsid w:val="25553DB0"/>
    <w:rsid w:val="255710E7"/>
    <w:rsid w:val="255D282B"/>
    <w:rsid w:val="25696F6D"/>
    <w:rsid w:val="258409DC"/>
    <w:rsid w:val="258424AE"/>
    <w:rsid w:val="2585705F"/>
    <w:rsid w:val="25923602"/>
    <w:rsid w:val="259823ED"/>
    <w:rsid w:val="25A04D0A"/>
    <w:rsid w:val="25A7521F"/>
    <w:rsid w:val="25AB17E9"/>
    <w:rsid w:val="25AC722E"/>
    <w:rsid w:val="25B306C7"/>
    <w:rsid w:val="25CC1B09"/>
    <w:rsid w:val="25CE43CE"/>
    <w:rsid w:val="25DC7BF4"/>
    <w:rsid w:val="25E90C14"/>
    <w:rsid w:val="25EF09CC"/>
    <w:rsid w:val="25F018F1"/>
    <w:rsid w:val="26004EB1"/>
    <w:rsid w:val="26123E85"/>
    <w:rsid w:val="261E1B8F"/>
    <w:rsid w:val="262275D1"/>
    <w:rsid w:val="2627095A"/>
    <w:rsid w:val="262E79BC"/>
    <w:rsid w:val="26436B55"/>
    <w:rsid w:val="26454B11"/>
    <w:rsid w:val="264616B2"/>
    <w:rsid w:val="264B5C5F"/>
    <w:rsid w:val="264F0D93"/>
    <w:rsid w:val="265911BA"/>
    <w:rsid w:val="265E5FBA"/>
    <w:rsid w:val="26600667"/>
    <w:rsid w:val="26655E3B"/>
    <w:rsid w:val="266C74E3"/>
    <w:rsid w:val="268A268F"/>
    <w:rsid w:val="2694227D"/>
    <w:rsid w:val="26997A56"/>
    <w:rsid w:val="269A4AD7"/>
    <w:rsid w:val="269C4E0B"/>
    <w:rsid w:val="269C55D5"/>
    <w:rsid w:val="26A65017"/>
    <w:rsid w:val="26C17B69"/>
    <w:rsid w:val="26C33FFE"/>
    <w:rsid w:val="26C64400"/>
    <w:rsid w:val="26CE36E5"/>
    <w:rsid w:val="26D9512D"/>
    <w:rsid w:val="26E31B06"/>
    <w:rsid w:val="26E6217B"/>
    <w:rsid w:val="26FC7D13"/>
    <w:rsid w:val="26FF6276"/>
    <w:rsid w:val="27037513"/>
    <w:rsid w:val="27117BFF"/>
    <w:rsid w:val="27203EEB"/>
    <w:rsid w:val="27400656"/>
    <w:rsid w:val="274A7B05"/>
    <w:rsid w:val="2754129C"/>
    <w:rsid w:val="27566510"/>
    <w:rsid w:val="2758774E"/>
    <w:rsid w:val="27603EC1"/>
    <w:rsid w:val="27606603"/>
    <w:rsid w:val="276C144B"/>
    <w:rsid w:val="277E21A6"/>
    <w:rsid w:val="277F5481"/>
    <w:rsid w:val="27851A0B"/>
    <w:rsid w:val="27876136"/>
    <w:rsid w:val="278E13C2"/>
    <w:rsid w:val="279462F5"/>
    <w:rsid w:val="279F537D"/>
    <w:rsid w:val="27A06CC5"/>
    <w:rsid w:val="27B34755"/>
    <w:rsid w:val="27B36474"/>
    <w:rsid w:val="27B506FD"/>
    <w:rsid w:val="27C112E1"/>
    <w:rsid w:val="27DB14BA"/>
    <w:rsid w:val="27DD6376"/>
    <w:rsid w:val="27DE6D28"/>
    <w:rsid w:val="27E03D9F"/>
    <w:rsid w:val="27E07DE8"/>
    <w:rsid w:val="27E862A2"/>
    <w:rsid w:val="27EF19B8"/>
    <w:rsid w:val="27F42D09"/>
    <w:rsid w:val="280334C5"/>
    <w:rsid w:val="2804309E"/>
    <w:rsid w:val="28071DAC"/>
    <w:rsid w:val="280779C6"/>
    <w:rsid w:val="28130274"/>
    <w:rsid w:val="281459A7"/>
    <w:rsid w:val="283172C3"/>
    <w:rsid w:val="28327F9F"/>
    <w:rsid w:val="2841272B"/>
    <w:rsid w:val="284507BD"/>
    <w:rsid w:val="28454B2D"/>
    <w:rsid w:val="284952E9"/>
    <w:rsid w:val="28603EB7"/>
    <w:rsid w:val="286930B9"/>
    <w:rsid w:val="286A5D40"/>
    <w:rsid w:val="286F6AEE"/>
    <w:rsid w:val="287957F5"/>
    <w:rsid w:val="287967D6"/>
    <w:rsid w:val="287F32E8"/>
    <w:rsid w:val="289A4C69"/>
    <w:rsid w:val="28A8200F"/>
    <w:rsid w:val="28AC4758"/>
    <w:rsid w:val="28AE3251"/>
    <w:rsid w:val="28C037FD"/>
    <w:rsid w:val="28C04C4C"/>
    <w:rsid w:val="28C82DD8"/>
    <w:rsid w:val="28C878C3"/>
    <w:rsid w:val="28DE1ED5"/>
    <w:rsid w:val="28E07697"/>
    <w:rsid w:val="28E824C9"/>
    <w:rsid w:val="28EC4FBD"/>
    <w:rsid w:val="28EC7622"/>
    <w:rsid w:val="28EE5156"/>
    <w:rsid w:val="28FC05AD"/>
    <w:rsid w:val="291173EA"/>
    <w:rsid w:val="29121B7F"/>
    <w:rsid w:val="291268CF"/>
    <w:rsid w:val="291470DB"/>
    <w:rsid w:val="292A3D9E"/>
    <w:rsid w:val="292E34BD"/>
    <w:rsid w:val="29340781"/>
    <w:rsid w:val="29470E70"/>
    <w:rsid w:val="29482C06"/>
    <w:rsid w:val="29550C9C"/>
    <w:rsid w:val="296206AF"/>
    <w:rsid w:val="297045CA"/>
    <w:rsid w:val="298040D2"/>
    <w:rsid w:val="2982268F"/>
    <w:rsid w:val="298E1846"/>
    <w:rsid w:val="298F5ED7"/>
    <w:rsid w:val="29A009BF"/>
    <w:rsid w:val="29A03A03"/>
    <w:rsid w:val="29AE420A"/>
    <w:rsid w:val="29B64C00"/>
    <w:rsid w:val="29BC6F56"/>
    <w:rsid w:val="29DA03DB"/>
    <w:rsid w:val="29DA2DCF"/>
    <w:rsid w:val="29E17A78"/>
    <w:rsid w:val="29E439C2"/>
    <w:rsid w:val="29E61C16"/>
    <w:rsid w:val="29E94368"/>
    <w:rsid w:val="29FB6096"/>
    <w:rsid w:val="2A0F7329"/>
    <w:rsid w:val="2A110088"/>
    <w:rsid w:val="2A125035"/>
    <w:rsid w:val="2A132508"/>
    <w:rsid w:val="2A1D0B14"/>
    <w:rsid w:val="2A1E6CD7"/>
    <w:rsid w:val="2A230185"/>
    <w:rsid w:val="2A2C1AB4"/>
    <w:rsid w:val="2A3644B8"/>
    <w:rsid w:val="2A3A313B"/>
    <w:rsid w:val="2A3A79B3"/>
    <w:rsid w:val="2A426494"/>
    <w:rsid w:val="2A445BE9"/>
    <w:rsid w:val="2A4B17EC"/>
    <w:rsid w:val="2A4C4F69"/>
    <w:rsid w:val="2A53353C"/>
    <w:rsid w:val="2A5534B9"/>
    <w:rsid w:val="2A57508D"/>
    <w:rsid w:val="2A5D2041"/>
    <w:rsid w:val="2A6D3510"/>
    <w:rsid w:val="2A6F2F5D"/>
    <w:rsid w:val="2A713219"/>
    <w:rsid w:val="2A755211"/>
    <w:rsid w:val="2A7A1212"/>
    <w:rsid w:val="2A8D0991"/>
    <w:rsid w:val="2AA1252A"/>
    <w:rsid w:val="2AA16B6B"/>
    <w:rsid w:val="2AAE121F"/>
    <w:rsid w:val="2AAF72FB"/>
    <w:rsid w:val="2AC309F8"/>
    <w:rsid w:val="2AD6555A"/>
    <w:rsid w:val="2AD80D1A"/>
    <w:rsid w:val="2AE06A58"/>
    <w:rsid w:val="2AE863AE"/>
    <w:rsid w:val="2AED4651"/>
    <w:rsid w:val="2AF156B3"/>
    <w:rsid w:val="2B0158CD"/>
    <w:rsid w:val="2B0A133F"/>
    <w:rsid w:val="2B0F65C4"/>
    <w:rsid w:val="2B215094"/>
    <w:rsid w:val="2B345FA8"/>
    <w:rsid w:val="2B4E7E22"/>
    <w:rsid w:val="2B50728E"/>
    <w:rsid w:val="2B520F1D"/>
    <w:rsid w:val="2B687D7B"/>
    <w:rsid w:val="2B694E68"/>
    <w:rsid w:val="2B791766"/>
    <w:rsid w:val="2B7F05AB"/>
    <w:rsid w:val="2B870D73"/>
    <w:rsid w:val="2B924276"/>
    <w:rsid w:val="2B97636B"/>
    <w:rsid w:val="2B9D7313"/>
    <w:rsid w:val="2BA32F62"/>
    <w:rsid w:val="2BAD6A07"/>
    <w:rsid w:val="2BB3686B"/>
    <w:rsid w:val="2BB53941"/>
    <w:rsid w:val="2BBD46BA"/>
    <w:rsid w:val="2BBE3BE5"/>
    <w:rsid w:val="2BCB64C7"/>
    <w:rsid w:val="2BD92E3F"/>
    <w:rsid w:val="2BD96F73"/>
    <w:rsid w:val="2BDE12CD"/>
    <w:rsid w:val="2BE25A98"/>
    <w:rsid w:val="2BE86CA8"/>
    <w:rsid w:val="2BEC7697"/>
    <w:rsid w:val="2BF01660"/>
    <w:rsid w:val="2BF2460D"/>
    <w:rsid w:val="2BF56003"/>
    <w:rsid w:val="2C045AC7"/>
    <w:rsid w:val="2C20470A"/>
    <w:rsid w:val="2C4A36EA"/>
    <w:rsid w:val="2C527DA2"/>
    <w:rsid w:val="2C550ACB"/>
    <w:rsid w:val="2C571774"/>
    <w:rsid w:val="2C595F36"/>
    <w:rsid w:val="2C5D3440"/>
    <w:rsid w:val="2C676E85"/>
    <w:rsid w:val="2C695357"/>
    <w:rsid w:val="2C6B5148"/>
    <w:rsid w:val="2C7244A8"/>
    <w:rsid w:val="2C825C0E"/>
    <w:rsid w:val="2C837851"/>
    <w:rsid w:val="2C852FD1"/>
    <w:rsid w:val="2C9805ED"/>
    <w:rsid w:val="2C9F41A4"/>
    <w:rsid w:val="2CA0428D"/>
    <w:rsid w:val="2CA60204"/>
    <w:rsid w:val="2CAB6D99"/>
    <w:rsid w:val="2CC122AF"/>
    <w:rsid w:val="2CC62607"/>
    <w:rsid w:val="2CC6515A"/>
    <w:rsid w:val="2CD566E0"/>
    <w:rsid w:val="2CDB640B"/>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B41B4"/>
    <w:rsid w:val="2D4B565F"/>
    <w:rsid w:val="2D4E513E"/>
    <w:rsid w:val="2D541581"/>
    <w:rsid w:val="2D5C7521"/>
    <w:rsid w:val="2D664F53"/>
    <w:rsid w:val="2D7149C3"/>
    <w:rsid w:val="2D727090"/>
    <w:rsid w:val="2D747094"/>
    <w:rsid w:val="2D8F19F0"/>
    <w:rsid w:val="2D9812D5"/>
    <w:rsid w:val="2D992C03"/>
    <w:rsid w:val="2DA216C6"/>
    <w:rsid w:val="2DA33153"/>
    <w:rsid w:val="2DB06539"/>
    <w:rsid w:val="2DB50AD8"/>
    <w:rsid w:val="2DB653BC"/>
    <w:rsid w:val="2DC5145A"/>
    <w:rsid w:val="2DD945CE"/>
    <w:rsid w:val="2DDE33CA"/>
    <w:rsid w:val="2DF54AE7"/>
    <w:rsid w:val="2DFB0C12"/>
    <w:rsid w:val="2E11532A"/>
    <w:rsid w:val="2E2C7B59"/>
    <w:rsid w:val="2E512381"/>
    <w:rsid w:val="2E6D0A1B"/>
    <w:rsid w:val="2E7540FB"/>
    <w:rsid w:val="2E8928E3"/>
    <w:rsid w:val="2E896136"/>
    <w:rsid w:val="2E904A45"/>
    <w:rsid w:val="2E921142"/>
    <w:rsid w:val="2E9238C2"/>
    <w:rsid w:val="2E972F4E"/>
    <w:rsid w:val="2E9A689E"/>
    <w:rsid w:val="2EB976D4"/>
    <w:rsid w:val="2EBC2DDB"/>
    <w:rsid w:val="2EC61441"/>
    <w:rsid w:val="2ECB20BA"/>
    <w:rsid w:val="2ED753FC"/>
    <w:rsid w:val="2EDE6676"/>
    <w:rsid w:val="2EE62071"/>
    <w:rsid w:val="2F181834"/>
    <w:rsid w:val="2F1877C3"/>
    <w:rsid w:val="2F1D3166"/>
    <w:rsid w:val="2F1E4AC6"/>
    <w:rsid w:val="2F3D2575"/>
    <w:rsid w:val="2F5F6DC2"/>
    <w:rsid w:val="2F634EE2"/>
    <w:rsid w:val="2F715E38"/>
    <w:rsid w:val="2F7313FD"/>
    <w:rsid w:val="2F732A13"/>
    <w:rsid w:val="2F740E9D"/>
    <w:rsid w:val="2F941D65"/>
    <w:rsid w:val="2F98390F"/>
    <w:rsid w:val="2FA43F61"/>
    <w:rsid w:val="2FA96F2B"/>
    <w:rsid w:val="2FB35201"/>
    <w:rsid w:val="2FBD3AD7"/>
    <w:rsid w:val="2FD45DE0"/>
    <w:rsid w:val="2FF9240C"/>
    <w:rsid w:val="2FF946AE"/>
    <w:rsid w:val="2FFD2F9F"/>
    <w:rsid w:val="302C1778"/>
    <w:rsid w:val="304537EB"/>
    <w:rsid w:val="304D1B6D"/>
    <w:rsid w:val="305059B1"/>
    <w:rsid w:val="305E3A75"/>
    <w:rsid w:val="305E47CA"/>
    <w:rsid w:val="3071362F"/>
    <w:rsid w:val="30726515"/>
    <w:rsid w:val="308C47E8"/>
    <w:rsid w:val="308D2CDE"/>
    <w:rsid w:val="30972D75"/>
    <w:rsid w:val="309A496D"/>
    <w:rsid w:val="30A74795"/>
    <w:rsid w:val="30BB31C8"/>
    <w:rsid w:val="30C0620D"/>
    <w:rsid w:val="30CF2B57"/>
    <w:rsid w:val="30D34409"/>
    <w:rsid w:val="30D90E27"/>
    <w:rsid w:val="30DC76BD"/>
    <w:rsid w:val="30E43E01"/>
    <w:rsid w:val="30F5600E"/>
    <w:rsid w:val="30FD59F3"/>
    <w:rsid w:val="30FE700B"/>
    <w:rsid w:val="30FF0C3A"/>
    <w:rsid w:val="31013712"/>
    <w:rsid w:val="3120701A"/>
    <w:rsid w:val="31307046"/>
    <w:rsid w:val="31344659"/>
    <w:rsid w:val="313B489A"/>
    <w:rsid w:val="315238A4"/>
    <w:rsid w:val="31576CC8"/>
    <w:rsid w:val="315C56BE"/>
    <w:rsid w:val="316546A0"/>
    <w:rsid w:val="316D71E4"/>
    <w:rsid w:val="31802A8F"/>
    <w:rsid w:val="3181495E"/>
    <w:rsid w:val="318B193E"/>
    <w:rsid w:val="31931ABF"/>
    <w:rsid w:val="31945827"/>
    <w:rsid w:val="31A10BF5"/>
    <w:rsid w:val="31A970A8"/>
    <w:rsid w:val="31AB1E21"/>
    <w:rsid w:val="31B47C77"/>
    <w:rsid w:val="31B75CB4"/>
    <w:rsid w:val="31BE052E"/>
    <w:rsid w:val="31C21310"/>
    <w:rsid w:val="31CA483D"/>
    <w:rsid w:val="31D156FC"/>
    <w:rsid w:val="32061CB3"/>
    <w:rsid w:val="320F2803"/>
    <w:rsid w:val="321043B9"/>
    <w:rsid w:val="32164D38"/>
    <w:rsid w:val="322713CA"/>
    <w:rsid w:val="322A670F"/>
    <w:rsid w:val="3243161E"/>
    <w:rsid w:val="32432616"/>
    <w:rsid w:val="3243394A"/>
    <w:rsid w:val="3248328F"/>
    <w:rsid w:val="324C6483"/>
    <w:rsid w:val="32522469"/>
    <w:rsid w:val="32776BA9"/>
    <w:rsid w:val="327B2A0D"/>
    <w:rsid w:val="32B45676"/>
    <w:rsid w:val="32C4213C"/>
    <w:rsid w:val="32C5561F"/>
    <w:rsid w:val="32DC084A"/>
    <w:rsid w:val="32E12CEE"/>
    <w:rsid w:val="32E34CE2"/>
    <w:rsid w:val="32E5221F"/>
    <w:rsid w:val="32E93950"/>
    <w:rsid w:val="32EC1727"/>
    <w:rsid w:val="32F669C8"/>
    <w:rsid w:val="33001B7A"/>
    <w:rsid w:val="331535A7"/>
    <w:rsid w:val="33182DFB"/>
    <w:rsid w:val="331A0CC8"/>
    <w:rsid w:val="331A7AF8"/>
    <w:rsid w:val="3324614F"/>
    <w:rsid w:val="33490893"/>
    <w:rsid w:val="33515BDD"/>
    <w:rsid w:val="33547948"/>
    <w:rsid w:val="335F2062"/>
    <w:rsid w:val="336128F4"/>
    <w:rsid w:val="33686602"/>
    <w:rsid w:val="3369637D"/>
    <w:rsid w:val="336A7882"/>
    <w:rsid w:val="33877581"/>
    <w:rsid w:val="339771F4"/>
    <w:rsid w:val="339B1393"/>
    <w:rsid w:val="33A80331"/>
    <w:rsid w:val="33AC2B72"/>
    <w:rsid w:val="33B71F93"/>
    <w:rsid w:val="33BF2903"/>
    <w:rsid w:val="33CD6404"/>
    <w:rsid w:val="33D354D0"/>
    <w:rsid w:val="33D46EDF"/>
    <w:rsid w:val="33EA4EE6"/>
    <w:rsid w:val="33EE148C"/>
    <w:rsid w:val="33EF3CEA"/>
    <w:rsid w:val="33F07711"/>
    <w:rsid w:val="33FC203D"/>
    <w:rsid w:val="3406286A"/>
    <w:rsid w:val="341270FB"/>
    <w:rsid w:val="34222A44"/>
    <w:rsid w:val="342B00A6"/>
    <w:rsid w:val="343B642D"/>
    <w:rsid w:val="34515C51"/>
    <w:rsid w:val="34563267"/>
    <w:rsid w:val="345F5F07"/>
    <w:rsid w:val="3464291B"/>
    <w:rsid w:val="34670FD0"/>
    <w:rsid w:val="34840E64"/>
    <w:rsid w:val="34890588"/>
    <w:rsid w:val="34910F9E"/>
    <w:rsid w:val="34911926"/>
    <w:rsid w:val="34927084"/>
    <w:rsid w:val="34943D90"/>
    <w:rsid w:val="34A76BD5"/>
    <w:rsid w:val="34AF3A6D"/>
    <w:rsid w:val="34B17CFE"/>
    <w:rsid w:val="34BD011B"/>
    <w:rsid w:val="34C82530"/>
    <w:rsid w:val="34CD4B64"/>
    <w:rsid w:val="34D72B0D"/>
    <w:rsid w:val="34DF5BDE"/>
    <w:rsid w:val="34EE06B7"/>
    <w:rsid w:val="34F24CD0"/>
    <w:rsid w:val="34FD7410"/>
    <w:rsid w:val="35020CF9"/>
    <w:rsid w:val="351A6043"/>
    <w:rsid w:val="351C0EA2"/>
    <w:rsid w:val="35244754"/>
    <w:rsid w:val="35255512"/>
    <w:rsid w:val="35280DC0"/>
    <w:rsid w:val="353F2671"/>
    <w:rsid w:val="3542168B"/>
    <w:rsid w:val="35461EBC"/>
    <w:rsid w:val="354716FF"/>
    <w:rsid w:val="354D7F75"/>
    <w:rsid w:val="354E7EA3"/>
    <w:rsid w:val="355A12E4"/>
    <w:rsid w:val="35605956"/>
    <w:rsid w:val="3569048C"/>
    <w:rsid w:val="35756336"/>
    <w:rsid w:val="3585603E"/>
    <w:rsid w:val="358D30B5"/>
    <w:rsid w:val="358D46C0"/>
    <w:rsid w:val="358F21E7"/>
    <w:rsid w:val="35914AC1"/>
    <w:rsid w:val="35921F18"/>
    <w:rsid w:val="359706D2"/>
    <w:rsid w:val="35A16764"/>
    <w:rsid w:val="35A303EA"/>
    <w:rsid w:val="35A80566"/>
    <w:rsid w:val="35AA4F6C"/>
    <w:rsid w:val="35BE2E72"/>
    <w:rsid w:val="35F054C1"/>
    <w:rsid w:val="35F40A12"/>
    <w:rsid w:val="35F73CF2"/>
    <w:rsid w:val="35FE106B"/>
    <w:rsid w:val="360407DE"/>
    <w:rsid w:val="361E461E"/>
    <w:rsid w:val="362236CD"/>
    <w:rsid w:val="3635737F"/>
    <w:rsid w:val="364D069A"/>
    <w:rsid w:val="36507137"/>
    <w:rsid w:val="365628C0"/>
    <w:rsid w:val="365E4E53"/>
    <w:rsid w:val="36657792"/>
    <w:rsid w:val="36741C91"/>
    <w:rsid w:val="36745F37"/>
    <w:rsid w:val="368220F2"/>
    <w:rsid w:val="36826C73"/>
    <w:rsid w:val="368C5779"/>
    <w:rsid w:val="368F480F"/>
    <w:rsid w:val="36943485"/>
    <w:rsid w:val="369850EA"/>
    <w:rsid w:val="3699743B"/>
    <w:rsid w:val="369D3512"/>
    <w:rsid w:val="36AD7FE4"/>
    <w:rsid w:val="36B26A51"/>
    <w:rsid w:val="36B54F4A"/>
    <w:rsid w:val="36B6196C"/>
    <w:rsid w:val="36B95CB0"/>
    <w:rsid w:val="36C02C1A"/>
    <w:rsid w:val="36C4252E"/>
    <w:rsid w:val="36D01095"/>
    <w:rsid w:val="36E1641D"/>
    <w:rsid w:val="36E6311A"/>
    <w:rsid w:val="36F13492"/>
    <w:rsid w:val="36FD3CFD"/>
    <w:rsid w:val="37003C4A"/>
    <w:rsid w:val="37024C59"/>
    <w:rsid w:val="370F2612"/>
    <w:rsid w:val="37101BB1"/>
    <w:rsid w:val="37136525"/>
    <w:rsid w:val="37237B4D"/>
    <w:rsid w:val="3729161C"/>
    <w:rsid w:val="372F0DF2"/>
    <w:rsid w:val="3734639D"/>
    <w:rsid w:val="373677D5"/>
    <w:rsid w:val="37433BFB"/>
    <w:rsid w:val="37471BEF"/>
    <w:rsid w:val="37610B08"/>
    <w:rsid w:val="3768578B"/>
    <w:rsid w:val="376923BA"/>
    <w:rsid w:val="37733813"/>
    <w:rsid w:val="378400EB"/>
    <w:rsid w:val="378823DF"/>
    <w:rsid w:val="378E20BB"/>
    <w:rsid w:val="37941218"/>
    <w:rsid w:val="37945822"/>
    <w:rsid w:val="37990A35"/>
    <w:rsid w:val="37A12891"/>
    <w:rsid w:val="37AD65C6"/>
    <w:rsid w:val="37BB0FD8"/>
    <w:rsid w:val="37C35F96"/>
    <w:rsid w:val="37C4673A"/>
    <w:rsid w:val="37CA1A7A"/>
    <w:rsid w:val="37D31ED9"/>
    <w:rsid w:val="37E35871"/>
    <w:rsid w:val="37EC20DC"/>
    <w:rsid w:val="37F5270D"/>
    <w:rsid w:val="37FE10B8"/>
    <w:rsid w:val="37FE7227"/>
    <w:rsid w:val="380B32C6"/>
    <w:rsid w:val="380E70D2"/>
    <w:rsid w:val="381309C6"/>
    <w:rsid w:val="38140D11"/>
    <w:rsid w:val="382277CD"/>
    <w:rsid w:val="382316B2"/>
    <w:rsid w:val="3827564E"/>
    <w:rsid w:val="382A2A41"/>
    <w:rsid w:val="38353194"/>
    <w:rsid w:val="38415FDC"/>
    <w:rsid w:val="386211A0"/>
    <w:rsid w:val="38774AC4"/>
    <w:rsid w:val="387A2AEC"/>
    <w:rsid w:val="387C76A9"/>
    <w:rsid w:val="38980B25"/>
    <w:rsid w:val="38AF1198"/>
    <w:rsid w:val="38B676A5"/>
    <w:rsid w:val="38B91722"/>
    <w:rsid w:val="38C06F01"/>
    <w:rsid w:val="38C075B5"/>
    <w:rsid w:val="38F86829"/>
    <w:rsid w:val="38FA6356"/>
    <w:rsid w:val="39097304"/>
    <w:rsid w:val="39205BF2"/>
    <w:rsid w:val="3922196A"/>
    <w:rsid w:val="392502E5"/>
    <w:rsid w:val="393741B4"/>
    <w:rsid w:val="39443B5D"/>
    <w:rsid w:val="394A0EC1"/>
    <w:rsid w:val="39531710"/>
    <w:rsid w:val="395D3D25"/>
    <w:rsid w:val="396174C4"/>
    <w:rsid w:val="396804A8"/>
    <w:rsid w:val="397074D5"/>
    <w:rsid w:val="397B405B"/>
    <w:rsid w:val="397D525A"/>
    <w:rsid w:val="3986014B"/>
    <w:rsid w:val="39981BEB"/>
    <w:rsid w:val="39AC75EE"/>
    <w:rsid w:val="39B916DF"/>
    <w:rsid w:val="39BB0FFD"/>
    <w:rsid w:val="39BF365D"/>
    <w:rsid w:val="39DC2DAA"/>
    <w:rsid w:val="39DC6D91"/>
    <w:rsid w:val="39DD0D52"/>
    <w:rsid w:val="39E81252"/>
    <w:rsid w:val="39E9692C"/>
    <w:rsid w:val="39ED01CA"/>
    <w:rsid w:val="39EE69BC"/>
    <w:rsid w:val="39F01DE6"/>
    <w:rsid w:val="39F24125"/>
    <w:rsid w:val="3A00359B"/>
    <w:rsid w:val="3A233BEC"/>
    <w:rsid w:val="3A24028F"/>
    <w:rsid w:val="3A3718D6"/>
    <w:rsid w:val="3A4660AA"/>
    <w:rsid w:val="3A5E3659"/>
    <w:rsid w:val="3A64520B"/>
    <w:rsid w:val="3A706705"/>
    <w:rsid w:val="3A7D2A07"/>
    <w:rsid w:val="3A7D3282"/>
    <w:rsid w:val="3A80103E"/>
    <w:rsid w:val="3A83468A"/>
    <w:rsid w:val="3A867E2D"/>
    <w:rsid w:val="3A9248CD"/>
    <w:rsid w:val="3A9F77C4"/>
    <w:rsid w:val="3AA775C3"/>
    <w:rsid w:val="3AB75C0A"/>
    <w:rsid w:val="3ACF3645"/>
    <w:rsid w:val="3ADA6D42"/>
    <w:rsid w:val="3AE8089A"/>
    <w:rsid w:val="3AF0352E"/>
    <w:rsid w:val="3AFB240E"/>
    <w:rsid w:val="3AFD5CD9"/>
    <w:rsid w:val="3B003F2D"/>
    <w:rsid w:val="3B036448"/>
    <w:rsid w:val="3B1919AB"/>
    <w:rsid w:val="3B200A9F"/>
    <w:rsid w:val="3B246193"/>
    <w:rsid w:val="3B2C4003"/>
    <w:rsid w:val="3B322AFF"/>
    <w:rsid w:val="3B340B6C"/>
    <w:rsid w:val="3B4200A1"/>
    <w:rsid w:val="3B4400BB"/>
    <w:rsid w:val="3B4C172F"/>
    <w:rsid w:val="3B5E09F6"/>
    <w:rsid w:val="3B6B12B0"/>
    <w:rsid w:val="3B710987"/>
    <w:rsid w:val="3B790184"/>
    <w:rsid w:val="3B7D557D"/>
    <w:rsid w:val="3B88270F"/>
    <w:rsid w:val="3B8E7E80"/>
    <w:rsid w:val="3B8F24B5"/>
    <w:rsid w:val="3B94680A"/>
    <w:rsid w:val="3BAB27D1"/>
    <w:rsid w:val="3BAD7364"/>
    <w:rsid w:val="3BBD3BCC"/>
    <w:rsid w:val="3BBE60C2"/>
    <w:rsid w:val="3BC34952"/>
    <w:rsid w:val="3BC41D2A"/>
    <w:rsid w:val="3BCB0097"/>
    <w:rsid w:val="3BE01FA9"/>
    <w:rsid w:val="3BE82D14"/>
    <w:rsid w:val="3BEA7FE9"/>
    <w:rsid w:val="3BEE0229"/>
    <w:rsid w:val="3BFC2F3F"/>
    <w:rsid w:val="3C05618E"/>
    <w:rsid w:val="3C0C5C53"/>
    <w:rsid w:val="3C0D22BA"/>
    <w:rsid w:val="3C1A2DCC"/>
    <w:rsid w:val="3C25022E"/>
    <w:rsid w:val="3C2A7D62"/>
    <w:rsid w:val="3C2C06BD"/>
    <w:rsid w:val="3C343788"/>
    <w:rsid w:val="3C3976F6"/>
    <w:rsid w:val="3C435976"/>
    <w:rsid w:val="3C5B4206"/>
    <w:rsid w:val="3C64645A"/>
    <w:rsid w:val="3C656018"/>
    <w:rsid w:val="3C667DB0"/>
    <w:rsid w:val="3C6C06DF"/>
    <w:rsid w:val="3C7B68BB"/>
    <w:rsid w:val="3C946D71"/>
    <w:rsid w:val="3CA158E4"/>
    <w:rsid w:val="3CA44A73"/>
    <w:rsid w:val="3CAE79D6"/>
    <w:rsid w:val="3CAF5C0A"/>
    <w:rsid w:val="3CB369E7"/>
    <w:rsid w:val="3CB83945"/>
    <w:rsid w:val="3CC106AE"/>
    <w:rsid w:val="3CCE5337"/>
    <w:rsid w:val="3CDD2778"/>
    <w:rsid w:val="3CDE204C"/>
    <w:rsid w:val="3CF7401E"/>
    <w:rsid w:val="3D0A559A"/>
    <w:rsid w:val="3D1E14E7"/>
    <w:rsid w:val="3D255602"/>
    <w:rsid w:val="3D255ECD"/>
    <w:rsid w:val="3D3A558F"/>
    <w:rsid w:val="3D3C3A49"/>
    <w:rsid w:val="3D3C4F67"/>
    <w:rsid w:val="3D3D225B"/>
    <w:rsid w:val="3D3D689C"/>
    <w:rsid w:val="3D577E3C"/>
    <w:rsid w:val="3D6C3114"/>
    <w:rsid w:val="3D7A74DC"/>
    <w:rsid w:val="3D7D3819"/>
    <w:rsid w:val="3D7E5C88"/>
    <w:rsid w:val="3D8252C4"/>
    <w:rsid w:val="3D8C2AD7"/>
    <w:rsid w:val="3D996C27"/>
    <w:rsid w:val="3D9B0069"/>
    <w:rsid w:val="3D9E48C4"/>
    <w:rsid w:val="3DAB4624"/>
    <w:rsid w:val="3DD017C1"/>
    <w:rsid w:val="3DDB77FC"/>
    <w:rsid w:val="3DDC1CEE"/>
    <w:rsid w:val="3DE6740A"/>
    <w:rsid w:val="3DEB4A20"/>
    <w:rsid w:val="3DEF7094"/>
    <w:rsid w:val="3DFF3C37"/>
    <w:rsid w:val="3E0445FE"/>
    <w:rsid w:val="3E3B08E6"/>
    <w:rsid w:val="3E3F581A"/>
    <w:rsid w:val="3E483173"/>
    <w:rsid w:val="3E50322D"/>
    <w:rsid w:val="3E503D6E"/>
    <w:rsid w:val="3E6C643E"/>
    <w:rsid w:val="3E7919F5"/>
    <w:rsid w:val="3E830253"/>
    <w:rsid w:val="3E8950E5"/>
    <w:rsid w:val="3EA066BD"/>
    <w:rsid w:val="3EA13331"/>
    <w:rsid w:val="3EAB50B7"/>
    <w:rsid w:val="3EB41A1A"/>
    <w:rsid w:val="3EC571FD"/>
    <w:rsid w:val="3ECF0CFF"/>
    <w:rsid w:val="3EE55B2B"/>
    <w:rsid w:val="3EEB4417"/>
    <w:rsid w:val="3EFC2C5D"/>
    <w:rsid w:val="3EFC73B7"/>
    <w:rsid w:val="3F00274D"/>
    <w:rsid w:val="3F033FEC"/>
    <w:rsid w:val="3F047F0F"/>
    <w:rsid w:val="3F082623"/>
    <w:rsid w:val="3F156852"/>
    <w:rsid w:val="3F1B42A4"/>
    <w:rsid w:val="3F1C5DA1"/>
    <w:rsid w:val="3F304E08"/>
    <w:rsid w:val="3F3D4A3D"/>
    <w:rsid w:val="3F3F4D49"/>
    <w:rsid w:val="3F43263A"/>
    <w:rsid w:val="3F4E2855"/>
    <w:rsid w:val="3F517949"/>
    <w:rsid w:val="3F542A99"/>
    <w:rsid w:val="3F5B3E28"/>
    <w:rsid w:val="3F5B7984"/>
    <w:rsid w:val="3F5F0663"/>
    <w:rsid w:val="3F733AE9"/>
    <w:rsid w:val="3F7722E4"/>
    <w:rsid w:val="3F816863"/>
    <w:rsid w:val="3F88009A"/>
    <w:rsid w:val="3F8A5A5C"/>
    <w:rsid w:val="3F976986"/>
    <w:rsid w:val="3F9D725A"/>
    <w:rsid w:val="3F9E25CD"/>
    <w:rsid w:val="3FA708C6"/>
    <w:rsid w:val="3FAC46C9"/>
    <w:rsid w:val="3FAD6649"/>
    <w:rsid w:val="3FBE264C"/>
    <w:rsid w:val="3FC01EDD"/>
    <w:rsid w:val="3FC04688"/>
    <w:rsid w:val="3FC35C6C"/>
    <w:rsid w:val="3FCC35A6"/>
    <w:rsid w:val="3FCE355B"/>
    <w:rsid w:val="3FDB2873"/>
    <w:rsid w:val="3FE47979"/>
    <w:rsid w:val="3FF94E2C"/>
    <w:rsid w:val="40035149"/>
    <w:rsid w:val="400351B4"/>
    <w:rsid w:val="4005743D"/>
    <w:rsid w:val="4010775A"/>
    <w:rsid w:val="40125316"/>
    <w:rsid w:val="4013337A"/>
    <w:rsid w:val="40143DF8"/>
    <w:rsid w:val="40266073"/>
    <w:rsid w:val="40470673"/>
    <w:rsid w:val="404A445A"/>
    <w:rsid w:val="404A52B1"/>
    <w:rsid w:val="405E23E3"/>
    <w:rsid w:val="40692574"/>
    <w:rsid w:val="406E3A13"/>
    <w:rsid w:val="40730CFD"/>
    <w:rsid w:val="40863AC3"/>
    <w:rsid w:val="4090365D"/>
    <w:rsid w:val="409749EB"/>
    <w:rsid w:val="409A1F76"/>
    <w:rsid w:val="40A219AE"/>
    <w:rsid w:val="40AB6FFC"/>
    <w:rsid w:val="40B40935"/>
    <w:rsid w:val="40B576E7"/>
    <w:rsid w:val="40B70D19"/>
    <w:rsid w:val="40C24133"/>
    <w:rsid w:val="40CA5AEE"/>
    <w:rsid w:val="40D53766"/>
    <w:rsid w:val="40DC4E34"/>
    <w:rsid w:val="40E260D9"/>
    <w:rsid w:val="40F461DB"/>
    <w:rsid w:val="4103272C"/>
    <w:rsid w:val="410F300B"/>
    <w:rsid w:val="411D2057"/>
    <w:rsid w:val="4125450E"/>
    <w:rsid w:val="413041F2"/>
    <w:rsid w:val="41421C8D"/>
    <w:rsid w:val="414C7ECC"/>
    <w:rsid w:val="415119B9"/>
    <w:rsid w:val="416C56EA"/>
    <w:rsid w:val="417007D7"/>
    <w:rsid w:val="41713E0B"/>
    <w:rsid w:val="41744B76"/>
    <w:rsid w:val="417F375C"/>
    <w:rsid w:val="41841439"/>
    <w:rsid w:val="41953D1B"/>
    <w:rsid w:val="41BC64D5"/>
    <w:rsid w:val="41CA5CC4"/>
    <w:rsid w:val="41DA54BD"/>
    <w:rsid w:val="41E04760"/>
    <w:rsid w:val="41E8185E"/>
    <w:rsid w:val="42072045"/>
    <w:rsid w:val="42084E7C"/>
    <w:rsid w:val="420C450B"/>
    <w:rsid w:val="420F79EB"/>
    <w:rsid w:val="421B685C"/>
    <w:rsid w:val="421C4514"/>
    <w:rsid w:val="42212C48"/>
    <w:rsid w:val="422E5E4D"/>
    <w:rsid w:val="42323D88"/>
    <w:rsid w:val="423F1FDD"/>
    <w:rsid w:val="42435B11"/>
    <w:rsid w:val="42446DF5"/>
    <w:rsid w:val="42500DFE"/>
    <w:rsid w:val="42514866"/>
    <w:rsid w:val="42584A8A"/>
    <w:rsid w:val="426116DE"/>
    <w:rsid w:val="42644F8E"/>
    <w:rsid w:val="42786A51"/>
    <w:rsid w:val="42886EC3"/>
    <w:rsid w:val="428C6EE5"/>
    <w:rsid w:val="429163FD"/>
    <w:rsid w:val="42963474"/>
    <w:rsid w:val="42AA0529"/>
    <w:rsid w:val="42AF2E88"/>
    <w:rsid w:val="42B06238"/>
    <w:rsid w:val="42B14668"/>
    <w:rsid w:val="42D71A17"/>
    <w:rsid w:val="42DE313A"/>
    <w:rsid w:val="42DF1B53"/>
    <w:rsid w:val="42E414AE"/>
    <w:rsid w:val="430A3B9B"/>
    <w:rsid w:val="430B346F"/>
    <w:rsid w:val="43171E14"/>
    <w:rsid w:val="431B6658"/>
    <w:rsid w:val="432F53AF"/>
    <w:rsid w:val="435E4B64"/>
    <w:rsid w:val="436379C5"/>
    <w:rsid w:val="437A14BF"/>
    <w:rsid w:val="437A2DE9"/>
    <w:rsid w:val="438A50B6"/>
    <w:rsid w:val="4399065B"/>
    <w:rsid w:val="43992916"/>
    <w:rsid w:val="43C56BDE"/>
    <w:rsid w:val="43CC5F2C"/>
    <w:rsid w:val="43D85A47"/>
    <w:rsid w:val="43E234DF"/>
    <w:rsid w:val="43E50164"/>
    <w:rsid w:val="43E52CC5"/>
    <w:rsid w:val="43E960F8"/>
    <w:rsid w:val="43EC292D"/>
    <w:rsid w:val="43FC25A4"/>
    <w:rsid w:val="43FF2AD0"/>
    <w:rsid w:val="44052CBA"/>
    <w:rsid w:val="440740E3"/>
    <w:rsid w:val="440954ED"/>
    <w:rsid w:val="440C143D"/>
    <w:rsid w:val="44142F49"/>
    <w:rsid w:val="44265D7A"/>
    <w:rsid w:val="442C7144"/>
    <w:rsid w:val="443C7F5E"/>
    <w:rsid w:val="443E5A02"/>
    <w:rsid w:val="444A6E63"/>
    <w:rsid w:val="44620E2F"/>
    <w:rsid w:val="44734028"/>
    <w:rsid w:val="447514E8"/>
    <w:rsid w:val="4475210F"/>
    <w:rsid w:val="44830EA6"/>
    <w:rsid w:val="44866C59"/>
    <w:rsid w:val="4488274F"/>
    <w:rsid w:val="449D3C54"/>
    <w:rsid w:val="44B04500"/>
    <w:rsid w:val="44B47F30"/>
    <w:rsid w:val="44D41F91"/>
    <w:rsid w:val="44DC2DC4"/>
    <w:rsid w:val="44DD0CDA"/>
    <w:rsid w:val="44E87738"/>
    <w:rsid w:val="44ED6B41"/>
    <w:rsid w:val="44F66110"/>
    <w:rsid w:val="45132D6D"/>
    <w:rsid w:val="451D4B80"/>
    <w:rsid w:val="451F3DC7"/>
    <w:rsid w:val="4523563D"/>
    <w:rsid w:val="45286F3A"/>
    <w:rsid w:val="452926E8"/>
    <w:rsid w:val="45340E1B"/>
    <w:rsid w:val="45442C68"/>
    <w:rsid w:val="454B62C9"/>
    <w:rsid w:val="45512375"/>
    <w:rsid w:val="4555158E"/>
    <w:rsid w:val="45605CF4"/>
    <w:rsid w:val="456C6947"/>
    <w:rsid w:val="45742F08"/>
    <w:rsid w:val="4579370A"/>
    <w:rsid w:val="459365E5"/>
    <w:rsid w:val="459C0CF6"/>
    <w:rsid w:val="459D0F13"/>
    <w:rsid w:val="45A858ED"/>
    <w:rsid w:val="45AE7782"/>
    <w:rsid w:val="45B53F57"/>
    <w:rsid w:val="45D02B0C"/>
    <w:rsid w:val="45D17124"/>
    <w:rsid w:val="45D93DCD"/>
    <w:rsid w:val="45DB5496"/>
    <w:rsid w:val="45DD1335"/>
    <w:rsid w:val="45E21FE7"/>
    <w:rsid w:val="45ED40E2"/>
    <w:rsid w:val="45ED4FA4"/>
    <w:rsid w:val="45EF52CA"/>
    <w:rsid w:val="45F1221E"/>
    <w:rsid w:val="45F262B7"/>
    <w:rsid w:val="45F4676E"/>
    <w:rsid w:val="45F865A3"/>
    <w:rsid w:val="460A2471"/>
    <w:rsid w:val="460C19D8"/>
    <w:rsid w:val="463748E9"/>
    <w:rsid w:val="463D5E7A"/>
    <w:rsid w:val="464D3810"/>
    <w:rsid w:val="464F15EF"/>
    <w:rsid w:val="465511B3"/>
    <w:rsid w:val="46557CE2"/>
    <w:rsid w:val="46575EC8"/>
    <w:rsid w:val="46577D6A"/>
    <w:rsid w:val="466510E8"/>
    <w:rsid w:val="46677ABB"/>
    <w:rsid w:val="46724D59"/>
    <w:rsid w:val="46737C6F"/>
    <w:rsid w:val="4690085B"/>
    <w:rsid w:val="4693603D"/>
    <w:rsid w:val="469B6A1E"/>
    <w:rsid w:val="469F284C"/>
    <w:rsid w:val="46A42DF8"/>
    <w:rsid w:val="46AF2439"/>
    <w:rsid w:val="46BE6BCD"/>
    <w:rsid w:val="46C916D3"/>
    <w:rsid w:val="46CB5C37"/>
    <w:rsid w:val="46D05B31"/>
    <w:rsid w:val="46D544C0"/>
    <w:rsid w:val="46EE0EDA"/>
    <w:rsid w:val="46F9303C"/>
    <w:rsid w:val="47017063"/>
    <w:rsid w:val="47154453"/>
    <w:rsid w:val="47210AB5"/>
    <w:rsid w:val="47355090"/>
    <w:rsid w:val="47423169"/>
    <w:rsid w:val="474315C6"/>
    <w:rsid w:val="474336A4"/>
    <w:rsid w:val="47482A84"/>
    <w:rsid w:val="475048B6"/>
    <w:rsid w:val="47583D74"/>
    <w:rsid w:val="475E44B5"/>
    <w:rsid w:val="475F36B2"/>
    <w:rsid w:val="47770936"/>
    <w:rsid w:val="479653C5"/>
    <w:rsid w:val="47A26A3C"/>
    <w:rsid w:val="47AD454A"/>
    <w:rsid w:val="47B72BD9"/>
    <w:rsid w:val="47BE24AA"/>
    <w:rsid w:val="47BE6D02"/>
    <w:rsid w:val="47BF7E31"/>
    <w:rsid w:val="47CA0AC9"/>
    <w:rsid w:val="47D7253A"/>
    <w:rsid w:val="47E2428C"/>
    <w:rsid w:val="47E744AA"/>
    <w:rsid w:val="47E77A11"/>
    <w:rsid w:val="47E83C04"/>
    <w:rsid w:val="47EE5734"/>
    <w:rsid w:val="480E07D8"/>
    <w:rsid w:val="481C6DA3"/>
    <w:rsid w:val="482B24EA"/>
    <w:rsid w:val="4860425D"/>
    <w:rsid w:val="486924B1"/>
    <w:rsid w:val="487321E2"/>
    <w:rsid w:val="487735EE"/>
    <w:rsid w:val="487970CD"/>
    <w:rsid w:val="488A2EB7"/>
    <w:rsid w:val="48902B3C"/>
    <w:rsid w:val="489C2D9C"/>
    <w:rsid w:val="48A326ED"/>
    <w:rsid w:val="48AB58C3"/>
    <w:rsid w:val="48AF1997"/>
    <w:rsid w:val="48B013B1"/>
    <w:rsid w:val="48C03C76"/>
    <w:rsid w:val="48C4391C"/>
    <w:rsid w:val="48C775B3"/>
    <w:rsid w:val="48C93E5F"/>
    <w:rsid w:val="48CB3363"/>
    <w:rsid w:val="48CD72ED"/>
    <w:rsid w:val="48D2515B"/>
    <w:rsid w:val="48DF3161"/>
    <w:rsid w:val="48EB6461"/>
    <w:rsid w:val="48F10FE7"/>
    <w:rsid w:val="48F14F18"/>
    <w:rsid w:val="48F7551F"/>
    <w:rsid w:val="48FD2C21"/>
    <w:rsid w:val="48FF04F9"/>
    <w:rsid w:val="4903586B"/>
    <w:rsid w:val="49131BB2"/>
    <w:rsid w:val="49160122"/>
    <w:rsid w:val="49186988"/>
    <w:rsid w:val="492822E2"/>
    <w:rsid w:val="49284D7B"/>
    <w:rsid w:val="492E4E74"/>
    <w:rsid w:val="4931444D"/>
    <w:rsid w:val="494F46CF"/>
    <w:rsid w:val="495236C0"/>
    <w:rsid w:val="4961011A"/>
    <w:rsid w:val="497751F7"/>
    <w:rsid w:val="49845D29"/>
    <w:rsid w:val="499A2986"/>
    <w:rsid w:val="499F7F0B"/>
    <w:rsid w:val="49A200E2"/>
    <w:rsid w:val="49A72FB2"/>
    <w:rsid w:val="49AD58E5"/>
    <w:rsid w:val="49B133BD"/>
    <w:rsid w:val="49B75190"/>
    <w:rsid w:val="49BE4B6A"/>
    <w:rsid w:val="49C72642"/>
    <w:rsid w:val="49CC519F"/>
    <w:rsid w:val="49D60DA0"/>
    <w:rsid w:val="49DC64FA"/>
    <w:rsid w:val="49DD13EB"/>
    <w:rsid w:val="49E07403"/>
    <w:rsid w:val="49EA6878"/>
    <w:rsid w:val="49EA7095"/>
    <w:rsid w:val="49F15863"/>
    <w:rsid w:val="49F242C9"/>
    <w:rsid w:val="49F44FF0"/>
    <w:rsid w:val="4A030844"/>
    <w:rsid w:val="4A0D7F42"/>
    <w:rsid w:val="4A130CD4"/>
    <w:rsid w:val="4A1B647C"/>
    <w:rsid w:val="4A2A2D74"/>
    <w:rsid w:val="4A2B6F2D"/>
    <w:rsid w:val="4A381CE6"/>
    <w:rsid w:val="4A407EA2"/>
    <w:rsid w:val="4A541C13"/>
    <w:rsid w:val="4A7364C9"/>
    <w:rsid w:val="4A7D7215"/>
    <w:rsid w:val="4A845BD3"/>
    <w:rsid w:val="4A8D52FB"/>
    <w:rsid w:val="4A8D56DE"/>
    <w:rsid w:val="4A981A8C"/>
    <w:rsid w:val="4A9E3173"/>
    <w:rsid w:val="4AB33A2C"/>
    <w:rsid w:val="4AB47A12"/>
    <w:rsid w:val="4AB538C9"/>
    <w:rsid w:val="4AB73F19"/>
    <w:rsid w:val="4AB97C54"/>
    <w:rsid w:val="4ABE260E"/>
    <w:rsid w:val="4ACF0F07"/>
    <w:rsid w:val="4AD66CD6"/>
    <w:rsid w:val="4AD74653"/>
    <w:rsid w:val="4AE07DFB"/>
    <w:rsid w:val="4AE23121"/>
    <w:rsid w:val="4AEC627C"/>
    <w:rsid w:val="4AEE16B8"/>
    <w:rsid w:val="4AEF24ED"/>
    <w:rsid w:val="4AF96CB6"/>
    <w:rsid w:val="4AFD5169"/>
    <w:rsid w:val="4AFF2D46"/>
    <w:rsid w:val="4B093295"/>
    <w:rsid w:val="4B0C06DC"/>
    <w:rsid w:val="4B184095"/>
    <w:rsid w:val="4B2043B8"/>
    <w:rsid w:val="4B285F31"/>
    <w:rsid w:val="4B406692"/>
    <w:rsid w:val="4B480D45"/>
    <w:rsid w:val="4B492A3B"/>
    <w:rsid w:val="4B497029"/>
    <w:rsid w:val="4B5C74E9"/>
    <w:rsid w:val="4B5F25AA"/>
    <w:rsid w:val="4B5F3ED9"/>
    <w:rsid w:val="4B605F8F"/>
    <w:rsid w:val="4B634726"/>
    <w:rsid w:val="4B7D0C82"/>
    <w:rsid w:val="4B8F6E14"/>
    <w:rsid w:val="4B9304A5"/>
    <w:rsid w:val="4B951AD0"/>
    <w:rsid w:val="4B9809FD"/>
    <w:rsid w:val="4B9B1676"/>
    <w:rsid w:val="4BAB1C93"/>
    <w:rsid w:val="4BB0472C"/>
    <w:rsid w:val="4BB41CBD"/>
    <w:rsid w:val="4BBB33A6"/>
    <w:rsid w:val="4BBE46DB"/>
    <w:rsid w:val="4BC472D1"/>
    <w:rsid w:val="4BC54E66"/>
    <w:rsid w:val="4BCD57A7"/>
    <w:rsid w:val="4BCF788F"/>
    <w:rsid w:val="4BD84E75"/>
    <w:rsid w:val="4BDC5224"/>
    <w:rsid w:val="4BE76065"/>
    <w:rsid w:val="4BEA3BEA"/>
    <w:rsid w:val="4BEC4DB3"/>
    <w:rsid w:val="4BF149C3"/>
    <w:rsid w:val="4BF9780B"/>
    <w:rsid w:val="4BFA4125"/>
    <w:rsid w:val="4C020E7B"/>
    <w:rsid w:val="4C1B676A"/>
    <w:rsid w:val="4C23448B"/>
    <w:rsid w:val="4C345224"/>
    <w:rsid w:val="4C4C2771"/>
    <w:rsid w:val="4C543B22"/>
    <w:rsid w:val="4C546A54"/>
    <w:rsid w:val="4C5566D7"/>
    <w:rsid w:val="4C644E8C"/>
    <w:rsid w:val="4C742D40"/>
    <w:rsid w:val="4C743579"/>
    <w:rsid w:val="4C746C1E"/>
    <w:rsid w:val="4C7C48A7"/>
    <w:rsid w:val="4C7C506B"/>
    <w:rsid w:val="4C7E1155"/>
    <w:rsid w:val="4CA17447"/>
    <w:rsid w:val="4CA65C32"/>
    <w:rsid w:val="4CA87F80"/>
    <w:rsid w:val="4CBB0A14"/>
    <w:rsid w:val="4CCB4740"/>
    <w:rsid w:val="4CCD1A64"/>
    <w:rsid w:val="4CD251A8"/>
    <w:rsid w:val="4CD52E3E"/>
    <w:rsid w:val="4CE57A8E"/>
    <w:rsid w:val="4CE94821"/>
    <w:rsid w:val="4CFB55CD"/>
    <w:rsid w:val="4D072D79"/>
    <w:rsid w:val="4D145D5B"/>
    <w:rsid w:val="4D175295"/>
    <w:rsid w:val="4D17778C"/>
    <w:rsid w:val="4D22456E"/>
    <w:rsid w:val="4D281D25"/>
    <w:rsid w:val="4D2C015A"/>
    <w:rsid w:val="4D473BE7"/>
    <w:rsid w:val="4D5544C8"/>
    <w:rsid w:val="4D616AAD"/>
    <w:rsid w:val="4D671BE9"/>
    <w:rsid w:val="4D6D7AFE"/>
    <w:rsid w:val="4D6E78A0"/>
    <w:rsid w:val="4D700D45"/>
    <w:rsid w:val="4D73778C"/>
    <w:rsid w:val="4D745DFC"/>
    <w:rsid w:val="4D8663D0"/>
    <w:rsid w:val="4D8F10BC"/>
    <w:rsid w:val="4D8F631A"/>
    <w:rsid w:val="4D9518CE"/>
    <w:rsid w:val="4D987A0C"/>
    <w:rsid w:val="4DA2170E"/>
    <w:rsid w:val="4DA226DD"/>
    <w:rsid w:val="4DAC26BA"/>
    <w:rsid w:val="4DB82445"/>
    <w:rsid w:val="4DBC6884"/>
    <w:rsid w:val="4DE90850"/>
    <w:rsid w:val="4DEE07CD"/>
    <w:rsid w:val="4DF010A0"/>
    <w:rsid w:val="4DF52966"/>
    <w:rsid w:val="4DF633EF"/>
    <w:rsid w:val="4DFA2A5E"/>
    <w:rsid w:val="4E0361F9"/>
    <w:rsid w:val="4E056A63"/>
    <w:rsid w:val="4E096E2C"/>
    <w:rsid w:val="4E0A0EF3"/>
    <w:rsid w:val="4E0B4471"/>
    <w:rsid w:val="4E131941"/>
    <w:rsid w:val="4E210361"/>
    <w:rsid w:val="4E34712A"/>
    <w:rsid w:val="4E37534F"/>
    <w:rsid w:val="4E3A1C2D"/>
    <w:rsid w:val="4E413429"/>
    <w:rsid w:val="4E463A07"/>
    <w:rsid w:val="4E4F7006"/>
    <w:rsid w:val="4E5403C0"/>
    <w:rsid w:val="4E567965"/>
    <w:rsid w:val="4E571C5E"/>
    <w:rsid w:val="4E5879FD"/>
    <w:rsid w:val="4E5B246B"/>
    <w:rsid w:val="4E6A6162"/>
    <w:rsid w:val="4E6A7AAB"/>
    <w:rsid w:val="4E6F7F3D"/>
    <w:rsid w:val="4E77126F"/>
    <w:rsid w:val="4E870CEC"/>
    <w:rsid w:val="4E932227"/>
    <w:rsid w:val="4E951779"/>
    <w:rsid w:val="4E9D5E6B"/>
    <w:rsid w:val="4EA310EA"/>
    <w:rsid w:val="4EA86FD4"/>
    <w:rsid w:val="4EAB5E7F"/>
    <w:rsid w:val="4EAB7B87"/>
    <w:rsid w:val="4EB27D68"/>
    <w:rsid w:val="4EBD0D68"/>
    <w:rsid w:val="4ECA4D18"/>
    <w:rsid w:val="4ED27FEC"/>
    <w:rsid w:val="4ED432AF"/>
    <w:rsid w:val="4EDB463D"/>
    <w:rsid w:val="4EDD4F23"/>
    <w:rsid w:val="4EDE2A17"/>
    <w:rsid w:val="4EF82C0F"/>
    <w:rsid w:val="4F004888"/>
    <w:rsid w:val="4F1705ED"/>
    <w:rsid w:val="4F1B405C"/>
    <w:rsid w:val="4F221450"/>
    <w:rsid w:val="4F39547D"/>
    <w:rsid w:val="4F471CD3"/>
    <w:rsid w:val="4F5831BF"/>
    <w:rsid w:val="4F5E50E8"/>
    <w:rsid w:val="4F6065C7"/>
    <w:rsid w:val="4F67737B"/>
    <w:rsid w:val="4F766114"/>
    <w:rsid w:val="4F944AF3"/>
    <w:rsid w:val="4F954AE5"/>
    <w:rsid w:val="4F986314"/>
    <w:rsid w:val="4F9B48E0"/>
    <w:rsid w:val="4FB547BF"/>
    <w:rsid w:val="4FD46E5C"/>
    <w:rsid w:val="4FD518A8"/>
    <w:rsid w:val="4FDA66A3"/>
    <w:rsid w:val="4FDA7262"/>
    <w:rsid w:val="4FFB4A12"/>
    <w:rsid w:val="4FFB53F6"/>
    <w:rsid w:val="500B08C0"/>
    <w:rsid w:val="500B2D00"/>
    <w:rsid w:val="50136893"/>
    <w:rsid w:val="50187BDC"/>
    <w:rsid w:val="501A6B51"/>
    <w:rsid w:val="50271C76"/>
    <w:rsid w:val="503750F7"/>
    <w:rsid w:val="503754C6"/>
    <w:rsid w:val="50435E55"/>
    <w:rsid w:val="50486282"/>
    <w:rsid w:val="50511B72"/>
    <w:rsid w:val="50693BBD"/>
    <w:rsid w:val="50700EA1"/>
    <w:rsid w:val="50795EBC"/>
    <w:rsid w:val="507D3970"/>
    <w:rsid w:val="508825A3"/>
    <w:rsid w:val="508D1967"/>
    <w:rsid w:val="50A73E3F"/>
    <w:rsid w:val="50B109AF"/>
    <w:rsid w:val="50B9275C"/>
    <w:rsid w:val="50C9265F"/>
    <w:rsid w:val="50C954CC"/>
    <w:rsid w:val="50D856A5"/>
    <w:rsid w:val="50E20B5E"/>
    <w:rsid w:val="511E4CB5"/>
    <w:rsid w:val="5124051D"/>
    <w:rsid w:val="5128530D"/>
    <w:rsid w:val="512C2F2E"/>
    <w:rsid w:val="512E314A"/>
    <w:rsid w:val="51352AE5"/>
    <w:rsid w:val="513A20EB"/>
    <w:rsid w:val="51404C2B"/>
    <w:rsid w:val="51475B9B"/>
    <w:rsid w:val="514F764A"/>
    <w:rsid w:val="51516E38"/>
    <w:rsid w:val="515446F4"/>
    <w:rsid w:val="515C44D2"/>
    <w:rsid w:val="51607C8A"/>
    <w:rsid w:val="51646F20"/>
    <w:rsid w:val="51694C80"/>
    <w:rsid w:val="5173358C"/>
    <w:rsid w:val="51764AF1"/>
    <w:rsid w:val="51815C53"/>
    <w:rsid w:val="51866838"/>
    <w:rsid w:val="518F0997"/>
    <w:rsid w:val="518F457C"/>
    <w:rsid w:val="51917235"/>
    <w:rsid w:val="519E06BD"/>
    <w:rsid w:val="51A94649"/>
    <w:rsid w:val="51AD7117"/>
    <w:rsid w:val="51B71FD1"/>
    <w:rsid w:val="51BA3A7E"/>
    <w:rsid w:val="51CD59F0"/>
    <w:rsid w:val="51D37172"/>
    <w:rsid w:val="51DA6316"/>
    <w:rsid w:val="51EE44F3"/>
    <w:rsid w:val="51EE4687"/>
    <w:rsid w:val="51FE1BA6"/>
    <w:rsid w:val="51FF0643"/>
    <w:rsid w:val="5201085F"/>
    <w:rsid w:val="52115C1C"/>
    <w:rsid w:val="521554B5"/>
    <w:rsid w:val="521C7446"/>
    <w:rsid w:val="521E385D"/>
    <w:rsid w:val="521F3230"/>
    <w:rsid w:val="522A6D57"/>
    <w:rsid w:val="522F077A"/>
    <w:rsid w:val="52306B3C"/>
    <w:rsid w:val="52387FCD"/>
    <w:rsid w:val="523924E1"/>
    <w:rsid w:val="524E1C99"/>
    <w:rsid w:val="525055C6"/>
    <w:rsid w:val="525700F4"/>
    <w:rsid w:val="525A5EFE"/>
    <w:rsid w:val="526724C9"/>
    <w:rsid w:val="52692625"/>
    <w:rsid w:val="526B3F2A"/>
    <w:rsid w:val="527E1DD7"/>
    <w:rsid w:val="527F727E"/>
    <w:rsid w:val="52860453"/>
    <w:rsid w:val="52983A2D"/>
    <w:rsid w:val="52993E93"/>
    <w:rsid w:val="529E0439"/>
    <w:rsid w:val="52A511EA"/>
    <w:rsid w:val="52A835F0"/>
    <w:rsid w:val="52AC20F1"/>
    <w:rsid w:val="52AE2585"/>
    <w:rsid w:val="52BD4667"/>
    <w:rsid w:val="52C33D66"/>
    <w:rsid w:val="52C4650C"/>
    <w:rsid w:val="52C75BB0"/>
    <w:rsid w:val="52C9432D"/>
    <w:rsid w:val="52D16FF2"/>
    <w:rsid w:val="52DB5A3F"/>
    <w:rsid w:val="52DC0984"/>
    <w:rsid w:val="52E674BE"/>
    <w:rsid w:val="52EB47AC"/>
    <w:rsid w:val="52EC48FA"/>
    <w:rsid w:val="52FC2DD4"/>
    <w:rsid w:val="53005A6E"/>
    <w:rsid w:val="53073C53"/>
    <w:rsid w:val="530748DF"/>
    <w:rsid w:val="53222E14"/>
    <w:rsid w:val="532E143D"/>
    <w:rsid w:val="53300FB6"/>
    <w:rsid w:val="533019DA"/>
    <w:rsid w:val="53475D3A"/>
    <w:rsid w:val="53655A80"/>
    <w:rsid w:val="536746F1"/>
    <w:rsid w:val="53682217"/>
    <w:rsid w:val="53837051"/>
    <w:rsid w:val="538B42DE"/>
    <w:rsid w:val="539E6AA6"/>
    <w:rsid w:val="53A60DD5"/>
    <w:rsid w:val="53A87967"/>
    <w:rsid w:val="53C45732"/>
    <w:rsid w:val="53CC5E1A"/>
    <w:rsid w:val="53D004E8"/>
    <w:rsid w:val="53D127E7"/>
    <w:rsid w:val="53D55AFF"/>
    <w:rsid w:val="53DC25ED"/>
    <w:rsid w:val="53DC7670"/>
    <w:rsid w:val="53E06252"/>
    <w:rsid w:val="53EC1861"/>
    <w:rsid w:val="53F76048"/>
    <w:rsid w:val="53FF4B4B"/>
    <w:rsid w:val="540B2A98"/>
    <w:rsid w:val="541D7BA6"/>
    <w:rsid w:val="54282908"/>
    <w:rsid w:val="542B3971"/>
    <w:rsid w:val="542F35D9"/>
    <w:rsid w:val="542F444C"/>
    <w:rsid w:val="543876E2"/>
    <w:rsid w:val="543A3C6A"/>
    <w:rsid w:val="543C16DA"/>
    <w:rsid w:val="543C7CB2"/>
    <w:rsid w:val="54492E7E"/>
    <w:rsid w:val="545729B8"/>
    <w:rsid w:val="54576514"/>
    <w:rsid w:val="545F6B68"/>
    <w:rsid w:val="54703B76"/>
    <w:rsid w:val="54AF37EA"/>
    <w:rsid w:val="54C16897"/>
    <w:rsid w:val="54CF1AAB"/>
    <w:rsid w:val="54ED448D"/>
    <w:rsid w:val="54F55A9E"/>
    <w:rsid w:val="55010C6B"/>
    <w:rsid w:val="55025A45"/>
    <w:rsid w:val="55057239"/>
    <w:rsid w:val="55092FAD"/>
    <w:rsid w:val="55194651"/>
    <w:rsid w:val="551B1C37"/>
    <w:rsid w:val="551E3960"/>
    <w:rsid w:val="5536081F"/>
    <w:rsid w:val="55375455"/>
    <w:rsid w:val="553920BD"/>
    <w:rsid w:val="556154BA"/>
    <w:rsid w:val="55693B1A"/>
    <w:rsid w:val="5585712D"/>
    <w:rsid w:val="5587107B"/>
    <w:rsid w:val="558D4110"/>
    <w:rsid w:val="559912AF"/>
    <w:rsid w:val="559961B4"/>
    <w:rsid w:val="55AA6225"/>
    <w:rsid w:val="55AE6718"/>
    <w:rsid w:val="55AF0FD8"/>
    <w:rsid w:val="55BA1450"/>
    <w:rsid w:val="55C027DF"/>
    <w:rsid w:val="55C51A03"/>
    <w:rsid w:val="55EC13BA"/>
    <w:rsid w:val="55F94F8E"/>
    <w:rsid w:val="56004989"/>
    <w:rsid w:val="56110C10"/>
    <w:rsid w:val="561428C1"/>
    <w:rsid w:val="56150EB3"/>
    <w:rsid w:val="561901FA"/>
    <w:rsid w:val="561E2D2C"/>
    <w:rsid w:val="561F3CB6"/>
    <w:rsid w:val="56233904"/>
    <w:rsid w:val="562543F0"/>
    <w:rsid w:val="56796C5B"/>
    <w:rsid w:val="56803E23"/>
    <w:rsid w:val="568E1D15"/>
    <w:rsid w:val="56955916"/>
    <w:rsid w:val="569A6E40"/>
    <w:rsid w:val="56A1545C"/>
    <w:rsid w:val="56AB208B"/>
    <w:rsid w:val="56AE6EA8"/>
    <w:rsid w:val="56B83943"/>
    <w:rsid w:val="56BA113F"/>
    <w:rsid w:val="56C41882"/>
    <w:rsid w:val="56D54E6B"/>
    <w:rsid w:val="56DC53F6"/>
    <w:rsid w:val="56DD6FA5"/>
    <w:rsid w:val="56DF626B"/>
    <w:rsid w:val="56E147BB"/>
    <w:rsid w:val="56EC2D4F"/>
    <w:rsid w:val="56FA2C14"/>
    <w:rsid w:val="56FB3FF9"/>
    <w:rsid w:val="56FD2198"/>
    <w:rsid w:val="57114899"/>
    <w:rsid w:val="5718099E"/>
    <w:rsid w:val="571F4340"/>
    <w:rsid w:val="572409FC"/>
    <w:rsid w:val="57380C37"/>
    <w:rsid w:val="5739626B"/>
    <w:rsid w:val="573B036F"/>
    <w:rsid w:val="574717EA"/>
    <w:rsid w:val="574E13AD"/>
    <w:rsid w:val="574F53B0"/>
    <w:rsid w:val="576752CD"/>
    <w:rsid w:val="577522C7"/>
    <w:rsid w:val="57861513"/>
    <w:rsid w:val="5789573D"/>
    <w:rsid w:val="578C704A"/>
    <w:rsid w:val="57981B34"/>
    <w:rsid w:val="579A1FB5"/>
    <w:rsid w:val="579B7EDC"/>
    <w:rsid w:val="579D00EF"/>
    <w:rsid w:val="57A13883"/>
    <w:rsid w:val="57A2525D"/>
    <w:rsid w:val="57A32FBE"/>
    <w:rsid w:val="57B671D8"/>
    <w:rsid w:val="57BF3979"/>
    <w:rsid w:val="57E74CF7"/>
    <w:rsid w:val="57E825D4"/>
    <w:rsid w:val="57F14B3C"/>
    <w:rsid w:val="57F413E2"/>
    <w:rsid w:val="57F70468"/>
    <w:rsid w:val="581329DA"/>
    <w:rsid w:val="581D1822"/>
    <w:rsid w:val="58230D38"/>
    <w:rsid w:val="5837317F"/>
    <w:rsid w:val="58385FF7"/>
    <w:rsid w:val="583B5B3E"/>
    <w:rsid w:val="583B6401"/>
    <w:rsid w:val="584157D2"/>
    <w:rsid w:val="584331DC"/>
    <w:rsid w:val="586036A7"/>
    <w:rsid w:val="586D0393"/>
    <w:rsid w:val="586E6522"/>
    <w:rsid w:val="58701AD4"/>
    <w:rsid w:val="587F7ED1"/>
    <w:rsid w:val="589D49D4"/>
    <w:rsid w:val="589D5EBC"/>
    <w:rsid w:val="58A219B7"/>
    <w:rsid w:val="58A2448A"/>
    <w:rsid w:val="58A45E46"/>
    <w:rsid w:val="58C06677"/>
    <w:rsid w:val="58C17993"/>
    <w:rsid w:val="58DF2666"/>
    <w:rsid w:val="58E93DFA"/>
    <w:rsid w:val="58F632BA"/>
    <w:rsid w:val="590E7B63"/>
    <w:rsid w:val="5911704A"/>
    <w:rsid w:val="591E31B2"/>
    <w:rsid w:val="593239B2"/>
    <w:rsid w:val="59350F8E"/>
    <w:rsid w:val="593B4656"/>
    <w:rsid w:val="593D52A0"/>
    <w:rsid w:val="594279D7"/>
    <w:rsid w:val="59434133"/>
    <w:rsid w:val="596145CC"/>
    <w:rsid w:val="59796DE8"/>
    <w:rsid w:val="59883A58"/>
    <w:rsid w:val="5996188C"/>
    <w:rsid w:val="599A30CF"/>
    <w:rsid w:val="59AE331A"/>
    <w:rsid w:val="59B1531E"/>
    <w:rsid w:val="59B31432"/>
    <w:rsid w:val="59B86BB4"/>
    <w:rsid w:val="59BC5BAA"/>
    <w:rsid w:val="59C52172"/>
    <w:rsid w:val="59DC530F"/>
    <w:rsid w:val="59DD0BC9"/>
    <w:rsid w:val="59DE647C"/>
    <w:rsid w:val="59EC3697"/>
    <w:rsid w:val="59EE732A"/>
    <w:rsid w:val="59F24F64"/>
    <w:rsid w:val="59F83A7F"/>
    <w:rsid w:val="5A063D38"/>
    <w:rsid w:val="5A142786"/>
    <w:rsid w:val="5A2B00AB"/>
    <w:rsid w:val="5A3A281E"/>
    <w:rsid w:val="5A3C6AE3"/>
    <w:rsid w:val="5A455061"/>
    <w:rsid w:val="5A4C6AB4"/>
    <w:rsid w:val="5A4C6EDF"/>
    <w:rsid w:val="5A517945"/>
    <w:rsid w:val="5A60354C"/>
    <w:rsid w:val="5A684474"/>
    <w:rsid w:val="5A807B8B"/>
    <w:rsid w:val="5A8B483A"/>
    <w:rsid w:val="5A9B3CFD"/>
    <w:rsid w:val="5AA20705"/>
    <w:rsid w:val="5AAD0BDB"/>
    <w:rsid w:val="5AB10E32"/>
    <w:rsid w:val="5AB4562E"/>
    <w:rsid w:val="5AC44599"/>
    <w:rsid w:val="5ADF07E8"/>
    <w:rsid w:val="5AE62882"/>
    <w:rsid w:val="5AE979C9"/>
    <w:rsid w:val="5AEC6396"/>
    <w:rsid w:val="5AF50835"/>
    <w:rsid w:val="5B07328E"/>
    <w:rsid w:val="5B372BFB"/>
    <w:rsid w:val="5B376556"/>
    <w:rsid w:val="5B393C4D"/>
    <w:rsid w:val="5B4165B4"/>
    <w:rsid w:val="5B451EA5"/>
    <w:rsid w:val="5B4812AC"/>
    <w:rsid w:val="5B490B80"/>
    <w:rsid w:val="5B5F159B"/>
    <w:rsid w:val="5B750D47"/>
    <w:rsid w:val="5B75231F"/>
    <w:rsid w:val="5B7610DF"/>
    <w:rsid w:val="5B7B1DBC"/>
    <w:rsid w:val="5B820CEA"/>
    <w:rsid w:val="5B830C39"/>
    <w:rsid w:val="5B841BB9"/>
    <w:rsid w:val="5B9718EC"/>
    <w:rsid w:val="5BB029AE"/>
    <w:rsid w:val="5BC815A9"/>
    <w:rsid w:val="5BDF10EC"/>
    <w:rsid w:val="5BE11AD0"/>
    <w:rsid w:val="5BF65E4A"/>
    <w:rsid w:val="5BF937FD"/>
    <w:rsid w:val="5BFC5DEF"/>
    <w:rsid w:val="5C031C08"/>
    <w:rsid w:val="5C073493"/>
    <w:rsid w:val="5C08313A"/>
    <w:rsid w:val="5C17669D"/>
    <w:rsid w:val="5C271679"/>
    <w:rsid w:val="5C277A24"/>
    <w:rsid w:val="5C284D5E"/>
    <w:rsid w:val="5C2C3EF8"/>
    <w:rsid w:val="5C2F6D78"/>
    <w:rsid w:val="5C3071E6"/>
    <w:rsid w:val="5C364792"/>
    <w:rsid w:val="5C4707B9"/>
    <w:rsid w:val="5C526139"/>
    <w:rsid w:val="5C5675E5"/>
    <w:rsid w:val="5C58418A"/>
    <w:rsid w:val="5C5F5E7F"/>
    <w:rsid w:val="5C646B0E"/>
    <w:rsid w:val="5C65426F"/>
    <w:rsid w:val="5C731A7F"/>
    <w:rsid w:val="5C7569AD"/>
    <w:rsid w:val="5C79308E"/>
    <w:rsid w:val="5CAF2C03"/>
    <w:rsid w:val="5CAF2C65"/>
    <w:rsid w:val="5CD062DF"/>
    <w:rsid w:val="5CD27D37"/>
    <w:rsid w:val="5CD36B2E"/>
    <w:rsid w:val="5CD4779E"/>
    <w:rsid w:val="5CD677DA"/>
    <w:rsid w:val="5CD821BC"/>
    <w:rsid w:val="5CDE27BC"/>
    <w:rsid w:val="5CFA08CD"/>
    <w:rsid w:val="5CFA7A52"/>
    <w:rsid w:val="5CFC234E"/>
    <w:rsid w:val="5D137532"/>
    <w:rsid w:val="5D157C88"/>
    <w:rsid w:val="5D1E0ED1"/>
    <w:rsid w:val="5D26445F"/>
    <w:rsid w:val="5D374EE4"/>
    <w:rsid w:val="5D3E2967"/>
    <w:rsid w:val="5D496913"/>
    <w:rsid w:val="5D604E1A"/>
    <w:rsid w:val="5D613ECE"/>
    <w:rsid w:val="5D6A6E55"/>
    <w:rsid w:val="5D6E48CE"/>
    <w:rsid w:val="5D76283E"/>
    <w:rsid w:val="5D8306C9"/>
    <w:rsid w:val="5D842A1D"/>
    <w:rsid w:val="5DA8084F"/>
    <w:rsid w:val="5DB20FCB"/>
    <w:rsid w:val="5DB46785"/>
    <w:rsid w:val="5DB70023"/>
    <w:rsid w:val="5DD74976"/>
    <w:rsid w:val="5DE51229"/>
    <w:rsid w:val="5DF31E43"/>
    <w:rsid w:val="5E021953"/>
    <w:rsid w:val="5E036527"/>
    <w:rsid w:val="5E04757B"/>
    <w:rsid w:val="5E087B7C"/>
    <w:rsid w:val="5E0E54E0"/>
    <w:rsid w:val="5E1B5A25"/>
    <w:rsid w:val="5E207E63"/>
    <w:rsid w:val="5E26770E"/>
    <w:rsid w:val="5E3E0745"/>
    <w:rsid w:val="5E4565B9"/>
    <w:rsid w:val="5E4B0A93"/>
    <w:rsid w:val="5E510478"/>
    <w:rsid w:val="5E785A05"/>
    <w:rsid w:val="5E7E1766"/>
    <w:rsid w:val="5E8F38D1"/>
    <w:rsid w:val="5E927AEF"/>
    <w:rsid w:val="5EB37363"/>
    <w:rsid w:val="5EBA5D65"/>
    <w:rsid w:val="5EBF4211"/>
    <w:rsid w:val="5EC4031F"/>
    <w:rsid w:val="5EC6445F"/>
    <w:rsid w:val="5ED50336"/>
    <w:rsid w:val="5ED65319"/>
    <w:rsid w:val="5EEB5E61"/>
    <w:rsid w:val="5EF1586C"/>
    <w:rsid w:val="5F2141F8"/>
    <w:rsid w:val="5F274BAB"/>
    <w:rsid w:val="5F3538F6"/>
    <w:rsid w:val="5F37588A"/>
    <w:rsid w:val="5F46047A"/>
    <w:rsid w:val="5F4A68D0"/>
    <w:rsid w:val="5F683CCB"/>
    <w:rsid w:val="5F6C200E"/>
    <w:rsid w:val="5F7A0801"/>
    <w:rsid w:val="5F843E24"/>
    <w:rsid w:val="5F8D62F8"/>
    <w:rsid w:val="5F9357E1"/>
    <w:rsid w:val="5F950838"/>
    <w:rsid w:val="5F974602"/>
    <w:rsid w:val="5FA23D09"/>
    <w:rsid w:val="5FAF32F9"/>
    <w:rsid w:val="5FAF7865"/>
    <w:rsid w:val="5FB24F46"/>
    <w:rsid w:val="5FB54A36"/>
    <w:rsid w:val="5FB5B2C3"/>
    <w:rsid w:val="5FB73F3B"/>
    <w:rsid w:val="5FBC3042"/>
    <w:rsid w:val="5FC67588"/>
    <w:rsid w:val="5FD046CB"/>
    <w:rsid w:val="5FE73D0E"/>
    <w:rsid w:val="5FF4728A"/>
    <w:rsid w:val="600225BA"/>
    <w:rsid w:val="60067040"/>
    <w:rsid w:val="6008140F"/>
    <w:rsid w:val="60086F0A"/>
    <w:rsid w:val="60107E81"/>
    <w:rsid w:val="601B4A47"/>
    <w:rsid w:val="601B4DC9"/>
    <w:rsid w:val="601E2CF6"/>
    <w:rsid w:val="60217A1A"/>
    <w:rsid w:val="603B2DDB"/>
    <w:rsid w:val="603C0CB4"/>
    <w:rsid w:val="604270E5"/>
    <w:rsid w:val="604D05E2"/>
    <w:rsid w:val="604E4DF4"/>
    <w:rsid w:val="604F6C39"/>
    <w:rsid w:val="605F20D7"/>
    <w:rsid w:val="60646418"/>
    <w:rsid w:val="60691264"/>
    <w:rsid w:val="606D52A1"/>
    <w:rsid w:val="607355F5"/>
    <w:rsid w:val="60761A02"/>
    <w:rsid w:val="607704D1"/>
    <w:rsid w:val="60867295"/>
    <w:rsid w:val="608D24C2"/>
    <w:rsid w:val="609452E7"/>
    <w:rsid w:val="609A3072"/>
    <w:rsid w:val="609E62ED"/>
    <w:rsid w:val="60A76608"/>
    <w:rsid w:val="60A80CA6"/>
    <w:rsid w:val="60A87DF2"/>
    <w:rsid w:val="60AA5707"/>
    <w:rsid w:val="60B26B24"/>
    <w:rsid w:val="60B322B3"/>
    <w:rsid w:val="60BF1DF9"/>
    <w:rsid w:val="60D31618"/>
    <w:rsid w:val="60D40EEC"/>
    <w:rsid w:val="60E00EC5"/>
    <w:rsid w:val="60EE0218"/>
    <w:rsid w:val="60F15CAC"/>
    <w:rsid w:val="60FA4B1B"/>
    <w:rsid w:val="60FE7FA1"/>
    <w:rsid w:val="610441FD"/>
    <w:rsid w:val="610544EA"/>
    <w:rsid w:val="61091E5D"/>
    <w:rsid w:val="610A7CB7"/>
    <w:rsid w:val="6110299F"/>
    <w:rsid w:val="61135EB8"/>
    <w:rsid w:val="61194BAA"/>
    <w:rsid w:val="611F56E1"/>
    <w:rsid w:val="61251694"/>
    <w:rsid w:val="61290528"/>
    <w:rsid w:val="61353591"/>
    <w:rsid w:val="614B40F4"/>
    <w:rsid w:val="614C4F26"/>
    <w:rsid w:val="6160227E"/>
    <w:rsid w:val="6162303C"/>
    <w:rsid w:val="616347B4"/>
    <w:rsid w:val="616E53C9"/>
    <w:rsid w:val="616F678F"/>
    <w:rsid w:val="61775741"/>
    <w:rsid w:val="618C32E6"/>
    <w:rsid w:val="61942B31"/>
    <w:rsid w:val="61B17E42"/>
    <w:rsid w:val="61BB3420"/>
    <w:rsid w:val="61D17319"/>
    <w:rsid w:val="61D81473"/>
    <w:rsid w:val="61E16082"/>
    <w:rsid w:val="61E27856"/>
    <w:rsid w:val="61F77AB6"/>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91671"/>
    <w:rsid w:val="62734B1F"/>
    <w:rsid w:val="62875AAB"/>
    <w:rsid w:val="62AB7783"/>
    <w:rsid w:val="62B30F03"/>
    <w:rsid w:val="62BC0D55"/>
    <w:rsid w:val="62BC6E3C"/>
    <w:rsid w:val="62C371A4"/>
    <w:rsid w:val="62CE7F7E"/>
    <w:rsid w:val="62E0150F"/>
    <w:rsid w:val="62E02F60"/>
    <w:rsid w:val="62F526E7"/>
    <w:rsid w:val="63106D5B"/>
    <w:rsid w:val="63163A3E"/>
    <w:rsid w:val="63293771"/>
    <w:rsid w:val="6332766D"/>
    <w:rsid w:val="633839B4"/>
    <w:rsid w:val="63396158"/>
    <w:rsid w:val="633C5B98"/>
    <w:rsid w:val="63430D2A"/>
    <w:rsid w:val="63473BF7"/>
    <w:rsid w:val="634D61C9"/>
    <w:rsid w:val="635C4C57"/>
    <w:rsid w:val="635C750D"/>
    <w:rsid w:val="63674CA4"/>
    <w:rsid w:val="63A54F06"/>
    <w:rsid w:val="63A64DC2"/>
    <w:rsid w:val="63AD43A2"/>
    <w:rsid w:val="63AD6951"/>
    <w:rsid w:val="63B16962"/>
    <w:rsid w:val="63BA2EDA"/>
    <w:rsid w:val="63BC45E5"/>
    <w:rsid w:val="63BD210C"/>
    <w:rsid w:val="63C01DCD"/>
    <w:rsid w:val="63C9624A"/>
    <w:rsid w:val="63CC601E"/>
    <w:rsid w:val="63D719DB"/>
    <w:rsid w:val="63E00AF9"/>
    <w:rsid w:val="63ED2003"/>
    <w:rsid w:val="63ED4724"/>
    <w:rsid w:val="63F80D94"/>
    <w:rsid w:val="63FE4BFE"/>
    <w:rsid w:val="63FF6FFC"/>
    <w:rsid w:val="64001A81"/>
    <w:rsid w:val="64026854"/>
    <w:rsid w:val="642411E7"/>
    <w:rsid w:val="64275647"/>
    <w:rsid w:val="643D2B73"/>
    <w:rsid w:val="644857E1"/>
    <w:rsid w:val="644A226C"/>
    <w:rsid w:val="64525187"/>
    <w:rsid w:val="64553A5C"/>
    <w:rsid w:val="6462771D"/>
    <w:rsid w:val="64750A67"/>
    <w:rsid w:val="647C3F26"/>
    <w:rsid w:val="648F4603"/>
    <w:rsid w:val="648F5A9F"/>
    <w:rsid w:val="64940BBC"/>
    <w:rsid w:val="649B7BC7"/>
    <w:rsid w:val="649D6000"/>
    <w:rsid w:val="649E7A0B"/>
    <w:rsid w:val="64A22D34"/>
    <w:rsid w:val="64AA08E2"/>
    <w:rsid w:val="64B01898"/>
    <w:rsid w:val="64B2181C"/>
    <w:rsid w:val="64BD6D1E"/>
    <w:rsid w:val="64CA3146"/>
    <w:rsid w:val="64CD5325"/>
    <w:rsid w:val="64CF2FBB"/>
    <w:rsid w:val="64D076D0"/>
    <w:rsid w:val="64D25ADC"/>
    <w:rsid w:val="64D8700C"/>
    <w:rsid w:val="64DA642E"/>
    <w:rsid w:val="64EF4547"/>
    <w:rsid w:val="64F7745F"/>
    <w:rsid w:val="64FB1BDE"/>
    <w:rsid w:val="650B1C07"/>
    <w:rsid w:val="650B7D83"/>
    <w:rsid w:val="65181CEF"/>
    <w:rsid w:val="651A5F91"/>
    <w:rsid w:val="652C5EB4"/>
    <w:rsid w:val="652E32C1"/>
    <w:rsid w:val="654B2836"/>
    <w:rsid w:val="6556509D"/>
    <w:rsid w:val="655F0D09"/>
    <w:rsid w:val="65680726"/>
    <w:rsid w:val="656A1F44"/>
    <w:rsid w:val="657F58CB"/>
    <w:rsid w:val="658159DC"/>
    <w:rsid w:val="65830371"/>
    <w:rsid w:val="658B146D"/>
    <w:rsid w:val="658E5B0E"/>
    <w:rsid w:val="659E70F4"/>
    <w:rsid w:val="65A76DE5"/>
    <w:rsid w:val="65BA079C"/>
    <w:rsid w:val="65D15B2B"/>
    <w:rsid w:val="65D75707"/>
    <w:rsid w:val="65DA2049"/>
    <w:rsid w:val="65E17BA8"/>
    <w:rsid w:val="65FA1534"/>
    <w:rsid w:val="65FA5D55"/>
    <w:rsid w:val="66020B60"/>
    <w:rsid w:val="660255FB"/>
    <w:rsid w:val="6609788A"/>
    <w:rsid w:val="66123D10"/>
    <w:rsid w:val="66133DAB"/>
    <w:rsid w:val="661A16F1"/>
    <w:rsid w:val="661C75BD"/>
    <w:rsid w:val="66216982"/>
    <w:rsid w:val="663D1055"/>
    <w:rsid w:val="663F14FE"/>
    <w:rsid w:val="664541E6"/>
    <w:rsid w:val="66474970"/>
    <w:rsid w:val="6648514C"/>
    <w:rsid w:val="664B39FF"/>
    <w:rsid w:val="66540B05"/>
    <w:rsid w:val="6663790C"/>
    <w:rsid w:val="66747232"/>
    <w:rsid w:val="66795452"/>
    <w:rsid w:val="667D15A4"/>
    <w:rsid w:val="667D7BC5"/>
    <w:rsid w:val="668215CB"/>
    <w:rsid w:val="66837765"/>
    <w:rsid w:val="668533B4"/>
    <w:rsid w:val="668E3210"/>
    <w:rsid w:val="669902AD"/>
    <w:rsid w:val="66A129BA"/>
    <w:rsid w:val="66A93610"/>
    <w:rsid w:val="66AB587F"/>
    <w:rsid w:val="66BE5961"/>
    <w:rsid w:val="66CD4D5B"/>
    <w:rsid w:val="66DA1819"/>
    <w:rsid w:val="66DC6F2C"/>
    <w:rsid w:val="66E016CA"/>
    <w:rsid w:val="66E83E34"/>
    <w:rsid w:val="66EF52A5"/>
    <w:rsid w:val="66F30D69"/>
    <w:rsid w:val="66FC72F7"/>
    <w:rsid w:val="670B0931"/>
    <w:rsid w:val="670F38E2"/>
    <w:rsid w:val="67120309"/>
    <w:rsid w:val="672B5443"/>
    <w:rsid w:val="67443AE9"/>
    <w:rsid w:val="67572F8F"/>
    <w:rsid w:val="675E333F"/>
    <w:rsid w:val="675E5570"/>
    <w:rsid w:val="6775322B"/>
    <w:rsid w:val="67776F9A"/>
    <w:rsid w:val="67893596"/>
    <w:rsid w:val="678A0557"/>
    <w:rsid w:val="67A11E8B"/>
    <w:rsid w:val="67A1760F"/>
    <w:rsid w:val="67BF023C"/>
    <w:rsid w:val="67CE2B39"/>
    <w:rsid w:val="67CE55FF"/>
    <w:rsid w:val="67D5557E"/>
    <w:rsid w:val="67E0047E"/>
    <w:rsid w:val="67F6293B"/>
    <w:rsid w:val="67F876A6"/>
    <w:rsid w:val="67FA187D"/>
    <w:rsid w:val="68037730"/>
    <w:rsid w:val="68142795"/>
    <w:rsid w:val="682561B1"/>
    <w:rsid w:val="68336430"/>
    <w:rsid w:val="683D2682"/>
    <w:rsid w:val="684F4B81"/>
    <w:rsid w:val="685149A2"/>
    <w:rsid w:val="68571975"/>
    <w:rsid w:val="685A79FC"/>
    <w:rsid w:val="68607A50"/>
    <w:rsid w:val="68611261"/>
    <w:rsid w:val="686A5EB8"/>
    <w:rsid w:val="68890D6D"/>
    <w:rsid w:val="688E4077"/>
    <w:rsid w:val="688F672B"/>
    <w:rsid w:val="688F6F87"/>
    <w:rsid w:val="68A17AAF"/>
    <w:rsid w:val="68B027B4"/>
    <w:rsid w:val="68BB1E56"/>
    <w:rsid w:val="68C42950"/>
    <w:rsid w:val="68DA74AF"/>
    <w:rsid w:val="68E05863"/>
    <w:rsid w:val="68EE64F5"/>
    <w:rsid w:val="69030B1E"/>
    <w:rsid w:val="69042303"/>
    <w:rsid w:val="69085C0C"/>
    <w:rsid w:val="691378B0"/>
    <w:rsid w:val="6920283B"/>
    <w:rsid w:val="692073C4"/>
    <w:rsid w:val="692D1AE1"/>
    <w:rsid w:val="693B41FE"/>
    <w:rsid w:val="6941314D"/>
    <w:rsid w:val="694330B3"/>
    <w:rsid w:val="69521130"/>
    <w:rsid w:val="69580133"/>
    <w:rsid w:val="69586E43"/>
    <w:rsid w:val="69662AFA"/>
    <w:rsid w:val="69672C6C"/>
    <w:rsid w:val="696A29B9"/>
    <w:rsid w:val="69746F00"/>
    <w:rsid w:val="69770527"/>
    <w:rsid w:val="698222FD"/>
    <w:rsid w:val="6985069B"/>
    <w:rsid w:val="699B7E45"/>
    <w:rsid w:val="69A0283E"/>
    <w:rsid w:val="69AD5538"/>
    <w:rsid w:val="69AF0748"/>
    <w:rsid w:val="69B4446C"/>
    <w:rsid w:val="69BA1C87"/>
    <w:rsid w:val="69E274C8"/>
    <w:rsid w:val="69E337C8"/>
    <w:rsid w:val="69E928CE"/>
    <w:rsid w:val="69EB79D2"/>
    <w:rsid w:val="69F4010D"/>
    <w:rsid w:val="69F70652"/>
    <w:rsid w:val="6A065174"/>
    <w:rsid w:val="6A1073EC"/>
    <w:rsid w:val="6A2004CE"/>
    <w:rsid w:val="6A2F6254"/>
    <w:rsid w:val="6A35394F"/>
    <w:rsid w:val="6A413EE6"/>
    <w:rsid w:val="6A417F71"/>
    <w:rsid w:val="6A4C4802"/>
    <w:rsid w:val="6A5779AC"/>
    <w:rsid w:val="6A6A1708"/>
    <w:rsid w:val="6A6C42F6"/>
    <w:rsid w:val="6A7513A2"/>
    <w:rsid w:val="6A7F636D"/>
    <w:rsid w:val="6A824822"/>
    <w:rsid w:val="6A86465B"/>
    <w:rsid w:val="6A8C267C"/>
    <w:rsid w:val="6AA103AC"/>
    <w:rsid w:val="6AA84B5B"/>
    <w:rsid w:val="6AAB3624"/>
    <w:rsid w:val="6AC46248"/>
    <w:rsid w:val="6AC75641"/>
    <w:rsid w:val="6ACE7ECF"/>
    <w:rsid w:val="6AD55603"/>
    <w:rsid w:val="6ADB14A0"/>
    <w:rsid w:val="6AE22AC5"/>
    <w:rsid w:val="6AE44653"/>
    <w:rsid w:val="6AF4054D"/>
    <w:rsid w:val="6AF42BA2"/>
    <w:rsid w:val="6AF86FBD"/>
    <w:rsid w:val="6B047FBB"/>
    <w:rsid w:val="6B054AC4"/>
    <w:rsid w:val="6B1430EB"/>
    <w:rsid w:val="6B184B73"/>
    <w:rsid w:val="6B1B3BDE"/>
    <w:rsid w:val="6B1B7E43"/>
    <w:rsid w:val="6B2040B3"/>
    <w:rsid w:val="6B2C02A3"/>
    <w:rsid w:val="6B3E0DFA"/>
    <w:rsid w:val="6B410AE7"/>
    <w:rsid w:val="6B453FFA"/>
    <w:rsid w:val="6B674FF6"/>
    <w:rsid w:val="6B74202F"/>
    <w:rsid w:val="6B81450D"/>
    <w:rsid w:val="6B8558F1"/>
    <w:rsid w:val="6B9416DB"/>
    <w:rsid w:val="6B9568EC"/>
    <w:rsid w:val="6BB838E4"/>
    <w:rsid w:val="6BC71567"/>
    <w:rsid w:val="6BCB1C20"/>
    <w:rsid w:val="6BCC4FD2"/>
    <w:rsid w:val="6BD10E4A"/>
    <w:rsid w:val="6BD22BED"/>
    <w:rsid w:val="6BE45057"/>
    <w:rsid w:val="6BF62C43"/>
    <w:rsid w:val="6BFB724A"/>
    <w:rsid w:val="6C056342"/>
    <w:rsid w:val="6C1573B9"/>
    <w:rsid w:val="6C1F12F7"/>
    <w:rsid w:val="6C2235BB"/>
    <w:rsid w:val="6C225202"/>
    <w:rsid w:val="6C2358F3"/>
    <w:rsid w:val="6C276CBC"/>
    <w:rsid w:val="6C285F16"/>
    <w:rsid w:val="6C2A1724"/>
    <w:rsid w:val="6C2B087F"/>
    <w:rsid w:val="6C3D08E7"/>
    <w:rsid w:val="6C477DAC"/>
    <w:rsid w:val="6C5775A1"/>
    <w:rsid w:val="6C5A499B"/>
    <w:rsid w:val="6C6736B1"/>
    <w:rsid w:val="6C6E5018"/>
    <w:rsid w:val="6C743C3C"/>
    <w:rsid w:val="6C781324"/>
    <w:rsid w:val="6C787634"/>
    <w:rsid w:val="6C8F6C9C"/>
    <w:rsid w:val="6CA83A9D"/>
    <w:rsid w:val="6CAE0FC7"/>
    <w:rsid w:val="6CB60E58"/>
    <w:rsid w:val="6CB90ABC"/>
    <w:rsid w:val="6CC16016"/>
    <w:rsid w:val="6CC17C43"/>
    <w:rsid w:val="6CCC1D14"/>
    <w:rsid w:val="6CE1750C"/>
    <w:rsid w:val="6CE32FE9"/>
    <w:rsid w:val="6CE60925"/>
    <w:rsid w:val="6CF50CAC"/>
    <w:rsid w:val="6CFA47C3"/>
    <w:rsid w:val="6D013069"/>
    <w:rsid w:val="6D062019"/>
    <w:rsid w:val="6D064B23"/>
    <w:rsid w:val="6D0A4253"/>
    <w:rsid w:val="6D17288C"/>
    <w:rsid w:val="6D1A0D57"/>
    <w:rsid w:val="6D234F26"/>
    <w:rsid w:val="6D413DAD"/>
    <w:rsid w:val="6D41740F"/>
    <w:rsid w:val="6D57537F"/>
    <w:rsid w:val="6D5A4924"/>
    <w:rsid w:val="6D5F1476"/>
    <w:rsid w:val="6D6131F6"/>
    <w:rsid w:val="6D6362FF"/>
    <w:rsid w:val="6D6908C9"/>
    <w:rsid w:val="6D7601A6"/>
    <w:rsid w:val="6D7B5A76"/>
    <w:rsid w:val="6D891B50"/>
    <w:rsid w:val="6D943EDD"/>
    <w:rsid w:val="6D95467F"/>
    <w:rsid w:val="6DA0720B"/>
    <w:rsid w:val="6DA305C4"/>
    <w:rsid w:val="6DB372B1"/>
    <w:rsid w:val="6DBA383E"/>
    <w:rsid w:val="6DBC4E4A"/>
    <w:rsid w:val="6DCF2747"/>
    <w:rsid w:val="6DE26E66"/>
    <w:rsid w:val="6DE50BDD"/>
    <w:rsid w:val="6DF24C07"/>
    <w:rsid w:val="6DF4133C"/>
    <w:rsid w:val="6DFE0A46"/>
    <w:rsid w:val="6E0342CB"/>
    <w:rsid w:val="6E046D6A"/>
    <w:rsid w:val="6E0A4EE7"/>
    <w:rsid w:val="6E1D77C2"/>
    <w:rsid w:val="6E1D7D06"/>
    <w:rsid w:val="6E275A60"/>
    <w:rsid w:val="6E2A4841"/>
    <w:rsid w:val="6E2D6A2F"/>
    <w:rsid w:val="6E392AF4"/>
    <w:rsid w:val="6E3B2A5B"/>
    <w:rsid w:val="6E4B7BC4"/>
    <w:rsid w:val="6E4D7F2E"/>
    <w:rsid w:val="6E6267FC"/>
    <w:rsid w:val="6E816EBD"/>
    <w:rsid w:val="6E892BF0"/>
    <w:rsid w:val="6E8B2C58"/>
    <w:rsid w:val="6E8E6B7E"/>
    <w:rsid w:val="6E922738"/>
    <w:rsid w:val="6E931C3F"/>
    <w:rsid w:val="6EB0012B"/>
    <w:rsid w:val="6EB849F5"/>
    <w:rsid w:val="6EC407F2"/>
    <w:rsid w:val="6EF33D14"/>
    <w:rsid w:val="6EF93A79"/>
    <w:rsid w:val="6F017A68"/>
    <w:rsid w:val="6F074C7D"/>
    <w:rsid w:val="6F095F3A"/>
    <w:rsid w:val="6F0B3914"/>
    <w:rsid w:val="6F196C7B"/>
    <w:rsid w:val="6F282B2F"/>
    <w:rsid w:val="6F35524C"/>
    <w:rsid w:val="6F3732CE"/>
    <w:rsid w:val="6F3D591D"/>
    <w:rsid w:val="6F4266DF"/>
    <w:rsid w:val="6F732F1F"/>
    <w:rsid w:val="6F7E3097"/>
    <w:rsid w:val="6F856F34"/>
    <w:rsid w:val="6F881695"/>
    <w:rsid w:val="6F8C16B9"/>
    <w:rsid w:val="6F92194C"/>
    <w:rsid w:val="6F9419CB"/>
    <w:rsid w:val="6F997777"/>
    <w:rsid w:val="6FA02B20"/>
    <w:rsid w:val="6FA80114"/>
    <w:rsid w:val="6FAC2382"/>
    <w:rsid w:val="6FAD0342"/>
    <w:rsid w:val="6FB6638D"/>
    <w:rsid w:val="6FC13DD2"/>
    <w:rsid w:val="6FCD418C"/>
    <w:rsid w:val="6FE83720"/>
    <w:rsid w:val="6FEF7197"/>
    <w:rsid w:val="6FEF7D8A"/>
    <w:rsid w:val="6FFD2BE7"/>
    <w:rsid w:val="70006A1E"/>
    <w:rsid w:val="70050220"/>
    <w:rsid w:val="70076EA8"/>
    <w:rsid w:val="701B08E6"/>
    <w:rsid w:val="702C5E4F"/>
    <w:rsid w:val="703062FD"/>
    <w:rsid w:val="703A2C04"/>
    <w:rsid w:val="70457711"/>
    <w:rsid w:val="70486DDE"/>
    <w:rsid w:val="70556940"/>
    <w:rsid w:val="705975BD"/>
    <w:rsid w:val="705F4C76"/>
    <w:rsid w:val="70677361"/>
    <w:rsid w:val="706A0FD7"/>
    <w:rsid w:val="706E5D89"/>
    <w:rsid w:val="70762356"/>
    <w:rsid w:val="70781894"/>
    <w:rsid w:val="70827379"/>
    <w:rsid w:val="70846B10"/>
    <w:rsid w:val="708F5CC6"/>
    <w:rsid w:val="709C3833"/>
    <w:rsid w:val="70A00DEB"/>
    <w:rsid w:val="70A51E7A"/>
    <w:rsid w:val="70A94695"/>
    <w:rsid w:val="70AE1665"/>
    <w:rsid w:val="70C54A88"/>
    <w:rsid w:val="70C64C13"/>
    <w:rsid w:val="70CE2A7D"/>
    <w:rsid w:val="70F57258"/>
    <w:rsid w:val="70F90897"/>
    <w:rsid w:val="71031AA6"/>
    <w:rsid w:val="7109175E"/>
    <w:rsid w:val="710D2536"/>
    <w:rsid w:val="710D3A95"/>
    <w:rsid w:val="711315BD"/>
    <w:rsid w:val="711E3150"/>
    <w:rsid w:val="711E68DF"/>
    <w:rsid w:val="7123116D"/>
    <w:rsid w:val="712626A7"/>
    <w:rsid w:val="71295015"/>
    <w:rsid w:val="712F4753"/>
    <w:rsid w:val="71405C9D"/>
    <w:rsid w:val="71605930"/>
    <w:rsid w:val="716A0E09"/>
    <w:rsid w:val="717402AD"/>
    <w:rsid w:val="717F25F9"/>
    <w:rsid w:val="718524BB"/>
    <w:rsid w:val="71861D20"/>
    <w:rsid w:val="7186437F"/>
    <w:rsid w:val="71970260"/>
    <w:rsid w:val="71973178"/>
    <w:rsid w:val="71A45894"/>
    <w:rsid w:val="71BA0287"/>
    <w:rsid w:val="71BE7BEA"/>
    <w:rsid w:val="71C933A1"/>
    <w:rsid w:val="71DF2A49"/>
    <w:rsid w:val="71E84D52"/>
    <w:rsid w:val="71E96735"/>
    <w:rsid w:val="71EE2413"/>
    <w:rsid w:val="720000E6"/>
    <w:rsid w:val="72034464"/>
    <w:rsid w:val="720C50DD"/>
    <w:rsid w:val="723D68C6"/>
    <w:rsid w:val="723E1C92"/>
    <w:rsid w:val="72493B52"/>
    <w:rsid w:val="726A35DE"/>
    <w:rsid w:val="726C29D6"/>
    <w:rsid w:val="72812BB6"/>
    <w:rsid w:val="728564EA"/>
    <w:rsid w:val="728A58AF"/>
    <w:rsid w:val="72934FF3"/>
    <w:rsid w:val="72992DCB"/>
    <w:rsid w:val="729B0685"/>
    <w:rsid w:val="729B22F4"/>
    <w:rsid w:val="729C0A73"/>
    <w:rsid w:val="72A045A0"/>
    <w:rsid w:val="72A10AC9"/>
    <w:rsid w:val="72B01AB7"/>
    <w:rsid w:val="72BD7A32"/>
    <w:rsid w:val="72BE0926"/>
    <w:rsid w:val="72C405CA"/>
    <w:rsid w:val="72C46B36"/>
    <w:rsid w:val="72C83D89"/>
    <w:rsid w:val="72E10B87"/>
    <w:rsid w:val="72E17BC5"/>
    <w:rsid w:val="72EF23AB"/>
    <w:rsid w:val="72FB055A"/>
    <w:rsid w:val="72FE1676"/>
    <w:rsid w:val="72FF7DFC"/>
    <w:rsid w:val="73027B3B"/>
    <w:rsid w:val="730A4D01"/>
    <w:rsid w:val="73127262"/>
    <w:rsid w:val="731A788A"/>
    <w:rsid w:val="731D44F3"/>
    <w:rsid w:val="731D49AA"/>
    <w:rsid w:val="731E1436"/>
    <w:rsid w:val="73283E0D"/>
    <w:rsid w:val="732E26DE"/>
    <w:rsid w:val="7332362C"/>
    <w:rsid w:val="7334325D"/>
    <w:rsid w:val="73350C5E"/>
    <w:rsid w:val="734F0FD2"/>
    <w:rsid w:val="73513CCA"/>
    <w:rsid w:val="73574EBF"/>
    <w:rsid w:val="73581579"/>
    <w:rsid w:val="735A1D60"/>
    <w:rsid w:val="735C724B"/>
    <w:rsid w:val="736A2E27"/>
    <w:rsid w:val="73743E64"/>
    <w:rsid w:val="73840550"/>
    <w:rsid w:val="73922C6D"/>
    <w:rsid w:val="73A21C06"/>
    <w:rsid w:val="73A76EC0"/>
    <w:rsid w:val="73AA445A"/>
    <w:rsid w:val="73AA4C42"/>
    <w:rsid w:val="73AF381F"/>
    <w:rsid w:val="73B20E59"/>
    <w:rsid w:val="73B52DFF"/>
    <w:rsid w:val="73B60A10"/>
    <w:rsid w:val="73C05B2F"/>
    <w:rsid w:val="73CA2AC9"/>
    <w:rsid w:val="73CC5B9E"/>
    <w:rsid w:val="73D7426C"/>
    <w:rsid w:val="73DE05EE"/>
    <w:rsid w:val="74011DAF"/>
    <w:rsid w:val="740E6BC4"/>
    <w:rsid w:val="74251284"/>
    <w:rsid w:val="742835D1"/>
    <w:rsid w:val="74355159"/>
    <w:rsid w:val="743B31CD"/>
    <w:rsid w:val="743F3479"/>
    <w:rsid w:val="745049B3"/>
    <w:rsid w:val="74583EB6"/>
    <w:rsid w:val="74661EF8"/>
    <w:rsid w:val="746F2B1E"/>
    <w:rsid w:val="746F5A57"/>
    <w:rsid w:val="7476433D"/>
    <w:rsid w:val="74795BDB"/>
    <w:rsid w:val="747A3B5C"/>
    <w:rsid w:val="747C0EC2"/>
    <w:rsid w:val="74941B1E"/>
    <w:rsid w:val="74982BC3"/>
    <w:rsid w:val="74A027D8"/>
    <w:rsid w:val="74A369C6"/>
    <w:rsid w:val="74AC5FB0"/>
    <w:rsid w:val="74D57FF8"/>
    <w:rsid w:val="74D75E35"/>
    <w:rsid w:val="750C66D5"/>
    <w:rsid w:val="751050E9"/>
    <w:rsid w:val="75130B97"/>
    <w:rsid w:val="75173FFA"/>
    <w:rsid w:val="75202B2C"/>
    <w:rsid w:val="754247CE"/>
    <w:rsid w:val="755A1EB0"/>
    <w:rsid w:val="755D4111"/>
    <w:rsid w:val="75653527"/>
    <w:rsid w:val="75687183"/>
    <w:rsid w:val="756E4E38"/>
    <w:rsid w:val="757F5E29"/>
    <w:rsid w:val="75A31161"/>
    <w:rsid w:val="75A97B92"/>
    <w:rsid w:val="75AF2819"/>
    <w:rsid w:val="75BA1B21"/>
    <w:rsid w:val="75BE2C13"/>
    <w:rsid w:val="75C867D8"/>
    <w:rsid w:val="75C91681"/>
    <w:rsid w:val="75CB42A0"/>
    <w:rsid w:val="75CC1F36"/>
    <w:rsid w:val="75E834FA"/>
    <w:rsid w:val="75F51EC2"/>
    <w:rsid w:val="75F52AFB"/>
    <w:rsid w:val="76004806"/>
    <w:rsid w:val="760756D8"/>
    <w:rsid w:val="760E676A"/>
    <w:rsid w:val="76226E1B"/>
    <w:rsid w:val="7624764F"/>
    <w:rsid w:val="76277F2F"/>
    <w:rsid w:val="762C0888"/>
    <w:rsid w:val="762F6D25"/>
    <w:rsid w:val="76326989"/>
    <w:rsid w:val="763E0E6E"/>
    <w:rsid w:val="763E0E8A"/>
    <w:rsid w:val="765C3FDB"/>
    <w:rsid w:val="76672689"/>
    <w:rsid w:val="76715FC4"/>
    <w:rsid w:val="767D2360"/>
    <w:rsid w:val="76857FF9"/>
    <w:rsid w:val="768B2490"/>
    <w:rsid w:val="768F16E6"/>
    <w:rsid w:val="768F2D84"/>
    <w:rsid w:val="769B20F2"/>
    <w:rsid w:val="76A70C87"/>
    <w:rsid w:val="76A80580"/>
    <w:rsid w:val="76AC2297"/>
    <w:rsid w:val="76AD7DBE"/>
    <w:rsid w:val="76B36E87"/>
    <w:rsid w:val="76B65EF5"/>
    <w:rsid w:val="76BF19C6"/>
    <w:rsid w:val="76C86371"/>
    <w:rsid w:val="76D61E65"/>
    <w:rsid w:val="76D95C53"/>
    <w:rsid w:val="76F20812"/>
    <w:rsid w:val="76F679B7"/>
    <w:rsid w:val="76FF643E"/>
    <w:rsid w:val="77027F7F"/>
    <w:rsid w:val="770E4D00"/>
    <w:rsid w:val="772A380A"/>
    <w:rsid w:val="772B6736"/>
    <w:rsid w:val="77334767"/>
    <w:rsid w:val="77514311"/>
    <w:rsid w:val="77560455"/>
    <w:rsid w:val="775A0E70"/>
    <w:rsid w:val="775B2B18"/>
    <w:rsid w:val="775D6AA2"/>
    <w:rsid w:val="77601172"/>
    <w:rsid w:val="77603D4F"/>
    <w:rsid w:val="776B3F01"/>
    <w:rsid w:val="777032C5"/>
    <w:rsid w:val="778C1B21"/>
    <w:rsid w:val="778E3455"/>
    <w:rsid w:val="778F5D5D"/>
    <w:rsid w:val="7794100B"/>
    <w:rsid w:val="779F3BAA"/>
    <w:rsid w:val="779F63A2"/>
    <w:rsid w:val="77AB6538"/>
    <w:rsid w:val="77BF249E"/>
    <w:rsid w:val="77BF2F35"/>
    <w:rsid w:val="77BF46A4"/>
    <w:rsid w:val="77C53AD6"/>
    <w:rsid w:val="77DA2E34"/>
    <w:rsid w:val="77E75E53"/>
    <w:rsid w:val="77E80025"/>
    <w:rsid w:val="77E92A80"/>
    <w:rsid w:val="77EE068E"/>
    <w:rsid w:val="77F04406"/>
    <w:rsid w:val="77FD49BF"/>
    <w:rsid w:val="780E5553"/>
    <w:rsid w:val="781007D0"/>
    <w:rsid w:val="78284AA1"/>
    <w:rsid w:val="78335932"/>
    <w:rsid w:val="78342BFE"/>
    <w:rsid w:val="78381BDF"/>
    <w:rsid w:val="783B3C00"/>
    <w:rsid w:val="783C5C12"/>
    <w:rsid w:val="783F561E"/>
    <w:rsid w:val="784811A2"/>
    <w:rsid w:val="784A7FBA"/>
    <w:rsid w:val="784D6313"/>
    <w:rsid w:val="78591FAB"/>
    <w:rsid w:val="78627D0B"/>
    <w:rsid w:val="78732237"/>
    <w:rsid w:val="78930909"/>
    <w:rsid w:val="78935C12"/>
    <w:rsid w:val="78980533"/>
    <w:rsid w:val="789E75C3"/>
    <w:rsid w:val="78AD313F"/>
    <w:rsid w:val="78B01E75"/>
    <w:rsid w:val="78BE05D7"/>
    <w:rsid w:val="78BE5E7F"/>
    <w:rsid w:val="78D5711D"/>
    <w:rsid w:val="78E83B09"/>
    <w:rsid w:val="78EE5162"/>
    <w:rsid w:val="78FA71C1"/>
    <w:rsid w:val="791D12D7"/>
    <w:rsid w:val="79222CE5"/>
    <w:rsid w:val="792339A0"/>
    <w:rsid w:val="79304FC0"/>
    <w:rsid w:val="793150EC"/>
    <w:rsid w:val="79336CA0"/>
    <w:rsid w:val="794530C2"/>
    <w:rsid w:val="795069DB"/>
    <w:rsid w:val="79725D75"/>
    <w:rsid w:val="79747090"/>
    <w:rsid w:val="797711F5"/>
    <w:rsid w:val="797B603C"/>
    <w:rsid w:val="798372C4"/>
    <w:rsid w:val="79845032"/>
    <w:rsid w:val="799678E9"/>
    <w:rsid w:val="79B70EF0"/>
    <w:rsid w:val="79B80F53"/>
    <w:rsid w:val="79BC1E65"/>
    <w:rsid w:val="79BC5AF1"/>
    <w:rsid w:val="79BC691E"/>
    <w:rsid w:val="79C370CC"/>
    <w:rsid w:val="79CB4015"/>
    <w:rsid w:val="79E71531"/>
    <w:rsid w:val="79EA5AAB"/>
    <w:rsid w:val="79EA7D45"/>
    <w:rsid w:val="79EC2752"/>
    <w:rsid w:val="79F503F9"/>
    <w:rsid w:val="79F521A7"/>
    <w:rsid w:val="7A022DAC"/>
    <w:rsid w:val="7A077D86"/>
    <w:rsid w:val="7A0F6AA3"/>
    <w:rsid w:val="7A29027E"/>
    <w:rsid w:val="7A2B4E0B"/>
    <w:rsid w:val="7A2F1E62"/>
    <w:rsid w:val="7A3000FF"/>
    <w:rsid w:val="7A3D4B0E"/>
    <w:rsid w:val="7A420AEF"/>
    <w:rsid w:val="7A446F75"/>
    <w:rsid w:val="7A524F0D"/>
    <w:rsid w:val="7A652E89"/>
    <w:rsid w:val="7A7443E6"/>
    <w:rsid w:val="7A8157E9"/>
    <w:rsid w:val="7A820CB5"/>
    <w:rsid w:val="7A8D74A2"/>
    <w:rsid w:val="7A9C45C8"/>
    <w:rsid w:val="7AA0686D"/>
    <w:rsid w:val="7AA42764"/>
    <w:rsid w:val="7AB3181F"/>
    <w:rsid w:val="7AB610C3"/>
    <w:rsid w:val="7AB65491"/>
    <w:rsid w:val="7AC048A7"/>
    <w:rsid w:val="7AEF76CB"/>
    <w:rsid w:val="7AF1296F"/>
    <w:rsid w:val="7B056A7F"/>
    <w:rsid w:val="7B082DB3"/>
    <w:rsid w:val="7B0A12D7"/>
    <w:rsid w:val="7B1743C0"/>
    <w:rsid w:val="7B2429F8"/>
    <w:rsid w:val="7B265958"/>
    <w:rsid w:val="7B336BC8"/>
    <w:rsid w:val="7B3E5BD9"/>
    <w:rsid w:val="7B411828"/>
    <w:rsid w:val="7B4229E6"/>
    <w:rsid w:val="7B5810C9"/>
    <w:rsid w:val="7B607AF4"/>
    <w:rsid w:val="7B664919"/>
    <w:rsid w:val="7B666F72"/>
    <w:rsid w:val="7B681541"/>
    <w:rsid w:val="7B6C7AFA"/>
    <w:rsid w:val="7B8E13EB"/>
    <w:rsid w:val="7BA1297E"/>
    <w:rsid w:val="7BA44318"/>
    <w:rsid w:val="7BAE2D8D"/>
    <w:rsid w:val="7BB7512B"/>
    <w:rsid w:val="7BBE70D0"/>
    <w:rsid w:val="7BC60727"/>
    <w:rsid w:val="7BC70E87"/>
    <w:rsid w:val="7BD35EF6"/>
    <w:rsid w:val="7BD44EE3"/>
    <w:rsid w:val="7BDE7643"/>
    <w:rsid w:val="7BE45866"/>
    <w:rsid w:val="7BEE1EEB"/>
    <w:rsid w:val="7BF40907"/>
    <w:rsid w:val="7C0E12FE"/>
    <w:rsid w:val="7C1728A9"/>
    <w:rsid w:val="7C194DCB"/>
    <w:rsid w:val="7C1C4D7B"/>
    <w:rsid w:val="7C1F175E"/>
    <w:rsid w:val="7C2036C5"/>
    <w:rsid w:val="7C21033A"/>
    <w:rsid w:val="7C27425D"/>
    <w:rsid w:val="7C330C76"/>
    <w:rsid w:val="7C3B464A"/>
    <w:rsid w:val="7C486BFF"/>
    <w:rsid w:val="7C4938E1"/>
    <w:rsid w:val="7C4C5FDA"/>
    <w:rsid w:val="7C5062E6"/>
    <w:rsid w:val="7C5E7893"/>
    <w:rsid w:val="7C76130F"/>
    <w:rsid w:val="7C817D22"/>
    <w:rsid w:val="7C82417D"/>
    <w:rsid w:val="7C886DA3"/>
    <w:rsid w:val="7C8A4E29"/>
    <w:rsid w:val="7C8F12C6"/>
    <w:rsid w:val="7C904C17"/>
    <w:rsid w:val="7C990F7B"/>
    <w:rsid w:val="7C992D45"/>
    <w:rsid w:val="7C993C6F"/>
    <w:rsid w:val="7CB44F60"/>
    <w:rsid w:val="7CBC3D27"/>
    <w:rsid w:val="7CD5583A"/>
    <w:rsid w:val="7CE53197"/>
    <w:rsid w:val="7CF177AF"/>
    <w:rsid w:val="7CF53E89"/>
    <w:rsid w:val="7D0B5714"/>
    <w:rsid w:val="7D1D7B5D"/>
    <w:rsid w:val="7D246B41"/>
    <w:rsid w:val="7D3F7B43"/>
    <w:rsid w:val="7D412929"/>
    <w:rsid w:val="7D4157D8"/>
    <w:rsid w:val="7D494CE4"/>
    <w:rsid w:val="7D585D08"/>
    <w:rsid w:val="7D6438CC"/>
    <w:rsid w:val="7D6A441D"/>
    <w:rsid w:val="7D742B7F"/>
    <w:rsid w:val="7D79512E"/>
    <w:rsid w:val="7D7B7260"/>
    <w:rsid w:val="7D8557E5"/>
    <w:rsid w:val="7D8B5FF0"/>
    <w:rsid w:val="7D900D66"/>
    <w:rsid w:val="7D9B631F"/>
    <w:rsid w:val="7D9C45E3"/>
    <w:rsid w:val="7D9D2594"/>
    <w:rsid w:val="7D9D5192"/>
    <w:rsid w:val="7DA64309"/>
    <w:rsid w:val="7DCB394B"/>
    <w:rsid w:val="7DD36B30"/>
    <w:rsid w:val="7DD65438"/>
    <w:rsid w:val="7DDC23C7"/>
    <w:rsid w:val="7DE41C45"/>
    <w:rsid w:val="7DEC2961"/>
    <w:rsid w:val="7E172803"/>
    <w:rsid w:val="7E1741FF"/>
    <w:rsid w:val="7E183080"/>
    <w:rsid w:val="7E1A6A4C"/>
    <w:rsid w:val="7E1B4164"/>
    <w:rsid w:val="7E1D4BD1"/>
    <w:rsid w:val="7E1E164C"/>
    <w:rsid w:val="7E236558"/>
    <w:rsid w:val="7E2F1CBD"/>
    <w:rsid w:val="7E310BC1"/>
    <w:rsid w:val="7E336A9D"/>
    <w:rsid w:val="7E3C4EA2"/>
    <w:rsid w:val="7E405738"/>
    <w:rsid w:val="7E510CBD"/>
    <w:rsid w:val="7E5155FB"/>
    <w:rsid w:val="7E5356EF"/>
    <w:rsid w:val="7E54753C"/>
    <w:rsid w:val="7E582E84"/>
    <w:rsid w:val="7E5E609E"/>
    <w:rsid w:val="7E5F5FE3"/>
    <w:rsid w:val="7E6D347C"/>
    <w:rsid w:val="7E6E4981"/>
    <w:rsid w:val="7E7354F5"/>
    <w:rsid w:val="7E82584A"/>
    <w:rsid w:val="7E9304AF"/>
    <w:rsid w:val="7E943510"/>
    <w:rsid w:val="7E986A37"/>
    <w:rsid w:val="7EA45F4A"/>
    <w:rsid w:val="7EDF056C"/>
    <w:rsid w:val="7EE8052D"/>
    <w:rsid w:val="7EEDB6B1"/>
    <w:rsid w:val="7EEF2E28"/>
    <w:rsid w:val="7EF21F47"/>
    <w:rsid w:val="7EF31942"/>
    <w:rsid w:val="7EFB4FD9"/>
    <w:rsid w:val="7EFD2A44"/>
    <w:rsid w:val="7F011AFE"/>
    <w:rsid w:val="7F0C3BD0"/>
    <w:rsid w:val="7F121106"/>
    <w:rsid w:val="7F1255AA"/>
    <w:rsid w:val="7F303107"/>
    <w:rsid w:val="7F33157B"/>
    <w:rsid w:val="7F3D1095"/>
    <w:rsid w:val="7F403EC5"/>
    <w:rsid w:val="7F4327F8"/>
    <w:rsid w:val="7F480CEA"/>
    <w:rsid w:val="7F4E4945"/>
    <w:rsid w:val="7F593BCF"/>
    <w:rsid w:val="7F675F78"/>
    <w:rsid w:val="7F71407E"/>
    <w:rsid w:val="7F727385"/>
    <w:rsid w:val="7F7741D2"/>
    <w:rsid w:val="7F7C2FEC"/>
    <w:rsid w:val="7F801D46"/>
    <w:rsid w:val="7FB14DC3"/>
    <w:rsid w:val="7FBC103A"/>
    <w:rsid w:val="7FC468A4"/>
    <w:rsid w:val="7FD121DB"/>
    <w:rsid w:val="7FE20B4D"/>
    <w:rsid w:val="7FE42AA2"/>
    <w:rsid w:val="7FF20382"/>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4"/>
    <w:link w:val="56"/>
    <w:qFormat/>
    <w:uiPriority w:val="9"/>
    <w:pPr>
      <w:keepNext/>
      <w:jc w:val="center"/>
      <w:outlineLvl w:val="0"/>
    </w:pPr>
    <w:rPr>
      <w:rFonts w:ascii="楷体_GB2312" w:hAnsi="楷体_GB2312"/>
      <w:b/>
      <w:sz w:val="32"/>
      <w:szCs w:val="32"/>
    </w:rPr>
  </w:style>
  <w:style w:type="paragraph" w:styleId="5">
    <w:name w:val="heading 2"/>
    <w:basedOn w:val="1"/>
    <w:next w:val="1"/>
    <w:link w:val="89"/>
    <w:qFormat/>
    <w:uiPriority w:val="0"/>
    <w:pPr>
      <w:keepNext/>
      <w:keepLines/>
      <w:spacing w:before="200" w:after="200" w:line="480" w:lineRule="auto"/>
      <w:jc w:val="left"/>
      <w:outlineLvl w:val="1"/>
    </w:pPr>
    <w:rPr>
      <w:rFonts w:ascii="Arial" w:hAnsi="Arial" w:cs="Arial"/>
      <w:b/>
      <w:bCs/>
      <w:sz w:val="30"/>
      <w:szCs w:val="30"/>
    </w:rPr>
  </w:style>
  <w:style w:type="paragraph" w:styleId="6">
    <w:name w:val="heading 3"/>
    <w:basedOn w:val="1"/>
    <w:next w:val="4"/>
    <w:link w:val="84"/>
    <w:qFormat/>
    <w:uiPriority w:val="0"/>
    <w:pPr>
      <w:keepNext/>
      <w:keepLines/>
      <w:spacing w:before="200" w:after="100" w:line="480" w:lineRule="auto"/>
      <w:jc w:val="left"/>
      <w:outlineLvl w:val="2"/>
    </w:pPr>
    <w:rPr>
      <w:b/>
      <w:bCs/>
      <w:sz w:val="28"/>
      <w:szCs w:val="32"/>
    </w:rPr>
  </w:style>
  <w:style w:type="paragraph" w:styleId="7">
    <w:name w:val="heading 4"/>
    <w:basedOn w:val="1"/>
    <w:next w:val="1"/>
    <w:link w:val="57"/>
    <w:qFormat/>
    <w:uiPriority w:val="0"/>
    <w:pPr>
      <w:keepNext/>
      <w:keepLines/>
      <w:ind w:firstLine="420" w:firstLineChars="150"/>
      <w:outlineLvl w:val="3"/>
    </w:pPr>
    <w:rPr>
      <w:rFonts w:ascii="Arial" w:hAnsi="Arial" w:cs="Arial"/>
      <w:b/>
      <w:sz w:val="28"/>
      <w:szCs w:val="28"/>
    </w:rPr>
  </w:style>
  <w:style w:type="paragraph" w:styleId="8">
    <w:name w:val="heading 5"/>
    <w:basedOn w:val="1"/>
    <w:next w:val="4"/>
    <w:link w:val="94"/>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8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5"/>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0"/>
    <w:qFormat/>
    <w:uiPriority w:val="0"/>
    <w:pPr>
      <w:keepNext/>
      <w:keepLines/>
      <w:numPr>
        <w:ilvl w:val="8"/>
        <w:numId w:val="1"/>
      </w:numPr>
      <w:spacing w:before="240" w:after="64" w:line="320" w:lineRule="auto"/>
      <w:outlineLvl w:val="8"/>
    </w:pPr>
    <w:rPr>
      <w:rFonts w:ascii="Arial" w:hAnsi="Arial" w:eastAsia="黑体"/>
    </w:rPr>
  </w:style>
  <w:style w:type="character" w:default="1" w:styleId="41">
    <w:name w:val="Default Paragraph Font"/>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customStyle="1" w:styleId="2">
    <w:name w:val="Heading2"/>
    <w:basedOn w:val="1"/>
    <w:next w:val="1"/>
    <w:qFormat/>
    <w:uiPriority w:val="0"/>
    <w:pPr>
      <w:keepNext/>
      <w:keepLines/>
      <w:numPr>
        <w:ilvl w:val="1"/>
        <w:numId w:val="2"/>
      </w:numPr>
      <w:spacing w:before="260" w:after="260" w:line="416" w:lineRule="auto"/>
    </w:pPr>
    <w:rPr>
      <w:rFonts w:ascii="宋体" w:hAnsi="宋体"/>
      <w:b/>
      <w:bCs/>
      <w:sz w:val="32"/>
      <w:szCs w:val="32"/>
    </w:rPr>
  </w:style>
  <w:style w:type="paragraph" w:styleId="4">
    <w:name w:val="Normal Indent"/>
    <w:basedOn w:val="1"/>
    <w:next w:val="1"/>
    <w:link w:val="72"/>
    <w:qFormat/>
    <w:uiPriority w:val="0"/>
    <w:pPr>
      <w:ind w:firstLine="420"/>
    </w:pPr>
  </w:style>
  <w:style w:type="paragraph" w:styleId="13">
    <w:name w:val="List 3"/>
    <w:basedOn w:val="1"/>
    <w:qFormat/>
    <w:uiPriority w:val="0"/>
    <w:pPr>
      <w:ind w:left="100" w:leftChars="400" w:hanging="200" w:hangingChars="200"/>
    </w:pPr>
  </w:style>
  <w:style w:type="paragraph" w:styleId="14">
    <w:name w:val="Document Map"/>
    <w:basedOn w:val="1"/>
    <w:link w:val="91"/>
    <w:autoRedefine/>
    <w:semiHidden/>
    <w:qFormat/>
    <w:uiPriority w:val="0"/>
    <w:pPr>
      <w:shd w:val="clear" w:color="auto" w:fill="000080"/>
    </w:pPr>
  </w:style>
  <w:style w:type="paragraph" w:styleId="15">
    <w:name w:val="toa heading"/>
    <w:basedOn w:val="1"/>
    <w:next w:val="1"/>
    <w:qFormat/>
    <w:uiPriority w:val="0"/>
    <w:pPr>
      <w:spacing w:before="120"/>
    </w:pPr>
    <w:rPr>
      <w:rFonts w:ascii="Cambria" w:hAnsi="Cambria"/>
      <w:sz w:val="24"/>
    </w:rPr>
  </w:style>
  <w:style w:type="paragraph" w:styleId="16">
    <w:name w:val="annotation text"/>
    <w:basedOn w:val="1"/>
    <w:link w:val="205"/>
    <w:autoRedefine/>
    <w:semiHidden/>
    <w:qFormat/>
    <w:uiPriority w:val="0"/>
    <w:pPr>
      <w:jc w:val="left"/>
    </w:pPr>
  </w:style>
  <w:style w:type="paragraph" w:styleId="17">
    <w:name w:val="Body Text 3"/>
    <w:basedOn w:val="1"/>
    <w:link w:val="68"/>
    <w:autoRedefine/>
    <w:qFormat/>
    <w:uiPriority w:val="0"/>
    <w:rPr>
      <w:rFonts w:ascii="仿宋_GB2312" w:hAnsi="Arial" w:eastAsia="仿宋_GB2312"/>
      <w:sz w:val="32"/>
      <w:szCs w:val="32"/>
    </w:rPr>
  </w:style>
  <w:style w:type="paragraph" w:styleId="18">
    <w:name w:val="Body Text"/>
    <w:basedOn w:val="1"/>
    <w:next w:val="1"/>
    <w:link w:val="64"/>
    <w:autoRedefine/>
    <w:qFormat/>
    <w:uiPriority w:val="0"/>
    <w:rPr>
      <w:rFonts w:ascii="楷体_GB2312" w:hAnsi="Arial" w:eastAsia="楷体_GB2312"/>
      <w:sz w:val="28"/>
      <w:szCs w:val="28"/>
    </w:rPr>
  </w:style>
  <w:style w:type="paragraph" w:styleId="19">
    <w:name w:val="Body Text Indent"/>
    <w:basedOn w:val="1"/>
    <w:link w:val="70"/>
    <w:qFormat/>
    <w:uiPriority w:val="0"/>
    <w:pPr>
      <w:ind w:firstLine="645"/>
    </w:pPr>
    <w:rPr>
      <w:rFonts w:ascii="楷体_GB2312" w:eastAsia="楷体_GB2312"/>
      <w:sz w:val="32"/>
      <w:szCs w:val="32"/>
    </w:rPr>
  </w:style>
  <w:style w:type="paragraph" w:styleId="20">
    <w:name w:val="List 2"/>
    <w:basedOn w:val="1"/>
    <w:qFormat/>
    <w:uiPriority w:val="0"/>
    <w:pPr>
      <w:ind w:left="100" w:leftChars="200" w:hanging="200" w:hangingChars="200"/>
    </w:pPr>
  </w:style>
  <w:style w:type="paragraph" w:styleId="21">
    <w:name w:val="toc 3"/>
    <w:basedOn w:val="22"/>
    <w:next w:val="1"/>
    <w:autoRedefine/>
    <w:qFormat/>
    <w:uiPriority w:val="39"/>
    <w:pPr>
      <w:ind w:left="840" w:leftChars="400"/>
    </w:pPr>
  </w:style>
  <w:style w:type="paragraph" w:styleId="22">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qFormat/>
    <w:uiPriority w:val="0"/>
    <w:rPr>
      <w:rFonts w:ascii="宋体" w:hAnsi="Courier New" w:cs="Courier New"/>
    </w:rPr>
  </w:style>
  <w:style w:type="paragraph" w:styleId="24">
    <w:name w:val="Date"/>
    <w:basedOn w:val="1"/>
    <w:next w:val="1"/>
    <w:link w:val="76"/>
    <w:autoRedefine/>
    <w:qFormat/>
    <w:uiPriority w:val="0"/>
    <w:rPr>
      <w:sz w:val="24"/>
      <w:szCs w:val="24"/>
    </w:rPr>
  </w:style>
  <w:style w:type="paragraph" w:styleId="25">
    <w:name w:val="Body Text Indent 2"/>
    <w:basedOn w:val="1"/>
    <w:link w:val="71"/>
    <w:qFormat/>
    <w:uiPriority w:val="0"/>
    <w:pPr>
      <w:ind w:left="630" w:firstLine="645"/>
    </w:pPr>
    <w:rPr>
      <w:rFonts w:ascii="Arial" w:hAnsi="Arial" w:eastAsia="仿宋_GB2312" w:cs="Arial"/>
      <w:sz w:val="32"/>
      <w:szCs w:val="32"/>
    </w:rPr>
  </w:style>
  <w:style w:type="paragraph" w:styleId="26">
    <w:name w:val="Balloon Text"/>
    <w:basedOn w:val="1"/>
    <w:link w:val="95"/>
    <w:autoRedefine/>
    <w:semiHidden/>
    <w:qFormat/>
    <w:uiPriority w:val="0"/>
    <w:rPr>
      <w:sz w:val="18"/>
      <w:szCs w:val="18"/>
    </w:rPr>
  </w:style>
  <w:style w:type="paragraph" w:styleId="27">
    <w:name w:val="footer"/>
    <w:basedOn w:val="1"/>
    <w:link w:val="69"/>
    <w:autoRedefine/>
    <w:qFormat/>
    <w:uiPriority w:val="99"/>
    <w:pPr>
      <w:tabs>
        <w:tab w:val="center" w:pos="4153"/>
        <w:tab w:val="right" w:pos="8306"/>
      </w:tabs>
      <w:snapToGrid w:val="0"/>
      <w:jc w:val="left"/>
    </w:pPr>
    <w:rPr>
      <w:rFonts w:cs="Symbol"/>
      <w:color w:val="000000" w:themeColor="text1"/>
      <w:sz w:val="18"/>
      <w:szCs w:val="18"/>
      <w14:textFill>
        <w14:solidFill>
          <w14:schemeClr w14:val="tx1"/>
        </w14:solidFill>
      </w14:textFill>
    </w:rPr>
  </w:style>
  <w:style w:type="paragraph" w:styleId="28">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autoRedefine/>
    <w:qFormat/>
    <w:uiPriority w:val="39"/>
    <w:pPr>
      <w:ind w:left="960"/>
      <w:jc w:val="left"/>
    </w:pPr>
    <w:rPr>
      <w:rFonts w:ascii="Calibri" w:hAnsi="Calibri"/>
      <w:sz w:val="18"/>
      <w:szCs w:val="18"/>
    </w:rPr>
  </w:style>
  <w:style w:type="paragraph" w:styleId="30">
    <w:name w:val="List"/>
    <w:basedOn w:val="1"/>
    <w:autoRedefine/>
    <w:qFormat/>
    <w:uiPriority w:val="0"/>
    <w:pPr>
      <w:ind w:left="200" w:hanging="200" w:hangingChars="200"/>
    </w:pPr>
  </w:style>
  <w:style w:type="paragraph" w:styleId="31">
    <w:name w:val="footnote text"/>
    <w:basedOn w:val="1"/>
    <w:link w:val="206"/>
    <w:qFormat/>
    <w:uiPriority w:val="0"/>
    <w:pPr>
      <w:snapToGrid w:val="0"/>
      <w:jc w:val="left"/>
    </w:pPr>
    <w:rPr>
      <w:sz w:val="18"/>
    </w:rPr>
  </w:style>
  <w:style w:type="paragraph" w:styleId="32">
    <w:name w:val="Body Text Indent 3"/>
    <w:basedOn w:val="1"/>
    <w:link w:val="86"/>
    <w:qFormat/>
    <w:uiPriority w:val="0"/>
    <w:pPr>
      <w:ind w:left="645" w:firstLine="645"/>
    </w:pPr>
    <w:rPr>
      <w:rFonts w:ascii="Arial" w:hAnsi="Arial" w:eastAsia="仿宋_GB2312" w:cs="Arial"/>
      <w:color w:val="FFFF00"/>
      <w:sz w:val="32"/>
      <w:szCs w:val="32"/>
    </w:rPr>
  </w:style>
  <w:style w:type="paragraph" w:styleId="33">
    <w:name w:val="toc 2"/>
    <w:basedOn w:val="22"/>
    <w:next w:val="1"/>
    <w:autoRedefine/>
    <w:qFormat/>
    <w:uiPriority w:val="39"/>
    <w:pPr>
      <w:ind w:left="210"/>
    </w:pPr>
    <w:rPr>
      <w:smallCaps/>
      <w:szCs w:val="24"/>
    </w:rPr>
  </w:style>
  <w:style w:type="paragraph" w:styleId="34">
    <w:name w:val="Body Text 2"/>
    <w:basedOn w:val="1"/>
    <w:link w:val="92"/>
    <w:qFormat/>
    <w:uiPriority w:val="0"/>
    <w:pPr>
      <w:widowControl/>
      <w:jc w:val="center"/>
    </w:pPr>
    <w:rPr>
      <w:rFonts w:ascii="楷体_GB2312" w:eastAsia="楷体_GB2312"/>
      <w:sz w:val="28"/>
      <w:szCs w:val="28"/>
    </w:rPr>
  </w:style>
  <w:style w:type="paragraph" w:styleId="35">
    <w:name w:val="Normal (Web)"/>
    <w:basedOn w:val="1"/>
    <w:next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annotation subject"/>
    <w:basedOn w:val="16"/>
    <w:next w:val="16"/>
    <w:link w:val="88"/>
    <w:semiHidden/>
    <w:qFormat/>
    <w:uiPriority w:val="0"/>
    <w:rPr>
      <w:b/>
      <w:bCs/>
    </w:rPr>
  </w:style>
  <w:style w:type="paragraph" w:styleId="37">
    <w:name w:val="Body Text First Indent"/>
    <w:basedOn w:val="18"/>
    <w:link w:val="90"/>
    <w:qFormat/>
    <w:uiPriority w:val="0"/>
    <w:pPr>
      <w:spacing w:line="360" w:lineRule="auto"/>
      <w:ind w:firstLine="200" w:firstLineChars="200"/>
    </w:pPr>
    <w:rPr>
      <w:rFonts w:ascii="仿宋_GB2312" w:eastAsia="仿宋_GB2312"/>
      <w:sz w:val="30"/>
      <w:szCs w:val="30"/>
    </w:rPr>
  </w:style>
  <w:style w:type="paragraph" w:styleId="38">
    <w:name w:val="Body Text First Indent 2"/>
    <w:basedOn w:val="19"/>
    <w:next w:val="1"/>
    <w:link w:val="73"/>
    <w:qFormat/>
    <w:uiPriority w:val="0"/>
    <w:pPr>
      <w:spacing w:line="360" w:lineRule="auto"/>
      <w:ind w:firstLine="420" w:firstLineChars="200"/>
    </w:pPr>
    <w:rPr>
      <w:rFonts w:ascii="宋体" w:hAnsi="宋体" w:eastAsia="宋体"/>
      <w:sz w:val="21"/>
      <w:szCs w:val="20"/>
    </w:rPr>
  </w:style>
  <w:style w:type="table" w:styleId="40">
    <w:name w:val="Table Grid"/>
    <w:basedOn w:val="3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basedOn w:val="41"/>
    <w:qFormat/>
    <w:uiPriority w:val="0"/>
    <w:rPr>
      <w:b/>
      <w:bCs/>
    </w:rPr>
  </w:style>
  <w:style w:type="character" w:styleId="43">
    <w:name w:val="page number"/>
    <w:basedOn w:val="41"/>
    <w:qFormat/>
    <w:uiPriority w:val="0"/>
  </w:style>
  <w:style w:type="character" w:styleId="44">
    <w:name w:val="FollowedHyperlink"/>
    <w:qFormat/>
    <w:uiPriority w:val="99"/>
    <w:rPr>
      <w:color w:val="800080"/>
      <w:u w:val="single"/>
    </w:rPr>
  </w:style>
  <w:style w:type="character" w:styleId="45">
    <w:name w:val="Emphasis"/>
    <w:basedOn w:val="41"/>
    <w:qFormat/>
    <w:uiPriority w:val="0"/>
  </w:style>
  <w:style w:type="character" w:styleId="46">
    <w:name w:val="HTML Definition"/>
    <w:basedOn w:val="41"/>
    <w:autoRedefine/>
    <w:qFormat/>
    <w:uiPriority w:val="0"/>
  </w:style>
  <w:style w:type="character" w:styleId="47">
    <w:name w:val="HTML Typewriter"/>
    <w:basedOn w:val="41"/>
    <w:autoRedefine/>
    <w:qFormat/>
    <w:uiPriority w:val="0"/>
    <w:rPr>
      <w:rFonts w:hint="default" w:ascii="monospace" w:hAnsi="monospace" w:eastAsia="monospace" w:cs="monospace"/>
      <w:sz w:val="20"/>
    </w:rPr>
  </w:style>
  <w:style w:type="character" w:styleId="48">
    <w:name w:val="HTML Acronym"/>
    <w:basedOn w:val="41"/>
    <w:qFormat/>
    <w:uiPriority w:val="0"/>
  </w:style>
  <w:style w:type="character" w:styleId="49">
    <w:name w:val="HTML Variable"/>
    <w:basedOn w:val="41"/>
    <w:qFormat/>
    <w:uiPriority w:val="0"/>
  </w:style>
  <w:style w:type="character" w:styleId="50">
    <w:name w:val="Hyperlink"/>
    <w:autoRedefine/>
    <w:qFormat/>
    <w:uiPriority w:val="99"/>
    <w:rPr>
      <w:color w:val="0000FF"/>
      <w:u w:val="single"/>
    </w:rPr>
  </w:style>
  <w:style w:type="character" w:styleId="51">
    <w:name w:val="HTML Code"/>
    <w:basedOn w:val="41"/>
    <w:autoRedefine/>
    <w:qFormat/>
    <w:uiPriority w:val="0"/>
    <w:rPr>
      <w:rFonts w:hint="default" w:ascii="monospace" w:hAnsi="monospace" w:eastAsia="monospace" w:cs="monospace"/>
      <w:sz w:val="20"/>
    </w:rPr>
  </w:style>
  <w:style w:type="character" w:styleId="52">
    <w:name w:val="annotation reference"/>
    <w:qFormat/>
    <w:uiPriority w:val="0"/>
    <w:rPr>
      <w:sz w:val="21"/>
      <w:szCs w:val="21"/>
    </w:rPr>
  </w:style>
  <w:style w:type="character" w:styleId="53">
    <w:name w:val="HTML Cite"/>
    <w:basedOn w:val="41"/>
    <w:qFormat/>
    <w:uiPriority w:val="0"/>
  </w:style>
  <w:style w:type="character" w:styleId="54">
    <w:name w:val="HTML Keyboard"/>
    <w:basedOn w:val="41"/>
    <w:qFormat/>
    <w:uiPriority w:val="0"/>
    <w:rPr>
      <w:rFonts w:hint="default" w:ascii="monospace" w:hAnsi="monospace" w:eastAsia="monospace" w:cs="monospace"/>
      <w:sz w:val="20"/>
    </w:rPr>
  </w:style>
  <w:style w:type="character" w:styleId="55">
    <w:name w:val="HTML Sample"/>
    <w:basedOn w:val="41"/>
    <w:qFormat/>
    <w:uiPriority w:val="0"/>
    <w:rPr>
      <w:rFonts w:ascii="monospace" w:hAnsi="monospace" w:eastAsia="monospace" w:cs="monospace"/>
    </w:rPr>
  </w:style>
  <w:style w:type="character" w:customStyle="1" w:styleId="56">
    <w:name w:val="标题 1 Char"/>
    <w:link w:val="3"/>
    <w:qFormat/>
    <w:uiPriority w:val="9"/>
    <w:rPr>
      <w:rFonts w:ascii="楷体_GB2312" w:hAnsi="楷体_GB2312" w:eastAsia="宋体"/>
      <w:b/>
      <w:kern w:val="2"/>
      <w:sz w:val="32"/>
      <w:szCs w:val="32"/>
      <w:lang w:val="en-US" w:eastAsia="zh-CN" w:bidi="ar-SA"/>
    </w:rPr>
  </w:style>
  <w:style w:type="character" w:customStyle="1" w:styleId="57">
    <w:name w:val="标题 4 Char"/>
    <w:link w:val="7"/>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2"/>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18"/>
    <w:autoRedefine/>
    <w:qFormat/>
    <w:uiPriority w:val="0"/>
    <w:rPr>
      <w:rFonts w:ascii="楷体_GB2312" w:hAnsi="Arial" w:eastAsia="楷体_GB2312"/>
      <w:kern w:val="2"/>
      <w:sz w:val="28"/>
      <w:szCs w:val="28"/>
      <w:lang w:val="en-US" w:eastAsia="zh-CN" w:bidi="ar-SA"/>
    </w:rPr>
  </w:style>
  <w:style w:type="character" w:customStyle="1" w:styleId="65">
    <w:name w:val="标题 7 Char"/>
    <w:link w:val="10"/>
    <w:autoRedefine/>
    <w:qFormat/>
    <w:uiPriority w:val="0"/>
    <w:rPr>
      <w:rFonts w:eastAsia="宋体"/>
      <w:b/>
      <w:bCs/>
      <w:kern w:val="2"/>
      <w:sz w:val="24"/>
      <w:szCs w:val="24"/>
      <w:lang w:val="en-US" w:eastAsia="zh-CN" w:bidi="ar-SA"/>
    </w:rPr>
  </w:style>
  <w:style w:type="character" w:customStyle="1" w:styleId="66">
    <w:name w:val="标题 8 Char"/>
    <w:link w:val="11"/>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Char"/>
    <w:link w:val="17"/>
    <w:autoRedefine/>
    <w:qFormat/>
    <w:uiPriority w:val="0"/>
    <w:rPr>
      <w:rFonts w:ascii="仿宋_GB2312" w:hAnsi="Arial" w:eastAsia="仿宋_GB2312"/>
      <w:kern w:val="2"/>
      <w:sz w:val="32"/>
      <w:szCs w:val="32"/>
      <w:lang w:val="en-US" w:eastAsia="zh-CN" w:bidi="ar-SA"/>
    </w:rPr>
  </w:style>
  <w:style w:type="character" w:customStyle="1" w:styleId="69">
    <w:name w:val="页脚 Char"/>
    <w:link w:val="27"/>
    <w:autoRedefine/>
    <w:qFormat/>
    <w:uiPriority w:val="99"/>
    <w:rPr>
      <w:rFonts w:eastAsia="宋体" w:cs="Symbol"/>
      <w:color w:val="000000" w:themeColor="text1"/>
      <w:kern w:val="2"/>
      <w:sz w:val="18"/>
      <w:szCs w:val="18"/>
      <w:lang w:bidi="ar-SA"/>
      <w14:textFill>
        <w14:solidFill>
          <w14:schemeClr w14:val="tx1"/>
        </w14:solidFill>
      </w14:textFill>
    </w:rPr>
  </w:style>
  <w:style w:type="character" w:customStyle="1" w:styleId="70">
    <w:name w:val="正文文本缩进 Char"/>
    <w:link w:val="19"/>
    <w:autoRedefine/>
    <w:qFormat/>
    <w:uiPriority w:val="0"/>
    <w:rPr>
      <w:rFonts w:ascii="楷体_GB2312" w:eastAsia="楷体_GB2312"/>
      <w:kern w:val="2"/>
      <w:sz w:val="32"/>
      <w:szCs w:val="32"/>
      <w:lang w:val="en-US" w:eastAsia="zh-CN" w:bidi="ar-SA"/>
    </w:rPr>
  </w:style>
  <w:style w:type="character" w:customStyle="1" w:styleId="71">
    <w:name w:val="正文文本缩进 2 Char"/>
    <w:link w:val="25"/>
    <w:autoRedefine/>
    <w:qFormat/>
    <w:uiPriority w:val="0"/>
    <w:rPr>
      <w:rFonts w:ascii="Arial" w:hAnsi="Arial" w:eastAsia="仿宋_GB2312" w:cs="Arial"/>
      <w:kern w:val="2"/>
      <w:sz w:val="32"/>
      <w:szCs w:val="32"/>
      <w:lang w:val="en-US" w:eastAsia="zh-CN" w:bidi="ar-SA"/>
    </w:rPr>
  </w:style>
  <w:style w:type="character" w:customStyle="1" w:styleId="72">
    <w:name w:val="正文缩进 Char1"/>
    <w:link w:val="4"/>
    <w:autoRedefine/>
    <w:qFormat/>
    <w:uiPriority w:val="0"/>
    <w:rPr>
      <w:rFonts w:eastAsia="宋体"/>
      <w:kern w:val="2"/>
      <w:sz w:val="21"/>
      <w:szCs w:val="21"/>
      <w:lang w:bidi="ar-SA"/>
    </w:rPr>
  </w:style>
  <w:style w:type="character" w:customStyle="1" w:styleId="73">
    <w:name w:val="正文首行缩进 2 Char"/>
    <w:link w:val="38"/>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4"/>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Char"/>
    <w:link w:val="6"/>
    <w:autoRedefine/>
    <w:qFormat/>
    <w:uiPriority w:val="0"/>
    <w:rPr>
      <w:rFonts w:ascii="Times New Roman" w:hAnsi="Times New Roman" w:eastAsia="宋体"/>
      <w:b/>
      <w:bCs/>
      <w:kern w:val="2"/>
      <w:sz w:val="28"/>
      <w:szCs w:val="32"/>
      <w:lang w:val="en-US" w:eastAsia="zh-CN" w:bidi="ar-SA"/>
    </w:rPr>
  </w:style>
  <w:style w:type="character" w:customStyle="1" w:styleId="85">
    <w:name w:val="标题 6 Char"/>
    <w:link w:val="9"/>
    <w:autoRedefine/>
    <w:qFormat/>
    <w:uiPriority w:val="0"/>
    <w:rPr>
      <w:rFonts w:ascii="Arial" w:hAnsi="Arial" w:eastAsia="黑体"/>
      <w:b/>
      <w:bCs/>
      <w:kern w:val="2"/>
      <w:sz w:val="24"/>
      <w:szCs w:val="24"/>
      <w:lang w:val="en-US" w:eastAsia="zh-CN" w:bidi="ar-SA"/>
    </w:rPr>
  </w:style>
  <w:style w:type="character" w:customStyle="1" w:styleId="86">
    <w:name w:val="正文文本缩进 3 Char"/>
    <w:link w:val="32"/>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8"/>
    <w:autoRedefine/>
    <w:qFormat/>
    <w:uiPriority w:val="99"/>
    <w:rPr>
      <w:rFonts w:eastAsia="宋体"/>
      <w:kern w:val="2"/>
      <w:sz w:val="18"/>
      <w:szCs w:val="18"/>
      <w:lang w:val="en-US" w:eastAsia="zh-CN" w:bidi="ar-SA"/>
    </w:rPr>
  </w:style>
  <w:style w:type="character" w:customStyle="1" w:styleId="88">
    <w:name w:val="批注主题 Char"/>
    <w:link w:val="36"/>
    <w:autoRedefine/>
    <w:semiHidden/>
    <w:qFormat/>
    <w:uiPriority w:val="0"/>
    <w:rPr>
      <w:rFonts w:eastAsia="宋体"/>
      <w:b/>
      <w:bCs/>
      <w:kern w:val="2"/>
      <w:sz w:val="21"/>
      <w:szCs w:val="21"/>
      <w:lang w:val="en-US" w:eastAsia="zh-CN" w:bidi="ar-SA"/>
    </w:rPr>
  </w:style>
  <w:style w:type="character" w:customStyle="1" w:styleId="89">
    <w:name w:val="标题 2 Char"/>
    <w:link w:val="5"/>
    <w:autoRedefine/>
    <w:qFormat/>
    <w:uiPriority w:val="0"/>
    <w:rPr>
      <w:rFonts w:ascii="Arial" w:hAnsi="Arial" w:eastAsia="宋体" w:cs="Arial"/>
      <w:b/>
      <w:bCs/>
      <w:kern w:val="2"/>
      <w:sz w:val="30"/>
      <w:szCs w:val="30"/>
      <w:lang w:val="en-US" w:eastAsia="zh-CN" w:bidi="ar-SA"/>
    </w:rPr>
  </w:style>
  <w:style w:type="character" w:customStyle="1" w:styleId="90">
    <w:name w:val="正文首行缩进 Char1"/>
    <w:link w:val="37"/>
    <w:autoRedefine/>
    <w:qFormat/>
    <w:uiPriority w:val="0"/>
    <w:rPr>
      <w:rFonts w:ascii="仿宋_GB2312" w:eastAsia="仿宋_GB2312"/>
      <w:kern w:val="2"/>
      <w:sz w:val="30"/>
      <w:szCs w:val="30"/>
      <w:lang w:val="en-US" w:eastAsia="zh-CN" w:bidi="ar-SA"/>
    </w:rPr>
  </w:style>
  <w:style w:type="character" w:customStyle="1" w:styleId="91">
    <w:name w:val="文档结构图 Char"/>
    <w:link w:val="14"/>
    <w:autoRedefine/>
    <w:semiHidden/>
    <w:qFormat/>
    <w:uiPriority w:val="0"/>
    <w:rPr>
      <w:rFonts w:eastAsia="宋体"/>
      <w:kern w:val="2"/>
      <w:sz w:val="21"/>
      <w:szCs w:val="21"/>
      <w:lang w:bidi="ar-SA"/>
    </w:rPr>
  </w:style>
  <w:style w:type="character" w:customStyle="1" w:styleId="92">
    <w:name w:val="正文文本 2 Char"/>
    <w:link w:val="34"/>
    <w:autoRedefine/>
    <w:qFormat/>
    <w:uiPriority w:val="0"/>
    <w:rPr>
      <w:rFonts w:ascii="楷体_GB2312" w:eastAsia="楷体_GB2312"/>
      <w:kern w:val="2"/>
      <w:sz w:val="28"/>
      <w:szCs w:val="28"/>
      <w:lang w:val="en-US" w:eastAsia="zh-CN" w:bidi="ar-SA"/>
    </w:rPr>
  </w:style>
  <w:style w:type="character" w:customStyle="1" w:styleId="93">
    <w:name w:val="纯文本 Char"/>
    <w:link w:val="23"/>
    <w:autoRedefine/>
    <w:qFormat/>
    <w:uiPriority w:val="0"/>
    <w:rPr>
      <w:rFonts w:ascii="宋体" w:hAnsi="Courier New" w:eastAsia="宋体" w:cs="Courier New"/>
      <w:kern w:val="2"/>
      <w:sz w:val="21"/>
      <w:szCs w:val="21"/>
      <w:lang w:val="en-US" w:eastAsia="zh-CN" w:bidi="ar-SA"/>
    </w:rPr>
  </w:style>
  <w:style w:type="character" w:customStyle="1" w:styleId="94">
    <w:name w:val="标题 5 Char"/>
    <w:link w:val="8"/>
    <w:autoRedefine/>
    <w:qFormat/>
    <w:uiPriority w:val="0"/>
    <w:rPr>
      <w:rFonts w:ascii="宋体" w:eastAsia="宋体"/>
      <w:color w:val="000000"/>
      <w:sz w:val="28"/>
      <w:szCs w:val="28"/>
      <w:lang w:val="en-US" w:eastAsia="zh-CN" w:bidi="ar-SA"/>
    </w:rPr>
  </w:style>
  <w:style w:type="character" w:customStyle="1" w:styleId="95">
    <w:name w:val="批注框文本 Char"/>
    <w:link w:val="26"/>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4"/>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4"/>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8"/>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5">
    <w:name w:val="Char11"/>
    <w:basedOn w:val="14"/>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4"/>
    <w:autoRedefine/>
    <w:qFormat/>
    <w:uiPriority w:val="0"/>
    <w:pPr>
      <w:shd w:val="clear" w:color="auto" w:fill="auto"/>
      <w:spacing w:line="360" w:lineRule="auto"/>
      <w:jc w:val="left"/>
    </w:pPr>
    <w:rPr>
      <w:kern w:val="0"/>
      <w:sz w:val="20"/>
      <w:szCs w:val="20"/>
    </w:rPr>
  </w:style>
  <w:style w:type="paragraph" w:customStyle="1" w:styleId="128">
    <w:name w:val="4"/>
    <w:basedOn w:val="1"/>
    <w:next w:val="32"/>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3"/>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4"/>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1"/>
    <w:autoRedefine/>
    <w:qFormat/>
    <w:uiPriority w:val="0"/>
  </w:style>
  <w:style w:type="paragraph" w:customStyle="1" w:styleId="183">
    <w:name w:val="表格"/>
    <w:basedOn w:val="30"/>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1"/>
    <w:autoRedefine/>
    <w:qFormat/>
    <w:uiPriority w:val="0"/>
  </w:style>
  <w:style w:type="character" w:customStyle="1" w:styleId="185">
    <w:name w:val="s1"/>
    <w:basedOn w:val="41"/>
    <w:autoRedefine/>
    <w:qFormat/>
    <w:uiPriority w:val="0"/>
    <w:rPr>
      <w:color w:val="DDDDDD"/>
      <w:sz w:val="14"/>
      <w:szCs w:val="14"/>
    </w:rPr>
  </w:style>
  <w:style w:type="character" w:customStyle="1" w:styleId="186">
    <w:name w:val="btn-task-gray2"/>
    <w:basedOn w:val="41"/>
    <w:autoRedefine/>
    <w:qFormat/>
    <w:uiPriority w:val="0"/>
    <w:rPr>
      <w:color w:val="FFFFFF"/>
      <w:u w:val="none"/>
      <w:shd w:val="clear" w:color="auto" w:fill="CCCCCC"/>
    </w:rPr>
  </w:style>
  <w:style w:type="character" w:customStyle="1" w:styleId="187">
    <w:name w:val="btn-task-gray3"/>
    <w:basedOn w:val="41"/>
    <w:autoRedefine/>
    <w:qFormat/>
    <w:uiPriority w:val="0"/>
  </w:style>
  <w:style w:type="character" w:customStyle="1" w:styleId="188">
    <w:name w:val="fontstyle01"/>
    <w:basedOn w:val="41"/>
    <w:autoRedefine/>
    <w:qFormat/>
    <w:uiPriority w:val="0"/>
    <w:rPr>
      <w:rFonts w:ascii="仿宋" w:hAnsi="仿宋" w:eastAsia="仿宋" w:cs="仿宋"/>
      <w:color w:val="000000"/>
      <w:sz w:val="32"/>
      <w:szCs w:val="32"/>
    </w:rPr>
  </w:style>
  <w:style w:type="paragraph" w:customStyle="1" w:styleId="189">
    <w:name w:val="修订1"/>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1"/>
    <w:autoRedefine/>
    <w:qFormat/>
    <w:uiPriority w:val="0"/>
    <w:rPr>
      <w:bdr w:val="single" w:color="CCCCCC" w:sz="4" w:space="0"/>
      <w:shd w:val="clear" w:color="auto" w:fill="FFFFFF"/>
    </w:rPr>
  </w:style>
  <w:style w:type="character" w:customStyle="1" w:styleId="201">
    <w:name w:val="first-child"/>
    <w:basedOn w:val="41"/>
    <w:qFormat/>
    <w:uiPriority w:val="0"/>
  </w:style>
  <w:style w:type="paragraph" w:customStyle="1" w:styleId="202">
    <w:name w:val="正文（深信服）"/>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1"/>
    <w:link w:val="16"/>
    <w:semiHidden/>
    <w:qFormat/>
    <w:uiPriority w:val="0"/>
    <w:rPr>
      <w:kern w:val="2"/>
      <w:sz w:val="21"/>
      <w:szCs w:val="21"/>
    </w:rPr>
  </w:style>
  <w:style w:type="character" w:customStyle="1" w:styleId="206">
    <w:name w:val="脚注文本 Char"/>
    <w:basedOn w:val="41"/>
    <w:link w:val="31"/>
    <w:autoRedefine/>
    <w:qFormat/>
    <w:uiPriority w:val="0"/>
    <w:rPr>
      <w:kern w:val="2"/>
      <w:sz w:val="18"/>
      <w:szCs w:val="21"/>
    </w:rPr>
  </w:style>
  <w:style w:type="character" w:customStyle="1" w:styleId="207">
    <w:name w:val="font01"/>
    <w:basedOn w:val="41"/>
    <w:qFormat/>
    <w:uiPriority w:val="0"/>
    <w:rPr>
      <w:rFonts w:hint="default" w:ascii="Times New Roman" w:hAnsi="Times New Roman" w:cs="Times New Roman"/>
      <w:color w:val="000000"/>
      <w:sz w:val="24"/>
      <w:szCs w:val="24"/>
      <w:u w:val="none"/>
    </w:rPr>
  </w:style>
  <w:style w:type="character" w:customStyle="1" w:styleId="208">
    <w:name w:val="font21"/>
    <w:basedOn w:val="41"/>
    <w:qFormat/>
    <w:uiPriority w:val="0"/>
    <w:rPr>
      <w:rFonts w:hint="eastAsia" w:ascii="宋体" w:hAnsi="宋体" w:eastAsia="宋体" w:cs="宋体"/>
      <w:color w:val="000000"/>
      <w:sz w:val="24"/>
      <w:szCs w:val="24"/>
      <w:u w:val="none"/>
    </w:rPr>
  </w:style>
  <w:style w:type="character" w:customStyle="1" w:styleId="209">
    <w:name w:val="font11"/>
    <w:basedOn w:val="41"/>
    <w:qFormat/>
    <w:uiPriority w:val="0"/>
    <w:rPr>
      <w:rFonts w:hint="eastAsia" w:ascii="宋体" w:hAnsi="宋体" w:eastAsia="宋体" w:cs="宋体"/>
      <w:color w:val="000000"/>
      <w:sz w:val="24"/>
      <w:szCs w:val="24"/>
      <w:u w:val="none"/>
    </w:rPr>
  </w:style>
  <w:style w:type="table" w:customStyle="1" w:styleId="210">
    <w:name w:val="Table Normal"/>
    <w:semiHidden/>
    <w:unhideWhenUsed/>
    <w:qFormat/>
    <w:uiPriority w:val="0"/>
    <w:tblPr>
      <w:tblCellMar>
        <w:top w:w="0" w:type="dxa"/>
        <w:left w:w="0" w:type="dxa"/>
        <w:bottom w:w="0" w:type="dxa"/>
        <w:right w:w="0" w:type="dxa"/>
      </w:tblCellMar>
    </w:tblPr>
  </w:style>
  <w:style w:type="character" w:customStyle="1" w:styleId="211">
    <w:name w:val="font31"/>
    <w:basedOn w:val="41"/>
    <w:qFormat/>
    <w:uiPriority w:val="0"/>
    <w:rPr>
      <w:rFonts w:hint="eastAsia" w:ascii="宋体" w:hAnsi="宋体" w:eastAsia="宋体" w:cs="宋体"/>
      <w:color w:val="000000"/>
      <w:sz w:val="24"/>
      <w:szCs w:val="24"/>
      <w:u w:val="none"/>
    </w:rPr>
  </w:style>
  <w:style w:type="character" w:customStyle="1" w:styleId="212">
    <w:name w:val="font61"/>
    <w:basedOn w:val="41"/>
    <w:qFormat/>
    <w:uiPriority w:val="0"/>
    <w:rPr>
      <w:rFonts w:hint="eastAsia" w:ascii="宋体" w:hAnsi="宋体" w:eastAsia="宋体" w:cs="宋体"/>
      <w:color w:val="FF0000"/>
      <w:sz w:val="20"/>
      <w:szCs w:val="20"/>
      <w:u w:val="none"/>
    </w:rPr>
  </w:style>
  <w:style w:type="character" w:customStyle="1" w:styleId="213">
    <w:name w:val="font51"/>
    <w:basedOn w:val="41"/>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1"/>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1"/>
    <w:qFormat/>
    <w:uiPriority w:val="0"/>
    <w:rPr>
      <w:rFonts w:hint="eastAsia" w:ascii="黑体" w:hAnsi="宋体" w:eastAsia="黑体" w:cs="黑体"/>
      <w:color w:val="FF0000"/>
      <w:sz w:val="20"/>
      <w:szCs w:val="20"/>
      <w:u w:val="none"/>
    </w:rPr>
  </w:style>
  <w:style w:type="character" w:customStyle="1" w:styleId="216">
    <w:name w:val="font71"/>
    <w:basedOn w:val="41"/>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1"/>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1"/>
    <w:qFormat/>
    <w:uiPriority w:val="0"/>
    <w:rPr>
      <w:rFonts w:hint="default" w:ascii="Times New Roman" w:hAnsi="Times New Roman" w:cs="Times New Roman"/>
      <w:color w:val="000000"/>
      <w:sz w:val="22"/>
      <w:szCs w:val="22"/>
      <w:u w:val="none"/>
    </w:rPr>
  </w:style>
  <w:style w:type="character" w:customStyle="1" w:styleId="219">
    <w:name w:val="font112"/>
    <w:basedOn w:val="41"/>
    <w:qFormat/>
    <w:uiPriority w:val="0"/>
    <w:rPr>
      <w:rFonts w:hint="eastAsia" w:ascii="黑体" w:hAnsi="宋体" w:eastAsia="黑体" w:cs="黑体"/>
      <w:color w:val="000000"/>
      <w:sz w:val="22"/>
      <w:szCs w:val="22"/>
      <w:u w:val="none"/>
    </w:rPr>
  </w:style>
  <w:style w:type="paragraph" w:customStyle="1" w:styleId="22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4D8702-CD7E-4C19-ACCF-7EE74A4FBC0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103</Pages>
  <Words>54429</Words>
  <Characters>57640</Characters>
  <Lines>616</Lines>
  <Paragraphs>173</Paragraphs>
  <TotalTime>22</TotalTime>
  <ScaleCrop>false</ScaleCrop>
  <LinksUpToDate>false</LinksUpToDate>
  <CharactersWithSpaces>60787</CharactersWithSpaces>
  <Application>WPS Office_12.1.0.17150_F1E327BC-269C-435d-A152-05C5408002CA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Administrator</cp:lastModifiedBy>
  <cp:lastPrinted>2024-08-24T03:38:00Z</cp:lastPrinted>
  <dcterms:modified xsi:type="dcterms:W3CDTF">2024-09-29T03:50:34Z</dcterms:modified>
  <dc:title>招　标　文　件</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2F0502239EE94863ABE7C70F6B61AADE_13</vt:lpwstr>
  </property>
</Properties>
</file>