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beforeLines="0" w:after="0" w:afterLines="0" w:line="360" w:lineRule="auto"/>
        <w:ind w:firstLine="883" w:firstLineChars="200"/>
        <w:jc w:val="center"/>
        <w:outlineLvl w:val="0"/>
        <w:rPr>
          <w:rFonts w:hint="eastAsia"/>
          <w:highlight w:val="none"/>
          <w:lang w:val="en-US" w:eastAsia="zh-CN"/>
        </w:rPr>
      </w:pPr>
      <w:r>
        <w:rPr>
          <w:rFonts w:hint="eastAsia" w:ascii="宋体" w:hAnsi="宋体" w:eastAsia="宋体" w:cs="宋体"/>
          <w:b/>
          <w:bCs w:val="0"/>
          <w:sz w:val="44"/>
          <w:szCs w:val="160"/>
          <w:highlight w:val="none"/>
          <w:lang w:val="en-US" w:eastAsia="zh-CN"/>
        </w:rPr>
        <w:t>第三部分</w:t>
      </w:r>
      <w:r>
        <w:rPr>
          <w:rFonts w:hint="eastAsia" w:ascii="宋体" w:hAnsi="宋体" w:cs="宋体"/>
          <w:b/>
          <w:bCs w:val="0"/>
          <w:sz w:val="44"/>
          <w:szCs w:val="160"/>
          <w:highlight w:val="none"/>
          <w:lang w:val="en-US" w:eastAsia="zh-CN"/>
        </w:rPr>
        <w:t xml:space="preserve"> </w:t>
      </w:r>
      <w:r>
        <w:rPr>
          <w:rFonts w:hint="eastAsia" w:ascii="宋体" w:hAnsi="宋体" w:eastAsia="宋体" w:cs="宋体"/>
          <w:b/>
          <w:bCs w:val="0"/>
          <w:sz w:val="44"/>
          <w:szCs w:val="160"/>
          <w:highlight w:val="none"/>
        </w:rPr>
        <w:t>技术需求</w:t>
      </w:r>
      <w:r>
        <w:rPr>
          <w:rFonts w:hint="eastAsia" w:ascii="宋体" w:hAnsi="宋体" w:eastAsia="宋体" w:cs="宋体"/>
          <w:b/>
          <w:bCs w:val="0"/>
          <w:sz w:val="44"/>
          <w:szCs w:val="160"/>
          <w:highlight w:val="none"/>
          <w:lang w:val="en-US" w:eastAsia="zh-CN"/>
        </w:rPr>
        <w:t>书</w:t>
      </w:r>
    </w:p>
    <w:p>
      <w:pPr>
        <w:pageBreakBefore w:val="0"/>
        <w:widowControl w:val="0"/>
        <w:numPr>
          <w:ilvl w:val="0"/>
          <w:numId w:val="1"/>
        </w:numPr>
        <w:kinsoku/>
        <w:wordWrap/>
        <w:overflowPunct/>
        <w:topLinePunct w:val="0"/>
        <w:autoSpaceDE/>
        <w:autoSpaceDN/>
        <w:bidi w:val="0"/>
        <w:adjustRightInd/>
        <w:snapToGrid/>
        <w:spacing w:before="157" w:beforeLines="50" w:after="0" w:afterLines="0" w:line="360" w:lineRule="auto"/>
        <w:ind w:firstLine="0" w:firstLineChars="0"/>
        <w:textAlignment w:val="auto"/>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项目背景和目标</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firstLine="480" w:firstLineChars="200"/>
        <w:jc w:val="both"/>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中国日报社为贯彻习近平总书记关于提高中华文明影响力传播力等重要指示精神，加强对中华文化的研究、阐释和对外推广</w:t>
      </w:r>
      <w:r>
        <w:rPr>
          <w:rFonts w:hint="eastAsia" w:ascii="宋体" w:hAnsi="宋体" w:eastAsia="宋体" w:cs="宋体"/>
          <w:b w:val="0"/>
          <w:bCs w:val="0"/>
          <w:i w:val="0"/>
          <w:caps w:val="0"/>
          <w:color w:val="000000"/>
          <w:spacing w:val="0"/>
          <w:sz w:val="24"/>
          <w:szCs w:val="24"/>
          <w:highlight w:val="none"/>
          <w:shd w:val="clear"/>
          <w:lang w:eastAsia="zh-CN"/>
        </w:rPr>
        <w:t>。</w:t>
      </w:r>
      <w:r>
        <w:rPr>
          <w:rFonts w:hint="eastAsia" w:ascii="宋体" w:hAnsi="宋体" w:eastAsia="宋体" w:cs="宋体"/>
          <w:b w:val="0"/>
          <w:bCs w:val="0"/>
          <w:i w:val="0"/>
          <w:caps w:val="0"/>
          <w:color w:val="000000"/>
          <w:spacing w:val="0"/>
          <w:sz w:val="24"/>
          <w:szCs w:val="24"/>
          <w:highlight w:val="none"/>
          <w:shd w:val="clear"/>
          <w:lang w:val="en-US" w:eastAsia="zh-CN"/>
        </w:rPr>
        <w:t>充分运用中华文明探源工程等研究成果和“元宇宙”等新技术，依托中国日报外宣</w:t>
      </w:r>
      <w:bookmarkStart w:id="0" w:name="_GoBack"/>
      <w:bookmarkEnd w:id="0"/>
      <w:r>
        <w:rPr>
          <w:rFonts w:hint="eastAsia" w:ascii="宋体" w:hAnsi="宋体" w:eastAsia="宋体" w:cs="宋体"/>
          <w:b w:val="0"/>
          <w:bCs w:val="0"/>
          <w:i w:val="0"/>
          <w:caps w:val="0"/>
          <w:color w:val="000000"/>
          <w:spacing w:val="0"/>
          <w:sz w:val="24"/>
          <w:szCs w:val="24"/>
          <w:highlight w:val="none"/>
          <w:shd w:val="clear"/>
          <w:lang w:val="en-US" w:eastAsia="zh-CN"/>
        </w:rPr>
        <w:t>特色优势，利用元宇宙、虚拟现实</w:t>
      </w:r>
      <w:r>
        <w:rPr>
          <w:rFonts w:hint="eastAsia" w:ascii="宋体" w:hAnsi="宋体" w:eastAsia="宋体" w:cs="宋体"/>
          <w:color w:val="000000"/>
          <w:sz w:val="24"/>
          <w:szCs w:val="24"/>
          <w:highlight w:val="none"/>
        </w:rPr>
        <w:t>（V</w:t>
      </w:r>
      <w:r>
        <w:rPr>
          <w:rFonts w:ascii="宋体" w:hAnsi="宋体" w:eastAsia="宋体" w:cs="宋体"/>
          <w:color w:val="000000"/>
          <w:sz w:val="24"/>
          <w:szCs w:val="24"/>
          <w:highlight w:val="none"/>
        </w:rPr>
        <w:t>R</w:t>
      </w:r>
      <w:r>
        <w:rPr>
          <w:rFonts w:hint="eastAsia" w:ascii="宋体" w:hAnsi="宋体" w:eastAsia="宋体" w:cs="宋体"/>
          <w:color w:val="000000"/>
          <w:sz w:val="24"/>
          <w:szCs w:val="24"/>
          <w:highlight w:val="none"/>
        </w:rPr>
        <w:t>）</w:t>
      </w:r>
      <w:r>
        <w:rPr>
          <w:rFonts w:hint="eastAsia" w:ascii="宋体" w:hAnsi="宋体" w:eastAsia="宋体" w:cs="宋体"/>
          <w:b w:val="0"/>
          <w:bCs w:val="0"/>
          <w:i w:val="0"/>
          <w:caps w:val="0"/>
          <w:color w:val="000000"/>
          <w:spacing w:val="0"/>
          <w:sz w:val="24"/>
          <w:szCs w:val="24"/>
          <w:highlight w:val="none"/>
          <w:shd w:val="clear"/>
          <w:lang w:val="en-US" w:eastAsia="zh-CN"/>
        </w:rPr>
        <w:t>、增强现实</w:t>
      </w:r>
      <w:r>
        <w:rPr>
          <w:rFonts w:hint="eastAsia" w:ascii="宋体" w:hAnsi="宋体" w:eastAsia="宋体" w:cs="宋体"/>
          <w:color w:val="000000"/>
          <w:sz w:val="24"/>
          <w:szCs w:val="24"/>
          <w:highlight w:val="none"/>
        </w:rPr>
        <w:t>（A</w:t>
      </w:r>
      <w:r>
        <w:rPr>
          <w:rFonts w:ascii="宋体" w:hAnsi="宋体" w:eastAsia="宋体" w:cs="宋体"/>
          <w:color w:val="000000"/>
          <w:sz w:val="24"/>
          <w:szCs w:val="24"/>
          <w:highlight w:val="none"/>
        </w:rPr>
        <w:t>R</w:t>
      </w:r>
      <w:r>
        <w:rPr>
          <w:rFonts w:hint="eastAsia" w:ascii="宋体" w:hAnsi="宋体" w:eastAsia="宋体" w:cs="宋体"/>
          <w:color w:val="000000"/>
          <w:sz w:val="24"/>
          <w:szCs w:val="24"/>
          <w:highlight w:val="none"/>
        </w:rPr>
        <w:t>）</w:t>
      </w:r>
      <w:r>
        <w:rPr>
          <w:rFonts w:hint="eastAsia" w:ascii="宋体" w:hAnsi="宋体" w:eastAsia="宋体" w:cs="宋体"/>
          <w:b w:val="0"/>
          <w:bCs w:val="0"/>
          <w:i w:val="0"/>
          <w:caps w:val="0"/>
          <w:color w:val="000000"/>
          <w:spacing w:val="0"/>
          <w:sz w:val="24"/>
          <w:szCs w:val="24"/>
          <w:highlight w:val="none"/>
          <w:shd w:val="clear"/>
          <w:lang w:val="en-US" w:eastAsia="zh-CN"/>
        </w:rPr>
        <w:t>、混合现实</w:t>
      </w:r>
      <w:r>
        <w:rPr>
          <w:rFonts w:hint="eastAsia" w:ascii="宋体" w:hAnsi="宋体" w:eastAsia="宋体" w:cs="宋体"/>
          <w:color w:val="000000"/>
          <w:sz w:val="24"/>
          <w:szCs w:val="24"/>
          <w:highlight w:val="none"/>
        </w:rPr>
        <w:t>（A</w:t>
      </w:r>
      <w:r>
        <w:rPr>
          <w:rFonts w:ascii="宋体" w:hAnsi="宋体" w:eastAsia="宋体" w:cs="宋体"/>
          <w:color w:val="000000"/>
          <w:sz w:val="24"/>
          <w:szCs w:val="24"/>
          <w:highlight w:val="none"/>
        </w:rPr>
        <w:t>R</w:t>
      </w:r>
      <w:r>
        <w:rPr>
          <w:rFonts w:hint="eastAsia" w:ascii="宋体" w:hAnsi="宋体" w:eastAsia="宋体" w:cs="宋体"/>
          <w:color w:val="000000"/>
          <w:sz w:val="24"/>
          <w:szCs w:val="24"/>
          <w:highlight w:val="none"/>
        </w:rPr>
        <w:t>）</w:t>
      </w:r>
      <w:r>
        <w:rPr>
          <w:rFonts w:hint="eastAsia" w:ascii="宋体" w:hAnsi="宋体" w:eastAsia="宋体" w:cs="宋体"/>
          <w:b w:val="0"/>
          <w:bCs w:val="0"/>
          <w:i w:val="0"/>
          <w:caps w:val="0"/>
          <w:color w:val="000000"/>
          <w:spacing w:val="0"/>
          <w:sz w:val="24"/>
          <w:szCs w:val="24"/>
          <w:highlight w:val="none"/>
          <w:shd w:val="clear"/>
          <w:lang w:val="en-US" w:eastAsia="zh-CN"/>
        </w:rPr>
        <w:t>，以及区块链、</w:t>
      </w:r>
      <w:r>
        <w:rPr>
          <w:rFonts w:hint="eastAsia" w:ascii="宋体" w:hAnsi="宋体" w:eastAsia="宋体" w:cs="宋体"/>
          <w:color w:val="000000"/>
          <w:sz w:val="24"/>
          <w:szCs w:val="24"/>
          <w:highlight w:val="none"/>
        </w:rPr>
        <w:t>不可替代的数字资产</w:t>
      </w:r>
      <w:r>
        <w:rPr>
          <w:rFonts w:hint="eastAsia" w:ascii="宋体" w:hAnsi="宋体" w:eastAsia="宋体" w:cs="宋体"/>
          <w:color w:val="000000"/>
          <w:sz w:val="24"/>
          <w:szCs w:val="24"/>
          <w:highlight w:val="none"/>
          <w:lang w:eastAsia="zh-CN"/>
        </w:rPr>
        <w:t>（</w:t>
      </w:r>
      <w:r>
        <w:rPr>
          <w:rFonts w:hint="eastAsia" w:ascii="宋体" w:hAnsi="宋体" w:eastAsia="宋体" w:cs="宋体"/>
          <w:b w:val="0"/>
          <w:bCs w:val="0"/>
          <w:i w:val="0"/>
          <w:caps w:val="0"/>
          <w:color w:val="000000"/>
          <w:spacing w:val="0"/>
          <w:sz w:val="24"/>
          <w:szCs w:val="24"/>
          <w:highlight w:val="none"/>
          <w:shd w:val="clear"/>
          <w:lang w:val="en-US" w:eastAsia="zh-CN"/>
        </w:rPr>
        <w:t>NFT）、大数据、云计算等技术，通过全媒体手段向全球读者展示中华优秀传统文化的独特魅力，向世界展现可信、可爱、可敬的新时代中国形象，促进中外文明交流互鉴。</w:t>
      </w:r>
    </w:p>
    <w:p>
      <w:pPr>
        <w:pStyle w:val="9"/>
        <w:keepNext w:val="0"/>
        <w:keepLines w:val="0"/>
        <w:widowControl w:val="0"/>
        <w:suppressLineNumbers w:val="0"/>
        <w:spacing w:beforeLines="0" w:beforeAutospacing="0" w:afterLines="0" w:afterAutospacing="0" w:line="360" w:lineRule="auto"/>
        <w:ind w:left="0" w:right="0" w:firstLine="480" w:firstLineChars="200"/>
        <w:jc w:val="both"/>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本次元宇宙业态产品研究及建设项目，包括中报数藏发行平台建设、境内外NFT数字藏品创意开发和推广、AR/VR作品创意开发和推广、元宇宙空间创意构建和推广等四方面服务内容。</w:t>
      </w:r>
    </w:p>
    <w:p>
      <w:pPr>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firstLine="0" w:firstLineChars="0"/>
        <w:textAlignment w:val="auto"/>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项目需求</w:t>
      </w:r>
    </w:p>
    <w:p>
      <w:pPr>
        <w:keepNext w:val="0"/>
        <w:keepLines w:val="0"/>
        <w:pageBreakBefore w:val="0"/>
        <w:widowControl w:val="0"/>
        <w:numPr>
          <w:ilvl w:val="0"/>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中报</w:t>
      </w:r>
      <w:r>
        <w:rPr>
          <w:rFonts w:hint="eastAsia" w:ascii="宋体" w:hAnsi="宋体" w:eastAsia="宋体" w:cs="宋体"/>
          <w:b/>
          <w:bCs/>
          <w:sz w:val="24"/>
          <w:szCs w:val="24"/>
          <w:highlight w:val="none"/>
        </w:rPr>
        <w:t>数藏发行</w:t>
      </w:r>
      <w:r>
        <w:rPr>
          <w:rFonts w:hint="eastAsia" w:ascii="宋体" w:hAnsi="宋体" w:eastAsia="宋体" w:cs="宋体"/>
          <w:b/>
          <w:bCs/>
          <w:sz w:val="24"/>
          <w:szCs w:val="24"/>
          <w:highlight w:val="none"/>
          <w:lang w:val="en-US" w:eastAsia="zh-CN"/>
        </w:rPr>
        <w:t>平台建设服务</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采购人拟</w:t>
      </w:r>
      <w:r>
        <w:rPr>
          <w:rFonts w:hint="eastAsia" w:ascii="宋体" w:hAnsi="宋体" w:eastAsia="宋体" w:cs="宋体"/>
          <w:b w:val="0"/>
          <w:bCs w:val="0"/>
          <w:i w:val="0"/>
          <w:caps w:val="0"/>
          <w:color w:val="000000"/>
          <w:spacing w:val="0"/>
          <w:sz w:val="24"/>
          <w:szCs w:val="24"/>
          <w:highlight w:val="none"/>
          <w:shd w:val="clear"/>
          <w:lang w:eastAsia="zh-CN"/>
        </w:rPr>
        <w:t>建设</w:t>
      </w:r>
      <w:r>
        <w:rPr>
          <w:rFonts w:hint="eastAsia" w:ascii="宋体" w:hAnsi="宋体" w:eastAsia="宋体" w:cs="宋体"/>
          <w:b w:val="0"/>
          <w:bCs w:val="0"/>
          <w:i w:val="0"/>
          <w:caps w:val="0"/>
          <w:color w:val="000000"/>
          <w:spacing w:val="0"/>
          <w:sz w:val="24"/>
          <w:szCs w:val="24"/>
          <w:highlight w:val="none"/>
          <w:shd w:val="clear"/>
          <w:lang w:val="en-US" w:eastAsia="zh-CN"/>
        </w:rPr>
        <w:t>一套中报数藏发行平台，利用区块链技术和智能合约等，将艺术品、文化遗产和珍贵收藏品转化为不可替代的数字资产（NFT），并为提供全球用户提供一个安全、透明、可溯源性的数字化发行和交易平台。该平台可为艺术家、文化机构和收藏家等创造一个全新的数字藏品交流和交易空间，推动数字文化资产的流通和传播。</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建设目标</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投标人需围绕以下内容提供应答方案，包括但不限于数字藏品发行平台的功能设计和建设、甄选艺术品鉴定机构和区块链服务平台、提供详细</w:t>
      </w:r>
      <w:r>
        <w:rPr>
          <w:rFonts w:hint="eastAsia" w:ascii="宋体" w:hAnsi="宋体" w:eastAsia="宋体" w:cs="宋体"/>
          <w:b w:val="0"/>
          <w:bCs w:val="0"/>
          <w:i w:val="0"/>
          <w:caps w:val="0"/>
          <w:color w:val="000000"/>
          <w:spacing w:val="0"/>
          <w:sz w:val="24"/>
          <w:szCs w:val="24"/>
          <w:highlight w:val="none"/>
          <w:shd w:val="clear"/>
          <w:lang w:eastAsia="zh-CN"/>
        </w:rPr>
        <w:t>合理</w:t>
      </w:r>
      <w:r>
        <w:rPr>
          <w:rFonts w:hint="eastAsia" w:ascii="宋体" w:hAnsi="宋体" w:eastAsia="宋体" w:cs="宋体"/>
          <w:b w:val="0"/>
          <w:bCs w:val="0"/>
          <w:i w:val="0"/>
          <w:caps w:val="0"/>
          <w:color w:val="000000"/>
          <w:spacing w:val="0"/>
          <w:sz w:val="24"/>
          <w:szCs w:val="24"/>
          <w:highlight w:val="none"/>
          <w:shd w:val="clear"/>
          <w:lang w:val="en-US" w:eastAsia="zh-CN"/>
        </w:rPr>
        <w:t>的藏品发售方案和收益分配方案，确保实现以下建设和销售目标：</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构建用户友好的数字藏品发行平台，提供高品质的用户体验。</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实现数字化艺术品和文化资产的NFT化，确保其唯一性和价值认可。</w:t>
      </w:r>
    </w:p>
    <w:p>
      <w:pPr>
        <w:spacing w:beforeLines="0" w:afterLines="0" w:line="360" w:lineRule="auto"/>
        <w:ind w:firstLine="480" w:firstLineChars="200"/>
        <w:rPr>
          <w:rFonts w:hint="eastAsia"/>
          <w:highlight w:val="none"/>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平台具备数字藏品的</w:t>
      </w:r>
      <w:r>
        <w:rPr>
          <w:rFonts w:hint="eastAsia" w:ascii="宋体" w:hAnsi="宋体" w:eastAsia="宋体" w:cs="宋体"/>
          <w:b w:val="0"/>
          <w:bCs w:val="0"/>
          <w:i w:val="0"/>
          <w:caps w:val="0"/>
          <w:color w:val="000000"/>
          <w:spacing w:val="0"/>
          <w:sz w:val="24"/>
          <w:szCs w:val="24"/>
          <w:highlight w:val="none"/>
          <w:shd w:val="clear"/>
          <w:lang w:eastAsia="zh-CN"/>
        </w:rPr>
        <w:t>发售、</w:t>
      </w:r>
      <w:r>
        <w:rPr>
          <w:rFonts w:hint="eastAsia" w:ascii="宋体" w:hAnsi="宋体" w:eastAsia="宋体" w:cs="宋体"/>
          <w:b w:val="0"/>
          <w:bCs w:val="0"/>
          <w:i w:val="0"/>
          <w:caps w:val="0"/>
          <w:color w:val="000000"/>
          <w:spacing w:val="0"/>
          <w:sz w:val="24"/>
          <w:szCs w:val="24"/>
          <w:highlight w:val="none"/>
          <w:shd w:val="clear"/>
          <w:lang w:val="en-US" w:eastAsia="zh-CN"/>
        </w:rPr>
        <w:t>拍卖</w:t>
      </w:r>
      <w:r>
        <w:rPr>
          <w:rFonts w:hint="eastAsia" w:ascii="宋体" w:hAnsi="宋体" w:eastAsia="宋体" w:cs="宋体"/>
          <w:b w:val="0"/>
          <w:bCs w:val="0"/>
          <w:i w:val="0"/>
          <w:caps w:val="0"/>
          <w:color w:val="000000"/>
          <w:spacing w:val="0"/>
          <w:sz w:val="24"/>
          <w:szCs w:val="24"/>
          <w:highlight w:val="none"/>
          <w:shd w:val="clear"/>
          <w:lang w:eastAsia="zh-CN"/>
        </w:rPr>
        <w:t>、寄售等</w:t>
      </w:r>
      <w:r>
        <w:rPr>
          <w:rFonts w:hint="eastAsia" w:ascii="宋体" w:hAnsi="宋体" w:eastAsia="宋体" w:cs="宋体"/>
          <w:b w:val="0"/>
          <w:bCs w:val="0"/>
          <w:i w:val="0"/>
          <w:caps w:val="0"/>
          <w:color w:val="000000"/>
          <w:spacing w:val="0"/>
          <w:sz w:val="24"/>
          <w:szCs w:val="24"/>
          <w:highlight w:val="none"/>
          <w:shd w:val="clear"/>
          <w:lang w:val="en-US" w:eastAsia="zh-CN"/>
        </w:rPr>
        <w:t>交易功能，促进数字文化资产的市场流通。</w:t>
      </w:r>
      <w:r>
        <w:rPr>
          <w:rFonts w:hint="eastAsia" w:ascii="宋体" w:hAnsi="宋体" w:eastAsia="宋体" w:cs="宋体"/>
          <w:color w:val="000000"/>
          <w:sz w:val="24"/>
          <w:szCs w:val="24"/>
          <w:highlight w:val="none"/>
        </w:rPr>
        <w:t>为保障服务质量，底层区块链平台TPS</w:t>
      </w:r>
      <w:r>
        <w:rPr>
          <w:rFonts w:hint="eastAsia" w:ascii="宋体" w:hAnsi="宋体" w:eastAsia="宋体" w:cs="宋体"/>
          <w:color w:val="000000"/>
          <w:sz w:val="24"/>
          <w:szCs w:val="24"/>
          <w:highlight w:val="none"/>
          <w:lang w:val="en-US" w:eastAsia="zh-CN"/>
        </w:rPr>
        <w:t>需</w:t>
      </w:r>
      <w:r>
        <w:rPr>
          <w:rFonts w:hint="eastAsia" w:ascii="宋体" w:hAnsi="宋体" w:eastAsia="宋体" w:cs="宋体"/>
          <w:color w:val="000000"/>
          <w:sz w:val="24"/>
          <w:szCs w:val="24"/>
          <w:highlight w:val="none"/>
        </w:rPr>
        <w:t>大于10000。</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引入艺术品鉴定机构合作，确保数字藏品的真实性和品质认证。</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确保平台的安全性和合规性，保护用户数据和数字藏品资产。</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详细需求</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平台功能设计与建设</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设计用户界面，保证平台操作简便、美观，提供响应式体验。</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rPr>
        <w:t>区块链服务平台支持数字藏品智能合约的开发、测试和部署，实现数字藏品的NFT化，确保数字藏品的不可替代性和溯源性。论述合理的区块链平台对接方案，区块链平台需满足与中国日报品牌定位匹配，区块链平台满足可靠、稳定、环保、公开透明、信誉良好等要求。同时具有多平台跨链能力，保障数字藏品互认程度高，所对接的区块链平台运营方不能有失信或受到监管部门处罚的情况</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实现数字藏品上传、展示、管理等功能，支持多媒体形式和多种藏品类型。</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实现数字藏品的销售功能，支持定价、竞价和限时拍卖等多种方式。实现数字藏品交易功能，支持多币种在线结算。</w:t>
      </w:r>
    </w:p>
    <w:p>
      <w:pPr>
        <w:pStyle w:val="5"/>
        <w:spacing w:before="0" w:beforeLines="0" w:afterLines="0" w:line="360" w:lineRule="auto"/>
        <w:ind w:firstLine="0"/>
        <w:rPr>
          <w:rFonts w:hint="eastAsia" w:ascii="宋体" w:hAnsi="宋体" w:cs="宋体"/>
          <w:highlight w:val="none"/>
          <w:lang w:val="en-US" w:eastAsia="zh-CN"/>
        </w:rPr>
      </w:pPr>
      <w:r>
        <w:rPr>
          <w:rFonts w:hint="eastAsia" w:ascii="宋体" w:hAnsi="宋体" w:eastAsia="宋体" w:cs="宋体"/>
          <w:b w:val="0"/>
          <w:bCs w:val="0"/>
          <w:sz w:val="24"/>
          <w:szCs w:val="24"/>
          <w:highlight w:val="none"/>
          <w:lang w:val="en-US" w:eastAsia="zh-CN"/>
        </w:rPr>
        <w:t>平台需</w:t>
      </w:r>
      <w:r>
        <w:rPr>
          <w:rFonts w:hint="eastAsia" w:ascii="宋体" w:hAnsi="宋体" w:eastAsia="宋体" w:cs="宋体"/>
          <w:b w:val="0"/>
          <w:bCs w:val="0"/>
          <w:sz w:val="24"/>
          <w:szCs w:val="24"/>
          <w:highlight w:val="none"/>
          <w:lang w:eastAsia="zh-CN"/>
        </w:rPr>
        <w:t>提供</w:t>
      </w:r>
      <w:r>
        <w:rPr>
          <w:rFonts w:hint="eastAsia" w:ascii="宋体" w:hAnsi="宋体" w:eastAsia="宋体" w:cs="宋体"/>
          <w:b w:val="0"/>
          <w:bCs w:val="0"/>
          <w:sz w:val="24"/>
          <w:szCs w:val="24"/>
          <w:highlight w:val="none"/>
          <w:lang w:val="en-US" w:eastAsia="zh-CN"/>
        </w:rPr>
        <w:t>网站、客户端、小程序等产品形态。</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用户认证与安全保障</w:t>
      </w:r>
    </w:p>
    <w:p>
      <w:pPr>
        <w:spacing w:beforeLines="0" w:afterLines="0" w:line="360" w:lineRule="auto"/>
        <w:ind w:firstLine="480" w:firstLineChars="200"/>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实现用户身份认证功能，确保参与者的真实身份和资格；采用</w:t>
      </w:r>
      <w:r>
        <w:rPr>
          <w:rFonts w:hint="eastAsia" w:ascii="宋体" w:hAnsi="宋体" w:eastAsia="宋体" w:cs="宋体"/>
          <w:b w:val="0"/>
          <w:bCs w:val="0"/>
          <w:i w:val="0"/>
          <w:caps w:val="0"/>
          <w:color w:val="000000"/>
          <w:spacing w:val="0"/>
          <w:sz w:val="24"/>
          <w:szCs w:val="24"/>
          <w:highlight w:val="none"/>
          <w:shd w:val="clear"/>
          <w:lang w:eastAsia="zh-CN"/>
        </w:rPr>
        <w:t>商用</w:t>
      </w:r>
      <w:r>
        <w:rPr>
          <w:rFonts w:hint="eastAsia" w:ascii="宋体" w:hAnsi="宋体" w:eastAsia="宋体" w:cs="宋体"/>
          <w:b w:val="0"/>
          <w:bCs w:val="0"/>
          <w:i w:val="0"/>
          <w:caps w:val="0"/>
          <w:color w:val="000000"/>
          <w:spacing w:val="0"/>
          <w:sz w:val="24"/>
          <w:szCs w:val="24"/>
          <w:highlight w:val="none"/>
          <w:shd w:val="clear"/>
          <w:lang w:val="en-US" w:eastAsia="zh-CN"/>
        </w:rPr>
        <w:t>密码技术，保护用户数据和数字藏品资产的安全。</w:t>
      </w:r>
    </w:p>
    <w:p>
      <w:pPr>
        <w:spacing w:beforeLines="0" w:afterLines="0"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为用户提供区块链账户开户、CID地址查询、用户信息校验、异步批量注册链上账户、同步批量注册链上账户、批量注销链上账户等服务。</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艺术品鉴定与溯源</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甄选艺术品鉴定机构并提供合作方案，确保数字藏品的真实性和品质认证。</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w:t>
      </w:r>
      <w:r>
        <w:rPr>
          <w:rFonts w:hint="eastAsia" w:ascii="宋体" w:hAnsi="宋体" w:eastAsia="宋体" w:cs="宋体"/>
          <w:color w:val="000000"/>
          <w:sz w:val="24"/>
          <w:szCs w:val="24"/>
          <w:highlight w:val="none"/>
        </w:rPr>
        <w:t>数字藏品</w:t>
      </w:r>
      <w:r>
        <w:rPr>
          <w:rFonts w:hint="eastAsia" w:ascii="宋体" w:hAnsi="宋体" w:eastAsia="宋体" w:cs="宋体"/>
          <w:b w:val="0"/>
          <w:bCs w:val="0"/>
          <w:i w:val="0"/>
          <w:caps w:val="0"/>
          <w:color w:val="000000"/>
          <w:spacing w:val="0"/>
          <w:sz w:val="24"/>
          <w:szCs w:val="24"/>
          <w:highlight w:val="none"/>
          <w:shd w:val="clear"/>
          <w:lang w:val="en-US" w:eastAsia="zh-CN"/>
        </w:rPr>
        <w:t>溯源功能，记录</w:t>
      </w:r>
      <w:r>
        <w:rPr>
          <w:rFonts w:hint="eastAsia" w:ascii="宋体" w:hAnsi="宋体" w:eastAsia="宋体" w:cs="宋体"/>
          <w:color w:val="000000"/>
          <w:sz w:val="24"/>
          <w:szCs w:val="24"/>
          <w:highlight w:val="none"/>
        </w:rPr>
        <w:t>并可视化</w:t>
      </w:r>
      <w:r>
        <w:rPr>
          <w:rFonts w:hint="eastAsia" w:ascii="宋体" w:hAnsi="宋体" w:eastAsia="宋体" w:cs="宋体"/>
          <w:b w:val="0"/>
          <w:bCs w:val="0"/>
          <w:i w:val="0"/>
          <w:caps w:val="0"/>
          <w:color w:val="000000"/>
          <w:spacing w:val="0"/>
          <w:sz w:val="24"/>
          <w:szCs w:val="24"/>
          <w:highlight w:val="none"/>
          <w:shd w:val="clear"/>
          <w:lang w:val="en-US" w:eastAsia="zh-CN"/>
        </w:rPr>
        <w:t>数字藏品的历史交易和流通信息。</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用户体验与客户支持</w:t>
      </w:r>
    </w:p>
    <w:p>
      <w:pPr>
        <w:pStyle w:val="9"/>
        <w:pageBreakBefore w:val="0"/>
        <w:widowControl w:val="0"/>
        <w:numPr>
          <w:ilvl w:val="0"/>
          <w:numId w:val="0"/>
        </w:numPr>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确保平台的易用性和流畅性，提升用户体验。投标人需设立客户支持团队，及时回复用户疑问和问题。</w:t>
      </w:r>
      <w:r>
        <w:rPr>
          <w:rFonts w:hint="eastAsia" w:ascii="宋体" w:hAnsi="宋体" w:eastAsia="宋体" w:cs="宋体"/>
          <w:b w:val="0"/>
          <w:bCs w:val="0"/>
          <w:i w:val="0"/>
          <w:caps w:val="0"/>
          <w:color w:val="000000"/>
          <w:spacing w:val="0"/>
          <w:kern w:val="2"/>
          <w:sz w:val="24"/>
          <w:szCs w:val="24"/>
          <w:highlight w:val="none"/>
          <w:shd w:val="clear"/>
          <w:lang w:val="en-US" w:eastAsia="zh-CN" w:bidi="ar-SA"/>
        </w:rPr>
        <w:t>收集用户反馈，不断改进和优化平台功能。</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营销与推广</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eastAsia="zh-CN"/>
        </w:rPr>
      </w:pPr>
      <w:r>
        <w:rPr>
          <w:rFonts w:hint="eastAsia" w:ascii="宋体" w:hAnsi="宋体" w:eastAsia="宋体" w:cs="宋体"/>
          <w:b w:val="0"/>
          <w:bCs w:val="0"/>
          <w:i w:val="0"/>
          <w:caps w:val="0"/>
          <w:color w:val="000000"/>
          <w:spacing w:val="0"/>
          <w:sz w:val="24"/>
          <w:szCs w:val="24"/>
          <w:highlight w:val="none"/>
          <w:shd w:val="clear"/>
          <w:lang w:val="en-US" w:eastAsia="zh-CN"/>
        </w:rPr>
        <w:t>制定中报数藏发行平台营销方案，包括但不限于社交媒体推广、线上线下活动、品牌合作、数字藏品展览等，吸引用户关注该平台，实现平台销售目标，完成销售任务。</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数据分析与优化</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对用户数据和交易数据进行统计和分析，了解用户需求和市场反应。提供多维度的数据分析和报告，为优化运营策略提供参考。</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报价与项目管理</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提供项目报价方案，包括区块链平台对接、使用费和平台设计与建设、测试、部署、运维等费用明细。提供数字藏品销售和分成方案。</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提供详细的平台建设和项目管理时间表，包括每个阶段的具体工作内容和预期完成时间。</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合作要求</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阐述招投标双方合作的条款和条件，包括知识产权、收益分配等相关事项。确定双方的责任和义务，明确项目推进和合作流程。</w:t>
      </w:r>
    </w:p>
    <w:p>
      <w:pPr>
        <w:keepNext w:val="0"/>
        <w:keepLines w:val="0"/>
        <w:pageBreakBefore w:val="0"/>
        <w:widowControl w:val="0"/>
        <w:numPr>
          <w:ilvl w:val="0"/>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境内外NFT数字藏品创意开发和推广服务</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在自有平台和境内外主流NFT平台上发行数字藏品，旨在通过区块链技术，将具有中华传统文化特色的艺术品和文化藏品转化为不可替代的数字资产，拓展全球用户基础，提升品牌知名度，并实现数字化文化资产的价值增长和传播。</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平台选择</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除自有平台外，根据项目目标和受众群体，选择适合发行数字藏品的境内外主流NFT平台发行NFT数字藏品，其中国外平台包括但不限于OpenSea、Rarible、SuperRare、Foundation等。可多平台发行，以拓展海内外用户覆盖范围。</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kern w:val="2"/>
          <w:sz w:val="24"/>
          <w:szCs w:val="24"/>
          <w:highlight w:val="none"/>
          <w:lang w:val="en-US" w:eastAsia="zh-CN" w:bidi="ar-SA"/>
        </w:rPr>
        <w:t>提供对境内外主流NFT平台的分析和销售建议方案。</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数字藏品策划与准备</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投标人结合采购人业务特色，</w:t>
      </w:r>
      <w:r>
        <w:rPr>
          <w:rFonts w:hint="eastAsia" w:ascii="宋体" w:hAnsi="宋体" w:eastAsia="宋体" w:cs="宋体"/>
          <w:b w:val="0"/>
          <w:bCs w:val="0"/>
          <w:i w:val="0"/>
          <w:caps w:val="0"/>
          <w:color w:val="000000"/>
          <w:spacing w:val="0"/>
          <w:kern w:val="2"/>
          <w:sz w:val="24"/>
          <w:szCs w:val="24"/>
          <w:highlight w:val="none"/>
          <w:shd w:val="clear"/>
          <w:lang w:eastAsia="zh-CN" w:bidi="ar-SA"/>
        </w:rPr>
        <w:t>项目服务期内</w:t>
      </w:r>
      <w:r>
        <w:rPr>
          <w:rFonts w:hint="eastAsia" w:ascii="宋体" w:hAnsi="宋体" w:eastAsia="宋体" w:cs="宋体"/>
          <w:b w:val="0"/>
          <w:bCs w:val="0"/>
          <w:i w:val="0"/>
          <w:caps w:val="0"/>
          <w:color w:val="000000"/>
          <w:spacing w:val="0"/>
          <w:kern w:val="2"/>
          <w:sz w:val="24"/>
          <w:szCs w:val="24"/>
          <w:highlight w:val="none"/>
          <w:shd w:val="clear"/>
          <w:lang w:val="en-US" w:eastAsia="zh-CN" w:bidi="ar-SA"/>
        </w:rPr>
        <w:t>完成不少于10个NFT数字藏品创意、设计、开发和发行，其中在国外NFT平台上发行</w:t>
      </w:r>
      <w:r>
        <w:rPr>
          <w:rFonts w:hint="eastAsia" w:ascii="宋体" w:hAnsi="宋体" w:eastAsia="宋体" w:cs="宋体"/>
          <w:color w:val="000000"/>
          <w:szCs w:val="24"/>
          <w:highlight w:val="none"/>
        </w:rPr>
        <w:t>的数字藏品</w:t>
      </w:r>
      <w:r>
        <w:rPr>
          <w:rFonts w:hint="eastAsia" w:ascii="宋体" w:hAnsi="宋体" w:eastAsia="宋体" w:cs="宋体"/>
          <w:b w:val="0"/>
          <w:bCs w:val="0"/>
          <w:i w:val="0"/>
          <w:caps w:val="0"/>
          <w:color w:val="000000"/>
          <w:spacing w:val="0"/>
          <w:kern w:val="2"/>
          <w:sz w:val="24"/>
          <w:szCs w:val="24"/>
          <w:highlight w:val="none"/>
          <w:shd w:val="clear"/>
          <w:lang w:val="en-US" w:eastAsia="zh-CN" w:bidi="ar-SA"/>
        </w:rPr>
        <w:t>不少于5个。</w:t>
      </w:r>
      <w:r>
        <w:rPr>
          <w:rFonts w:hint="eastAsia" w:ascii="宋体" w:hAnsi="宋体" w:eastAsia="宋体" w:cs="宋体"/>
          <w:color w:val="000000"/>
          <w:szCs w:val="24"/>
          <w:highlight w:val="none"/>
        </w:rPr>
        <w:t>数字藏品</w:t>
      </w:r>
      <w:r>
        <w:rPr>
          <w:rFonts w:hint="eastAsia" w:ascii="宋体" w:hAnsi="宋体" w:eastAsia="宋体" w:cs="宋体"/>
          <w:b w:val="0"/>
          <w:bCs w:val="0"/>
          <w:i w:val="0"/>
          <w:caps w:val="0"/>
          <w:color w:val="000000"/>
          <w:spacing w:val="0"/>
          <w:kern w:val="2"/>
          <w:sz w:val="24"/>
          <w:szCs w:val="24"/>
          <w:highlight w:val="none"/>
          <w:shd w:val="clear"/>
          <w:lang w:val="en-US" w:eastAsia="zh-CN" w:bidi="ar-SA"/>
        </w:rPr>
        <w:t>内容可以基于但不限于中国日报报纸版面、图片、漫画插画、文博文旅等主题内容，包括对产品的主体内容进行数字化，以及对产品的所属IP及其衍生物进行数字化。</w:t>
      </w:r>
      <w:r>
        <w:rPr>
          <w:rFonts w:hint="eastAsia" w:ascii="宋体" w:hAnsi="宋体" w:eastAsia="宋体" w:cs="宋体"/>
          <w:color w:val="000000"/>
          <w:szCs w:val="24"/>
          <w:highlight w:val="none"/>
        </w:rPr>
        <w:t>数字藏品</w:t>
      </w:r>
      <w:r>
        <w:rPr>
          <w:rFonts w:hint="eastAsia" w:ascii="宋体" w:hAnsi="宋体" w:eastAsia="宋体" w:cs="宋体"/>
          <w:b w:val="0"/>
          <w:bCs w:val="0"/>
          <w:i w:val="0"/>
          <w:caps w:val="0"/>
          <w:color w:val="000000"/>
          <w:spacing w:val="0"/>
          <w:kern w:val="2"/>
          <w:sz w:val="24"/>
          <w:szCs w:val="24"/>
          <w:highlight w:val="none"/>
          <w:shd w:val="clear"/>
          <w:lang w:val="en-US" w:eastAsia="zh-CN" w:bidi="ar-SA"/>
        </w:rPr>
        <w:t>形态包括但不限于3D建模、音频还原及再造、创意视频等。</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内容选题与创意</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制定创意方案，确定数字藏品的核心主题，如艺术品、传统文化文物、历史遗迹等，确保数字藏品能够在</w:t>
      </w:r>
      <w:r>
        <w:rPr>
          <w:rFonts w:hint="eastAsia" w:ascii="宋体" w:hAnsi="宋体" w:eastAsia="宋体" w:cs="宋体"/>
          <w:color w:val="000000"/>
          <w:szCs w:val="24"/>
          <w:highlight w:val="none"/>
        </w:rPr>
        <w:t>NFT</w:t>
      </w:r>
      <w:r>
        <w:rPr>
          <w:rFonts w:hint="eastAsia" w:ascii="宋体" w:hAnsi="宋体" w:eastAsia="宋体" w:cs="宋体"/>
          <w:b w:val="0"/>
          <w:bCs w:val="0"/>
          <w:i w:val="0"/>
          <w:caps w:val="0"/>
          <w:color w:val="000000"/>
          <w:spacing w:val="0"/>
          <w:kern w:val="2"/>
          <w:sz w:val="24"/>
          <w:szCs w:val="24"/>
          <w:highlight w:val="none"/>
          <w:shd w:val="clear"/>
          <w:lang w:val="en-US" w:eastAsia="zh-CN" w:bidi="ar-SA"/>
        </w:rPr>
        <w:t>平台上脱颖而出，吸引用户关注和购买，以实现销售目标。</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藏品准备与加密</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确保数字化艺术品或文化资产高品质的数字展示效果。使用NFT标准协议，包括但不限于ERC-721、ERC-1155等，将数字藏品加密和唯一化。</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发行与销售</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发行计划</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设定数字藏品的发行计划，包括发行时间、数量和价格等</w:t>
      </w:r>
      <w:r>
        <w:rPr>
          <w:rFonts w:hint="eastAsia" w:ascii="宋体" w:hAnsi="宋体" w:eastAsia="宋体" w:cs="宋体"/>
          <w:color w:val="000000"/>
          <w:szCs w:val="24"/>
          <w:highlight w:val="none"/>
        </w:rPr>
        <w:t>，支持盲盒发行、定向发放、白名单领取、正常销售等发行方式</w:t>
      </w:r>
      <w:r>
        <w:rPr>
          <w:rFonts w:hint="eastAsia" w:ascii="宋体" w:hAnsi="宋体" w:eastAsia="宋体" w:cs="宋体"/>
          <w:color w:val="000000"/>
          <w:szCs w:val="24"/>
          <w:highlight w:val="none"/>
          <w:lang w:eastAsia="zh-CN"/>
        </w:rPr>
        <w:t>。</w:t>
      </w:r>
      <w:r>
        <w:rPr>
          <w:rFonts w:hint="eastAsia" w:ascii="宋体" w:hAnsi="宋体" w:eastAsia="宋体" w:cs="宋体"/>
          <w:b w:val="0"/>
          <w:bCs w:val="0"/>
          <w:i w:val="0"/>
          <w:caps w:val="0"/>
          <w:color w:val="000000"/>
          <w:spacing w:val="0"/>
          <w:kern w:val="2"/>
          <w:sz w:val="24"/>
          <w:szCs w:val="24"/>
          <w:highlight w:val="none"/>
          <w:shd w:val="clear"/>
          <w:lang w:val="en-US" w:eastAsia="zh-CN" w:bidi="ar-SA"/>
        </w:rPr>
        <w:t>确定数字藏品是否进行限量版发行，增加数字藏品的稀缺性和价值。</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营销与推广</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制定全面的营销策略，提供运营服务支持，包括前期提供活动方案策划支持、后期提供宣传策略、宣传方案及宣传物料（图、文、视频等）等制作；利用社交媒体、官方网站、合作媒体、举办线上线下活动等，宣传数字藏品发行信息，吸引用户参与购买，完成销售任务。</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sz w:val="24"/>
          <w:szCs w:val="24"/>
          <w:highlight w:val="none"/>
          <w:lang w:val="en-US" w:eastAsia="zh-CN"/>
        </w:rPr>
        <w:t>设计和构造包括</w:t>
      </w:r>
      <w:r>
        <w:rPr>
          <w:rFonts w:hint="eastAsia" w:ascii="宋体" w:hAnsi="宋体" w:eastAsia="宋体" w:cs="宋体"/>
          <w:sz w:val="24"/>
          <w:szCs w:val="24"/>
          <w:highlight w:val="none"/>
        </w:rPr>
        <w:t>私域</w:t>
      </w:r>
      <w:r>
        <w:rPr>
          <w:rFonts w:hint="eastAsia" w:ascii="宋体" w:hAnsi="宋体" w:eastAsia="宋体" w:cs="宋体"/>
          <w:sz w:val="24"/>
          <w:szCs w:val="24"/>
          <w:highlight w:val="none"/>
          <w:lang w:val="en-US" w:eastAsia="zh-CN"/>
        </w:rPr>
        <w:t>等模式的</w:t>
      </w:r>
      <w:r>
        <w:rPr>
          <w:rFonts w:hint="eastAsia" w:ascii="宋体" w:hAnsi="宋体" w:eastAsia="宋体" w:cs="宋体"/>
          <w:sz w:val="24"/>
          <w:szCs w:val="24"/>
          <w:highlight w:val="none"/>
        </w:rPr>
        <w:t>运营</w:t>
      </w:r>
      <w:r>
        <w:rPr>
          <w:rFonts w:hint="eastAsia" w:ascii="宋体" w:hAnsi="宋体" w:eastAsia="宋体" w:cs="宋体"/>
          <w:sz w:val="24"/>
          <w:szCs w:val="24"/>
          <w:highlight w:val="none"/>
          <w:lang w:val="en-US" w:eastAsia="zh-CN"/>
        </w:rPr>
        <w:t>体系</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为数字藏品推广和</w:t>
      </w:r>
      <w:r>
        <w:rPr>
          <w:rFonts w:hint="eastAsia" w:ascii="宋体" w:hAnsi="宋体" w:eastAsia="宋体" w:cs="宋体"/>
          <w:sz w:val="24"/>
          <w:szCs w:val="24"/>
          <w:highlight w:val="none"/>
        </w:rPr>
        <w:t>收藏者创造一个有特色的活跃的</w:t>
      </w:r>
      <w:r>
        <w:rPr>
          <w:rFonts w:hint="eastAsia" w:ascii="宋体" w:hAnsi="宋体" w:eastAsia="宋体" w:cs="宋体"/>
          <w:sz w:val="24"/>
          <w:szCs w:val="24"/>
          <w:highlight w:val="none"/>
          <w:lang w:val="en-US" w:eastAsia="zh-CN"/>
        </w:rPr>
        <w:t>交流沟通平台</w:t>
      </w:r>
      <w:r>
        <w:rPr>
          <w:rFonts w:hint="eastAsia" w:ascii="宋体" w:hAnsi="宋体" w:eastAsia="宋体" w:cs="宋体"/>
          <w:sz w:val="24"/>
          <w:szCs w:val="24"/>
          <w:highlight w:val="none"/>
        </w:rPr>
        <w:t>。</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NFT拍卖与销售</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提供数字藏品拍卖方案，以拍卖形式完成参评销售，增加参与度和价格竞争。需提供多种支付方式，包括加密货币和传统货币，方便用户购买。</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color w:val="000000"/>
          <w:szCs w:val="24"/>
          <w:highlight w:val="none"/>
        </w:rPr>
        <w:t>除拍卖方式外，提供定价销售、用户寄售等销售方式。</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用户体验与客户支持</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投标人需设立客户支持团队，及时回复用户疑问和问题。收集用户反馈，不断改进数字藏品的展现形式和运营方案。</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数据分析与优化</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b w:val="0"/>
          <w:bCs w:val="0"/>
          <w:i w:val="0"/>
          <w:caps w:val="0"/>
          <w:color w:val="000000"/>
          <w:spacing w:val="0"/>
          <w:kern w:val="2"/>
          <w:sz w:val="24"/>
          <w:szCs w:val="24"/>
          <w:highlight w:val="none"/>
          <w:shd w:val="clear"/>
          <w:lang w:val="en-US" w:eastAsia="zh-CN" w:bidi="ar-SA"/>
        </w:rPr>
        <w:t>收集用户数据和销售数据，进行统计和分析，了解用户需求和市场反应。提供数据分析和报告，为优化运营策略提供参考。</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商业化策略建议</w:t>
      </w:r>
    </w:p>
    <w:p>
      <w:pPr>
        <w:pStyle w:val="9"/>
        <w:keepNext w:val="0"/>
        <w:keepLines w:val="0"/>
        <w:pageBreakBefore w:val="0"/>
        <w:widowControl w:val="0"/>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right="0" w:rightChars="0" w:firstLine="480" w:firstLineChars="200"/>
        <w:jc w:val="both"/>
        <w:textAlignment w:val="auto"/>
        <w:rPr>
          <w:rFonts w:hint="eastAsia" w:ascii="宋体" w:hAnsi="宋体" w:eastAsia="宋体" w:cs="宋体"/>
          <w:b w:val="0"/>
          <w:bCs w:val="0"/>
          <w:i w:val="0"/>
          <w:caps w:val="0"/>
          <w:color w:val="000000"/>
          <w:spacing w:val="0"/>
          <w:kern w:val="2"/>
          <w:sz w:val="24"/>
          <w:szCs w:val="24"/>
          <w:highlight w:val="none"/>
          <w:shd w:val="clear"/>
          <w:lang w:val="en-US" w:eastAsia="zh-CN" w:bidi="ar-SA"/>
        </w:rPr>
      </w:pPr>
      <w:r>
        <w:rPr>
          <w:rFonts w:hint="eastAsia" w:ascii="宋体" w:hAnsi="宋体" w:eastAsia="宋体" w:cs="宋体"/>
          <w:kern w:val="2"/>
          <w:sz w:val="24"/>
          <w:szCs w:val="24"/>
          <w:highlight w:val="none"/>
          <w:lang w:val="en-US" w:eastAsia="zh-CN" w:bidi="ar-SA"/>
        </w:rPr>
        <w:t>提供商业化策略建议，</w:t>
      </w:r>
      <w:r>
        <w:rPr>
          <w:rFonts w:hint="eastAsia" w:ascii="宋体" w:hAnsi="宋体" w:eastAsia="宋体" w:cs="宋体"/>
          <w:b w:val="0"/>
          <w:bCs w:val="0"/>
          <w:i w:val="0"/>
          <w:caps w:val="0"/>
          <w:color w:val="000000"/>
          <w:spacing w:val="0"/>
          <w:kern w:val="2"/>
          <w:sz w:val="24"/>
          <w:szCs w:val="24"/>
          <w:highlight w:val="none"/>
          <w:shd w:val="clear"/>
          <w:lang w:val="en-US" w:eastAsia="zh-CN" w:bidi="ar-SA"/>
        </w:rPr>
        <w:t>提供与知名艺术家、文化机构等合作方案，增加数字藏品的吸引力和热度。提供与其他NFT平台的合作方案，增加数字藏品的曝光度。</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报价与项目管理</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提供全面的项目</w:t>
      </w:r>
      <w:r>
        <w:rPr>
          <w:rFonts w:hint="eastAsia" w:ascii="宋体" w:hAnsi="宋体" w:eastAsia="宋体" w:cs="宋体"/>
          <w:b w:val="0"/>
          <w:bCs w:val="0"/>
          <w:i w:val="0"/>
          <w:caps w:val="0"/>
          <w:color w:val="000000"/>
          <w:spacing w:val="0"/>
          <w:sz w:val="24"/>
          <w:szCs w:val="24"/>
          <w:highlight w:val="none"/>
          <w:shd w:val="clear"/>
          <w:lang w:eastAsia="zh-CN"/>
        </w:rPr>
        <w:t>报价</w:t>
      </w:r>
      <w:r>
        <w:rPr>
          <w:rFonts w:hint="eastAsia" w:ascii="宋体" w:hAnsi="宋体" w:eastAsia="宋体" w:cs="宋体"/>
          <w:b w:val="0"/>
          <w:bCs w:val="0"/>
          <w:i w:val="0"/>
          <w:caps w:val="0"/>
          <w:color w:val="000000"/>
          <w:spacing w:val="0"/>
          <w:sz w:val="24"/>
          <w:szCs w:val="24"/>
          <w:highlight w:val="none"/>
          <w:shd w:val="clear"/>
          <w:lang w:val="en-US" w:eastAsia="zh-CN"/>
        </w:rPr>
        <w:t>，包括产品设计、开发、上链、推广、运营、维护等费用明细。提供藏品销售和分成方案。</w:t>
      </w:r>
    </w:p>
    <w:p>
      <w:pPr>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提供数字藏品开发以及项目管理时间表，包括每个阶段的具体工作内容和预期完成时间。</w:t>
      </w:r>
    </w:p>
    <w:p>
      <w:pPr>
        <w:keepNext w:val="0"/>
        <w:keepLines w:val="0"/>
        <w:pageBreakBefore w:val="0"/>
        <w:widowControl w:val="0"/>
        <w:numPr>
          <w:ilvl w:val="0"/>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AR/VR作品创意开发与推广服务</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eastAsia="zh-CN" w:bidi="ar-SA"/>
        </w:rPr>
        <w:t>在</w:t>
      </w:r>
      <w:r>
        <w:rPr>
          <w:rFonts w:hint="eastAsia" w:ascii="宋体" w:hAnsi="宋体" w:eastAsia="宋体" w:cs="宋体"/>
          <w:kern w:val="2"/>
          <w:sz w:val="24"/>
          <w:szCs w:val="24"/>
          <w:highlight w:val="none"/>
          <w:lang w:val="en-US" w:eastAsia="zh-CN" w:bidi="ar-SA"/>
        </w:rPr>
        <w:t>采购人自有视觉产品、实体画册、视频、图片等资源，以及采购人得到授权的文化旅游和其他品牌资源基础上，开发不少于8款文化体验类的AR/VR作品，通过虚拟现实技术，让用户身临其境地感受中国传统文化的魅力与独特之处。实现弘扬传统文化、提升用户对中华文明的认知和体验，同时吸引更多年轻用户对传统文化的关注和参与。</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提供满足不少于5人同时进行测试和体验的一体机设备，内置已开发的VR/AR作品。</w:t>
      </w:r>
    </w:p>
    <w:p>
      <w:pPr>
        <w:numPr>
          <w:ilvl w:val="0"/>
          <w:numId w:val="0"/>
        </w:numPr>
        <w:spacing w:beforeLines="0" w:afterLines="0" w:line="360" w:lineRule="auto"/>
        <w:ind w:firstLine="480" w:firstLineChars="20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需有中国传统文化</w:t>
      </w:r>
      <w:r>
        <w:rPr>
          <w:rFonts w:hint="eastAsia" w:ascii="宋体" w:hAnsi="宋体" w:eastAsia="宋体" w:cs="宋体"/>
          <w:sz w:val="24"/>
          <w:szCs w:val="24"/>
          <w:highlight w:val="none"/>
          <w:lang w:val="en-US" w:eastAsia="zh-CN"/>
        </w:rPr>
        <w:t>领域</w:t>
      </w:r>
      <w:r>
        <w:rPr>
          <w:rFonts w:hint="eastAsia" w:ascii="宋体" w:hAnsi="宋体" w:eastAsia="宋体" w:cs="宋体"/>
          <w:sz w:val="24"/>
          <w:szCs w:val="24"/>
          <w:highlight w:val="none"/>
        </w:rPr>
        <w:t>的VR/AR项目运营案例，具有一定的市场影响力。</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平台选择</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提供对境内外主流AR/VR平台的分析和建议，包括技术特性、用户覆盖范围、开发难度等。</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根据项目目标，推荐最适合的平台或多平台适配方案。</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内容创意与设计</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负责设计虚拟场景、建筑、音效和视觉效果，确保体验的真实感与美观度。</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确保文化内容的准确性和历史真实性，符合传统文化的核心价值观。</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开发与编程</w:t>
      </w:r>
    </w:p>
    <w:p>
      <w:pPr>
        <w:numPr>
          <w:ilvl w:val="0"/>
          <w:numId w:val="0"/>
        </w:numPr>
        <w:spacing w:beforeLines="0" w:afterLines="0" w:line="360" w:lineRule="auto"/>
        <w:ind w:firstLine="480" w:firstLineChars="200"/>
        <w:outlineLvl w:val="9"/>
        <w:rPr>
          <w:rFonts w:hint="eastAsia" w:ascii="宋体" w:hAnsi="宋体" w:cs="宋体" w:eastAsiaTheme="minorEastAsia"/>
          <w:kern w:val="2"/>
          <w:sz w:val="24"/>
          <w:szCs w:val="24"/>
          <w:highlight w:val="none"/>
          <w:lang w:val="en-US" w:eastAsia="zh-CN" w:bidi="ar-SA"/>
        </w:rPr>
      </w:pPr>
      <w:r>
        <w:rPr>
          <w:rFonts w:hint="eastAsia" w:ascii="宋体" w:hAnsi="宋体" w:eastAsia="宋体" w:cs="宋体"/>
          <w:sz w:val="24"/>
          <w:szCs w:val="24"/>
          <w:highlight w:val="none"/>
          <w:lang w:val="en-US" w:eastAsia="zh-CN"/>
        </w:rPr>
        <w:t>投标人</w:t>
      </w:r>
      <w:r>
        <w:rPr>
          <w:rFonts w:hint="eastAsia" w:ascii="宋体" w:hAnsi="宋体" w:eastAsia="宋体" w:cs="宋体"/>
          <w:kern w:val="2"/>
          <w:sz w:val="24"/>
          <w:szCs w:val="24"/>
          <w:highlight w:val="none"/>
          <w:lang w:val="en-US" w:eastAsia="zh-CN" w:bidi="ar-SA"/>
        </w:rPr>
        <w:t>负责应用程序的开发、测试和优化。保证应用的流畅性、稳定性以及在不同设备上的兼容性。</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需有AR/VR平台的开发案例</w:t>
      </w:r>
      <w:r>
        <w:rPr>
          <w:rFonts w:hint="eastAsia" w:ascii="宋体" w:hAnsi="宋体" w:eastAsia="宋体" w:cs="宋体"/>
          <w:sz w:val="24"/>
          <w:szCs w:val="24"/>
          <w:highlight w:val="none"/>
          <w:lang w:eastAsia="zh-CN"/>
        </w:rPr>
        <w:t>。</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用户互动与社交功能</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平台需</w:t>
      </w:r>
      <w:r>
        <w:rPr>
          <w:rFonts w:hint="eastAsia" w:ascii="宋体" w:hAnsi="宋体" w:eastAsia="宋体" w:cs="宋体"/>
          <w:kern w:val="2"/>
          <w:sz w:val="24"/>
          <w:szCs w:val="24"/>
          <w:highlight w:val="none"/>
          <w:lang w:eastAsia="zh-CN" w:bidi="ar-SA"/>
        </w:rPr>
        <w:t>具备</w:t>
      </w:r>
      <w:r>
        <w:rPr>
          <w:rFonts w:hint="eastAsia" w:ascii="宋体" w:hAnsi="宋体" w:eastAsia="宋体" w:cs="宋体"/>
          <w:kern w:val="2"/>
          <w:sz w:val="24"/>
          <w:szCs w:val="24"/>
          <w:highlight w:val="none"/>
          <w:lang w:val="en-US" w:eastAsia="zh-CN" w:bidi="ar-SA"/>
        </w:rPr>
        <w:t>用户互动功能，让用户可以在虚拟空间中进行交流和合作。</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平台需</w:t>
      </w:r>
      <w:r>
        <w:rPr>
          <w:rFonts w:hint="eastAsia" w:ascii="宋体" w:hAnsi="宋体" w:eastAsia="宋体" w:cs="宋体"/>
          <w:kern w:val="2"/>
          <w:sz w:val="24"/>
          <w:szCs w:val="24"/>
          <w:highlight w:val="none"/>
          <w:lang w:eastAsia="zh-CN" w:bidi="ar-SA"/>
        </w:rPr>
        <w:t>具备</w:t>
      </w:r>
      <w:r>
        <w:rPr>
          <w:rFonts w:hint="eastAsia" w:ascii="宋体" w:hAnsi="宋体" w:eastAsia="宋体" w:cs="宋体"/>
          <w:kern w:val="2"/>
          <w:sz w:val="24"/>
          <w:szCs w:val="24"/>
          <w:highlight w:val="none"/>
          <w:lang w:val="en-US" w:eastAsia="zh-CN" w:bidi="ar-SA"/>
        </w:rPr>
        <w:t>用户社交功能，鼓励用户分享体验、参与活动，并与其他用户形成社群。</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运营服务需求</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营销与推广</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制定全面的营销策略，包括线上线下宣传推广、社交媒体传播、合作推广等，以吸引用户参与。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需具有线上数字营销运营经验，有中国传统文化IP的运营案例。拥有稳定的团队</w:t>
      </w:r>
      <w:r>
        <w:rPr>
          <w:rFonts w:hint="eastAsia" w:ascii="宋体" w:hAnsi="宋体" w:eastAsia="宋体" w:cs="宋体"/>
          <w:sz w:val="24"/>
          <w:szCs w:val="24"/>
          <w:highlight w:val="none"/>
          <w:lang w:eastAsia="zh-CN"/>
        </w:rPr>
        <w:t>。</w:t>
      </w:r>
      <w:r>
        <w:rPr>
          <w:rFonts w:hint="eastAsia" w:ascii="宋体" w:hAnsi="宋体" w:eastAsia="宋体" w:cs="宋体"/>
          <w:kern w:val="2"/>
          <w:sz w:val="24"/>
          <w:szCs w:val="24"/>
          <w:highlight w:val="none"/>
          <w:lang w:val="en-US" w:eastAsia="zh-CN" w:bidi="ar-SA"/>
        </w:rPr>
        <w:t>定期举办线上线下活动，增加用户黏性，扩大影响力。</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用户体验和客户支持</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提供全面的用户支持与客服服务，回答用户疑问，解决问题，并收集用户反馈意见。建立健全的用户反馈与处理机制，及时更新与改进作品。</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数据分析与报告</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收集用户数据，进行统计和分析，洞察用户行为和需求，为优化作品和运营策略提供依据。</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提交详细的数据分析与报告，提供项目进展和效果评估。</w:t>
      </w:r>
    </w:p>
    <w:p>
      <w:pPr>
        <w:keepNext w:val="0"/>
        <w:keepLines w:val="0"/>
        <w:pageBreakBefore w:val="0"/>
        <w:widowControl w:val="0"/>
        <w:numPr>
          <w:ilvl w:val="2"/>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商业化策略</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提供商业化策略建议，包括品牌合作、广告植入、虚拟商品销售等等</w:t>
      </w:r>
      <w:r>
        <w:rPr>
          <w:rFonts w:hint="eastAsia" w:ascii="宋体" w:hAnsi="宋体" w:eastAsia="宋体" w:cs="宋体"/>
          <w:i w:val="0"/>
          <w:iCs w:val="0"/>
          <w:caps w:val="0"/>
          <w:color w:val="000000"/>
          <w:spacing w:val="0"/>
          <w:kern w:val="0"/>
          <w:sz w:val="24"/>
          <w:szCs w:val="24"/>
          <w:highlight w:val="none"/>
          <w:lang w:val="en-US" w:eastAsia="zh-CN" w:bidi="ar"/>
        </w:rPr>
        <w:t>商业化方式</w:t>
      </w:r>
      <w:r>
        <w:rPr>
          <w:rFonts w:hint="eastAsia" w:ascii="宋体" w:hAnsi="宋体" w:eastAsia="宋体" w:cs="宋体"/>
          <w:kern w:val="2"/>
          <w:sz w:val="24"/>
          <w:szCs w:val="24"/>
          <w:highlight w:val="none"/>
          <w:lang w:val="en-US" w:eastAsia="zh-CN" w:bidi="ar-SA"/>
        </w:rPr>
        <w:t>，实现商业收益，以维持项目的运营和发展。</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报价与项目管理</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提供全面的项目报价，包括产品设计、开发、推广、运营、维护等费用明细。</w:t>
      </w:r>
    </w:p>
    <w:p>
      <w:pPr>
        <w:spacing w:beforeLines="0" w:afterLines="0"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提供详细的产品开发与项目管理时间表，包括每个阶段的具体工作内容和预期完成时间。</w:t>
      </w:r>
    </w:p>
    <w:p>
      <w:pPr>
        <w:keepNext w:val="0"/>
        <w:keepLines w:val="0"/>
        <w:pageBreakBefore w:val="0"/>
        <w:widowControl w:val="0"/>
        <w:numPr>
          <w:ilvl w:val="0"/>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元宇宙空间</w:t>
      </w:r>
      <w:r>
        <w:rPr>
          <w:rFonts w:hint="eastAsia" w:ascii="宋体" w:hAnsi="宋体" w:eastAsia="宋体" w:cs="宋体"/>
          <w:b/>
          <w:bCs/>
          <w:i w:val="0"/>
          <w:caps w:val="0"/>
          <w:spacing w:val="0"/>
          <w:kern w:val="2"/>
          <w:sz w:val="24"/>
          <w:szCs w:val="24"/>
          <w:highlight w:val="none"/>
          <w:shd w:val="clear"/>
          <w:lang w:val="en-US" w:eastAsia="zh-CN" w:bidi="ar-SA"/>
        </w:rPr>
        <w:t>创意构建和推广</w:t>
      </w:r>
      <w:r>
        <w:rPr>
          <w:rFonts w:hint="eastAsia" w:ascii="宋体" w:hAnsi="宋体" w:eastAsia="宋体" w:cs="宋体"/>
          <w:b/>
          <w:bCs/>
          <w:sz w:val="24"/>
          <w:szCs w:val="24"/>
          <w:highlight w:val="none"/>
          <w:lang w:val="en-US" w:eastAsia="zh-CN"/>
        </w:rPr>
        <w:t>服务</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采购人计划在境内外主流的元宇宙平台上构建中国传统文化的元宇宙空间，以展示中华优秀传统文化的魅力，创造一个具有中华文化底蕴的生活方式，促进中外文化交流与合作。</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投标人需具有国际视野，提供方案应具有创意性、可行性和可持续性，能够充分体现中国传统文化的特色和价值；应考虑不同平台和技术的特点和优势，能够兼容和适应不同平台和技术的发展变化；应注重用户体验和参与度，能够吸引和留住不同年龄段和背景的用户；应符合法律法规和道德规范，尊重版权和知识产权，保护用户隐私和安全。</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平台选择</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投标人根据对项目需求的理解和市场情况，可选择包括但不限于国内的元宇宙平台如腾讯的QQ空间、阿里巴巴的淘宝村、网易的网易考拉空间等，国外平台如Facebook的Horizon</w:t>
      </w:r>
      <w:r>
        <w:rPr>
          <w:rFonts w:hint="eastAsia" w:ascii="宋体" w:hAnsi="宋体" w:eastAsia="宋体" w:cs="宋体"/>
          <w:i w:val="0"/>
          <w:iCs w:val="0"/>
          <w:caps w:val="0"/>
          <w:color w:val="000000"/>
          <w:spacing w:val="0"/>
          <w:kern w:val="0"/>
          <w:sz w:val="24"/>
          <w:szCs w:val="24"/>
          <w:highlight w:val="none"/>
          <w:lang w:eastAsia="zh-CN" w:bidi="ar"/>
        </w:rPr>
        <w:t>、</w:t>
      </w:r>
      <w:r>
        <w:rPr>
          <w:rFonts w:hint="eastAsia" w:ascii="宋体" w:hAnsi="宋体" w:eastAsia="宋体" w:cs="宋体"/>
          <w:i w:val="0"/>
          <w:iCs w:val="0"/>
          <w:caps w:val="0"/>
          <w:color w:val="000000"/>
          <w:spacing w:val="0"/>
          <w:kern w:val="0"/>
          <w:sz w:val="24"/>
          <w:szCs w:val="24"/>
          <w:highlight w:val="none"/>
          <w:lang w:val="en-US" w:eastAsia="zh-CN" w:bidi="ar"/>
        </w:rPr>
        <w:t>Epic Games的Fortnite、Roblox等作为该项目中元宇宙空间的承载平台。</w:t>
      </w:r>
    </w:p>
    <w:p>
      <w:pPr>
        <w:keepNext w:val="0"/>
        <w:keepLines w:val="0"/>
        <w:pageBreakBefore w:val="0"/>
        <w:widowControl w:val="0"/>
        <w:numPr>
          <w:ilvl w:val="1"/>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2" w:firstLineChars="200"/>
        <w:jc w:val="left"/>
        <w:textAlignment w:val="auto"/>
        <w:outlineLvl w:val="2"/>
        <w:rPr>
          <w:rFonts w:hint="eastAsia" w:ascii="宋体" w:hAnsi="宋体" w:eastAsia="宋体" w:cs="宋体"/>
          <w:b/>
          <w:bCs/>
          <w:i w:val="0"/>
          <w:iCs w:val="0"/>
          <w:caps w:val="0"/>
          <w:spacing w:val="0"/>
          <w:kern w:val="2"/>
          <w:sz w:val="24"/>
          <w:szCs w:val="24"/>
          <w:highlight w:val="none"/>
          <w:lang w:val="en-US" w:eastAsia="zh-CN" w:bidi="ar"/>
        </w:rPr>
      </w:pPr>
      <w:r>
        <w:rPr>
          <w:rFonts w:hint="eastAsia" w:ascii="宋体" w:hAnsi="宋体" w:eastAsia="宋体" w:cs="宋体"/>
          <w:b/>
          <w:bCs/>
          <w:sz w:val="24"/>
          <w:szCs w:val="24"/>
          <w:highlight w:val="none"/>
          <w:lang w:val="en-US" w:eastAsia="zh-CN"/>
        </w:rPr>
        <w:t>文化</w:t>
      </w:r>
      <w:r>
        <w:rPr>
          <w:rFonts w:hint="eastAsia" w:ascii="宋体" w:hAnsi="宋体" w:eastAsia="宋体" w:cs="宋体"/>
          <w:b/>
          <w:bCs/>
          <w:sz w:val="24"/>
          <w:szCs w:val="24"/>
          <w:highlight w:val="none"/>
          <w:lang w:eastAsia="zh-CN"/>
        </w:rPr>
        <w:t>虚拟</w:t>
      </w:r>
      <w:r>
        <w:rPr>
          <w:rFonts w:hint="eastAsia" w:ascii="宋体" w:hAnsi="宋体" w:eastAsia="宋体" w:cs="宋体"/>
          <w:b/>
          <w:bCs/>
          <w:sz w:val="24"/>
          <w:szCs w:val="24"/>
          <w:highlight w:val="none"/>
          <w:lang w:val="en-US" w:eastAsia="zh-CN"/>
        </w:rPr>
        <w:t>内容的策划与创作</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投标人应根据采购人的总体策划，制定文化内容策略，确定展示的重点内容，如中国传统节日、传统音乐、绘画、戏曲、书法等。同时设置合理机制，鼓励第三方内容创作者创作与传统文化相关的作品，可以是虚拟展览、演出、教育性内容等，以吸引用户参与和互动。</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虚拟场景的设计与建设</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投标人根据采购人的主题需求，模拟真实的文化场景如博物馆、剧院、小镇等，或设计虚拟文化场景如仙境、王国、星球等，呈现中国传统文化的历史遗迹、民族文化、人文景观等元素，展示中国传统文化的非物质文化遗产、艺术作品、文创产品等元素，使用户能够身临其境地体验中国传统文化。</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虚拟场景主题建设的数量不少于3个，且每个场景的虚拟空间</w:t>
      </w:r>
      <w:r>
        <w:rPr>
          <w:rFonts w:hint="eastAsia" w:ascii="宋体" w:hAnsi="宋体" w:eastAsia="宋体" w:cs="宋体"/>
          <w:color w:val="000000"/>
          <w:kern w:val="0"/>
          <w:sz w:val="24"/>
          <w:szCs w:val="24"/>
          <w:highlight w:val="none"/>
          <w:lang w:bidi="ar"/>
        </w:rPr>
        <w:t>分辨率</w:t>
      </w:r>
      <w:r>
        <w:rPr>
          <w:rFonts w:hint="eastAsia" w:ascii="宋体" w:hAnsi="宋体" w:eastAsia="宋体" w:cs="宋体"/>
          <w:i w:val="0"/>
          <w:iCs w:val="0"/>
          <w:caps w:val="0"/>
          <w:color w:val="000000"/>
          <w:spacing w:val="0"/>
          <w:kern w:val="0"/>
          <w:sz w:val="24"/>
          <w:szCs w:val="24"/>
          <w:highlight w:val="none"/>
          <w:lang w:val="en-US" w:eastAsia="zh-CN" w:bidi="ar"/>
        </w:rPr>
        <w:t>大小不少于1080P，并发数不少于100人同时在线，同时根据空间活动需求可以按天调整并发数量。</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社区与互动功能的设计开发</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创建社区功能，打造有趣有料的互动和体验，让用户通过云展览、云演艺、云旅游等方式在线上感知体验文化魅力，通过虚拟形象代言文创、虚拟人旅游服务等方式参与到文化传播中，允许用户交流、分享和合作，增进用户黏性。引入互动元素，如线上活动、比赛、任务等，激励用户参与与贡献。</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营销与推广</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制定宣传推广计划，包括媒体宣传、社交媒体传播、合作推广等，吸引更多用户了解和参与。</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商业化策略建议</w:t>
      </w:r>
    </w:p>
    <w:p>
      <w:pPr>
        <w:numPr>
          <w:ilvl w:val="0"/>
          <w:numId w:val="0"/>
        </w:numPr>
        <w:spacing w:beforeLines="0" w:afterLines="0" w:line="360" w:lineRule="auto"/>
        <w:ind w:firstLine="480" w:firstLineChars="20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提供商业化策略建议，包括品牌合作、广告植入、虚拟商品销售等</w:t>
      </w:r>
      <w:r>
        <w:rPr>
          <w:rFonts w:hint="eastAsia" w:ascii="宋体" w:hAnsi="宋体" w:eastAsia="宋体" w:cs="宋体"/>
          <w:i w:val="0"/>
          <w:iCs w:val="0"/>
          <w:caps w:val="0"/>
          <w:color w:val="000000"/>
          <w:spacing w:val="0"/>
          <w:kern w:val="0"/>
          <w:sz w:val="24"/>
          <w:szCs w:val="24"/>
          <w:highlight w:val="none"/>
          <w:lang w:val="en-US" w:eastAsia="zh-CN" w:bidi="ar"/>
        </w:rPr>
        <w:t>商业化方式</w:t>
      </w:r>
      <w:r>
        <w:rPr>
          <w:rFonts w:hint="eastAsia" w:ascii="宋体" w:hAnsi="宋体" w:eastAsia="宋体" w:cs="宋体"/>
          <w:kern w:val="2"/>
          <w:sz w:val="24"/>
          <w:szCs w:val="24"/>
          <w:highlight w:val="none"/>
          <w:lang w:val="en-US" w:eastAsia="zh-CN" w:bidi="ar-SA"/>
        </w:rPr>
        <w:t>，实现商业收益，以维持项目的运营和发展。</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优化与更新</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left"/>
        <w:textAlignment w:val="auto"/>
        <w:outlineLvl w:val="9"/>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随着元宇宙技术的发展和用户需求的变化，持续优化和更新中国传统文化的元宇宙空间，保持其活力和吸引力。</w:t>
      </w:r>
    </w:p>
    <w:p>
      <w:pPr>
        <w:keepNext w:val="0"/>
        <w:keepLines w:val="0"/>
        <w:pageBreakBefore w:val="0"/>
        <w:widowControl w:val="0"/>
        <w:numPr>
          <w:ilvl w:val="1"/>
          <w:numId w:val="2"/>
        </w:numPr>
        <w:kinsoku/>
        <w:wordWrap/>
        <w:overflowPunct/>
        <w:topLinePunct w:val="0"/>
        <w:autoSpaceDE/>
        <w:autoSpaceDN/>
        <w:bidi w:val="0"/>
        <w:adjustRightInd/>
        <w:snapToGrid/>
        <w:spacing w:beforeLines="0" w:afterLines="0" w:line="360" w:lineRule="auto"/>
        <w:ind w:left="0" w:leftChars="0" w:firstLine="482" w:firstLineChars="200"/>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报价与项目管理</w:t>
      </w:r>
    </w:p>
    <w:p>
      <w:pPr>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b w:val="0"/>
          <w:bCs w:val="0"/>
          <w:i w:val="0"/>
          <w:caps w:val="0"/>
          <w:color w:val="000000"/>
          <w:spacing w:val="0"/>
          <w:sz w:val="24"/>
          <w:szCs w:val="24"/>
          <w:highlight w:val="none"/>
          <w:shd w:val="clear"/>
          <w:lang w:val="en-US" w:eastAsia="zh-CN"/>
        </w:rPr>
      </w:pPr>
      <w:r>
        <w:rPr>
          <w:rFonts w:hint="eastAsia" w:ascii="宋体" w:hAnsi="宋体" w:eastAsia="宋体" w:cs="宋体"/>
          <w:b w:val="0"/>
          <w:bCs w:val="0"/>
          <w:i w:val="0"/>
          <w:caps w:val="0"/>
          <w:color w:val="000000"/>
          <w:spacing w:val="0"/>
          <w:sz w:val="24"/>
          <w:szCs w:val="24"/>
          <w:highlight w:val="none"/>
          <w:shd w:val="clear"/>
          <w:lang w:val="en-US" w:eastAsia="zh-CN"/>
        </w:rPr>
        <w:t>提供全面的项目报价，包括空间设计、开发、推广、运营、维护等费用明细。</w:t>
      </w:r>
    </w:p>
    <w:p>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bCs w:val="0"/>
          <w:i w:val="0"/>
          <w:caps w:val="0"/>
          <w:color w:val="000000"/>
          <w:spacing w:val="0"/>
          <w:sz w:val="24"/>
          <w:szCs w:val="24"/>
          <w:highlight w:val="none"/>
          <w:shd w:val="clear"/>
          <w:lang w:val="en-US" w:eastAsia="zh-CN"/>
        </w:rPr>
        <w:t>提供设定详细的空间开发与项目管理时间表，包括每个阶段的具体工作内容和预期完成时间。</w:t>
      </w:r>
    </w:p>
    <w:p>
      <w:pPr>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firstLine="0" w:firstLineChars="0"/>
        <w:textAlignment w:val="auto"/>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项目团队服务要求</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1、项目团队应包含创意策划、产品设计、应用研发、平台运营等相关角色，参与项目建设</w:t>
      </w:r>
      <w:r>
        <w:rPr>
          <w:rFonts w:hint="eastAsia" w:ascii="宋体" w:hAnsi="宋体" w:eastAsia="宋体" w:cs="宋体"/>
          <w:kern w:val="2"/>
          <w:sz w:val="24"/>
          <w:szCs w:val="24"/>
          <w:highlight w:val="none"/>
          <w:lang w:val="en-US" w:eastAsia="zh-CN" w:bidi="ar-SA"/>
        </w:rPr>
        <w:t>的</w:t>
      </w:r>
      <w:r>
        <w:rPr>
          <w:rFonts w:hint="eastAsia" w:ascii="宋体" w:hAnsi="宋体" w:eastAsia="宋体" w:cs="宋体"/>
          <w:sz w:val="24"/>
          <w:szCs w:val="24"/>
          <w:highlight w:val="none"/>
          <w:lang w:val="en-US" w:eastAsia="zh-CN"/>
        </w:rPr>
        <w:t>主要人员应具备相应领域的创意策划、产品设计、平台运营的经验，以及技术相关的开发能力。</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具备能够对接</w:t>
      </w:r>
      <w:r>
        <w:rPr>
          <w:rFonts w:hint="eastAsia" w:ascii="宋体" w:hAnsi="宋体" w:eastAsia="宋体" w:cs="宋体"/>
          <w:sz w:val="24"/>
          <w:szCs w:val="24"/>
          <w:highlight w:val="none"/>
          <w:lang w:val="en-US" w:eastAsia="zh-CN"/>
        </w:rPr>
        <w:t>数藏平台</w:t>
      </w:r>
      <w:r>
        <w:rPr>
          <w:rFonts w:hint="eastAsia" w:ascii="宋体" w:hAnsi="宋体" w:eastAsia="宋体" w:cs="宋体"/>
          <w:sz w:val="24"/>
          <w:szCs w:val="24"/>
          <w:highlight w:val="none"/>
          <w:lang w:eastAsia="zh-Hans"/>
        </w:rPr>
        <w:t>底层区块链服务商的经验和能力</w:t>
      </w:r>
      <w:r>
        <w:rPr>
          <w:rFonts w:hint="eastAsia" w:ascii="宋体" w:hAnsi="宋体" w:eastAsia="宋体" w:cs="宋体"/>
          <w:sz w:val="24"/>
          <w:szCs w:val="24"/>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投标人需保证提供满足本项目正常开展的人员配置，在投标文件中列出项目团队成员安排（包含姓名、职务、拟任职、相关经历与能力介绍等）。在项目建设期间，按照采购人的要求提供现场服务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包括</w:t>
      </w:r>
      <w:r>
        <w:rPr>
          <w:rFonts w:hint="eastAsia" w:ascii="宋体" w:hAnsi="宋体" w:eastAsia="宋体" w:cs="宋体"/>
          <w:sz w:val="24"/>
          <w:szCs w:val="24"/>
          <w:highlight w:val="none"/>
          <w:lang w:val="en-US" w:eastAsia="zh-CN"/>
        </w:rPr>
        <w:t>但不限于阶段性现场工作，现场会议等</w:t>
      </w:r>
      <w:r>
        <w:rPr>
          <w:rFonts w:hint="eastAsia" w:ascii="宋体" w:hAnsi="宋体" w:eastAsia="宋体" w:cs="宋体"/>
          <w:kern w:val="2"/>
          <w:sz w:val="24"/>
          <w:szCs w:val="24"/>
          <w:highlight w:val="none"/>
          <w:lang w:val="en-US" w:eastAsia="zh-CN" w:bidi="ar-SA"/>
        </w:rPr>
        <w:t>。投标人需确保项目团队在整个项目期的服务稳定性并提供稳定性承诺书，核心人员在项目正式验收前不得自行变更、且专职服务该项目，若需变更应提前与采购人协商。</w:t>
      </w:r>
    </w:p>
    <w:p>
      <w:pPr>
        <w:pStyle w:val="5"/>
        <w:spacing w:before="0" w:beforeLines="0" w:afterLines="0" w:line="360" w:lineRule="auto"/>
        <w:ind w:firstLine="0"/>
        <w:rPr>
          <w:rFonts w:hint="eastAsia" w:ascii="宋体" w:hAnsi="宋体" w:eastAsia="宋体" w:cs="宋体"/>
          <w:sz w:val="24"/>
          <w:szCs w:val="24"/>
          <w:highlight w:val="none"/>
        </w:rPr>
      </w:pP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应按照本次招标项目的建设任务和要求，组建专业实施团队。</w:t>
      </w:r>
    </w:p>
    <w:p>
      <w:pPr>
        <w:pStyle w:val="17"/>
        <w:numPr>
          <w:ilvl w:val="-1"/>
          <w:numId w:val="0"/>
        </w:numPr>
        <w:spacing w:beforeLines="0" w:afterLines="0"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项目经理1名，要求</w:t>
      </w:r>
      <w:r>
        <w:rPr>
          <w:rFonts w:hint="eastAsia" w:ascii="宋体" w:hAnsi="宋体" w:eastAsia="宋体" w:cs="宋体"/>
          <w:sz w:val="24"/>
          <w:szCs w:val="24"/>
          <w:highlight w:val="none"/>
          <w:lang w:val="en-US" w:eastAsia="zh-CN"/>
        </w:rPr>
        <w:t>从事相关领域</w:t>
      </w:r>
      <w:r>
        <w:rPr>
          <w:rFonts w:hint="eastAsia" w:ascii="宋体" w:hAnsi="宋体" w:eastAsia="宋体" w:cs="宋体"/>
          <w:sz w:val="24"/>
          <w:szCs w:val="24"/>
          <w:highlight w:val="none"/>
        </w:rPr>
        <w:t>5年</w:t>
      </w:r>
      <w:r>
        <w:rPr>
          <w:rFonts w:hint="eastAsia"/>
          <w:highlight w:val="none"/>
          <w:lang w:val="en-US" w:eastAsia="zh-CN"/>
        </w:rPr>
        <w:t>及</w:t>
      </w:r>
      <w:r>
        <w:rPr>
          <w:rFonts w:hint="eastAsia" w:ascii="宋体" w:hAnsi="宋体" w:eastAsia="宋体" w:cs="宋体"/>
          <w:sz w:val="24"/>
          <w:szCs w:val="24"/>
          <w:highlight w:val="none"/>
        </w:rPr>
        <w:t>以上，沟通协调能力强，具有同类项目经验，具备</w:t>
      </w:r>
      <w:r>
        <w:rPr>
          <w:rFonts w:hint="eastAsia" w:ascii="宋体" w:hAnsi="宋体" w:eastAsia="宋体" w:cs="宋体"/>
          <w:sz w:val="24"/>
          <w:szCs w:val="24"/>
          <w:highlight w:val="none"/>
          <w:lang w:val="en-US" w:eastAsia="zh-CN"/>
        </w:rPr>
        <w:t>信息</w:t>
      </w:r>
      <w:r>
        <w:rPr>
          <w:rFonts w:hint="eastAsia" w:ascii="宋体" w:hAnsi="宋体" w:eastAsia="宋体" w:cs="宋体"/>
          <w:sz w:val="24"/>
          <w:szCs w:val="24"/>
          <w:highlight w:val="none"/>
        </w:rPr>
        <w:t>系统项目管理师</w:t>
      </w:r>
      <w:r>
        <w:rPr>
          <w:rFonts w:hint="eastAsia" w:ascii="宋体" w:hAnsi="宋体" w:eastAsia="宋体" w:cs="宋体"/>
          <w:szCs w:val="24"/>
          <w:highlight w:val="none"/>
          <w:lang w:val="en-US" w:eastAsia="zh-CN"/>
        </w:rPr>
        <w:t>证书</w:t>
      </w:r>
      <w:r>
        <w:rPr>
          <w:rFonts w:hint="eastAsia" w:ascii="宋体" w:hAnsi="宋体" w:eastAsia="宋体" w:cs="宋体"/>
          <w:sz w:val="24"/>
          <w:szCs w:val="24"/>
          <w:highlight w:val="none"/>
        </w:rPr>
        <w:t>。</w:t>
      </w:r>
    </w:p>
    <w:p>
      <w:pPr>
        <w:pStyle w:val="17"/>
        <w:numPr>
          <w:ilvl w:val="-1"/>
          <w:numId w:val="0"/>
        </w:numPr>
        <w:spacing w:beforeLines="0" w:afterLines="0"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产品人员，至少</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其中具有5年以上相关经验的产品经理不少于1名，具有5年以上经验的交互设计师不少于1名，和具有5年以上经验的专职UI设计师不少于1名。</w:t>
      </w:r>
    </w:p>
    <w:p>
      <w:pPr>
        <w:pStyle w:val="17"/>
        <w:numPr>
          <w:ilvl w:val="-1"/>
          <w:numId w:val="0"/>
        </w:numPr>
        <w:spacing w:beforeLines="0" w:afterLines="0"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系统架构师，至少1名，要求</w:t>
      </w:r>
      <w:r>
        <w:rPr>
          <w:rFonts w:hint="eastAsia" w:ascii="宋体" w:hAnsi="宋体" w:eastAsia="宋体" w:cs="宋体"/>
          <w:sz w:val="24"/>
          <w:szCs w:val="24"/>
          <w:highlight w:val="none"/>
          <w:lang w:val="en-US" w:eastAsia="zh-CN"/>
        </w:rPr>
        <w:t>从事相关领域</w:t>
      </w:r>
      <w:r>
        <w:rPr>
          <w:rFonts w:hint="eastAsia" w:ascii="宋体" w:hAnsi="宋体" w:eastAsia="宋体" w:cs="宋体"/>
          <w:sz w:val="24"/>
          <w:szCs w:val="24"/>
          <w:highlight w:val="none"/>
        </w:rPr>
        <w:t>5年以上，具有同类项目经验，具备互联网IT支撑架构、应用系统架构、数据资源管理架构等设计能力</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系统</w:t>
      </w:r>
      <w:r>
        <w:rPr>
          <w:rFonts w:hint="eastAsia" w:ascii="宋体" w:hAnsi="宋体" w:eastAsia="宋体" w:cs="宋体"/>
          <w:sz w:val="24"/>
          <w:szCs w:val="24"/>
          <w:highlight w:val="none"/>
        </w:rPr>
        <w:t>架构设计师</w:t>
      </w:r>
      <w:r>
        <w:rPr>
          <w:rFonts w:hint="eastAsia" w:ascii="宋体" w:hAnsi="宋体" w:eastAsia="宋体" w:cs="宋体"/>
          <w:szCs w:val="24"/>
          <w:highlight w:val="none"/>
          <w:lang w:val="en-US" w:eastAsia="zh-CN"/>
        </w:rPr>
        <w:t>证书</w:t>
      </w:r>
      <w:r>
        <w:rPr>
          <w:rFonts w:hint="eastAsia"/>
          <w:highlight w:val="none"/>
          <w:lang w:eastAsia="zh-CN"/>
        </w:rPr>
        <w:t>。</w:t>
      </w:r>
    </w:p>
    <w:p>
      <w:pPr>
        <w:pStyle w:val="17"/>
        <w:numPr>
          <w:ilvl w:val="-1"/>
          <w:numId w:val="0"/>
        </w:numPr>
        <w:spacing w:beforeLines="0" w:afterLines="0"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开发工程师，至少</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名，可根据项目建设技术需求提供具有B/S应用开发经验的高、中、初级工程师团队。其中，具有5年以上相关技术经验的资深工程师不少于</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名。</w:t>
      </w:r>
    </w:p>
    <w:p>
      <w:pPr>
        <w:pStyle w:val="17"/>
        <w:numPr>
          <w:ilvl w:val="-1"/>
          <w:numId w:val="0"/>
        </w:numPr>
        <w:spacing w:beforeLines="0" w:afterLines="0"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测试工程师，至少5名，具有5年以上相关经验的测试工程师不少于</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名。</w:t>
      </w:r>
    </w:p>
    <w:p>
      <w:pPr>
        <w:pStyle w:val="17"/>
        <w:numPr>
          <w:ilvl w:val="0"/>
          <w:numId w:val="0"/>
        </w:numPr>
        <w:spacing w:beforeLines="0" w:afterLines="0" w:line="360" w:lineRule="auto"/>
        <w:ind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运营团队，至少</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人，负责</w:t>
      </w:r>
      <w:r>
        <w:rPr>
          <w:rFonts w:hint="eastAsia" w:ascii="宋体" w:hAnsi="宋体" w:eastAsia="宋体" w:cs="宋体"/>
          <w:sz w:val="24"/>
          <w:szCs w:val="24"/>
          <w:highlight w:val="none"/>
          <w:lang w:val="en-US"/>
        </w:rPr>
        <w:t>平台运营期间活动策划、内容策划、平面设计等，</w:t>
      </w:r>
      <w:r>
        <w:rPr>
          <w:rFonts w:hint="eastAsia" w:ascii="宋体" w:hAnsi="宋体" w:eastAsia="宋体" w:cs="宋体"/>
          <w:sz w:val="24"/>
          <w:szCs w:val="24"/>
          <w:highlight w:val="none"/>
        </w:rPr>
        <w:t>全程指导及协调相关资源，完成运营实施落地</w:t>
      </w: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rPr>
        <w:t>均需具有3年以上相关工作经验，其中具有5年以上互联网运营经验的运营经理不少于1名。</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Lines="0" w:line="360" w:lineRule="auto"/>
        <w:ind w:left="0" w:leftChars="0" w:firstLine="0" w:firstLineChars="0"/>
        <w:textAlignment w:val="auto"/>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技术支持和运维服务要求</w:t>
      </w:r>
    </w:p>
    <w:p>
      <w:pPr>
        <w:keepNext w:val="0"/>
        <w:keepLines w:val="0"/>
        <w:pageBreakBefore w:val="0"/>
        <w:widowControl w:val="0"/>
        <w:kinsoku/>
        <w:wordWrap/>
        <w:overflowPunct/>
        <w:topLinePunct w:val="0"/>
        <w:autoSpaceDE/>
        <w:autoSpaceDN/>
        <w:bidi w:val="0"/>
        <w:adjustRightInd/>
        <w:snapToGrid/>
        <w:spacing w:before="0" w:beforeLines="0" w:afterLines="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本项目所提供的运维服务使用期限为五年，自项目验收之后开始计算。</w:t>
      </w:r>
    </w:p>
    <w:p>
      <w:pPr>
        <w:keepNext w:val="0"/>
        <w:keepLines w:val="0"/>
        <w:pageBreakBefore w:val="0"/>
        <w:widowControl w:val="0"/>
        <w:kinsoku/>
        <w:wordWrap/>
        <w:overflowPunct/>
        <w:topLinePunct w:val="0"/>
        <w:autoSpaceDE/>
        <w:autoSpaceDN/>
        <w:bidi w:val="0"/>
        <w:adjustRightInd/>
        <w:snapToGrid/>
        <w:spacing w:before="0" w:beforeLines="0" w:afterLines="0"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投标人应在运维服务期内负责对中报数藏发行平台、对境内外NET数字藏品发行的境内外数藏平台、AR/VR作品创意开发所使用的基础开发平台、元宇宙空间创意构建所承载的云平台的运行、维护情况进行跟踪记录，</w:t>
      </w:r>
      <w:r>
        <w:rPr>
          <w:rFonts w:hint="eastAsia" w:ascii="宋体" w:hAnsi="宋体" w:eastAsia="宋体" w:cs="宋体"/>
          <w:sz w:val="24"/>
          <w:szCs w:val="24"/>
          <w:highlight w:val="none"/>
        </w:rPr>
        <w:t>以保证</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使用服务期间的数字资产安全。</w:t>
      </w:r>
    </w:p>
    <w:p>
      <w:pPr>
        <w:keepNext w:val="0"/>
        <w:keepLines w:val="0"/>
        <w:pageBreakBefore w:val="0"/>
        <w:widowControl w:val="0"/>
        <w:kinsoku/>
        <w:wordWrap/>
        <w:overflowPunct/>
        <w:topLinePunct w:val="0"/>
        <w:autoSpaceDE/>
        <w:autoSpaceDN/>
        <w:bidi w:val="0"/>
        <w:adjustRightInd/>
        <w:snapToGrid/>
        <w:spacing w:before="0" w:beforeLines="0" w:afterLines="0"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应确保本项目</w:t>
      </w:r>
      <w:r>
        <w:rPr>
          <w:rFonts w:hint="eastAsia" w:ascii="宋体" w:hAnsi="宋体" w:eastAsia="宋体" w:cs="宋体"/>
          <w:sz w:val="24"/>
          <w:szCs w:val="24"/>
          <w:highlight w:val="none"/>
          <w:lang w:val="en-US" w:eastAsia="zh-CN"/>
        </w:rPr>
        <w:t>建设的</w:t>
      </w:r>
      <w:r>
        <w:rPr>
          <w:rFonts w:hint="eastAsia" w:ascii="宋体" w:hAnsi="宋体" w:eastAsia="宋体" w:cs="宋体"/>
          <w:kern w:val="2"/>
          <w:sz w:val="24"/>
          <w:szCs w:val="24"/>
          <w:highlight w:val="none"/>
          <w:lang w:val="en-US" w:eastAsia="zh-CN" w:bidi="ar-SA"/>
        </w:rPr>
        <w:t>中报数藏发行平台</w:t>
      </w:r>
      <w:r>
        <w:rPr>
          <w:rFonts w:hint="eastAsia" w:ascii="宋体" w:hAnsi="宋体" w:eastAsia="宋体" w:cs="宋体"/>
          <w:sz w:val="24"/>
          <w:szCs w:val="24"/>
          <w:highlight w:val="none"/>
        </w:rPr>
        <w:t>符合国家信息安全等级保护有关要求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保证</w:t>
      </w:r>
      <w:r>
        <w:rPr>
          <w:rFonts w:hint="eastAsia" w:ascii="宋体" w:hAnsi="宋体" w:eastAsia="宋体" w:cs="宋体"/>
          <w:sz w:val="24"/>
          <w:szCs w:val="24"/>
          <w:highlight w:val="none"/>
          <w:lang w:val="en-US" w:eastAsia="zh-CN"/>
        </w:rPr>
        <w:t>数藏平台的</w:t>
      </w:r>
      <w:r>
        <w:rPr>
          <w:rFonts w:hint="eastAsia" w:ascii="宋体" w:hAnsi="宋体" w:eastAsia="宋体" w:cs="宋体"/>
          <w:sz w:val="24"/>
          <w:szCs w:val="24"/>
          <w:highlight w:val="none"/>
        </w:rPr>
        <w:t>数字资产安全。</w:t>
      </w:r>
      <w:r>
        <w:rPr>
          <w:rFonts w:hint="eastAsia" w:ascii="宋体" w:hAnsi="宋体" w:eastAsia="宋体" w:cs="宋体"/>
          <w:kern w:val="2"/>
          <w:sz w:val="24"/>
          <w:szCs w:val="24"/>
          <w:highlight w:val="none"/>
          <w:lang w:val="en-US" w:eastAsia="zh-CN" w:bidi="ar-SA"/>
        </w:rPr>
        <w:t>建立档案定期对数藏发行平台的运行情况进行巡检，</w:t>
      </w:r>
      <w:r>
        <w:rPr>
          <w:rFonts w:hint="eastAsia" w:ascii="宋体" w:hAnsi="宋体" w:eastAsia="宋体" w:cs="宋体"/>
          <w:sz w:val="24"/>
          <w:szCs w:val="24"/>
          <w:highlight w:val="none"/>
        </w:rPr>
        <w:t>并提供相应的安全处理流程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包括</w:t>
      </w:r>
      <w:r>
        <w:rPr>
          <w:rFonts w:hint="eastAsia" w:ascii="宋体" w:hAnsi="宋体" w:eastAsia="宋体" w:cs="宋体"/>
          <w:sz w:val="24"/>
          <w:szCs w:val="24"/>
          <w:highlight w:val="none"/>
          <w:lang w:val="en-US" w:eastAsia="zh-CN"/>
        </w:rPr>
        <w:t>但不限于</w:t>
      </w:r>
      <w:r>
        <w:rPr>
          <w:rFonts w:hint="eastAsia" w:ascii="宋体" w:hAnsi="宋体" w:eastAsia="宋体" w:cs="宋体"/>
          <w:sz w:val="24"/>
          <w:szCs w:val="24"/>
          <w:highlight w:val="none"/>
        </w:rPr>
        <w:t>：漏洞扫描管理和事件响应流程，应急预案等。</w:t>
      </w:r>
      <w:r>
        <w:rPr>
          <w:rFonts w:hint="default" w:ascii="宋体" w:hAnsi="宋体" w:eastAsia="宋体" w:cs="宋体"/>
          <w:sz w:val="24"/>
          <w:szCs w:val="24"/>
          <w:highlight w:val="none"/>
          <w:lang w:bidi="ar"/>
        </w:rPr>
        <w:t>免费提供软件小版本更新、缺陷修复</w:t>
      </w:r>
      <w:r>
        <w:rPr>
          <w:rFonts w:hint="eastAsia" w:ascii="宋体" w:hAnsi="宋体" w:eastAsia="宋体" w:cs="宋体"/>
          <w:sz w:val="24"/>
          <w:szCs w:val="24"/>
          <w:highlight w:val="none"/>
          <w:lang w:val="en-US" w:eastAsia="zh-CN" w:bidi="ar"/>
        </w:rPr>
        <w:t>等</w:t>
      </w:r>
      <w:r>
        <w:rPr>
          <w:rFonts w:hint="default" w:ascii="宋体" w:hAnsi="宋体" w:eastAsia="宋体" w:cs="宋体"/>
          <w:sz w:val="24"/>
          <w:szCs w:val="24"/>
          <w:highlight w:val="none"/>
          <w:lang w:bidi="ar"/>
        </w:rPr>
        <w:t>服务</w:t>
      </w:r>
      <w:r>
        <w:rPr>
          <w:rFonts w:hint="eastAsia" w:ascii="宋体" w:hAnsi="宋体" w:eastAsia="宋体" w:cs="宋体"/>
          <w:sz w:val="24"/>
          <w:szCs w:val="24"/>
          <w:highlight w:val="none"/>
          <w:lang w:eastAsia="zh-CN" w:bidi="ar"/>
        </w:rPr>
        <w:t>。</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highlight w:val="none"/>
        </w:rPr>
      </w:pPr>
      <w:r>
        <w:rPr>
          <w:rFonts w:hint="eastAsia" w:ascii="宋体" w:hAnsi="宋体" w:eastAsia="宋体" w:cs="宋体"/>
          <w:kern w:val="2"/>
          <w:sz w:val="24"/>
          <w:szCs w:val="24"/>
          <w:highlight w:val="none"/>
          <w:lang w:val="en-US" w:eastAsia="zh-CN" w:bidi="ar-SA"/>
        </w:rPr>
        <w:t>投标人应在</w:t>
      </w:r>
      <w:r>
        <w:rPr>
          <w:rFonts w:hint="eastAsia" w:ascii="宋体" w:hAnsi="宋体" w:eastAsia="宋体" w:cs="宋体"/>
          <w:sz w:val="24"/>
          <w:szCs w:val="24"/>
          <w:highlight w:val="none"/>
        </w:rPr>
        <w:t>服务期内提供7*24小时技术支持响应服务。</w:t>
      </w:r>
      <w:r>
        <w:rPr>
          <w:rFonts w:hint="eastAsia" w:ascii="宋体" w:hAnsi="宋体" w:eastAsia="宋体" w:cs="宋体"/>
          <w:sz w:val="24"/>
          <w:szCs w:val="24"/>
          <w:highlight w:val="none"/>
          <w:lang w:val="en-US" w:eastAsia="zh-CN"/>
        </w:rPr>
        <w:t>技术支持形式包括但不限于：</w:t>
      </w:r>
      <w:r>
        <w:rPr>
          <w:rFonts w:hint="eastAsia" w:ascii="宋体" w:hAnsi="宋体" w:eastAsia="宋体" w:cs="宋体"/>
          <w:sz w:val="24"/>
          <w:szCs w:val="24"/>
          <w:highlight w:val="none"/>
        </w:rPr>
        <w:t>电话咨询与技术指导、远程（微信、视频等）支持、现场支持、投诉受理、现场培训等。</w:t>
      </w:r>
    </w:p>
    <w:p>
      <w:pPr>
        <w:keepNext w:val="0"/>
        <w:keepLines w:val="0"/>
        <w:widowControl w:val="0"/>
        <w:suppressLineNumbers w:val="0"/>
        <w:spacing w:before="0" w:beforeLines="0" w:beforeAutospacing="0" w:after="0" w:afterLines="0" w:afterAutospacing="0" w:line="360" w:lineRule="auto"/>
        <w:ind w:left="0" w:right="0" w:firstLine="480" w:firstLineChars="200"/>
        <w:jc w:val="left"/>
        <w:rPr>
          <w:rFonts w:hint="eastAsia" w:ascii="宋体" w:hAnsi="宋体" w:eastAsia="宋体" w:cs="宋体"/>
          <w:i w:val="0"/>
          <w:iCs w:val="0"/>
          <w:caps w:val="0"/>
          <w:spacing w:val="0"/>
          <w:kern w:val="2"/>
          <w:sz w:val="24"/>
          <w:szCs w:val="24"/>
          <w:highlight w:val="none"/>
          <w:lang w:val="en-US" w:eastAsia="zh-CN" w:bidi="ar"/>
        </w:rPr>
      </w:pPr>
      <w:r>
        <w:rPr>
          <w:rFonts w:hint="eastAsia" w:ascii="宋体" w:hAnsi="宋体" w:eastAsia="宋体" w:cs="宋体"/>
          <w:sz w:val="24"/>
          <w:szCs w:val="24"/>
          <w:highlight w:val="none"/>
          <w:lang w:val="en-US" w:eastAsia="zh-CN"/>
        </w:rPr>
        <w:t>投标人须在服务期间内提供免费培训，对实际使用系统的人员，组织集中培训。针对</w:t>
      </w:r>
      <w:r>
        <w:rPr>
          <w:rFonts w:hint="eastAsia" w:ascii="宋体" w:hAnsi="宋体" w:eastAsia="宋体" w:cs="宋体"/>
          <w:i w:val="0"/>
          <w:iCs w:val="0"/>
          <w:caps w:val="0"/>
          <w:color w:val="auto"/>
          <w:spacing w:val="0"/>
          <w:kern w:val="2"/>
          <w:sz w:val="24"/>
          <w:szCs w:val="24"/>
          <w:highlight w:val="none"/>
          <w:lang w:val="en-US" w:eastAsia="zh-CN" w:bidi="ar"/>
        </w:rPr>
        <w:t>项目交付前的培训提供详细可操作的培训方案</w:t>
      </w:r>
      <w:r>
        <w:rPr>
          <w:rFonts w:hint="eastAsia" w:ascii="宋体" w:hAnsi="宋体" w:eastAsia="宋体" w:cs="宋体"/>
          <w:i w:val="0"/>
          <w:iCs w:val="0"/>
          <w:caps w:val="0"/>
          <w:spacing w:val="0"/>
          <w:kern w:val="2"/>
          <w:sz w:val="24"/>
          <w:szCs w:val="24"/>
          <w:highlight w:val="none"/>
          <w:lang w:val="en-US" w:eastAsia="zh-CN" w:bidi="ar"/>
        </w:rPr>
        <w:t>，完成培训后方可进行项目交付。针对系统使用中提出的高频问题，进行汇总整理按需组织补充培训。</w:t>
      </w:r>
    </w:p>
    <w:p>
      <w:pPr>
        <w:keepNext w:val="0"/>
        <w:keepLines w:val="0"/>
        <w:widowControl w:val="0"/>
        <w:suppressLineNumbers w:val="0"/>
        <w:spacing w:before="0" w:beforeLines="0" w:beforeAutospacing="0" w:after="0" w:afterLines="0" w:afterAutospacing="0" w:line="360" w:lineRule="auto"/>
        <w:ind w:left="0" w:right="0" w:firstLine="480" w:firstLineChars="200"/>
        <w:jc w:val="left"/>
        <w:rPr>
          <w:rFonts w:hint="default" w:ascii="宋体" w:hAnsi="宋体" w:eastAsia="宋体" w:cs="宋体"/>
          <w:sz w:val="24"/>
          <w:szCs w:val="24"/>
          <w:highlight w:val="none"/>
          <w:lang w:bidi="ar"/>
        </w:rPr>
      </w:pPr>
      <w:r>
        <w:rPr>
          <w:rFonts w:hint="eastAsia" w:ascii="宋体" w:hAnsi="宋体" w:eastAsia="宋体" w:cs="宋体"/>
          <w:sz w:val="24"/>
          <w:szCs w:val="24"/>
          <w:highlight w:val="none"/>
          <w:lang w:val="en-US" w:eastAsia="zh-CN"/>
        </w:rPr>
        <w:t>投标人</w:t>
      </w:r>
      <w:r>
        <w:rPr>
          <w:rFonts w:hint="default" w:ascii="宋体" w:hAnsi="宋体" w:eastAsia="宋体" w:cs="宋体"/>
          <w:sz w:val="24"/>
          <w:szCs w:val="24"/>
          <w:highlight w:val="none"/>
          <w:lang w:bidi="ar"/>
        </w:rPr>
        <w:t>对突发系统故障提供支持，服务响应时间不超过15分钟，解决问题时间不超过4个小时。</w:t>
      </w:r>
    </w:p>
    <w:p>
      <w:pPr>
        <w:numPr>
          <w:ilvl w:val="0"/>
          <w:numId w:val="1"/>
        </w:numPr>
        <w:spacing w:before="0" w:beforeLines="0" w:afterLines="0" w:line="360" w:lineRule="auto"/>
        <w:ind w:firstLine="0" w:firstLineChars="0"/>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项目实施要求    </w:t>
      </w:r>
    </w:p>
    <w:p>
      <w:pPr>
        <w:keepNext w:val="0"/>
        <w:keepLines w:val="0"/>
        <w:pageBreakBefore w:val="0"/>
        <w:widowControl w:val="0"/>
        <w:numPr>
          <w:ilvl w:val="-1"/>
          <w:numId w:val="0"/>
        </w:numPr>
        <w:kinsoku/>
        <w:wordWrap/>
        <w:overflowPunct/>
        <w:topLinePunct w:val="0"/>
        <w:autoSpaceDE/>
        <w:autoSpaceDN/>
        <w:bidi w:val="0"/>
        <w:adjustRightInd/>
        <w:snapToGrid/>
        <w:spacing w:before="0" w:beforeLines="0" w:afterLines="0" w:line="360" w:lineRule="auto"/>
        <w:ind w:firstLine="480" w:firstLineChars="200"/>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自项目合同签订日起计，中报数藏发行平台</w:t>
      </w:r>
      <w:r>
        <w:rPr>
          <w:rFonts w:hint="eastAsia" w:ascii="宋体" w:hAnsi="宋体" w:eastAsia="宋体" w:cs="宋体"/>
          <w:sz w:val="24"/>
          <w:szCs w:val="24"/>
          <w:highlight w:val="none"/>
          <w:lang w:eastAsia="zh-CN"/>
        </w:rPr>
        <w:t>，</w:t>
      </w:r>
      <w:r>
        <w:rPr>
          <w:rFonts w:hint="eastAsia" w:ascii="宋体" w:hAnsi="宋体" w:eastAsia="宋体" w:cs="宋体"/>
          <w:kern w:val="2"/>
          <w:sz w:val="24"/>
          <w:szCs w:val="24"/>
          <w:highlight w:val="none"/>
          <w:lang w:val="en-US" w:eastAsia="zh-CN" w:bidi="ar-SA"/>
        </w:rPr>
        <w:t>在3个月内完成建设并正式上线。</w:t>
      </w:r>
    </w:p>
    <w:p>
      <w:pPr>
        <w:keepNext w:val="0"/>
        <w:keepLines w:val="0"/>
        <w:pageBreakBefore w:val="0"/>
        <w:widowControl w:val="0"/>
        <w:numPr>
          <w:ilvl w:val="-1"/>
          <w:numId w:val="0"/>
        </w:numPr>
        <w:kinsoku/>
        <w:wordWrap/>
        <w:overflowPunct/>
        <w:topLinePunct w:val="0"/>
        <w:autoSpaceDE/>
        <w:autoSpaceDN/>
        <w:bidi w:val="0"/>
        <w:adjustRightInd/>
        <w:snapToGrid/>
        <w:spacing w:before="0" w:beforeLines="0" w:afterLines="0" w:line="360" w:lineRule="auto"/>
        <w:ind w:firstLine="480" w:firstLineChars="200"/>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境内外NFT数字藏品创意开发和推广服务，</w:t>
      </w:r>
      <w:r>
        <w:rPr>
          <w:rFonts w:hint="eastAsia" w:ascii="宋体" w:hAnsi="宋体" w:eastAsia="宋体" w:cs="宋体"/>
          <w:kern w:val="2"/>
          <w:sz w:val="24"/>
          <w:szCs w:val="24"/>
          <w:highlight w:val="none"/>
          <w:lang w:val="en-US" w:eastAsia="zh-CN" w:bidi="ar-SA"/>
        </w:rPr>
        <w:t>自双方确认数字藏品形态后，单个数字藏品须1个月内完成开发并上线发行推广。</w:t>
      </w:r>
    </w:p>
    <w:p>
      <w:pPr>
        <w:keepNext w:val="0"/>
        <w:keepLines w:val="0"/>
        <w:pageBreakBefore w:val="0"/>
        <w:widowControl w:val="0"/>
        <w:numPr>
          <w:ilvl w:val="-1"/>
          <w:numId w:val="0"/>
        </w:numPr>
        <w:kinsoku/>
        <w:wordWrap/>
        <w:overflowPunct/>
        <w:topLinePunct w:val="0"/>
        <w:autoSpaceDE/>
        <w:autoSpaceDN/>
        <w:bidi w:val="0"/>
        <w:adjustRightInd/>
        <w:snapToGrid/>
        <w:spacing w:before="0" w:beforeLines="0" w:afterLines="0" w:line="360" w:lineRule="auto"/>
        <w:ind w:firstLine="480" w:firstLineChars="200"/>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AR/VR作品创意开发与推广服务，自双方确认作品内容和形态后，单个作品须2个月内完成开发并上线推广。</w:t>
      </w:r>
    </w:p>
    <w:p>
      <w:pPr>
        <w:keepNext w:val="0"/>
        <w:keepLines w:val="0"/>
        <w:pageBreakBefore w:val="0"/>
        <w:widowControl w:val="0"/>
        <w:numPr>
          <w:ilvl w:val="-1"/>
          <w:numId w:val="0"/>
        </w:numPr>
        <w:kinsoku/>
        <w:wordWrap/>
        <w:overflowPunct/>
        <w:topLinePunct w:val="0"/>
        <w:autoSpaceDE/>
        <w:autoSpaceDN/>
        <w:bidi w:val="0"/>
        <w:adjustRightInd/>
        <w:snapToGrid/>
        <w:spacing w:before="0" w:beforeLines="0" w:afterLines="0" w:line="360" w:lineRule="auto"/>
        <w:ind w:firstLine="480" w:firstLineChars="200"/>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元宇宙空间创意构建和推广服务，自双方确认空间主题内容后，单个空间须2个月完成策划、布展开发并上线推广。</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Lines="0" w:line="360" w:lineRule="auto"/>
        <w:ind w:left="0" w:leftChars="0" w:firstLine="0" w:firstLineChars="0"/>
        <w:textAlignment w:val="auto"/>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其他要求</w:t>
      </w:r>
    </w:p>
    <w:p>
      <w:pPr>
        <w:pStyle w:val="5"/>
        <w:spacing w:before="0" w:beforeLines="0" w:afterLines="0" w:line="360" w:lineRule="auto"/>
        <w:ind w:firstLine="0"/>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Hans"/>
        </w:rPr>
        <w:t>项目实施期内，中标方需辅助</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lang w:val="en-US" w:eastAsia="zh-Hans"/>
        </w:rPr>
        <w:t>完成以下工作，以确保</w:t>
      </w:r>
      <w:r>
        <w:rPr>
          <w:rFonts w:hint="eastAsia" w:ascii="宋体" w:hAnsi="宋体" w:eastAsia="宋体" w:cs="宋体"/>
          <w:sz w:val="24"/>
          <w:szCs w:val="24"/>
          <w:highlight w:val="none"/>
          <w:lang w:val="en-US" w:eastAsia="zh-CN"/>
        </w:rPr>
        <w:t>中报</w:t>
      </w:r>
      <w:r>
        <w:rPr>
          <w:rFonts w:hint="eastAsia" w:ascii="宋体" w:hAnsi="宋体" w:eastAsia="宋体" w:cs="宋体"/>
          <w:sz w:val="24"/>
          <w:szCs w:val="24"/>
          <w:highlight w:val="none"/>
          <w:lang w:val="en-US" w:eastAsia="zh-Hans"/>
        </w:rPr>
        <w:t>数藏</w:t>
      </w:r>
      <w:r>
        <w:rPr>
          <w:rFonts w:hint="eastAsia" w:ascii="宋体" w:hAnsi="宋体" w:eastAsia="宋体" w:cs="宋体"/>
          <w:sz w:val="24"/>
          <w:szCs w:val="24"/>
          <w:highlight w:val="none"/>
          <w:lang w:val="en-US" w:eastAsia="zh-CN"/>
        </w:rPr>
        <w:t>发行</w:t>
      </w:r>
      <w:r>
        <w:rPr>
          <w:rFonts w:hint="eastAsia" w:ascii="宋体" w:hAnsi="宋体" w:eastAsia="宋体" w:cs="宋体"/>
          <w:sz w:val="24"/>
          <w:szCs w:val="24"/>
          <w:highlight w:val="none"/>
          <w:lang w:val="en-US" w:eastAsia="zh-Hans"/>
        </w:rPr>
        <w:t>平台的正常运营：</w:t>
      </w:r>
    </w:p>
    <w:p>
      <w:pPr>
        <w:keepNext w:val="0"/>
        <w:keepLines w:val="0"/>
        <w:pageBreakBefore w:val="0"/>
        <w:kinsoku/>
        <w:wordWrap/>
        <w:overflowPunct/>
        <w:topLinePunct w:val="0"/>
        <w:autoSpaceDE/>
        <w:autoSpaceDN/>
        <w:bidi w:val="0"/>
        <w:adjustRightInd/>
        <w:snapToGrid/>
        <w:spacing w:beforeLines="0" w:afterLines="0" w:line="360" w:lineRule="auto"/>
        <w:ind w:left="0" w:leftChars="0" w:right="0" w:rightChars="0" w:firstLine="480" w:firstLineChars="200"/>
        <w:outlineLvl w:val="1"/>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eastAsia="zh-Hans"/>
        </w:rPr>
        <w:t>、数藏</w:t>
      </w:r>
      <w:r>
        <w:rPr>
          <w:rFonts w:hint="eastAsia" w:ascii="宋体" w:hAnsi="宋体" w:eastAsia="宋体" w:cs="宋体"/>
          <w:sz w:val="24"/>
          <w:szCs w:val="24"/>
          <w:highlight w:val="none"/>
          <w:lang w:val="en-US" w:eastAsia="zh-CN"/>
        </w:rPr>
        <w:t>发行</w:t>
      </w:r>
      <w:r>
        <w:rPr>
          <w:rFonts w:hint="eastAsia" w:ascii="宋体" w:hAnsi="宋体" w:eastAsia="宋体" w:cs="宋体"/>
          <w:b w:val="0"/>
          <w:bCs w:val="0"/>
          <w:sz w:val="24"/>
          <w:szCs w:val="24"/>
          <w:highlight w:val="none"/>
          <w:lang w:eastAsia="zh-Hans"/>
        </w:rPr>
        <w:t>平台资质</w:t>
      </w:r>
      <w:r>
        <w:rPr>
          <w:rFonts w:hint="eastAsia" w:ascii="宋体" w:hAnsi="宋体" w:eastAsia="宋体" w:cs="宋体"/>
          <w:b w:val="0"/>
          <w:bCs w:val="0"/>
          <w:sz w:val="24"/>
          <w:szCs w:val="24"/>
          <w:highlight w:val="none"/>
          <w:lang w:val="en-US" w:eastAsia="zh-CN"/>
        </w:rPr>
        <w:t>服务</w:t>
      </w:r>
    </w:p>
    <w:p>
      <w:pPr>
        <w:keepNext w:val="0"/>
        <w:keepLines w:val="0"/>
        <w:pageBreakBefore w:val="0"/>
        <w:kinsoku/>
        <w:wordWrap/>
        <w:overflowPunct/>
        <w:topLinePunct w:val="0"/>
        <w:autoSpaceDE/>
        <w:autoSpaceDN/>
        <w:bidi w:val="0"/>
        <w:adjustRightInd/>
        <w:snapToGrid/>
        <w:spacing w:beforeLines="0" w:afterLines="0" w:line="360" w:lineRule="auto"/>
        <w:ind w:left="0" w:leftChars="0" w:right="0" w:righ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数藏发行</w:t>
      </w:r>
      <w:r>
        <w:rPr>
          <w:rFonts w:hint="eastAsia" w:ascii="宋体" w:hAnsi="宋体" w:eastAsia="宋体" w:cs="宋体"/>
          <w:sz w:val="24"/>
          <w:szCs w:val="24"/>
          <w:highlight w:val="none"/>
          <w:lang w:eastAsia="zh-Hans"/>
        </w:rPr>
        <w:t>平台相应的备案手续</w:t>
      </w:r>
      <w:r>
        <w:rPr>
          <w:rFonts w:hint="eastAsia" w:ascii="宋体" w:hAnsi="宋体" w:eastAsia="宋体" w:cs="宋体"/>
          <w:sz w:val="24"/>
          <w:szCs w:val="24"/>
          <w:highlight w:val="none"/>
          <w:lang w:val="en-US" w:eastAsia="zh-CN"/>
        </w:rPr>
        <w:t>和资质的</w:t>
      </w:r>
      <w:r>
        <w:rPr>
          <w:rFonts w:hint="eastAsia" w:ascii="宋体" w:hAnsi="宋体" w:eastAsia="宋体" w:cs="宋体"/>
          <w:sz w:val="24"/>
          <w:szCs w:val="24"/>
          <w:highlight w:val="none"/>
          <w:lang w:eastAsia="zh-Hans"/>
        </w:rPr>
        <w:t>取得</w:t>
      </w:r>
      <w:r>
        <w:rPr>
          <w:rFonts w:hint="eastAsia" w:ascii="宋体" w:hAnsi="宋体" w:eastAsia="宋体" w:cs="宋体"/>
          <w:sz w:val="24"/>
          <w:szCs w:val="24"/>
          <w:highlight w:val="none"/>
          <w:lang w:val="en-US" w:eastAsia="zh-CN"/>
        </w:rPr>
        <w:t>由中标方负责</w:t>
      </w:r>
      <w:r>
        <w:rPr>
          <w:rFonts w:hint="eastAsia" w:ascii="宋体" w:hAnsi="宋体" w:eastAsia="宋体" w:cs="宋体"/>
          <w:sz w:val="24"/>
          <w:szCs w:val="24"/>
          <w:highlight w:val="none"/>
          <w:lang w:eastAsia="zh-CN"/>
        </w:rPr>
        <w:t>协助</w:t>
      </w:r>
      <w:r>
        <w:rPr>
          <w:rFonts w:hint="eastAsia" w:ascii="宋体" w:hAnsi="宋体" w:eastAsia="宋体" w:cs="宋体"/>
          <w:sz w:val="24"/>
          <w:szCs w:val="24"/>
          <w:highlight w:val="none"/>
          <w:lang w:val="en-US" w:eastAsia="zh-CN"/>
        </w:rPr>
        <w:t>采购人完成</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包括</w:t>
      </w:r>
      <w:r>
        <w:rPr>
          <w:rFonts w:hint="eastAsia" w:ascii="宋体" w:hAnsi="宋体" w:eastAsia="宋体" w:cs="宋体"/>
          <w:sz w:val="24"/>
          <w:szCs w:val="24"/>
          <w:highlight w:val="none"/>
          <w:lang w:val="en-US" w:eastAsia="zh-CN"/>
        </w:rPr>
        <w:t>但不限于</w:t>
      </w:r>
      <w:r>
        <w:rPr>
          <w:rFonts w:hint="eastAsia" w:ascii="宋体" w:hAnsi="宋体" w:eastAsia="宋体" w:cs="宋体"/>
          <w:sz w:val="24"/>
          <w:szCs w:val="24"/>
          <w:highlight w:val="none"/>
          <w:lang w:eastAsia="zh-Hans"/>
        </w:rPr>
        <w:t>区块链信息服务提供者备案（</w:t>
      </w:r>
      <w:r>
        <w:rPr>
          <w:rFonts w:hint="eastAsia" w:ascii="宋体" w:hAnsi="宋体" w:eastAsia="宋体" w:cs="宋体"/>
          <w:sz w:val="24"/>
          <w:szCs w:val="24"/>
          <w:highlight w:val="none"/>
          <w:lang w:val="en-US" w:eastAsia="zh-Hans"/>
        </w:rPr>
        <w:t>区块链服务商具备</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ICP经营许可证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EDI许可证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艺术品经营单位备案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网络文化经营许可证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eastAsia="zh-Hans"/>
        </w:rPr>
        <w:t>网络出版服务许可证</w:t>
      </w:r>
      <w:r>
        <w:rPr>
          <w:rFonts w:hint="eastAsia" w:ascii="宋体" w:hAnsi="宋体" w:eastAsia="宋体" w:cs="宋体"/>
          <w:sz w:val="24"/>
          <w:szCs w:val="24"/>
          <w:highlight w:val="none"/>
          <w:lang w:val="en-US" w:eastAsia="zh-Hans"/>
        </w:rPr>
        <w:t>等。</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lang w:val="en-US" w:eastAsia="zh-CN"/>
        </w:rPr>
        <w:t>按需提供相应材料。</w:t>
      </w:r>
    </w:p>
    <w:p>
      <w:pPr>
        <w:keepNext w:val="0"/>
        <w:keepLines w:val="0"/>
        <w:pageBreakBefore w:val="0"/>
        <w:numPr>
          <w:ilvl w:val="-1"/>
          <w:numId w:val="0"/>
        </w:numPr>
        <w:kinsoku/>
        <w:wordWrap/>
        <w:overflowPunct/>
        <w:topLinePunct w:val="0"/>
        <w:autoSpaceDE/>
        <w:autoSpaceDN/>
        <w:bidi w:val="0"/>
        <w:adjustRightInd/>
        <w:snapToGrid/>
        <w:spacing w:beforeLines="0" w:afterLines="0" w:line="360" w:lineRule="auto"/>
        <w:ind w:left="0" w:leftChars="0" w:right="0" w:rightChars="0" w:firstLine="480" w:firstLineChars="200"/>
        <w:outlineLvl w:val="1"/>
        <w:rPr>
          <w:rFonts w:hint="eastAsia" w:ascii="宋体" w:hAnsi="宋体" w:eastAsia="宋体" w:cs="宋体"/>
          <w:b w:val="0"/>
          <w:bCs w:val="0"/>
          <w:sz w:val="24"/>
          <w:szCs w:val="24"/>
          <w:highlight w:val="none"/>
          <w:lang w:val="en-US" w:eastAsia="zh-Hans"/>
        </w:rPr>
      </w:pPr>
      <w:r>
        <w:rPr>
          <w:rFonts w:hint="eastAsia" w:ascii="宋体" w:hAnsi="宋体" w:eastAsia="宋体" w:cs="宋体"/>
          <w:b w:val="0"/>
          <w:bCs w:val="0"/>
          <w:sz w:val="24"/>
          <w:szCs w:val="24"/>
          <w:highlight w:val="none"/>
          <w:lang w:val="en-US" w:eastAsia="zh-CN"/>
        </w:rPr>
        <w:t>2、数藏发行</w:t>
      </w:r>
      <w:r>
        <w:rPr>
          <w:rFonts w:hint="eastAsia" w:ascii="宋体" w:hAnsi="宋体" w:eastAsia="宋体" w:cs="宋体"/>
          <w:b w:val="0"/>
          <w:bCs w:val="0"/>
          <w:sz w:val="24"/>
          <w:szCs w:val="24"/>
          <w:highlight w:val="none"/>
          <w:lang w:val="en-US" w:eastAsia="zh-Hans"/>
        </w:rPr>
        <w:t>平台内容侵权问题</w:t>
      </w:r>
    </w:p>
    <w:p>
      <w:pPr>
        <w:keepNext w:val="0"/>
        <w:keepLines w:val="0"/>
        <w:pageBreakBefore w:val="0"/>
        <w:numPr>
          <w:ilvl w:val="0"/>
          <w:numId w:val="0"/>
        </w:numPr>
        <w:kinsoku/>
        <w:wordWrap/>
        <w:overflowPunct/>
        <w:topLinePunct w:val="0"/>
        <w:autoSpaceDE/>
        <w:autoSpaceDN/>
        <w:bidi w:val="0"/>
        <w:adjustRightInd/>
        <w:snapToGrid/>
        <w:spacing w:beforeLines="0" w:afterLines="0" w:line="360" w:lineRule="auto"/>
        <w:ind w:left="0" w:leftChars="0" w:right="0" w:rightChars="0" w:firstLine="480" w:firstLineChars="200"/>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数藏</w:t>
      </w:r>
      <w:r>
        <w:rPr>
          <w:rFonts w:hint="eastAsia" w:ascii="宋体" w:hAnsi="宋体" w:eastAsia="宋体" w:cs="宋体"/>
          <w:b w:val="0"/>
          <w:bCs w:val="0"/>
          <w:sz w:val="24"/>
          <w:szCs w:val="24"/>
          <w:highlight w:val="none"/>
          <w:lang w:val="en-US" w:eastAsia="zh-CN"/>
        </w:rPr>
        <w:t>发行</w:t>
      </w:r>
      <w:r>
        <w:rPr>
          <w:rFonts w:hint="eastAsia" w:ascii="宋体" w:hAnsi="宋体" w:eastAsia="宋体" w:cs="宋体"/>
          <w:sz w:val="24"/>
          <w:szCs w:val="24"/>
          <w:highlight w:val="none"/>
          <w:lang w:eastAsia="zh-Hans"/>
        </w:rPr>
        <w:t>平台作为网络提供者受《民法典》《网络安全法》《电子商务法》及知识产权法方面的相关法律法规的约束，应履行与其相对应的责任与义务。</w:t>
      </w:r>
      <w:r>
        <w:rPr>
          <w:rFonts w:hint="eastAsia" w:ascii="宋体" w:hAnsi="宋体" w:eastAsia="宋体" w:cs="宋体"/>
          <w:sz w:val="24"/>
          <w:szCs w:val="24"/>
          <w:highlight w:val="none"/>
          <w:lang w:val="en-US" w:eastAsia="zh-CN"/>
        </w:rPr>
        <w:t>投标人应充分考量并提供</w:t>
      </w:r>
      <w:r>
        <w:rPr>
          <w:rFonts w:hint="eastAsia" w:ascii="宋体" w:hAnsi="宋体" w:eastAsia="宋体" w:cs="宋体"/>
          <w:sz w:val="24"/>
          <w:szCs w:val="24"/>
          <w:highlight w:val="none"/>
          <w:lang w:eastAsia="zh-Hans"/>
        </w:rPr>
        <w:t>完善的事前审查机制、事中沟通处理机制、侵权投诉机制与事后风险管理机制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以确保中报</w:t>
      </w:r>
      <w:r>
        <w:rPr>
          <w:rFonts w:hint="eastAsia" w:ascii="宋体" w:hAnsi="宋体" w:eastAsia="宋体" w:cs="宋体"/>
          <w:sz w:val="24"/>
          <w:szCs w:val="24"/>
          <w:highlight w:val="none"/>
          <w:lang w:val="en-US" w:eastAsia="zh-Hans"/>
        </w:rPr>
        <w:t>数藏</w:t>
      </w:r>
      <w:r>
        <w:rPr>
          <w:rFonts w:hint="eastAsia" w:ascii="宋体" w:hAnsi="宋体" w:eastAsia="宋体" w:cs="宋体"/>
          <w:sz w:val="24"/>
          <w:szCs w:val="24"/>
          <w:highlight w:val="none"/>
          <w:lang w:val="en-US" w:eastAsia="zh-CN"/>
        </w:rPr>
        <w:t>发行</w:t>
      </w:r>
      <w:r>
        <w:rPr>
          <w:rFonts w:hint="eastAsia" w:ascii="宋体" w:hAnsi="宋体" w:eastAsia="宋体" w:cs="宋体"/>
          <w:sz w:val="24"/>
          <w:szCs w:val="24"/>
          <w:highlight w:val="none"/>
          <w:lang w:val="en-US" w:eastAsia="zh-Hans"/>
        </w:rPr>
        <w:t>平台</w:t>
      </w:r>
      <w:r>
        <w:rPr>
          <w:rFonts w:hint="eastAsia" w:ascii="宋体" w:hAnsi="宋体" w:eastAsia="宋体" w:cs="宋体"/>
          <w:sz w:val="24"/>
          <w:szCs w:val="24"/>
          <w:highlight w:val="none"/>
          <w:lang w:val="en-US" w:eastAsia="zh-CN"/>
        </w:rPr>
        <w:t>内容版权安全、平台运营安全</w:t>
      </w:r>
      <w:r>
        <w:rPr>
          <w:rFonts w:hint="eastAsia" w:ascii="宋体" w:hAnsi="宋体" w:eastAsia="宋体" w:cs="宋体"/>
          <w:sz w:val="24"/>
          <w:szCs w:val="24"/>
          <w:highlight w:val="none"/>
          <w:lang w:eastAsia="zh-Hans"/>
        </w:rPr>
        <w:t>。</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Lines="0" w:line="360" w:lineRule="auto"/>
        <w:ind w:left="0" w:leftChars="0" w:firstLine="0" w:firstLineChars="0"/>
        <w:textAlignment w:val="auto"/>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项目</w:t>
      </w:r>
      <w:r>
        <w:rPr>
          <w:rFonts w:hint="eastAsia" w:ascii="宋体" w:hAnsi="宋体" w:eastAsia="宋体" w:cs="宋体"/>
          <w:b/>
          <w:bCs/>
          <w:sz w:val="24"/>
          <w:szCs w:val="24"/>
          <w:highlight w:val="none"/>
          <w:lang w:val="en-US" w:eastAsia="zh-CN"/>
        </w:rPr>
        <w:t>知识产权</w:t>
      </w:r>
      <w:r>
        <w:rPr>
          <w:rFonts w:hint="eastAsia" w:ascii="宋体" w:hAnsi="宋体" w:eastAsia="宋体" w:cs="宋体"/>
          <w:b/>
          <w:bCs/>
          <w:sz w:val="24"/>
          <w:szCs w:val="24"/>
          <w:highlight w:val="none"/>
          <w:lang w:eastAsia="zh-CN"/>
        </w:rPr>
        <w:t>和使用</w:t>
      </w:r>
    </w:p>
    <w:p>
      <w:pPr>
        <w:pStyle w:val="19"/>
        <w:pageBreakBefore w:val="0"/>
        <w:widowControl/>
        <w:kinsoku/>
        <w:wordWrap/>
        <w:overflowPunct/>
        <w:topLinePunct w:val="0"/>
        <w:autoSpaceDE/>
        <w:autoSpaceDN/>
        <w:bidi w:val="0"/>
        <w:adjustRightInd/>
        <w:snapToGrid/>
        <w:spacing w:beforeLines="0" w:beforeAutospacing="0" w:afterLines="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eastAsia="zh-Hans" w:bidi="ar-SA"/>
        </w:rPr>
        <w:t>本项目</w:t>
      </w:r>
      <w:r>
        <w:rPr>
          <w:rFonts w:hint="eastAsia" w:ascii="宋体" w:hAnsi="宋体" w:eastAsia="宋体" w:cs="宋体"/>
          <w:kern w:val="2"/>
          <w:sz w:val="24"/>
          <w:szCs w:val="24"/>
          <w:highlight w:val="none"/>
          <w:lang w:val="en-US" w:eastAsia="zh-CN" w:bidi="ar-SA"/>
        </w:rPr>
        <w:t>产生的知识产权归</w:t>
      </w:r>
      <w:r>
        <w:rPr>
          <w:rFonts w:hint="eastAsia" w:ascii="宋体" w:hAnsi="宋体" w:cs="宋体"/>
          <w:kern w:val="2"/>
          <w:sz w:val="24"/>
          <w:szCs w:val="24"/>
          <w:highlight w:val="none"/>
          <w:lang w:val="en-US" w:eastAsia="zh-CN" w:bidi="ar-SA"/>
        </w:rPr>
        <w:t>采购人</w:t>
      </w:r>
      <w:r>
        <w:rPr>
          <w:rFonts w:hint="eastAsia" w:ascii="宋体" w:hAnsi="宋体" w:eastAsia="宋体" w:cs="宋体"/>
          <w:kern w:val="2"/>
          <w:sz w:val="24"/>
          <w:szCs w:val="24"/>
          <w:highlight w:val="none"/>
          <w:lang w:val="en-US" w:eastAsia="zh-CN" w:bidi="ar-SA"/>
        </w:rPr>
        <w:t>所</w:t>
      </w:r>
      <w:r>
        <w:rPr>
          <w:rFonts w:hint="eastAsia" w:ascii="宋体" w:hAnsi="宋体" w:eastAsia="宋体" w:cs="宋体"/>
          <w:kern w:val="2"/>
          <w:sz w:val="24"/>
          <w:szCs w:val="24"/>
          <w:highlight w:val="none"/>
          <w:lang w:eastAsia="zh-CN" w:bidi="ar-SA"/>
        </w:rPr>
        <w:t>有</w:t>
      </w:r>
      <w:r>
        <w:rPr>
          <w:rFonts w:hint="eastAsia" w:ascii="宋体" w:hAnsi="宋体" w:eastAsia="宋体" w:cs="宋体"/>
          <w:kern w:val="2"/>
          <w:sz w:val="24"/>
          <w:szCs w:val="24"/>
          <w:highlight w:val="none"/>
          <w:lang w:val="en-US" w:eastAsia="zh-CN" w:bidi="ar-SA"/>
        </w:rPr>
        <w:t>，未经</w:t>
      </w:r>
      <w:r>
        <w:rPr>
          <w:rFonts w:hint="eastAsia" w:ascii="宋体" w:hAnsi="宋体" w:cs="宋体"/>
          <w:kern w:val="2"/>
          <w:sz w:val="24"/>
          <w:szCs w:val="24"/>
          <w:highlight w:val="none"/>
          <w:lang w:val="en-US" w:eastAsia="zh-CN" w:bidi="ar-SA"/>
        </w:rPr>
        <w:t>采购人</w:t>
      </w:r>
      <w:r>
        <w:rPr>
          <w:rFonts w:hint="eastAsia" w:ascii="宋体" w:hAnsi="宋体" w:eastAsia="宋体" w:cs="宋体"/>
          <w:kern w:val="2"/>
          <w:sz w:val="24"/>
          <w:szCs w:val="24"/>
          <w:highlight w:val="none"/>
          <w:lang w:val="en-US" w:eastAsia="zh-CN" w:bidi="ar-SA"/>
        </w:rPr>
        <w:t>正式授权，</w:t>
      </w:r>
      <w:r>
        <w:rPr>
          <w:rFonts w:hint="eastAsia" w:ascii="宋体" w:hAnsi="宋体" w:cs="宋体"/>
          <w:kern w:val="2"/>
          <w:sz w:val="24"/>
          <w:szCs w:val="24"/>
          <w:highlight w:val="none"/>
          <w:lang w:val="en-US" w:eastAsia="zh-CN" w:bidi="ar-SA"/>
        </w:rPr>
        <w:t>投标人</w:t>
      </w:r>
      <w:r>
        <w:rPr>
          <w:rFonts w:hint="eastAsia" w:ascii="宋体" w:hAnsi="宋体" w:eastAsia="宋体" w:cs="宋体"/>
          <w:kern w:val="2"/>
          <w:sz w:val="24"/>
          <w:szCs w:val="24"/>
          <w:highlight w:val="none"/>
          <w:lang w:val="en-US" w:eastAsia="zh-CN" w:bidi="ar-SA"/>
        </w:rPr>
        <w:t>不得以任何方式占有、转让和使用</w:t>
      </w:r>
      <w:r>
        <w:rPr>
          <w:rFonts w:hint="eastAsia" w:ascii="宋体" w:hAnsi="宋体" w:cs="宋体"/>
          <w:kern w:val="2"/>
          <w:sz w:val="24"/>
          <w:szCs w:val="24"/>
          <w:highlight w:val="none"/>
          <w:lang w:val="en-US" w:eastAsia="zh-CN" w:bidi="ar-SA"/>
        </w:rPr>
        <w:t>，</w:t>
      </w:r>
      <w:r>
        <w:rPr>
          <w:rFonts w:hint="eastAsia" w:ascii="宋体" w:hAnsi="宋体" w:cs="宋体"/>
          <w:sz w:val="24"/>
          <w:szCs w:val="24"/>
          <w:highlight w:val="none"/>
        </w:rPr>
        <w:t>投标人为本项目提供的服务，不得侵犯第三方知识产权。</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6A4D0F97-D710-4233-8FFA-0684D449D1D6}"/>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7B3754"/>
    <w:multiLevelType w:val="singleLevel"/>
    <w:tmpl w:val="ED7B3754"/>
    <w:lvl w:ilvl="0" w:tentative="0">
      <w:start w:val="1"/>
      <w:numFmt w:val="chineseCounting"/>
      <w:suff w:val="nothing"/>
      <w:lvlText w:val="%1、"/>
      <w:lvlJc w:val="left"/>
      <w:rPr>
        <w:rFonts w:hint="eastAsia"/>
      </w:rPr>
    </w:lvl>
  </w:abstractNum>
  <w:abstractNum w:abstractNumId="1">
    <w:nsid w:val="F57F0EE3"/>
    <w:multiLevelType w:val="multilevel"/>
    <w:tmpl w:val="F57F0EE3"/>
    <w:lvl w:ilvl="0" w:tentative="0">
      <w:start w:val="1"/>
      <w:numFmt w:val="decimal"/>
      <w:lvlText w:val="%1."/>
      <w:lvlJc w:val="left"/>
      <w:pPr>
        <w:ind w:left="425" w:hanging="425"/>
      </w:pPr>
      <w:rPr>
        <w:rFonts w:hint="default"/>
      </w:rPr>
    </w:lvl>
    <w:lvl w:ilvl="1" w:tentative="0">
      <w:start w:val="1"/>
      <w:numFmt w:val="decimal"/>
      <w:lvlText w:val="%1.%2."/>
      <w:lvlJc w:val="left"/>
      <w:pPr>
        <w:ind w:left="1192"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trackRevisions w:val="1"/>
  <w:documentProtection w:enforcement="0"/>
  <w:defaultTabStop w:val="178"/>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JkOTMxMTZjNDhkMGNhMDkyOWFlY2EwYzZmN2U1ZDkifQ=="/>
  </w:docVars>
  <w:rsids>
    <w:rsidRoot w:val="00172A27"/>
    <w:rsid w:val="000F1693"/>
    <w:rsid w:val="001241FA"/>
    <w:rsid w:val="00180B86"/>
    <w:rsid w:val="00191BCE"/>
    <w:rsid w:val="001C1F32"/>
    <w:rsid w:val="004C585E"/>
    <w:rsid w:val="005146A1"/>
    <w:rsid w:val="00582CD3"/>
    <w:rsid w:val="0058625A"/>
    <w:rsid w:val="00591333"/>
    <w:rsid w:val="005D129A"/>
    <w:rsid w:val="006059F0"/>
    <w:rsid w:val="0089794B"/>
    <w:rsid w:val="00942085"/>
    <w:rsid w:val="009569CD"/>
    <w:rsid w:val="00964284"/>
    <w:rsid w:val="00991F88"/>
    <w:rsid w:val="009B4889"/>
    <w:rsid w:val="009C57EC"/>
    <w:rsid w:val="009C7473"/>
    <w:rsid w:val="00AE1E6D"/>
    <w:rsid w:val="00C04AA9"/>
    <w:rsid w:val="00C728FD"/>
    <w:rsid w:val="00C72A42"/>
    <w:rsid w:val="00CE20E6"/>
    <w:rsid w:val="00D722B0"/>
    <w:rsid w:val="00DA0189"/>
    <w:rsid w:val="00DC02F7"/>
    <w:rsid w:val="00E82DD1"/>
    <w:rsid w:val="00E950AE"/>
    <w:rsid w:val="00EA0D00"/>
    <w:rsid w:val="00F704B4"/>
    <w:rsid w:val="00F84D6D"/>
    <w:rsid w:val="00F91B7A"/>
    <w:rsid w:val="020D6B9B"/>
    <w:rsid w:val="03153061"/>
    <w:rsid w:val="031E55BF"/>
    <w:rsid w:val="03CE5579"/>
    <w:rsid w:val="04463D2B"/>
    <w:rsid w:val="05C375FE"/>
    <w:rsid w:val="062E0F04"/>
    <w:rsid w:val="0630328F"/>
    <w:rsid w:val="065467ED"/>
    <w:rsid w:val="075F0174"/>
    <w:rsid w:val="07C972FC"/>
    <w:rsid w:val="07F7B7F4"/>
    <w:rsid w:val="08D22E85"/>
    <w:rsid w:val="0A971D70"/>
    <w:rsid w:val="0ADC2EAD"/>
    <w:rsid w:val="0B1D7A4B"/>
    <w:rsid w:val="0BC76D32"/>
    <w:rsid w:val="0C70757A"/>
    <w:rsid w:val="0DCE0286"/>
    <w:rsid w:val="0E9C1586"/>
    <w:rsid w:val="0EC23F09"/>
    <w:rsid w:val="0EF952E0"/>
    <w:rsid w:val="0FAB707F"/>
    <w:rsid w:val="112E3A33"/>
    <w:rsid w:val="115D7DA9"/>
    <w:rsid w:val="11A00196"/>
    <w:rsid w:val="12A87FC8"/>
    <w:rsid w:val="14551B7A"/>
    <w:rsid w:val="162B006D"/>
    <w:rsid w:val="178D46FD"/>
    <w:rsid w:val="18270C92"/>
    <w:rsid w:val="18E46C14"/>
    <w:rsid w:val="1AD26E49"/>
    <w:rsid w:val="1C2A3C99"/>
    <w:rsid w:val="1C823ADB"/>
    <w:rsid w:val="1D0460DA"/>
    <w:rsid w:val="1DD0124D"/>
    <w:rsid w:val="1DF9523C"/>
    <w:rsid w:val="1FF33DF9"/>
    <w:rsid w:val="20211257"/>
    <w:rsid w:val="20B51AE4"/>
    <w:rsid w:val="20DF41BE"/>
    <w:rsid w:val="20EB5A13"/>
    <w:rsid w:val="21325C77"/>
    <w:rsid w:val="229555FD"/>
    <w:rsid w:val="24084D16"/>
    <w:rsid w:val="24F86A6C"/>
    <w:rsid w:val="257C2A75"/>
    <w:rsid w:val="25EA7C01"/>
    <w:rsid w:val="261634B1"/>
    <w:rsid w:val="26782DFC"/>
    <w:rsid w:val="273E5E1F"/>
    <w:rsid w:val="279A01B7"/>
    <w:rsid w:val="28173165"/>
    <w:rsid w:val="289F1CDC"/>
    <w:rsid w:val="2A834ECB"/>
    <w:rsid w:val="2AD863DF"/>
    <w:rsid w:val="2B0306A6"/>
    <w:rsid w:val="2EF7784D"/>
    <w:rsid w:val="2F826F03"/>
    <w:rsid w:val="310C5B85"/>
    <w:rsid w:val="32121710"/>
    <w:rsid w:val="32645145"/>
    <w:rsid w:val="345C5BF5"/>
    <w:rsid w:val="36F35BA2"/>
    <w:rsid w:val="372F15CD"/>
    <w:rsid w:val="375DF686"/>
    <w:rsid w:val="37F60C0C"/>
    <w:rsid w:val="3961664F"/>
    <w:rsid w:val="398E6FFF"/>
    <w:rsid w:val="3BA65BED"/>
    <w:rsid w:val="3BD88067"/>
    <w:rsid w:val="3BE33D59"/>
    <w:rsid w:val="3CBFCF66"/>
    <w:rsid w:val="3E0C055E"/>
    <w:rsid w:val="3E77134C"/>
    <w:rsid w:val="3ED77FCD"/>
    <w:rsid w:val="3FBDD37E"/>
    <w:rsid w:val="3FDF156F"/>
    <w:rsid w:val="3FEF869E"/>
    <w:rsid w:val="40217C50"/>
    <w:rsid w:val="416D43C3"/>
    <w:rsid w:val="428B0560"/>
    <w:rsid w:val="42EC1F80"/>
    <w:rsid w:val="44D35A7B"/>
    <w:rsid w:val="4617510C"/>
    <w:rsid w:val="466ABF8D"/>
    <w:rsid w:val="47C63CEB"/>
    <w:rsid w:val="47EA768A"/>
    <w:rsid w:val="482119EC"/>
    <w:rsid w:val="49066BC8"/>
    <w:rsid w:val="495939D0"/>
    <w:rsid w:val="49FF313B"/>
    <w:rsid w:val="4A644A08"/>
    <w:rsid w:val="4B0709C0"/>
    <w:rsid w:val="4BA17858"/>
    <w:rsid w:val="4BBF129A"/>
    <w:rsid w:val="4C8133C5"/>
    <w:rsid w:val="4CB57335"/>
    <w:rsid w:val="4CBB7A1F"/>
    <w:rsid w:val="4D1DD9FD"/>
    <w:rsid w:val="4D4E1FD0"/>
    <w:rsid w:val="4E1F5137"/>
    <w:rsid w:val="4FD94474"/>
    <w:rsid w:val="4FF7969A"/>
    <w:rsid w:val="51BB47CE"/>
    <w:rsid w:val="51F52221"/>
    <w:rsid w:val="533540A8"/>
    <w:rsid w:val="53EC1583"/>
    <w:rsid w:val="54213A4B"/>
    <w:rsid w:val="54324514"/>
    <w:rsid w:val="56DD560B"/>
    <w:rsid w:val="573C076F"/>
    <w:rsid w:val="58673CD3"/>
    <w:rsid w:val="597E4543"/>
    <w:rsid w:val="59861649"/>
    <w:rsid w:val="5B952750"/>
    <w:rsid w:val="5BDD395D"/>
    <w:rsid w:val="5C4E28F2"/>
    <w:rsid w:val="5EF75A49"/>
    <w:rsid w:val="5FA4376F"/>
    <w:rsid w:val="5FBF7663"/>
    <w:rsid w:val="5FFDC538"/>
    <w:rsid w:val="60584F1D"/>
    <w:rsid w:val="60A508C8"/>
    <w:rsid w:val="61AB8F86"/>
    <w:rsid w:val="624F1130"/>
    <w:rsid w:val="62695C01"/>
    <w:rsid w:val="62A30E64"/>
    <w:rsid w:val="63440185"/>
    <w:rsid w:val="651200DE"/>
    <w:rsid w:val="65EE7820"/>
    <w:rsid w:val="66062E6A"/>
    <w:rsid w:val="66990585"/>
    <w:rsid w:val="66DC0EAF"/>
    <w:rsid w:val="66DC4893"/>
    <w:rsid w:val="66E93EFF"/>
    <w:rsid w:val="66F9FD82"/>
    <w:rsid w:val="6775238C"/>
    <w:rsid w:val="67891DAD"/>
    <w:rsid w:val="695104B3"/>
    <w:rsid w:val="696043D5"/>
    <w:rsid w:val="697F6E85"/>
    <w:rsid w:val="69FFA5D9"/>
    <w:rsid w:val="6AF134CA"/>
    <w:rsid w:val="6AF760A2"/>
    <w:rsid w:val="6CEFA1B7"/>
    <w:rsid w:val="6D0E6D53"/>
    <w:rsid w:val="6DFE4B05"/>
    <w:rsid w:val="6E616DA0"/>
    <w:rsid w:val="6EA754E9"/>
    <w:rsid w:val="6EA77F5B"/>
    <w:rsid w:val="6EE0402F"/>
    <w:rsid w:val="6FB732A3"/>
    <w:rsid w:val="6FD65D5C"/>
    <w:rsid w:val="71421EC4"/>
    <w:rsid w:val="71580D3F"/>
    <w:rsid w:val="7181663C"/>
    <w:rsid w:val="719612A5"/>
    <w:rsid w:val="71D124C6"/>
    <w:rsid w:val="720802A1"/>
    <w:rsid w:val="72D0526D"/>
    <w:rsid w:val="72F70FF0"/>
    <w:rsid w:val="7395F4EB"/>
    <w:rsid w:val="73FEECC9"/>
    <w:rsid w:val="746A5998"/>
    <w:rsid w:val="74F957BD"/>
    <w:rsid w:val="757F1EA6"/>
    <w:rsid w:val="759BEABE"/>
    <w:rsid w:val="75B146E6"/>
    <w:rsid w:val="75FF98B5"/>
    <w:rsid w:val="76B57591"/>
    <w:rsid w:val="76F91601"/>
    <w:rsid w:val="773C3D7D"/>
    <w:rsid w:val="778FF766"/>
    <w:rsid w:val="779C47CA"/>
    <w:rsid w:val="77E7DCE8"/>
    <w:rsid w:val="788A6608"/>
    <w:rsid w:val="7ADB1623"/>
    <w:rsid w:val="7B7B7872"/>
    <w:rsid w:val="7BBFCABB"/>
    <w:rsid w:val="7BF77A52"/>
    <w:rsid w:val="7BF985E4"/>
    <w:rsid w:val="7BFF9FAB"/>
    <w:rsid w:val="7CA62578"/>
    <w:rsid w:val="7CBFFAC6"/>
    <w:rsid w:val="7CDB6EBC"/>
    <w:rsid w:val="7D6FD8EF"/>
    <w:rsid w:val="7D8F1361"/>
    <w:rsid w:val="7DFAB1FC"/>
    <w:rsid w:val="7DFF1111"/>
    <w:rsid w:val="7F7FBDB5"/>
    <w:rsid w:val="7FBFF0DD"/>
    <w:rsid w:val="7FD79B89"/>
    <w:rsid w:val="7FDF2170"/>
    <w:rsid w:val="7FEFB173"/>
    <w:rsid w:val="7FFD794F"/>
    <w:rsid w:val="7FFF52CB"/>
    <w:rsid w:val="A7F83E01"/>
    <w:rsid w:val="AB3D40F8"/>
    <w:rsid w:val="AEF751BC"/>
    <w:rsid w:val="B7BDEC75"/>
    <w:rsid w:val="B9FE3618"/>
    <w:rsid w:val="BEFDACF3"/>
    <w:rsid w:val="BFF3AC1F"/>
    <w:rsid w:val="CEDB1E3C"/>
    <w:rsid w:val="CFDEE07A"/>
    <w:rsid w:val="CFFA87C6"/>
    <w:rsid w:val="D7BDAE17"/>
    <w:rsid w:val="DCB6CF0F"/>
    <w:rsid w:val="DFFA1F44"/>
    <w:rsid w:val="EBDF37C3"/>
    <w:rsid w:val="EEFF8099"/>
    <w:rsid w:val="EF7DF463"/>
    <w:rsid w:val="EF7ED898"/>
    <w:rsid w:val="EFE53270"/>
    <w:rsid w:val="F46A17FF"/>
    <w:rsid w:val="F68E3DBD"/>
    <w:rsid w:val="F7ABAC25"/>
    <w:rsid w:val="F7FFA674"/>
    <w:rsid w:val="FCDD5C94"/>
    <w:rsid w:val="FD9D568D"/>
    <w:rsid w:val="FDBA67BE"/>
    <w:rsid w:val="FDDFC4A7"/>
    <w:rsid w:val="FDE74DB2"/>
    <w:rsid w:val="FDFF06C6"/>
    <w:rsid w:val="FEFFB1DA"/>
    <w:rsid w:val="FF166BDF"/>
    <w:rsid w:val="FF7D32BC"/>
    <w:rsid w:val="FF97852F"/>
    <w:rsid w:val="FFB3244A"/>
    <w:rsid w:val="FFBACCD2"/>
    <w:rsid w:val="FFBD68F9"/>
    <w:rsid w:val="FFDBD4BA"/>
    <w:rsid w:val="FFF9B47B"/>
    <w:rsid w:val="FFFC9DAC"/>
    <w:rsid w:val="FFFDD2B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3"/>
    <w:qFormat/>
    <w:uiPriority w:val="9"/>
    <w:pPr>
      <w:keepNext/>
      <w:keepLines/>
      <w:spacing w:before="340" w:after="330" w:line="576" w:lineRule="auto"/>
      <w:outlineLvl w:val="0"/>
    </w:pPr>
    <w:rPr>
      <w:rFonts w:cs="宋体"/>
      <w:b/>
      <w:bCs/>
      <w:kern w:val="44"/>
      <w:sz w:val="44"/>
      <w:szCs w:val="44"/>
    </w:rPr>
  </w:style>
  <w:style w:type="paragraph" w:styleId="4">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semiHidden/>
    <w:unhideWhenUsed/>
    <w:qFormat/>
    <w:uiPriority w:val="0"/>
    <w:pPr>
      <w:spacing w:after="120"/>
    </w:pPr>
  </w:style>
  <w:style w:type="paragraph" w:styleId="5">
    <w:name w:val="toa heading"/>
    <w:basedOn w:val="1"/>
    <w:next w:val="1"/>
    <w:qFormat/>
    <w:uiPriority w:val="0"/>
    <w:pPr>
      <w:widowControl w:val="0"/>
      <w:spacing w:before="120" w:line="360" w:lineRule="auto"/>
      <w:ind w:firstLine="200" w:firstLineChars="200"/>
      <w:jc w:val="both"/>
    </w:pPr>
    <w:rPr>
      <w:rFonts w:ascii="Cambria" w:hAnsi="Cambria" w:eastAsia="宋体" w:cs="Times New Roman"/>
      <w:kern w:val="2"/>
      <w:sz w:val="24"/>
      <w:szCs w:val="24"/>
      <w:lang w:val="en-US" w:eastAsia="zh-CN" w:bidi="ar-SA"/>
    </w:rPr>
  </w:style>
  <w:style w:type="paragraph" w:styleId="6">
    <w:name w:val="annotation text"/>
    <w:basedOn w:val="1"/>
    <w:semiHidden/>
    <w:unhideWhenUsed/>
    <w:qFormat/>
    <w:uiPriority w:val="99"/>
    <w:pPr>
      <w:jc w:val="left"/>
    </w:p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rPr>
      <w:sz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1 字符"/>
    <w:basedOn w:val="12"/>
    <w:link w:val="3"/>
    <w:qFormat/>
    <w:uiPriority w:val="9"/>
    <w:rPr>
      <w:rFonts w:cs="宋体"/>
      <w:b/>
      <w:bCs/>
      <w:kern w:val="44"/>
      <w:sz w:val="44"/>
      <w:szCs w:val="44"/>
    </w:rPr>
  </w:style>
  <w:style w:type="character" w:customStyle="1" w:styleId="14">
    <w:name w:val="标题 2 字符"/>
    <w:basedOn w:val="12"/>
    <w:link w:val="4"/>
    <w:qFormat/>
    <w:uiPriority w:val="9"/>
    <w:rPr>
      <w:rFonts w:asciiTheme="majorHAnsi" w:hAnsiTheme="majorHAnsi" w:eastAsiaTheme="majorEastAsia" w:cstheme="majorBidi"/>
      <w:b/>
      <w:bCs/>
      <w:sz w:val="32"/>
      <w:szCs w:val="32"/>
    </w:rPr>
  </w:style>
  <w:style w:type="character" w:customStyle="1" w:styleId="15">
    <w:name w:val="页眉 字符"/>
    <w:basedOn w:val="12"/>
    <w:link w:val="8"/>
    <w:qFormat/>
    <w:uiPriority w:val="99"/>
    <w:rPr>
      <w:sz w:val="18"/>
      <w:szCs w:val="18"/>
    </w:rPr>
  </w:style>
  <w:style w:type="character" w:customStyle="1" w:styleId="16">
    <w:name w:val="页脚 字符"/>
    <w:basedOn w:val="12"/>
    <w:link w:val="7"/>
    <w:qFormat/>
    <w:uiPriority w:val="99"/>
    <w:rPr>
      <w:sz w:val="18"/>
      <w:szCs w:val="18"/>
    </w:rPr>
  </w:style>
  <w:style w:type="paragraph" w:customStyle="1" w:styleId="17">
    <w:name w:val="正文_EX"/>
    <w:basedOn w:val="1"/>
    <w:qFormat/>
    <w:uiPriority w:val="0"/>
    <w:pPr>
      <w:spacing w:line="360" w:lineRule="auto"/>
      <w:ind w:firstLine="480" w:firstLineChars="200"/>
    </w:pPr>
    <w:rPr>
      <w:rFonts w:cstheme="minorBidi"/>
      <w:sz w:val="24"/>
      <w:szCs w:val="22"/>
    </w:rPr>
  </w:style>
  <w:style w:type="paragraph" w:styleId="18">
    <w:name w:val="List Paragraph"/>
    <w:basedOn w:val="1"/>
    <w:qFormat/>
    <w:uiPriority w:val="34"/>
    <w:pPr>
      <w:ind w:firstLine="420" w:firstLineChars="200"/>
    </w:pPr>
    <w:rPr>
      <w:rFonts w:ascii="Calibri" w:hAnsi="Calibri"/>
      <w:szCs w:val="22"/>
    </w:rPr>
  </w:style>
  <w:style w:type="paragraph" w:customStyle="1" w:styleId="19">
    <w:name w:val="正常"/>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6001</Words>
  <Characters>6168</Characters>
  <Lines>1</Lines>
  <Paragraphs>1</Paragraphs>
  <TotalTime>46</TotalTime>
  <ScaleCrop>false</ScaleCrop>
  <LinksUpToDate>false</LinksUpToDate>
  <CharactersWithSpaces>6174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2023-02-15T02:29:00Z</dcterms:created>
  <dc:creator>admin</dc:creator>
  <cp:lastModifiedBy>17301271205</cp:lastModifiedBy>
  <dcterms:modified xsi:type="dcterms:W3CDTF">2023-09-20T08:40:31Z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E6E937547C894A54AB5067C422675720_13</vt:lpwstr>
  </property>
</Properties>
</file>