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1"/>
        </w:numPr>
        <w:spacing w:line="360" w:lineRule="auto"/>
        <w:jc w:val="center"/>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t>项目需求</w:t>
      </w:r>
      <w:bookmarkStart w:id="0" w:name="_Hlk105667604"/>
    </w:p>
    <w:p>
      <w:pPr>
        <w:spacing w:line="360" w:lineRule="auto"/>
        <w:rPr>
          <w:rFonts w:hint="eastAsia" w:ascii="宋体" w:hAnsi="宋体" w:eastAsia="宋体" w:cs="Times New Roman"/>
          <w:b/>
          <w:color w:val="auto"/>
          <w:sz w:val="30"/>
          <w:szCs w:val="30"/>
          <w:highlight w:val="none"/>
        </w:rPr>
      </w:pPr>
    </w:p>
    <w:p>
      <w:pPr>
        <w:spacing w:line="360" w:lineRule="auto"/>
        <w:rPr>
          <w:rFonts w:hint="eastAsia" w:ascii="宋体" w:hAnsi="宋体" w:eastAsia="宋体" w:cs="Times New Roman"/>
          <w:b/>
          <w:color w:val="auto"/>
          <w:sz w:val="30"/>
          <w:szCs w:val="30"/>
          <w:highlight w:val="none"/>
        </w:rPr>
      </w:pPr>
    </w:p>
    <w:p>
      <w:pPr>
        <w:spacing w:line="360" w:lineRule="auto"/>
        <w:outlineLvl w:val="1"/>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br w:type="page"/>
      </w:r>
      <w:r>
        <w:rPr>
          <w:rFonts w:hint="eastAsia" w:ascii="宋体" w:hAnsi="宋体" w:eastAsia="宋体" w:cs="Times New Roman"/>
          <w:b/>
          <w:color w:val="auto"/>
          <w:sz w:val="30"/>
          <w:szCs w:val="30"/>
          <w:highlight w:val="none"/>
        </w:rPr>
        <w:t>一、货物需求一览表</w:t>
      </w:r>
    </w:p>
    <w:p>
      <w:pPr>
        <w:adjustRightInd w:val="0"/>
        <w:snapToGrid w:val="0"/>
        <w:jc w:val="center"/>
        <w:rPr>
          <w:rFonts w:ascii="宋体" w:hAnsi="宋体" w:eastAsia="宋体" w:cs="Times New Roman"/>
          <w:b/>
          <w:color w:val="auto"/>
          <w:sz w:val="30"/>
          <w:szCs w:val="30"/>
          <w:highlight w:val="none"/>
        </w:rPr>
      </w:pPr>
    </w:p>
    <w:tbl>
      <w:tblPr>
        <w:tblStyle w:val="8"/>
        <w:tblW w:w="79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196"/>
        <w:gridCol w:w="1111"/>
        <w:gridCol w:w="4512"/>
        <w:gridCol w:w="109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9" w:hRule="atLeast"/>
          <w:jc w:val="center"/>
        </w:trPr>
        <w:tc>
          <w:tcPr>
            <w:tcW w:w="1196" w:type="dxa"/>
            <w:noWrap w:val="0"/>
            <w:vAlign w:val="center"/>
          </w:tcPr>
          <w:p>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包号</w:t>
            </w:r>
          </w:p>
        </w:tc>
        <w:tc>
          <w:tcPr>
            <w:tcW w:w="1111" w:type="dxa"/>
            <w:noWrap w:val="0"/>
            <w:vAlign w:val="top"/>
          </w:tcPr>
          <w:p>
            <w:pPr>
              <w:jc w:val="center"/>
              <w:rPr>
                <w:rFonts w:hint="eastAsia"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品目</w:t>
            </w:r>
          </w:p>
        </w:tc>
        <w:tc>
          <w:tcPr>
            <w:tcW w:w="4512" w:type="dxa"/>
            <w:noWrap w:val="0"/>
            <w:vAlign w:val="center"/>
          </w:tcPr>
          <w:p>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货物名称</w:t>
            </w:r>
          </w:p>
        </w:tc>
        <w:tc>
          <w:tcPr>
            <w:tcW w:w="1099" w:type="dxa"/>
            <w:noWrap w:val="0"/>
            <w:vAlign w:val="center"/>
          </w:tcPr>
          <w:p>
            <w:pPr>
              <w:jc w:val="center"/>
              <w:rPr>
                <w:rFonts w:ascii="宋体" w:hAnsi="Bookman Old Style" w:eastAsia="宋体" w:cs="Times New Roman"/>
                <w:color w:val="auto"/>
                <w:sz w:val="24"/>
                <w:highlight w:val="none"/>
              </w:rPr>
            </w:pPr>
            <w:r>
              <w:rPr>
                <w:rFonts w:hint="eastAsia" w:ascii="宋体" w:hAnsi="Bookman Old Style" w:eastAsia="宋体" w:cs="Times New Roman"/>
                <w:color w:val="auto"/>
                <w:sz w:val="24"/>
                <w:highlight w:val="none"/>
              </w:rPr>
              <w:t>数量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25" w:hRule="atLeast"/>
          <w:jc w:val="center"/>
        </w:trPr>
        <w:tc>
          <w:tcPr>
            <w:tcW w:w="1196" w:type="dxa"/>
            <w:vMerge w:val="restart"/>
            <w:noWrap w:val="0"/>
            <w:vAlign w:val="center"/>
          </w:tcPr>
          <w:p>
            <w:pPr>
              <w:jc w:val="center"/>
              <w:rPr>
                <w:rFonts w:hint="eastAsia" w:ascii="宋体" w:hAnsi="Bookman Old Style" w:eastAsia="宋体" w:cs="Times New Roman"/>
                <w:color w:val="auto"/>
                <w:sz w:val="24"/>
                <w:szCs w:val="22"/>
                <w:highlight w:val="none"/>
              </w:rPr>
            </w:pPr>
            <w:r>
              <w:rPr>
                <w:rFonts w:hint="eastAsia" w:ascii="宋体" w:hAnsi="Bookman Old Style" w:eastAsia="宋体" w:cs="Times New Roman"/>
                <w:color w:val="auto"/>
                <w:sz w:val="24"/>
                <w:szCs w:val="22"/>
                <w:highlight w:val="none"/>
              </w:rPr>
              <w:t>1</w:t>
            </w:r>
          </w:p>
        </w:tc>
        <w:tc>
          <w:tcPr>
            <w:tcW w:w="1111"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512" w:type="dxa"/>
            <w:noWrap w:val="0"/>
            <w:vAlign w:val="center"/>
          </w:tcPr>
          <w:p>
            <w:pPr>
              <w:jc w:val="center"/>
              <w:rPr>
                <w:rFonts w:hint="eastAsia" w:ascii="宋体" w:hAnsi="Bookman Old Style" w:eastAsia="宋体" w:cs="Times New Roman"/>
                <w:color w:val="auto"/>
                <w:sz w:val="24"/>
                <w:szCs w:val="22"/>
                <w:highlight w:val="none"/>
              </w:rPr>
            </w:pPr>
            <w:r>
              <w:rPr>
                <w:rFonts w:hint="eastAsia" w:ascii="宋体" w:hAnsi="宋体" w:eastAsia="宋体" w:cs="宋体"/>
                <w:color w:val="auto"/>
                <w:sz w:val="24"/>
                <w:szCs w:val="24"/>
                <w:highlight w:val="none"/>
              </w:rPr>
              <w:t>全自动细胞成像仪</w:t>
            </w:r>
          </w:p>
        </w:tc>
        <w:tc>
          <w:tcPr>
            <w:tcW w:w="1099" w:type="dxa"/>
            <w:noWrap w:val="0"/>
            <w:vAlign w:val="center"/>
          </w:tcPr>
          <w:p>
            <w:pPr>
              <w:jc w:val="center"/>
              <w:rPr>
                <w:rFonts w:ascii="宋体" w:hAnsi="Bookman Old Style" w:eastAsia="宋体" w:cs="Times New Roman"/>
                <w:color w:val="auto"/>
                <w:sz w:val="24"/>
                <w:szCs w:val="22"/>
                <w:highlight w:val="none"/>
              </w:rPr>
            </w:pPr>
            <w:r>
              <w:rPr>
                <w:rFonts w:hint="eastAsia" w:ascii="宋体" w:hAnsi="宋体" w:eastAsia="宋体" w:cs="宋体"/>
                <w:color w:val="auto"/>
                <w:sz w:val="24"/>
                <w:szCs w:val="24"/>
                <w:highlight w:val="none"/>
              </w:rPr>
              <w:t>1套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25" w:hRule="atLeast"/>
          <w:jc w:val="center"/>
        </w:trPr>
        <w:tc>
          <w:tcPr>
            <w:tcW w:w="1196" w:type="dxa"/>
            <w:vMerge w:val="continue"/>
            <w:noWrap w:val="0"/>
            <w:vAlign w:val="center"/>
          </w:tcPr>
          <w:p>
            <w:pPr>
              <w:jc w:val="center"/>
              <w:rPr>
                <w:rFonts w:ascii="宋体" w:hAnsi="Bookman Old Style" w:eastAsia="宋体" w:cs="Times New Roman"/>
                <w:color w:val="auto"/>
                <w:sz w:val="24"/>
                <w:szCs w:val="22"/>
                <w:highlight w:val="none"/>
              </w:rPr>
            </w:pPr>
          </w:p>
        </w:tc>
        <w:tc>
          <w:tcPr>
            <w:tcW w:w="1111"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512" w:type="dxa"/>
            <w:noWrap w:val="0"/>
            <w:vAlign w:val="center"/>
          </w:tcPr>
          <w:p>
            <w:pPr>
              <w:jc w:val="center"/>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多功能激光扫描成像系统</w:t>
            </w:r>
          </w:p>
        </w:tc>
        <w:tc>
          <w:tcPr>
            <w:tcW w:w="1099" w:type="dxa"/>
            <w:noWrap w:val="0"/>
            <w:vAlign w:val="center"/>
          </w:tcPr>
          <w:p>
            <w:pPr>
              <w:jc w:val="center"/>
              <w:rPr>
                <w:rFonts w:ascii="宋体" w:hAnsi="Bookman Old Style" w:eastAsia="宋体" w:cs="Times New Roman"/>
                <w:color w:val="auto"/>
                <w:sz w:val="24"/>
                <w:szCs w:val="22"/>
                <w:highlight w:val="none"/>
              </w:rPr>
            </w:pPr>
            <w:r>
              <w:rPr>
                <w:rFonts w:hint="eastAsia" w:ascii="宋体" w:hAnsi="宋体" w:eastAsia="宋体" w:cs="宋体"/>
                <w:color w:val="auto"/>
                <w:sz w:val="24"/>
                <w:szCs w:val="24"/>
                <w:highlight w:val="none"/>
              </w:rPr>
              <w:t>1套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25" w:hRule="atLeast"/>
          <w:jc w:val="center"/>
        </w:trPr>
        <w:tc>
          <w:tcPr>
            <w:tcW w:w="1196" w:type="dxa"/>
            <w:vMerge w:val="continue"/>
            <w:noWrap w:val="0"/>
            <w:vAlign w:val="center"/>
          </w:tcPr>
          <w:p>
            <w:pPr>
              <w:jc w:val="center"/>
              <w:rPr>
                <w:rFonts w:ascii="宋体" w:hAnsi="Bookman Old Style" w:eastAsia="宋体" w:cs="Times New Roman"/>
                <w:color w:val="auto"/>
                <w:sz w:val="24"/>
                <w:szCs w:val="22"/>
                <w:highlight w:val="none"/>
              </w:rPr>
            </w:pPr>
          </w:p>
        </w:tc>
        <w:tc>
          <w:tcPr>
            <w:tcW w:w="1111"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512" w:type="dxa"/>
            <w:noWrap w:val="0"/>
            <w:vAlign w:val="center"/>
          </w:tcPr>
          <w:p>
            <w:pPr>
              <w:jc w:val="center"/>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脂双层工作站</w:t>
            </w:r>
          </w:p>
        </w:tc>
        <w:tc>
          <w:tcPr>
            <w:tcW w:w="1099" w:type="dxa"/>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1套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25" w:hRule="atLeast"/>
          <w:jc w:val="center"/>
        </w:trPr>
        <w:tc>
          <w:tcPr>
            <w:tcW w:w="1196" w:type="dxa"/>
            <w:vMerge w:val="continue"/>
            <w:noWrap w:val="0"/>
            <w:vAlign w:val="center"/>
          </w:tcPr>
          <w:p>
            <w:pPr>
              <w:jc w:val="center"/>
              <w:rPr>
                <w:rFonts w:ascii="宋体" w:hAnsi="Bookman Old Style" w:eastAsia="宋体" w:cs="Times New Roman"/>
                <w:color w:val="auto"/>
                <w:sz w:val="24"/>
                <w:szCs w:val="22"/>
                <w:highlight w:val="none"/>
              </w:rPr>
            </w:pPr>
          </w:p>
        </w:tc>
        <w:tc>
          <w:tcPr>
            <w:tcW w:w="1111" w:type="dxa"/>
            <w:noWrap w:val="0"/>
            <w:vAlign w:val="center"/>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4</w:t>
            </w:r>
          </w:p>
        </w:tc>
        <w:tc>
          <w:tcPr>
            <w:tcW w:w="4512" w:type="dxa"/>
            <w:noWrap w:val="0"/>
            <w:vAlign w:val="center"/>
          </w:tcPr>
          <w:p>
            <w:pPr>
              <w:jc w:val="center"/>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圆二色光谱仪 (CD)</w:t>
            </w:r>
          </w:p>
        </w:tc>
        <w:tc>
          <w:tcPr>
            <w:tcW w:w="1099" w:type="dxa"/>
            <w:noWrap w:val="0"/>
            <w:vAlign w:val="center"/>
          </w:tcPr>
          <w:p>
            <w:pPr>
              <w:jc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sz w:val="24"/>
                <w:szCs w:val="24"/>
                <w:highlight w:val="none"/>
              </w:rPr>
              <w:t>1套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25" w:hRule="atLeast"/>
          <w:jc w:val="center"/>
        </w:trPr>
        <w:tc>
          <w:tcPr>
            <w:tcW w:w="1196" w:type="dxa"/>
            <w:vMerge w:val="continue"/>
            <w:noWrap w:val="0"/>
            <w:vAlign w:val="center"/>
          </w:tcPr>
          <w:p>
            <w:pPr>
              <w:jc w:val="center"/>
              <w:rPr>
                <w:rFonts w:ascii="宋体" w:hAnsi="Bookman Old Style" w:eastAsia="宋体" w:cs="Times New Roman"/>
                <w:color w:val="auto"/>
                <w:sz w:val="24"/>
                <w:szCs w:val="22"/>
                <w:highlight w:val="none"/>
              </w:rPr>
            </w:pPr>
          </w:p>
        </w:tc>
        <w:tc>
          <w:tcPr>
            <w:tcW w:w="1111" w:type="dxa"/>
            <w:noWrap w:val="0"/>
            <w:vAlign w:val="center"/>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5</w:t>
            </w:r>
          </w:p>
        </w:tc>
        <w:tc>
          <w:tcPr>
            <w:tcW w:w="4512" w:type="dxa"/>
            <w:noWrap w:val="0"/>
            <w:vAlign w:val="center"/>
          </w:tcPr>
          <w:p>
            <w:pPr>
              <w:jc w:val="center"/>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傅里叶变换近红外光谱仪</w:t>
            </w:r>
          </w:p>
        </w:tc>
        <w:tc>
          <w:tcPr>
            <w:tcW w:w="1099" w:type="dxa"/>
            <w:noWrap w:val="0"/>
            <w:vAlign w:val="center"/>
          </w:tcPr>
          <w:p>
            <w:pPr>
              <w:jc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sz w:val="24"/>
                <w:szCs w:val="24"/>
                <w:highlight w:val="none"/>
              </w:rPr>
              <w:t>1套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39" w:hRule="atLeast"/>
          <w:jc w:val="center"/>
        </w:trPr>
        <w:tc>
          <w:tcPr>
            <w:tcW w:w="1196" w:type="dxa"/>
            <w:vMerge w:val="continue"/>
            <w:noWrap w:val="0"/>
            <w:vAlign w:val="center"/>
          </w:tcPr>
          <w:p>
            <w:pPr>
              <w:jc w:val="center"/>
              <w:rPr>
                <w:rFonts w:ascii="宋体" w:hAnsi="Bookman Old Style" w:eastAsia="宋体" w:cs="Times New Roman"/>
                <w:color w:val="auto"/>
                <w:sz w:val="24"/>
                <w:szCs w:val="22"/>
                <w:highlight w:val="none"/>
              </w:rPr>
            </w:pPr>
          </w:p>
        </w:tc>
        <w:tc>
          <w:tcPr>
            <w:tcW w:w="1111" w:type="dxa"/>
            <w:noWrap w:val="0"/>
            <w:vAlign w:val="center"/>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6</w:t>
            </w:r>
          </w:p>
        </w:tc>
        <w:tc>
          <w:tcPr>
            <w:tcW w:w="4512" w:type="dxa"/>
            <w:noWrap w:val="0"/>
            <w:vAlign w:val="center"/>
          </w:tcPr>
          <w:p>
            <w:pPr>
              <w:jc w:val="center"/>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rPr>
              <w:t>全自动</w:t>
            </w:r>
            <w:r>
              <w:rPr>
                <w:rFonts w:hint="eastAsia" w:ascii="宋体" w:hAnsi="宋体" w:eastAsia="宋体" w:cs="Times New Roman"/>
                <w:color w:val="auto"/>
                <w:sz w:val="24"/>
                <w:szCs w:val="24"/>
                <w:highlight w:val="none"/>
              </w:rPr>
              <w:t>蛋白免疫印迹定量分析仪</w:t>
            </w:r>
          </w:p>
        </w:tc>
        <w:tc>
          <w:tcPr>
            <w:tcW w:w="1099" w:type="dxa"/>
            <w:noWrap w:val="0"/>
            <w:vAlign w:val="center"/>
          </w:tcPr>
          <w:p>
            <w:pPr>
              <w:jc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sz w:val="24"/>
                <w:szCs w:val="24"/>
                <w:highlight w:val="none"/>
              </w:rPr>
              <w:t>1套</w:t>
            </w:r>
          </w:p>
        </w:tc>
      </w:tr>
      <w:bookmarkEnd w:id="0"/>
    </w:tbl>
    <w:p>
      <w:pPr>
        <w:jc w:val="center"/>
        <w:rPr>
          <w:rFonts w:ascii="宋体" w:hAnsi="Bookman Old Style" w:eastAsia="宋体" w:cs="Times New Roman"/>
          <w:color w:val="auto"/>
          <w:sz w:val="24"/>
          <w:szCs w:val="22"/>
          <w:highlight w:val="none"/>
        </w:rPr>
      </w:pPr>
    </w:p>
    <w:p>
      <w:pPr>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注：</w:t>
      </w:r>
    </w:p>
    <w:p>
      <w:pPr>
        <w:spacing w:line="360" w:lineRule="auto"/>
        <w:rPr>
          <w:rFonts w:ascii="Bookman Old Style" w:hAnsi="Bookman Old Style" w:eastAsia="宋体" w:cs="Times New Roman"/>
          <w:color w:val="auto"/>
          <w:sz w:val="24"/>
          <w:highlight w:val="none"/>
        </w:rPr>
      </w:pPr>
      <w:r>
        <w:rPr>
          <w:rFonts w:hint="eastAsia" w:ascii="Times New Roman" w:hAnsi="Times New Roman" w:eastAsia="宋体" w:cs="Times New Roman"/>
          <w:color w:val="auto"/>
          <w:sz w:val="24"/>
          <w:highlight w:val="none"/>
        </w:rPr>
        <w:t>1、投标人须对上述投标内容中完整的一包或几包进行投标，</w:t>
      </w:r>
      <w:r>
        <w:rPr>
          <w:rFonts w:hint="eastAsia" w:ascii="Bookman Old Style" w:hAnsi="Bookman Old Style" w:eastAsia="宋体" w:cs="Times New Roman"/>
          <w:color w:val="auto"/>
          <w:sz w:val="24"/>
          <w:highlight w:val="none"/>
        </w:rPr>
        <w:t>不完整的投标将视为非响应性投标予以拒绝。</w:t>
      </w:r>
    </w:p>
    <w:p>
      <w:pPr>
        <w:spacing w:line="360" w:lineRule="auto"/>
        <w:rPr>
          <w:rFonts w:hint="eastAsia" w:ascii="宋体" w:hAnsi="宋体" w:eastAsia="宋体" w:cs="宋体"/>
          <w:b/>
          <w:bCs/>
          <w:color w:val="auto"/>
          <w:sz w:val="24"/>
          <w:szCs w:val="24"/>
          <w:highlight w:val="none"/>
        </w:rPr>
      </w:pPr>
      <w:r>
        <w:rPr>
          <w:rFonts w:hint="eastAsia" w:ascii="宋体" w:hAnsi="Bookman Old Style" w:eastAsia="宋体" w:cs="Times New Roman"/>
          <w:b/>
          <w:bCs/>
          <w:color w:val="auto"/>
          <w:sz w:val="24"/>
          <w:highlight w:val="none"/>
        </w:rPr>
        <w:t>2、核心产品：</w:t>
      </w:r>
      <w:r>
        <w:rPr>
          <w:rFonts w:hint="eastAsia" w:ascii="宋体" w:hAnsi="宋体" w:eastAsia="宋体" w:cs="宋体"/>
          <w:b/>
          <w:bCs/>
          <w:color w:val="auto"/>
          <w:sz w:val="24"/>
          <w:szCs w:val="24"/>
          <w:highlight w:val="none"/>
        </w:rPr>
        <w:t>圆二色光谱仪 (CD)</w:t>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3、中小企业所属行业</w:t>
      </w:r>
    </w:p>
    <w:p>
      <w:pPr>
        <w:spacing w:line="360" w:lineRule="auto"/>
        <w:rPr>
          <w:rFonts w:ascii="宋体" w:hAnsi="宋体" w:eastAsia="宋体" w:cs="仿宋_GB2312"/>
          <w:b/>
          <w:bCs/>
          <w:color w:val="auto"/>
          <w:sz w:val="24"/>
          <w:highlight w:val="none"/>
        </w:rPr>
      </w:pPr>
      <w:r>
        <w:rPr>
          <w:rFonts w:hint="eastAsia" w:ascii="Times New Roman" w:hAnsi="Times New Roman" w:eastAsia="宋体" w:cs="Times New Roman"/>
          <w:color w:val="auto"/>
          <w:sz w:val="24"/>
          <w:highlight w:val="none"/>
        </w:rPr>
        <w:t>根据《关于印发中小企业划型标准规定的通知》（工信部联企业〔2011〕300号）的通知，行业划分具体为：农、林、牧、渔业，工业（包括采矿业，制造业，电力、热力、燃气及水生产和供应业），建筑业，批发业，零售业，交通运输业（不含铁路运输业），仓储业，邮政业，住宿业，餐饮业，信息传</w:t>
      </w:r>
      <w:r>
        <w:rPr>
          <w:rFonts w:hint="eastAsia" w:ascii="宋体" w:hAnsi="宋体" w:eastAsia="宋体" w:cs="仿宋_GB2312"/>
          <w:color w:val="auto"/>
          <w:sz w:val="24"/>
          <w:highlight w:val="none"/>
        </w:rPr>
        <w:t>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ind w:firstLine="482" w:firstLineChars="200"/>
        <w:rPr>
          <w:rFonts w:hint="eastAsia" w:ascii="宋体" w:hAnsi="宋体" w:eastAsia="宋体" w:cs="仿宋_GB2312"/>
          <w:b/>
          <w:bCs/>
          <w:color w:val="auto"/>
          <w:sz w:val="24"/>
          <w:highlight w:val="none"/>
        </w:rPr>
      </w:pPr>
      <w:r>
        <w:rPr>
          <w:rFonts w:hint="eastAsia" w:ascii="宋体" w:hAnsi="宋体" w:eastAsia="宋体" w:cs="仿宋_GB2312"/>
          <w:b/>
          <w:bCs/>
          <w:color w:val="auto"/>
          <w:sz w:val="24"/>
          <w:highlight w:val="none"/>
        </w:rPr>
        <w:t>本项目所属行业为：</w:t>
      </w:r>
      <w:r>
        <w:rPr>
          <w:rFonts w:hint="eastAsia" w:ascii="宋体" w:hAnsi="宋体" w:eastAsia="宋体" w:cs="仿宋_GB2312"/>
          <w:b/>
          <w:bCs/>
          <w:color w:val="auto"/>
          <w:sz w:val="24"/>
          <w:highlight w:val="none"/>
          <w:u w:val="single"/>
        </w:rPr>
        <w:t xml:space="preserve">     工业      </w:t>
      </w:r>
    </w:p>
    <w:p>
      <w:pPr>
        <w:spacing w:line="360" w:lineRule="auto"/>
        <w:rPr>
          <w:rFonts w:hint="eastAsia" w:ascii="宋体" w:hAnsi="Bookman Old Style" w:eastAsia="宋体" w:cs="Times New Roman"/>
          <w:b/>
          <w:bCs/>
          <w:color w:val="auto"/>
          <w:sz w:val="24"/>
          <w:highlight w:val="none"/>
        </w:rPr>
      </w:pPr>
    </w:p>
    <w:p>
      <w:pPr>
        <w:spacing w:line="360" w:lineRule="auto"/>
        <w:rPr>
          <w:rFonts w:ascii="宋体" w:hAnsi="宋体" w:eastAsia="宋体" w:cs="Times New Roman"/>
          <w:b/>
          <w:color w:val="auto"/>
          <w:sz w:val="30"/>
          <w:szCs w:val="30"/>
          <w:highlight w:val="none"/>
        </w:rPr>
      </w:pPr>
      <w:r>
        <w:rPr>
          <w:rFonts w:ascii="宋体" w:hAnsi="Bookman Old Style" w:eastAsia="宋体" w:cs="Times New Roman"/>
          <w:color w:val="auto"/>
          <w:sz w:val="24"/>
          <w:highlight w:val="none"/>
        </w:rPr>
        <w:br w:type="page"/>
      </w:r>
    </w:p>
    <w:p>
      <w:pPr>
        <w:tabs>
          <w:tab w:val="left" w:pos="720"/>
        </w:tabs>
        <w:adjustRightInd w:val="0"/>
        <w:snapToGrid w:val="0"/>
        <w:jc w:val="left"/>
        <w:outlineLvl w:val="1"/>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二、总</w:t>
      </w:r>
      <w:r>
        <w:rPr>
          <w:rFonts w:ascii="宋体" w:hAnsi="宋体" w:eastAsia="宋体" w:cs="Times New Roman"/>
          <w:b/>
          <w:color w:val="auto"/>
          <w:sz w:val="30"/>
          <w:szCs w:val="30"/>
          <w:highlight w:val="none"/>
        </w:rPr>
        <w:t xml:space="preserve">  </w:t>
      </w:r>
      <w:r>
        <w:rPr>
          <w:rFonts w:hint="eastAsia" w:ascii="宋体" w:hAnsi="宋体" w:eastAsia="宋体" w:cs="Times New Roman"/>
          <w:b/>
          <w:color w:val="auto"/>
          <w:sz w:val="30"/>
          <w:szCs w:val="30"/>
          <w:highlight w:val="none"/>
        </w:rPr>
        <w:t>则</w:t>
      </w:r>
    </w:p>
    <w:p>
      <w:pPr>
        <w:spacing w:line="360" w:lineRule="auto"/>
        <w:ind w:left="600" w:hanging="600"/>
        <w:rPr>
          <w:rFonts w:ascii="宋体" w:hAnsi="宋体" w:eastAsia="宋体" w:cs="Times New Roman"/>
          <w:b/>
          <w:color w:val="auto"/>
          <w:sz w:val="30"/>
          <w:szCs w:val="30"/>
          <w:highlight w:val="none"/>
        </w:rPr>
      </w:pPr>
    </w:p>
    <w:p>
      <w:pPr>
        <w:spacing w:before="156" w:beforeLines="50" w:after="156" w:afterLines="50" w:line="360" w:lineRule="auto"/>
        <w:ind w:left="601" w:hanging="601"/>
        <w:rPr>
          <w:rFonts w:ascii="宋体" w:hAnsi="宋体" w:eastAsia="宋体" w:cs="Times New Roman"/>
          <w:b/>
          <w:color w:val="auto"/>
          <w:sz w:val="28"/>
          <w:highlight w:val="none"/>
        </w:rPr>
      </w:pPr>
      <w:bookmarkStart w:id="1" w:name="_Hlk111644455"/>
      <w:r>
        <w:rPr>
          <w:rFonts w:ascii="宋体" w:hAnsi="宋体" w:eastAsia="宋体" w:cs="Times New Roman"/>
          <w:b/>
          <w:color w:val="auto"/>
          <w:sz w:val="28"/>
          <w:highlight w:val="none"/>
        </w:rPr>
        <w:t>1</w:t>
      </w:r>
      <w:r>
        <w:rPr>
          <w:rFonts w:hint="eastAsia" w:ascii="宋体" w:hAnsi="宋体" w:eastAsia="宋体" w:cs="Times New Roman"/>
          <w:b/>
          <w:color w:val="auto"/>
          <w:sz w:val="28"/>
          <w:highlight w:val="none"/>
        </w:rPr>
        <w:t>、投标要求</w:t>
      </w:r>
    </w:p>
    <w:p>
      <w:pPr>
        <w:spacing w:line="360" w:lineRule="auto"/>
        <w:ind w:left="554" w:hanging="554" w:hangingChars="231"/>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1.1 </w:t>
      </w:r>
      <w:r>
        <w:rPr>
          <w:rFonts w:hint="eastAsia" w:ascii="宋体" w:hAnsi="宋体" w:eastAsia="宋体" w:cs="Times New Roman"/>
          <w:color w:val="auto"/>
          <w:sz w:val="24"/>
          <w:highlight w:val="none"/>
        </w:rPr>
        <w:t xml:space="preserve"> 投标人在准备投标书时，务必在所提供的商品的技术规格文件中，标明型号、商标名称、目录号。</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  </w:t>
      </w:r>
      <w:r>
        <w:rPr>
          <w:rFonts w:hint="eastAsia" w:ascii="宋体" w:hAnsi="宋体" w:eastAsia="宋体" w:cs="Times New Roman"/>
          <w:b/>
          <w:bCs/>
          <w:color w:val="auto"/>
          <w:sz w:val="24"/>
          <w:highlight w:val="none"/>
        </w:rPr>
        <w:t>投标人提供的货物应是成熟全新的产品，</w:t>
      </w:r>
      <w:r>
        <w:rPr>
          <w:rFonts w:hint="eastAsia" w:ascii="宋体" w:hAnsi="宋体" w:eastAsia="宋体" w:cs="Times New Roman"/>
          <w:color w:val="auto"/>
          <w:sz w:val="24"/>
          <w:highlight w:val="none"/>
        </w:rPr>
        <w:t>其技术规格应符合招标文件的要求。如与招标文件的技术规格有偏差，应提供技术规格偏差的量值或说明（偏离表）。如投标人有意隐瞒对规格要求的偏差或在开标后提出新的偏差，买方有权拒绝其投标。</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  </w:t>
      </w:r>
      <w:r>
        <w:rPr>
          <w:rFonts w:hint="eastAsia" w:ascii="Times New Roman" w:hAnsi="Times New Roman" w:eastAsia="宋体" w:cs="Times New Roman"/>
          <w:color w:val="auto"/>
          <w:sz w:val="24"/>
          <w:highlight w:val="none"/>
        </w:rPr>
        <w:t>投标人提供的</w:t>
      </w:r>
      <w:r>
        <w:rPr>
          <w:rFonts w:hint="eastAsia" w:ascii="宋体" w:hAnsi="Times New Roman" w:eastAsia="宋体" w:cs="Times New Roman"/>
          <w:color w:val="auto"/>
          <w:sz w:val="24"/>
          <w:highlight w:val="none"/>
        </w:rPr>
        <w:t>产品</w:t>
      </w:r>
      <w:r>
        <w:rPr>
          <w:rFonts w:hint="eastAsia" w:ascii="Times New Roman" w:hAnsi="Times New Roman" w:eastAsia="宋体" w:cs="Times New Roman"/>
          <w:color w:val="auto"/>
          <w:sz w:val="24"/>
          <w:highlight w:val="none"/>
        </w:rPr>
        <w:t>样本，必须是“原件”而非复印件，</w:t>
      </w:r>
      <w:r>
        <w:rPr>
          <w:rFonts w:hint="eastAsia" w:ascii="宋体" w:hAnsi="Times New Roman" w:eastAsia="宋体" w:cs="Times New Roman"/>
          <w:color w:val="auto"/>
          <w:sz w:val="24"/>
          <w:highlight w:val="none"/>
        </w:rPr>
        <w:t>图表、简图、电路图以及印刷电路板图等都应</w:t>
      </w:r>
      <w:r>
        <w:rPr>
          <w:rFonts w:hint="eastAsia" w:ascii="Times New Roman" w:hAnsi="Times New Roman" w:eastAsia="宋体" w:cs="Times New Roman"/>
          <w:color w:val="auto"/>
          <w:sz w:val="24"/>
          <w:highlight w:val="none"/>
        </w:rPr>
        <w:t>清晰易读。买方有权</w:t>
      </w:r>
      <w:r>
        <w:rPr>
          <w:rFonts w:hint="eastAsia" w:ascii="宋体" w:hAnsi="Times New Roman" w:eastAsia="宋体" w:cs="Times New Roman"/>
          <w:color w:val="auto"/>
          <w:sz w:val="24"/>
          <w:highlight w:val="none"/>
        </w:rPr>
        <w:t>不付任何附加费用</w:t>
      </w:r>
      <w:r>
        <w:rPr>
          <w:rFonts w:hint="eastAsia" w:ascii="Times New Roman" w:hAnsi="Times New Roman" w:eastAsia="宋体" w:cs="Times New Roman"/>
          <w:color w:val="auto"/>
          <w:sz w:val="24"/>
          <w:highlight w:val="none"/>
        </w:rPr>
        <w:t>复制这些资料</w:t>
      </w:r>
      <w:r>
        <w:rPr>
          <w:rFonts w:hint="eastAsia" w:ascii="宋体" w:hAnsi="Times New Roman" w:eastAsia="宋体" w:cs="Times New Roman"/>
          <w:color w:val="auto"/>
          <w:sz w:val="24"/>
          <w:highlight w:val="none"/>
        </w:rPr>
        <w:t>以供参考。</w:t>
      </w:r>
    </w:p>
    <w:p>
      <w:pPr>
        <w:spacing w:before="156" w:beforeLines="50" w:after="156" w:afterLines="50" w:line="360" w:lineRule="auto"/>
        <w:ind w:left="601" w:hanging="601"/>
        <w:rPr>
          <w:rFonts w:ascii="宋体" w:hAnsi="宋体" w:eastAsia="宋体" w:cs="Times New Roman"/>
          <w:b/>
          <w:color w:val="auto"/>
          <w:sz w:val="28"/>
          <w:highlight w:val="none"/>
        </w:rPr>
      </w:pPr>
      <w:r>
        <w:rPr>
          <w:rFonts w:hint="eastAsia" w:ascii="宋体" w:hAnsi="宋体" w:eastAsia="宋体" w:cs="Times New Roman"/>
          <w:b/>
          <w:color w:val="auto"/>
          <w:sz w:val="28"/>
          <w:highlight w:val="none"/>
        </w:rPr>
        <w:t>2、评标标准</w:t>
      </w:r>
    </w:p>
    <w:p>
      <w:pPr>
        <w:spacing w:line="360" w:lineRule="auto"/>
        <w:ind w:left="554" w:hanging="554" w:hangingChars="231"/>
        <w:rPr>
          <w:rFonts w:ascii="宋体" w:hAnsi="Times New Roman"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 xml:space="preserve">1  </w:t>
      </w:r>
      <w:r>
        <w:rPr>
          <w:rFonts w:hint="eastAsia" w:ascii="Times New Roman" w:hAnsi="Times New Roman" w:eastAsia="宋体" w:cs="Times New Roman"/>
          <w:color w:val="auto"/>
          <w:sz w:val="24"/>
          <w:highlight w:val="none"/>
        </w:rPr>
        <w:t>除招标文件中指定的附件和专用工具外，</w:t>
      </w:r>
      <w:r>
        <w:rPr>
          <w:rFonts w:hint="eastAsia" w:ascii="宋体" w:hAnsi="Times New Roman" w:eastAsia="宋体" w:cs="Times New Roman"/>
          <w:color w:val="auto"/>
          <w:sz w:val="24"/>
          <w:highlight w:val="none"/>
        </w:rPr>
        <w:t>投标人应提供仪器设备的正常运行和常规保养所需的全套标准附件、专用工具</w:t>
      </w:r>
      <w:r>
        <w:rPr>
          <w:rFonts w:hint="eastAsia" w:ascii="Times New Roman" w:hAnsi="Times New Roman" w:eastAsia="宋体" w:cs="Times New Roman"/>
          <w:color w:val="auto"/>
          <w:sz w:val="24"/>
          <w:highlight w:val="none"/>
        </w:rPr>
        <w:t>和消耗品</w:t>
      </w:r>
      <w:r>
        <w:rPr>
          <w:rFonts w:hint="eastAsia" w:ascii="宋体" w:hAnsi="Times New Roman" w:eastAsia="宋体" w:cs="Times New Roman"/>
          <w:color w:val="auto"/>
          <w:sz w:val="24"/>
          <w:highlight w:val="none"/>
        </w:rPr>
        <w:t>。投标人在投标书中需列出这些附件和工具的数量和单价的清单，这些附件和工具的报价的总值需计入投标价中。</w:t>
      </w:r>
    </w:p>
    <w:p>
      <w:pPr>
        <w:spacing w:line="360" w:lineRule="auto"/>
        <w:ind w:left="554" w:hanging="554" w:hangingChars="231"/>
        <w:rPr>
          <w:rFonts w:ascii="Times New Roman" w:hAnsi="Times New Roman" w:eastAsia="宋体" w:cs="Times New Roman"/>
          <w:color w:val="auto"/>
          <w:sz w:val="24"/>
          <w:highlight w:val="none"/>
        </w:rPr>
      </w:pPr>
      <w:r>
        <w:rPr>
          <w:rFonts w:hint="eastAsia" w:ascii="宋体" w:hAnsi="宋体" w:eastAsia="宋体" w:cs="Times New Roman"/>
          <w:color w:val="auto"/>
          <w:sz w:val="24"/>
          <w:highlight w:val="none"/>
        </w:rPr>
        <w:t xml:space="preserve">2.2  </w:t>
      </w:r>
      <w:r>
        <w:rPr>
          <w:rFonts w:hint="eastAsia" w:ascii="Times New Roman" w:hAnsi="Times New Roman" w:eastAsia="宋体" w:cs="Times New Roman"/>
          <w:color w:val="auto"/>
          <w:sz w:val="24"/>
          <w:highlight w:val="none"/>
        </w:rPr>
        <w:t>对于标书</w:t>
      </w:r>
      <w:r>
        <w:rPr>
          <w:rFonts w:hint="eastAsia" w:ascii="宋体" w:hAnsi="Times New Roman" w:eastAsia="宋体" w:cs="Times New Roman"/>
          <w:color w:val="auto"/>
          <w:sz w:val="24"/>
          <w:highlight w:val="none"/>
        </w:rPr>
        <w:t>技术规范中已列</w:t>
      </w:r>
      <w:r>
        <w:rPr>
          <w:rFonts w:hint="eastAsia" w:ascii="Times New Roman" w:hAnsi="Times New Roman" w:eastAsia="宋体" w:cs="Times New Roman"/>
          <w:color w:val="auto"/>
          <w:sz w:val="24"/>
          <w:highlight w:val="none"/>
        </w:rPr>
        <w:t>出的作为查询选件的附件、零配件、专用工具和消耗品，投标书中</w:t>
      </w:r>
      <w:r>
        <w:rPr>
          <w:rFonts w:hint="eastAsia" w:ascii="宋体" w:hAnsi="Times New Roman" w:eastAsia="宋体" w:cs="Times New Roman"/>
          <w:color w:val="auto"/>
          <w:sz w:val="24"/>
          <w:highlight w:val="none"/>
        </w:rPr>
        <w:t>应列明其数量、单价、总价供买方参考。投标人也可推荐买方没有要求的附件或专用工具作为选件，并列明其数量、单价、总价供买方参考。选件价格不计入评标价中。</w:t>
      </w:r>
      <w:r>
        <w:rPr>
          <w:rFonts w:hint="eastAsia" w:ascii="Times New Roman" w:hAnsi="Times New Roman" w:eastAsia="宋体" w:cs="Times New Roman"/>
          <w:color w:val="auto"/>
          <w:sz w:val="24"/>
          <w:highlight w:val="none"/>
        </w:rPr>
        <w:t>选件一旦为用户接受，其费用将加入合同价中。</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2.3  为便于用户进行接收仪器的准备工作，卖方应在合同生效后</w:t>
      </w:r>
      <w:r>
        <w:rPr>
          <w:rFonts w:hint="eastAsia" w:ascii="宋体" w:hAnsi="宋体" w:eastAsia="宋体" w:cs="Times New Roman"/>
          <w:b/>
          <w:color w:val="auto"/>
          <w:sz w:val="24"/>
          <w:highlight w:val="none"/>
        </w:rPr>
        <w:t>60</w:t>
      </w:r>
      <w:r>
        <w:rPr>
          <w:rFonts w:hint="eastAsia" w:ascii="宋体" w:hAnsi="宋体" w:eastAsia="宋体" w:cs="Times New Roman"/>
          <w:color w:val="auto"/>
          <w:sz w:val="24"/>
          <w:highlight w:val="none"/>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ascii="宋体" w:hAnsi="宋体" w:eastAsia="宋体" w:cs="Times New Roman"/>
          <w:color w:val="auto"/>
          <w:sz w:val="24"/>
          <w:highlight w:val="none"/>
        </w:rPr>
        <w:t>.</w:t>
      </w:r>
      <w:r>
        <w:rPr>
          <w:rFonts w:hint="eastAsia" w:ascii="宋体" w:hAnsi="宋体" w:eastAsia="宋体" w:cs="Times New Roman"/>
          <w:color w:val="auto"/>
          <w:sz w:val="24"/>
          <w:highlight w:val="none"/>
        </w:rPr>
        <w:t>4</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ascii="宋体" w:hAnsi="宋体" w:eastAsia="宋体" w:cs="Times New Roman"/>
          <w:color w:val="auto"/>
          <w:sz w:val="24"/>
          <w:highlight w:val="none"/>
        </w:rPr>
        <w:t>.</w:t>
      </w:r>
      <w:r>
        <w:rPr>
          <w:rFonts w:hint="eastAsia" w:ascii="宋体" w:hAnsi="宋体" w:eastAsia="宋体" w:cs="Times New Roman"/>
          <w:color w:val="auto"/>
          <w:sz w:val="24"/>
          <w:highlight w:val="none"/>
        </w:rPr>
        <w:t xml:space="preserve">6  </w:t>
      </w:r>
      <w:r>
        <w:rPr>
          <w:rFonts w:hint="eastAsia" w:ascii="Times New Roman" w:hAnsi="Times New Roman" w:eastAsia="宋体" w:cs="Times New Roman"/>
          <w:color w:val="auto"/>
          <w:sz w:val="24"/>
          <w:highlight w:val="none"/>
        </w:rPr>
        <w:t>在评标过程中，买方有权向投标人索取任何与评标有关的资料，投标人务必在接到此类要求后，在规定时间内予以答复。对于无答复的投标人，买方有权拒绝其投标。</w:t>
      </w:r>
    </w:p>
    <w:p>
      <w:pPr>
        <w:spacing w:before="156" w:beforeLines="50" w:after="156" w:afterLines="50" w:line="360" w:lineRule="auto"/>
        <w:ind w:left="601" w:hanging="601"/>
        <w:rPr>
          <w:rFonts w:ascii="宋体" w:hAnsi="宋体" w:eastAsia="宋体" w:cs="Times New Roman"/>
          <w:b/>
          <w:color w:val="auto"/>
          <w:sz w:val="28"/>
          <w:highlight w:val="none"/>
        </w:rPr>
      </w:pPr>
      <w:r>
        <w:rPr>
          <w:rFonts w:hint="eastAsia" w:ascii="宋体" w:hAnsi="宋体" w:eastAsia="宋体" w:cs="Times New Roman"/>
          <w:b/>
          <w:color w:val="auto"/>
          <w:sz w:val="28"/>
          <w:highlight w:val="none"/>
        </w:rPr>
        <w:t>3、工作条件</w:t>
      </w:r>
    </w:p>
    <w:p>
      <w:pPr>
        <w:spacing w:after="312" w:afterLines="1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除非在技术规格中另有说明，所有仪器、设备和系统都应符合下列要求：</w:t>
      </w:r>
      <w:r>
        <w:rPr>
          <w:rFonts w:ascii="宋体" w:hAnsi="宋体" w:eastAsia="宋体" w:cs="Times New Roman"/>
          <w:color w:val="auto"/>
          <w:sz w:val="24"/>
          <w:highlight w:val="none"/>
        </w:rPr>
        <w:t xml:space="preserve"> </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3.1  适于在气温为摄氏</w:t>
      </w:r>
      <w:r>
        <w:rPr>
          <w:rFonts w:ascii="宋体" w:hAnsi="宋体" w:eastAsia="宋体" w:cs="Times New Roman"/>
          <w:b/>
          <w:color w:val="auto"/>
          <w:sz w:val="24"/>
          <w:highlight w:val="none"/>
        </w:rPr>
        <w:t>-40</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t>50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和相对湿度为</w:t>
      </w:r>
      <w:r>
        <w:rPr>
          <w:rFonts w:ascii="宋体" w:hAnsi="宋体" w:eastAsia="宋体" w:cs="Times New Roman"/>
          <w:b/>
          <w:color w:val="auto"/>
          <w:sz w:val="24"/>
          <w:highlight w:val="none"/>
        </w:rPr>
        <w:t>90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的环境条件下运输和贮存。</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3.2  适于在电源</w:t>
      </w:r>
      <w:r>
        <w:rPr>
          <w:rFonts w:ascii="宋体" w:hAnsi="宋体" w:eastAsia="宋体" w:cs="Times New Roman"/>
          <w:b/>
          <w:color w:val="auto"/>
          <w:sz w:val="24"/>
          <w:highlight w:val="none"/>
        </w:rPr>
        <w:t>220V</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sym w:font="Symbol" w:char="F0B1"/>
      </w:r>
      <w:r>
        <w:rPr>
          <w:rFonts w:ascii="宋体" w:hAnsi="宋体" w:eastAsia="宋体" w:cs="Times New Roman"/>
          <w:b/>
          <w:color w:val="auto"/>
          <w:sz w:val="24"/>
          <w:highlight w:val="none"/>
        </w:rPr>
        <w:t>10</w:t>
      </w:r>
      <w:r>
        <w:rPr>
          <w:rFonts w:hint="eastAsia" w:ascii="宋体" w:hAnsi="宋体" w:eastAsia="宋体" w:cs="Times New Roman"/>
          <w:b/>
          <w:color w:val="auto"/>
          <w:sz w:val="24"/>
          <w:highlight w:val="none"/>
        </w:rPr>
        <w:t>％）</w:t>
      </w:r>
      <w:r>
        <w:rPr>
          <w:rFonts w:ascii="宋体" w:hAnsi="宋体" w:eastAsia="宋体" w:cs="Times New Roman"/>
          <w:b/>
          <w:color w:val="auto"/>
          <w:sz w:val="24"/>
          <w:highlight w:val="none"/>
        </w:rPr>
        <w:t>/50Hz</w:t>
      </w:r>
      <w:r>
        <w:rPr>
          <w:rFonts w:hint="eastAsia" w:ascii="宋体" w:hAnsi="宋体" w:eastAsia="宋体" w:cs="Times New Roman"/>
          <w:color w:val="auto"/>
          <w:sz w:val="24"/>
          <w:highlight w:val="none"/>
        </w:rPr>
        <w:t>、气温摄氏</w:t>
      </w:r>
      <w:r>
        <w:rPr>
          <w:rFonts w:hint="eastAsia" w:ascii="宋体" w:hAnsi="宋体" w:eastAsia="宋体" w:cs="Times New Roman"/>
          <w:b/>
          <w:color w:val="auto"/>
          <w:sz w:val="24"/>
          <w:highlight w:val="none"/>
        </w:rPr>
        <w:t>+1</w:t>
      </w:r>
      <w:r>
        <w:rPr>
          <w:rFonts w:ascii="宋体" w:hAnsi="宋体" w:eastAsia="宋体" w:cs="Times New Roman"/>
          <w:b/>
          <w:color w:val="auto"/>
          <w:sz w:val="24"/>
          <w:highlight w:val="none"/>
        </w:rPr>
        <w:t>5</w:t>
      </w:r>
      <w:r>
        <w:rPr>
          <w:rFonts w:hint="eastAsia" w:ascii="宋体" w:hAnsi="宋体" w:eastAsia="宋体" w:cs="Times New Roman"/>
          <w:b/>
          <w:color w:val="auto"/>
          <w:sz w:val="24"/>
          <w:highlight w:val="none"/>
        </w:rPr>
        <w:t>℃～＋3</w:t>
      </w:r>
      <w:r>
        <w:rPr>
          <w:rFonts w:ascii="宋体" w:hAnsi="宋体" w:eastAsia="宋体" w:cs="Times New Roman"/>
          <w:b/>
          <w:color w:val="auto"/>
          <w:sz w:val="24"/>
          <w:highlight w:val="none"/>
        </w:rPr>
        <w:t>0</w:t>
      </w:r>
      <w:r>
        <w:rPr>
          <w:rFonts w:hint="eastAsia" w:ascii="宋体" w:hAnsi="宋体" w:eastAsia="宋体" w:cs="Times New Roman"/>
          <w:b/>
          <w:color w:val="auto"/>
          <w:sz w:val="24"/>
          <w:highlight w:val="none"/>
        </w:rPr>
        <w:t>℃</w:t>
      </w:r>
      <w:r>
        <w:rPr>
          <w:rFonts w:hint="eastAsia" w:ascii="宋体" w:hAnsi="宋体" w:eastAsia="宋体" w:cs="Times New Roman"/>
          <w:color w:val="auto"/>
          <w:sz w:val="24"/>
          <w:highlight w:val="none"/>
        </w:rPr>
        <w:t>和相对湿度小于</w:t>
      </w:r>
      <w:r>
        <w:rPr>
          <w:rFonts w:ascii="宋体" w:hAnsi="宋体" w:eastAsia="宋体" w:cs="Times New Roman"/>
          <w:b/>
          <w:color w:val="auto"/>
          <w:sz w:val="24"/>
          <w:highlight w:val="none"/>
        </w:rPr>
        <w:t>8</w:t>
      </w:r>
      <w:r>
        <w:rPr>
          <w:rFonts w:hint="eastAsia" w:ascii="宋体" w:hAnsi="宋体" w:eastAsia="宋体" w:cs="Times New Roman"/>
          <w:b/>
          <w:color w:val="auto"/>
          <w:sz w:val="24"/>
          <w:highlight w:val="none"/>
        </w:rPr>
        <w:t>0％</w:t>
      </w:r>
      <w:r>
        <w:rPr>
          <w:rFonts w:hint="eastAsia" w:ascii="宋体" w:hAnsi="宋体" w:eastAsia="宋体" w:cs="Times New Roman"/>
          <w:color w:val="auto"/>
          <w:sz w:val="24"/>
          <w:highlight w:val="none"/>
        </w:rPr>
        <w:t>的环境条件下运行。</w:t>
      </w:r>
      <w:r>
        <w:rPr>
          <w:rFonts w:hint="eastAsia" w:ascii="宋体" w:hAnsi="宋体" w:eastAsia="宋体" w:cs="Times New Roman"/>
          <w:b/>
          <w:color w:val="auto"/>
          <w:sz w:val="24"/>
          <w:highlight w:val="none"/>
        </w:rPr>
        <w:t>能够连续正常工作。</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3.3  配置符合中国有关标准要求的插头，如果没有这样的插头，则需</w:t>
      </w:r>
      <w:r>
        <w:rPr>
          <w:rFonts w:hint="eastAsia" w:ascii="宋体" w:hAnsi="Times New Roman" w:eastAsia="宋体" w:cs="Times New Roman"/>
          <w:color w:val="auto"/>
          <w:sz w:val="24"/>
          <w:highlight w:val="none"/>
        </w:rPr>
        <w:t>提供适当的转</w:t>
      </w:r>
      <w:r>
        <w:rPr>
          <w:rFonts w:hint="eastAsia" w:ascii="宋体" w:hAnsi="宋体" w:eastAsia="宋体" w:cs="Times New Roman"/>
          <w:color w:val="auto"/>
          <w:sz w:val="24"/>
          <w:highlight w:val="none"/>
        </w:rPr>
        <w:t>换插座。</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3.4  如产品达不到上述要求，投标人应注明其偏差。如仪器设备需要特殊工作条件（如水、电源、磁场强度、温度、湿度、动强度等）投标人应在投标书中加以说明。</w:t>
      </w:r>
    </w:p>
    <w:p>
      <w:pPr>
        <w:rPr>
          <w:rFonts w:ascii="Times New Roman" w:hAnsi="Times New Roman" w:eastAsia="黑体" w:cs="Times New Roman"/>
          <w:b/>
          <w:bCs/>
          <w:color w:val="auto"/>
          <w:kern w:val="44"/>
          <w:sz w:val="24"/>
          <w:highlight w:val="none"/>
        </w:rPr>
      </w:pPr>
    </w:p>
    <w:p>
      <w:pPr>
        <w:spacing w:before="156" w:beforeLines="50" w:after="156" w:afterLines="50" w:line="360" w:lineRule="auto"/>
        <w:ind w:left="601" w:hanging="601"/>
        <w:rPr>
          <w:rFonts w:ascii="宋体" w:hAnsi="宋体" w:eastAsia="宋体" w:cs="Times New Roman"/>
          <w:b/>
          <w:color w:val="auto"/>
          <w:sz w:val="28"/>
          <w:highlight w:val="none"/>
        </w:rPr>
      </w:pPr>
      <w:r>
        <w:rPr>
          <w:rFonts w:hint="eastAsia" w:ascii="宋体" w:hAnsi="宋体" w:eastAsia="宋体" w:cs="Times New Roman"/>
          <w:b/>
          <w:color w:val="auto"/>
          <w:sz w:val="28"/>
          <w:highlight w:val="none"/>
        </w:rPr>
        <w:t>4、验收标准</w:t>
      </w:r>
    </w:p>
    <w:p>
      <w:pPr>
        <w:spacing w:after="312" w:afterLines="10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除非在技术规格中另有说明，所有仪器、设备和系统按下列要求进行验收：</w:t>
      </w:r>
      <w:r>
        <w:rPr>
          <w:rFonts w:ascii="宋体" w:hAnsi="宋体" w:eastAsia="宋体" w:cs="Times New Roman"/>
          <w:color w:val="auto"/>
          <w:sz w:val="24"/>
          <w:highlight w:val="none"/>
        </w:rPr>
        <w:t xml:space="preserve"> </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4.1  仪器设备运抵安装现场后，买方将与卖方共同开箱验收</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如卖方届时不派人来</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则验收结果应以买方的验收报告为最终验收结果。验收时发现短缺、破损</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买方有权要求卖方负责更换。</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  </w:t>
      </w:r>
      <w:r>
        <w:rPr>
          <w:rFonts w:hint="eastAsia" w:ascii="Times New Roman" w:hAnsi="Times New Roman" w:eastAsia="宋体" w:cs="Times New Roman"/>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  </w:t>
      </w:r>
      <w:r>
        <w:rPr>
          <w:rFonts w:ascii="宋体" w:hAnsi="宋体" w:eastAsia="宋体" w:cs="Times New Roman"/>
          <w:color w:val="auto"/>
          <w:sz w:val="24"/>
          <w:highlight w:val="none"/>
        </w:rPr>
        <w:t>验收由采购人、中标人及相关人员依国家有关标准、合同及有关附件要求进行，验收完毕由采购人及中标人在验收报告上签名。</w:t>
      </w:r>
    </w:p>
    <w:bookmarkEnd w:id="1"/>
    <w:p>
      <w:pPr>
        <w:pStyle w:val="7"/>
        <w:spacing w:line="360" w:lineRule="auto"/>
        <w:ind w:left="410" w:hanging="410" w:hangingChars="170"/>
        <w:rPr>
          <w:rFonts w:hAnsi="宋体" w:eastAsia="宋体" w:cs="Times New Roman"/>
          <w:b/>
          <w:color w:val="auto"/>
          <w:sz w:val="24"/>
          <w:szCs w:val="24"/>
          <w:highlight w:val="none"/>
        </w:rPr>
      </w:pPr>
    </w:p>
    <w:p>
      <w:pPr>
        <w:spacing w:before="156" w:beforeLines="50" w:after="156" w:afterLines="50" w:line="360" w:lineRule="auto"/>
        <w:ind w:left="601" w:hanging="601"/>
        <w:rPr>
          <w:rFonts w:ascii="宋体" w:hAnsi="宋体" w:eastAsia="宋体" w:cs="Times New Roman"/>
          <w:b/>
          <w:color w:val="auto"/>
          <w:sz w:val="28"/>
          <w:highlight w:val="none"/>
        </w:rPr>
      </w:pPr>
      <w:r>
        <w:rPr>
          <w:rFonts w:hint="eastAsia" w:ascii="宋体" w:hAnsi="宋体" w:eastAsia="宋体" w:cs="Times New Roman"/>
          <w:b/>
          <w:color w:val="auto"/>
          <w:sz w:val="28"/>
          <w:highlight w:val="none"/>
        </w:rPr>
        <w:t>5、本技术规格书中标注“</w:t>
      </w:r>
      <w:r>
        <w:rPr>
          <w:rFonts w:hint="eastAsia" w:ascii="宋体" w:hAnsi="宋体" w:eastAsia="宋体" w:cs="Times New Roman"/>
          <w:color w:val="auto"/>
          <w:highlight w:val="none"/>
        </w:rPr>
        <w:t>★</w:t>
      </w:r>
      <w:r>
        <w:rPr>
          <w:rFonts w:hint="eastAsia" w:ascii="宋体" w:hAnsi="宋体" w:eastAsia="宋体" w:cs="Times New Roman"/>
          <w:b/>
          <w:color w:val="auto"/>
          <w:sz w:val="28"/>
          <w:highlight w:val="none"/>
        </w:rPr>
        <w:t>”号的为关键技术参数，对这些关键技术参数的任何负偏离将导致废标。</w:t>
      </w:r>
    </w:p>
    <w:p>
      <w:pPr>
        <w:spacing w:before="156" w:beforeLines="50" w:after="156" w:afterLines="50" w:line="360" w:lineRule="auto"/>
        <w:ind w:left="601" w:hanging="601"/>
        <w:rPr>
          <w:rFonts w:ascii="宋体" w:hAnsi="宋体" w:eastAsia="宋体" w:cs="Times New Roman"/>
          <w:b/>
          <w:color w:val="auto"/>
          <w:sz w:val="28"/>
          <w:highlight w:val="none"/>
        </w:rPr>
      </w:pPr>
    </w:p>
    <w:p>
      <w:pPr>
        <w:spacing w:before="156" w:beforeLines="50" w:after="156" w:afterLines="50" w:line="360" w:lineRule="auto"/>
        <w:ind w:left="601" w:hanging="601"/>
        <w:rPr>
          <w:rFonts w:ascii="宋体" w:hAnsi="宋体" w:eastAsia="宋体" w:cs="Times New Roman"/>
          <w:b/>
          <w:color w:val="auto"/>
          <w:sz w:val="28"/>
          <w:highlight w:val="none"/>
        </w:rPr>
      </w:pPr>
      <w:r>
        <w:rPr>
          <w:rFonts w:hint="eastAsia" w:ascii="宋体" w:hAnsi="宋体" w:eastAsia="宋体" w:cs="Times New Roman"/>
          <w:b/>
          <w:color w:val="auto"/>
          <w:sz w:val="28"/>
          <w:highlight w:val="none"/>
        </w:rPr>
        <w:t>6、如在具体技术规格中有本总则不一致之处，以具体技术规格中的要求为准。</w:t>
      </w:r>
    </w:p>
    <w:p>
      <w:pPr>
        <w:spacing w:after="156" w:afterLines="50"/>
        <w:outlineLvl w:val="1"/>
        <w:rPr>
          <w:rFonts w:ascii="宋体" w:hAnsi="宋体" w:eastAsia="宋体" w:cs="Times New Roman"/>
          <w:b/>
          <w:color w:val="auto"/>
          <w:sz w:val="28"/>
          <w:highlight w:val="none"/>
        </w:rPr>
      </w:pPr>
      <w:r>
        <w:rPr>
          <w:rFonts w:ascii="宋体" w:hAnsi="宋体" w:eastAsia="宋体" w:cs="Times New Roman"/>
          <w:b/>
          <w:color w:val="auto"/>
          <w:sz w:val="28"/>
          <w:highlight w:val="none"/>
        </w:rPr>
        <w:br w:type="page"/>
      </w:r>
      <w:r>
        <w:rPr>
          <w:rFonts w:hint="eastAsia" w:ascii="宋体" w:hAnsi="宋体" w:eastAsia="宋体" w:cs="Times New Roman"/>
          <w:b/>
          <w:color w:val="auto"/>
          <w:sz w:val="28"/>
          <w:highlight w:val="none"/>
        </w:rPr>
        <w:t>三、</w:t>
      </w:r>
      <w:r>
        <w:rPr>
          <w:rFonts w:ascii="宋体" w:hAnsi="宋体" w:eastAsia="宋体" w:cs="Times New Roman"/>
          <w:b/>
          <w:color w:val="auto"/>
          <w:sz w:val="28"/>
          <w:highlight w:val="none"/>
        </w:rPr>
        <w:t>具体技术规格</w:t>
      </w:r>
    </w:p>
    <w:p>
      <w:pPr>
        <w:pStyle w:val="4"/>
        <w:spacing w:line="360" w:lineRule="auto"/>
        <w:ind w:firstLine="480"/>
        <w:jc w:val="center"/>
        <w:rPr>
          <w:rFonts w:hint="eastAsia" w:ascii="宋体" w:hAnsi="宋体" w:eastAsia="宋体" w:cs="宋体"/>
          <w:bCs/>
          <w:color w:val="auto"/>
          <w:sz w:val="24"/>
          <w:szCs w:val="24"/>
          <w:highlight w:val="none"/>
        </w:rPr>
      </w:pPr>
    </w:p>
    <w:p>
      <w:pPr>
        <w:widowControl/>
        <w:snapToGrid w:val="0"/>
        <w:spacing w:line="360" w:lineRule="auto"/>
        <w:outlineLvl w:val="1"/>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（一）技术要求</w:t>
      </w:r>
    </w:p>
    <w:p>
      <w:pPr>
        <w:spacing w:line="360" w:lineRule="auto"/>
        <w:jc w:val="center"/>
        <w:outlineLvl w:val="2"/>
        <w:rPr>
          <w:rFonts w:ascii="宋体" w:hAnsi="宋体" w:eastAsia="宋体" w:cs="Times New Roman"/>
          <w:b/>
          <w:color w:val="auto"/>
          <w:sz w:val="24"/>
          <w:szCs w:val="22"/>
          <w:highlight w:val="none"/>
        </w:rPr>
      </w:pPr>
      <w:r>
        <w:rPr>
          <w:rFonts w:hint="eastAsia" w:ascii="宋体" w:hAnsi="宋体" w:eastAsia="宋体" w:cs="Times New Roman"/>
          <w:b/>
          <w:color w:val="auto"/>
          <w:sz w:val="24"/>
          <w:szCs w:val="22"/>
          <w:highlight w:val="none"/>
        </w:rPr>
        <w:t>品目1 全自动细胞成像仪</w:t>
      </w:r>
    </w:p>
    <w:p>
      <w:pPr>
        <w:spacing w:line="360" w:lineRule="auto"/>
        <w:rPr>
          <w:rFonts w:hint="eastAsia" w:ascii="宋体" w:hAnsi="宋体" w:eastAsia="宋体" w:cs="宋体"/>
          <w:b/>
          <w:color w:val="auto"/>
          <w:sz w:val="24"/>
          <w:szCs w:val="24"/>
          <w:highlight w:val="none"/>
        </w:rPr>
      </w:pPr>
    </w:p>
    <w:p>
      <w:pPr>
        <w:widowControl/>
        <w:snapToGrid w:val="0"/>
        <w:spacing w:line="360" w:lineRule="auto"/>
        <w:rPr>
          <w:rFonts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p>
      <w:pPr>
        <w:autoSpaceDE w:val="0"/>
        <w:autoSpaceDN w:val="0"/>
        <w:ind w:right="26" w:firstLine="420" w:firstLineChars="200"/>
        <w:textAlignment w:val="bottom"/>
        <w:rPr>
          <w:rFonts w:ascii="宋体" w:hAnsi="宋体" w:eastAsia="宋体" w:cs="Times New Roman"/>
          <w:color w:val="auto"/>
          <w:szCs w:val="21"/>
          <w:highlight w:val="none"/>
        </w:rPr>
      </w:pPr>
    </w:p>
    <w:tbl>
      <w:tblPr>
        <w:tblStyle w:val="8"/>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520"/>
        <w:gridCol w:w="73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序号</w:t>
            </w:r>
          </w:p>
        </w:tc>
        <w:tc>
          <w:tcPr>
            <w:tcW w:w="6520"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名称</w:t>
            </w:r>
          </w:p>
        </w:tc>
        <w:tc>
          <w:tcPr>
            <w:tcW w:w="73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数量</w:t>
            </w:r>
          </w:p>
        </w:tc>
        <w:tc>
          <w:tcPr>
            <w:tcW w:w="87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p>
        </w:tc>
        <w:tc>
          <w:tcPr>
            <w:tcW w:w="6520" w:type="dxa"/>
            <w:tcBorders>
              <w:top w:val="single" w:color="auto" w:sz="4" w:space="0"/>
              <w:left w:val="single" w:color="auto" w:sz="4" w:space="0"/>
              <w:bottom w:val="single" w:color="auto" w:sz="4" w:space="0"/>
              <w:right w:val="single" w:color="000000" w:sz="4" w:space="0"/>
            </w:tcBorders>
            <w:noWrap w:val="0"/>
            <w:vAlign w:val="center"/>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全自动细胞成像仪主机（包含：荧光、明场、相差明场、彩色明场成像，高对比明场 五种成像模式模块。以及温控及震荡模块）</w:t>
            </w:r>
          </w:p>
        </w:tc>
        <w:tc>
          <w:tcPr>
            <w:tcW w:w="73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p>
        </w:tc>
        <w:tc>
          <w:tcPr>
            <w:tcW w:w="6520"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多功能适配器</w:t>
            </w:r>
          </w:p>
        </w:tc>
        <w:tc>
          <w:tcPr>
            <w:tcW w:w="73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p>
        </w:tc>
        <w:tc>
          <w:tcPr>
            <w:tcW w:w="6520"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物镜：10×相差、20×相差，各1个</w:t>
            </w:r>
          </w:p>
        </w:tc>
        <w:tc>
          <w:tcPr>
            <w:tcW w:w="73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4</w:t>
            </w:r>
          </w:p>
        </w:tc>
        <w:tc>
          <w:tcPr>
            <w:tcW w:w="6520"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无标记明场计数模块1个（含4X镜头）</w:t>
            </w:r>
          </w:p>
        </w:tc>
        <w:tc>
          <w:tcPr>
            <w:tcW w:w="73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5</w:t>
            </w:r>
          </w:p>
        </w:tc>
        <w:tc>
          <w:tcPr>
            <w:tcW w:w="6520"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三色荧光通道：DAPI，GFP，</w:t>
            </w:r>
            <w:r>
              <w:rPr>
                <w:rFonts w:ascii="宋体" w:hAnsi="宋体" w:eastAsia="宋体" w:cs="Times New Roman"/>
                <w:color w:val="auto"/>
                <w:sz w:val="24"/>
                <w:szCs w:val="24"/>
                <w:highlight w:val="none"/>
              </w:rPr>
              <w:t>RFP</w:t>
            </w:r>
            <w:r>
              <w:rPr>
                <w:rFonts w:hint="eastAsia" w:ascii="宋体" w:hAnsi="宋体" w:eastAsia="宋体" w:cs="Times New Roman"/>
                <w:color w:val="auto"/>
                <w:sz w:val="24"/>
                <w:szCs w:val="24"/>
                <w:highlight w:val="none"/>
              </w:rPr>
              <w:t>，各1个</w:t>
            </w:r>
          </w:p>
        </w:tc>
        <w:tc>
          <w:tcPr>
            <w:tcW w:w="73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p>
        </w:tc>
        <w:tc>
          <w:tcPr>
            <w:tcW w:w="6520"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激光聚焦模块</w:t>
            </w:r>
          </w:p>
        </w:tc>
        <w:tc>
          <w:tcPr>
            <w:tcW w:w="73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7</w:t>
            </w:r>
          </w:p>
        </w:tc>
        <w:tc>
          <w:tcPr>
            <w:tcW w:w="6520"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气体控制模块（可同时控制CO</w:t>
            </w:r>
            <w:r>
              <w:rPr>
                <w:rFonts w:hint="eastAsia" w:ascii="宋体" w:hAnsi="宋体" w:eastAsia="宋体" w:cs="Times New Roman"/>
                <w:color w:val="auto"/>
                <w:sz w:val="24"/>
                <w:szCs w:val="24"/>
                <w:highlight w:val="none"/>
                <w:vertAlign w:val="subscript"/>
              </w:rPr>
              <w:t>2</w:t>
            </w:r>
            <w:r>
              <w:rPr>
                <w:rFonts w:hint="eastAsia" w:ascii="宋体" w:hAnsi="宋体" w:eastAsia="宋体" w:cs="Times New Roman"/>
                <w:color w:val="auto"/>
                <w:sz w:val="24"/>
                <w:szCs w:val="24"/>
                <w:highlight w:val="none"/>
              </w:rPr>
              <w:t>和O</w:t>
            </w:r>
            <w:r>
              <w:rPr>
                <w:rFonts w:hint="eastAsia" w:ascii="宋体" w:hAnsi="宋体" w:eastAsia="宋体" w:cs="Times New Roman"/>
                <w:color w:val="auto"/>
                <w:sz w:val="24"/>
                <w:szCs w:val="24"/>
                <w:highlight w:val="none"/>
                <w:vertAlign w:val="subscript"/>
              </w:rPr>
              <w:t>2</w:t>
            </w:r>
            <w:r>
              <w:rPr>
                <w:rFonts w:hint="eastAsia" w:ascii="宋体" w:hAnsi="宋体" w:eastAsia="宋体" w:cs="Times New Roman"/>
                <w:color w:val="auto"/>
                <w:sz w:val="24"/>
                <w:szCs w:val="24"/>
                <w:highlight w:val="none"/>
              </w:rPr>
              <w:t>）</w:t>
            </w:r>
          </w:p>
        </w:tc>
        <w:tc>
          <w:tcPr>
            <w:tcW w:w="73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8</w:t>
            </w:r>
          </w:p>
        </w:tc>
        <w:tc>
          <w:tcPr>
            <w:tcW w:w="6520" w:type="dxa"/>
            <w:tcBorders>
              <w:top w:val="single" w:color="auto" w:sz="4" w:space="0"/>
              <w:left w:val="single" w:color="auto" w:sz="4" w:space="0"/>
              <w:bottom w:val="single" w:color="auto" w:sz="4" w:space="0"/>
              <w:right w:val="single" w:color="000000" w:sz="4" w:space="0"/>
            </w:tcBorders>
            <w:noWrap w:val="0"/>
            <w:vAlign w:val="center"/>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图像分析软件</w:t>
            </w:r>
          </w:p>
        </w:tc>
        <w:tc>
          <w:tcPr>
            <w:tcW w:w="73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套</w:t>
            </w:r>
          </w:p>
        </w:tc>
      </w:tr>
    </w:tbl>
    <w:p>
      <w:pPr>
        <w:autoSpaceDE w:val="0"/>
        <w:autoSpaceDN w:val="0"/>
        <w:ind w:right="26" w:firstLine="420" w:firstLineChars="200"/>
        <w:textAlignment w:val="bottom"/>
        <w:rPr>
          <w:rFonts w:ascii="宋体" w:hAnsi="宋体" w:eastAsia="宋体" w:cs="Times New Roman"/>
          <w:color w:val="auto"/>
          <w:szCs w:val="21"/>
          <w:highlight w:val="none"/>
        </w:rPr>
      </w:pPr>
    </w:p>
    <w:p>
      <w:pPr>
        <w:autoSpaceDE w:val="0"/>
        <w:autoSpaceDN w:val="0"/>
        <w:ind w:right="26" w:firstLine="420" w:firstLineChars="200"/>
        <w:textAlignment w:val="bottom"/>
        <w:rPr>
          <w:rFonts w:ascii="宋体" w:hAnsi="宋体" w:eastAsia="宋体" w:cs="Times New Roman"/>
          <w:color w:val="auto"/>
          <w:szCs w:val="21"/>
          <w:highlight w:val="none"/>
        </w:rPr>
      </w:pPr>
    </w:p>
    <w:p>
      <w:pPr>
        <w:widowControl/>
        <w:snapToGrid w:val="0"/>
        <w:spacing w:before="156" w:beforeLines="50" w:after="156" w:afterLines="5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2、技术性能指标表</w:t>
      </w:r>
    </w:p>
    <w:tbl>
      <w:tblPr>
        <w:tblStyle w:val="8"/>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9"/>
        <w:gridCol w:w="1053"/>
        <w:gridCol w:w="750"/>
        <w:gridCol w:w="67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9"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053"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招标技术指标名称</w:t>
            </w:r>
          </w:p>
        </w:tc>
        <w:tc>
          <w:tcPr>
            <w:tcW w:w="7477" w:type="dxa"/>
            <w:gridSpan w:val="2"/>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5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应用范围和要求</w:t>
            </w:r>
          </w:p>
        </w:tc>
        <w:tc>
          <w:tcPr>
            <w:tcW w:w="7477"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用于细胞迁移、划痕分析、损伤修复(Oris分析)、病理免疫荧光分析、细胞增殖、毒性、活性、肥大、共定位分析、自噬信号通路筛选、细胞计数、细胞亚群分析、神经轴突生长等细胞功能检测和药物评估及筛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9" w:type="dxa"/>
            <w:vMerge w:val="restart"/>
            <w:noWrap w:val="0"/>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3" w:type="dxa"/>
            <w:vMerge w:val="restart"/>
            <w:noWrap w:val="0"/>
            <w:vAlign w:val="center"/>
          </w:tcPr>
          <w:p>
            <w:pPr>
              <w:widowControl/>
              <w:spacing w:line="360" w:lineRule="auto"/>
              <w:ind w:firstLine="120" w:firstLineChars="5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477"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放大器主机及接线盒：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1、</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像模式：荧光、普通明场及彩色明场成像，相差成像，高对比度明场成像。荧光及明场，可对细胞或其他标记样品进行最多4种不同荧光激发检测，并可根据需求选配其他荧光激发通道进行检测，实现多场叠加成像。明场成像可在非染色标记情况下对样品进行成像分析，并可以和其他荧光场图像进行叠加，同时也可以对H&amp;E染色样品进行高清成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方法：终点法、时间延迟法、动力学法、孔模式、蒙太奇拼接、Z轴叠加、反卷积算法。长时间动态图像捕获，采集不同时间点样品图像，并可给出动态结果和拼接动态视频；可对区域样品进行无缝图像拼接，获得样品整体图像结果；在Z轴方向可进行分层成像，并进行叠加，使样品具有3D成像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光源：高能量LED光源，单个LED寿命≥50000小时。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相机：科学级灰度CMOS，分辨率≥1200*900，图像灰度≥16bit，成像速度：96 孔板, 单色, 4x物镜: ≤3分钟。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滤块容量：机载至少4位滤块位置（即四色荧光通道），配置DAPI（Ex:377nm/Em：447nm）、GFP（Ex:469nm/Em：525nm）、RFP（Ex:531nm/Em：593nm）三组滤光片， ≥20种色彩可选。支持成像通道定制。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物镜容量：可同时安装6位可置换物镜，1.25倍~60倍物镜可选；配有4倍、10倍、20倍镜头。4x奥林巴斯物镜兼容明场，高对比度明场，彩色明场及荧光场，可进行无标记计数；10x 相差物镜，NA：0.3，兼容所有检测通道；20x 相差物镜， NA：0.45 ，兼容所有检测通道。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Z轴成像：可根据样品厚度，选择不同聚焦平面进行多层聚焦拍摄，并进行图像整合，聚焦最大层数≥100层（依样品厚度而定）。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相差成像模式：具有相差成像模式。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聚焦方式：基于图像的自动聚焦、基于激光聚焦原理（LED光源）的自动聚焦和用户自定义聚焦。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载物台控制：软件或可选外接操纵杆（X,Y, Z轴）两种方式。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适合孔板类型：6-1536孔板，显微镜玻片，细胞培养皿，细胞计数板，腔室玻片等。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温度控制：室温 +4℃至65℃，≤±0.2℃@37℃。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震荡：线性、轨道、双轨道振荡。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气体控制模块： 0-20% CO</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及1-19%O</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气体控制模块。对检测细胞环境中的二氧化碳浓度及O</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进行监控和调节。分辨率：≤±0.1%（CO</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和O</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）；稳定性：≤±0.2%@5%CO</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；≤±0.2%@1%O</w:t>
            </w:r>
            <w:r>
              <w:rPr>
                <w:rFonts w:hint="eastAsia" w:ascii="宋体" w:hAnsi="宋体" w:eastAsia="宋体" w:cs="宋体"/>
                <w:color w:val="auto"/>
                <w:sz w:val="24"/>
                <w:szCs w:val="24"/>
                <w:highlight w:val="none"/>
                <w:vertAlign w:val="sub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振荡功能：可选线性、轨道、双轨道振荡方式，振荡时间可调。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后续可兼容高通量多板位及多用户操作的升级需求。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图像捕获:可实现荧光成像自动叠加、蒙太奇成像、Z轴叠加成像、连续和不连续动力学成像以及不同孔定点成像。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图像处理：可实现图像背景均化、图像拼接、Z轴叠加功能和去卷积处理。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图像分析功能：可完成细胞计数，图像分析，细胞参数测量分析，自动融合度计算，视频录制与合成，支持统计学分析导出直方图及多种曲线拟合分析等。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支持图片批量导出与分析：可高通量批量图片导出，方便数据快速分析。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支持视频制作：可实时视频或队列图片合成视频。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9"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3"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50"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6727"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多种图像输出可选：原始图像 16bit TIFF；保存图像 TIF, JPG, BMP, PNG, EMF, GIF视频 MP4, WMV。</w:t>
            </w:r>
          </w:p>
        </w:tc>
      </w:tr>
    </w:tbl>
    <w:p>
      <w:pPr>
        <w:spacing w:line="360" w:lineRule="auto"/>
        <w:jc w:val="center"/>
        <w:outlineLvl w:val="2"/>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bCs/>
          <w:color w:val="auto"/>
          <w:sz w:val="24"/>
          <w:szCs w:val="24"/>
          <w:highlight w:val="none"/>
        </w:rPr>
        <w:t>品目2 多功能激光扫描成像系统</w:t>
      </w:r>
    </w:p>
    <w:p>
      <w:pPr>
        <w:spacing w:line="360" w:lineRule="auto"/>
        <w:rPr>
          <w:rFonts w:hint="eastAsia" w:ascii="宋体" w:hAnsi="宋体" w:eastAsia="宋体" w:cs="宋体"/>
          <w:color w:val="auto"/>
          <w:sz w:val="24"/>
          <w:szCs w:val="24"/>
          <w:highlight w:val="none"/>
        </w:rPr>
      </w:pPr>
    </w:p>
    <w:p>
      <w:pPr>
        <w:widowControl/>
        <w:snapToGrid w:val="0"/>
        <w:spacing w:line="360" w:lineRule="auto"/>
        <w:rPr>
          <w:rFonts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p>
      <w:pPr>
        <w:autoSpaceDE w:val="0"/>
        <w:autoSpaceDN w:val="0"/>
        <w:ind w:right="26" w:firstLine="420" w:firstLineChars="200"/>
        <w:textAlignment w:val="bottom"/>
        <w:rPr>
          <w:rFonts w:ascii="宋体" w:hAnsi="宋体" w:eastAsia="宋体" w:cs="Times New Roman"/>
          <w:color w:val="auto"/>
          <w:szCs w:val="21"/>
          <w:highlight w:val="none"/>
        </w:rPr>
      </w:pPr>
    </w:p>
    <w:tbl>
      <w:tblPr>
        <w:tblStyle w:val="8"/>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239"/>
        <w:gridCol w:w="87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序号</w:t>
            </w:r>
          </w:p>
        </w:tc>
        <w:tc>
          <w:tcPr>
            <w:tcW w:w="6239"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名称</w:t>
            </w:r>
          </w:p>
        </w:tc>
        <w:tc>
          <w:tcPr>
            <w:tcW w:w="87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数量</w:t>
            </w:r>
          </w:p>
        </w:tc>
        <w:tc>
          <w:tcPr>
            <w:tcW w:w="87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多光谱激光成像仪</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台式计算机（含显示器）</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用户手册</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套</w:t>
            </w:r>
          </w:p>
        </w:tc>
      </w:tr>
    </w:tbl>
    <w:p>
      <w:pPr>
        <w:autoSpaceDE w:val="0"/>
        <w:autoSpaceDN w:val="0"/>
        <w:ind w:right="26" w:firstLine="420" w:firstLineChars="200"/>
        <w:textAlignment w:val="bottom"/>
        <w:rPr>
          <w:rFonts w:ascii="宋体" w:hAnsi="宋体" w:eastAsia="宋体" w:cs="Times New Roman"/>
          <w:color w:val="auto"/>
          <w:szCs w:val="21"/>
          <w:highlight w:val="none"/>
        </w:rPr>
      </w:pPr>
    </w:p>
    <w:p>
      <w:pPr>
        <w:autoSpaceDE w:val="0"/>
        <w:autoSpaceDN w:val="0"/>
        <w:ind w:right="26" w:firstLine="420" w:firstLineChars="200"/>
        <w:textAlignment w:val="bottom"/>
        <w:rPr>
          <w:rFonts w:ascii="宋体" w:hAnsi="宋体" w:eastAsia="宋体" w:cs="Times New Roman"/>
          <w:color w:val="auto"/>
          <w:szCs w:val="21"/>
          <w:highlight w:val="none"/>
        </w:rPr>
      </w:pPr>
    </w:p>
    <w:p>
      <w:pPr>
        <w:widowControl/>
        <w:snapToGrid w:val="0"/>
        <w:spacing w:before="156" w:beforeLines="50" w:after="156" w:afterLines="5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2、技术性能指标表</w:t>
      </w:r>
    </w:p>
    <w:tbl>
      <w:tblPr>
        <w:tblStyle w:val="8"/>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1171"/>
        <w:gridCol w:w="62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8" w:type="dxa"/>
            <w:noWrap w:val="0"/>
            <w:vAlign w:val="center"/>
          </w:tcPr>
          <w:p>
            <w:pPr>
              <w:spacing w:line="276" w:lineRule="auto"/>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编号</w:t>
            </w:r>
          </w:p>
        </w:tc>
        <w:tc>
          <w:tcPr>
            <w:tcW w:w="1051" w:type="dxa"/>
            <w:noWrap w:val="0"/>
            <w:vAlign w:val="center"/>
          </w:tcPr>
          <w:p>
            <w:pPr>
              <w:spacing w:line="276" w:lineRule="auto"/>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招标技术指标名称</w:t>
            </w:r>
          </w:p>
        </w:tc>
        <w:tc>
          <w:tcPr>
            <w:tcW w:w="7462" w:type="dxa"/>
            <w:gridSpan w:val="2"/>
            <w:noWrap w:val="0"/>
            <w:vAlign w:val="center"/>
          </w:tcPr>
          <w:p>
            <w:pPr>
              <w:spacing w:line="276" w:lineRule="auto"/>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8"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1051" w:type="dxa"/>
            <w:noWrap w:val="0"/>
            <w:vAlign w:val="center"/>
          </w:tcPr>
          <w:p>
            <w:pPr>
              <w:spacing w:line="276"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应用范围和要求</w:t>
            </w:r>
          </w:p>
        </w:tc>
        <w:tc>
          <w:tcPr>
            <w:tcW w:w="7462" w:type="dxa"/>
            <w:gridSpan w:val="2"/>
            <w:noWrap w:val="0"/>
            <w:vAlign w:val="center"/>
          </w:tcPr>
          <w:p>
            <w:pPr>
              <w:spacing w:line="276"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主要用于生物分子成像多功能激光扫描，包括：敏感、定量蛋白印迹检测、多色荧光、2</w:t>
            </w:r>
            <w:r>
              <w:rPr>
                <w:rFonts w:ascii="宋体" w:hAnsi="宋体" w:eastAsia="宋体" w:cs="Times New Roman"/>
                <w:color w:val="auto"/>
                <w:sz w:val="24"/>
                <w:szCs w:val="24"/>
                <w:highlight w:val="none"/>
              </w:rPr>
              <w:t>-D DIGE</w:t>
            </w:r>
            <w:r>
              <w:rPr>
                <w:rFonts w:hint="eastAsia" w:ascii="宋体" w:hAnsi="宋体" w:eastAsia="宋体" w:cs="Times New Roman"/>
                <w:color w:val="auto"/>
                <w:sz w:val="24"/>
                <w:szCs w:val="24"/>
                <w:highlight w:val="none"/>
              </w:rPr>
              <w:t>、同位素标记检测以及比色法染色等应用。</w:t>
            </w:r>
          </w:p>
          <w:p>
            <w:pPr>
              <w:autoSpaceDE w:val="0"/>
              <w:autoSpaceDN w:val="0"/>
              <w:ind w:right="26"/>
              <w:textAlignment w:val="bottom"/>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noWrap w:val="0"/>
            <w:vAlign w:val="center"/>
          </w:tcPr>
          <w:p>
            <w:pPr>
              <w:widowControl/>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1" w:type="dxa"/>
            <w:vMerge w:val="restart"/>
            <w:noWrap w:val="0"/>
            <w:vAlign w:val="center"/>
          </w:tcPr>
          <w:p>
            <w:pPr>
              <w:spacing w:line="276" w:lineRule="auto"/>
              <w:jc w:val="center"/>
              <w:rPr>
                <w:rFonts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技术规格</w:t>
            </w:r>
          </w:p>
        </w:tc>
        <w:tc>
          <w:tcPr>
            <w:tcW w:w="1171" w:type="dxa"/>
            <w:noWrap w:val="0"/>
            <w:vAlign w:val="center"/>
          </w:tcPr>
          <w:p>
            <w:pPr>
              <w:spacing w:line="276" w:lineRule="auto"/>
              <w:jc w:val="center"/>
              <w:rPr>
                <w:rFonts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w:t>
            </w:r>
            <w:r>
              <w:rPr>
                <w:rFonts w:ascii="宋体" w:hAnsi="宋体" w:eastAsia="宋体" w:cs="宋体"/>
                <w:b/>
                <w:bCs/>
                <w:color w:val="auto"/>
                <w:kern w:val="0"/>
                <w:sz w:val="24"/>
                <w:szCs w:val="24"/>
                <w:highlight w:val="none"/>
                <w:lang w:val="zh-CN"/>
              </w:rPr>
              <w:t>2.1</w:t>
            </w:r>
            <w:r>
              <w:rPr>
                <w:rFonts w:hint="eastAsia" w:ascii="宋体" w:hAnsi="宋体" w:eastAsia="宋体" w:cs="宋体"/>
                <w:b/>
                <w:bCs/>
                <w:color w:val="auto"/>
                <w:kern w:val="0"/>
                <w:sz w:val="24"/>
                <w:szCs w:val="24"/>
                <w:highlight w:val="none"/>
                <w:lang w:val="zh-CN"/>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检测模式：同位素磷屏成像、荧光成像、和数字化成像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ascii="宋体" w:hAnsi="宋体" w:eastAsia="宋体" w:cs="宋体"/>
                <w:color w:val="auto"/>
                <w:sz w:val="24"/>
                <w:szCs w:val="24"/>
                <w:highlight w:val="none"/>
              </w:rPr>
              <w:t>2.2</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激发光源：标配488nm（蓝色LD激光）、532nm（绿色SHG激光）、635nm（红色LD激光），内置光源。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ascii="宋体" w:hAnsi="宋体" w:eastAsia="宋体" w:cs="宋体"/>
                <w:color w:val="auto"/>
                <w:sz w:val="24"/>
                <w:szCs w:val="24"/>
                <w:highlight w:val="none"/>
              </w:rPr>
              <w:t>2.3</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光路系统：激光共聚焦光路，背景信号干扰更少。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ascii="宋体" w:hAnsi="宋体" w:eastAsia="宋体" w:cs="宋体"/>
                <w:color w:val="auto"/>
                <w:sz w:val="24"/>
                <w:szCs w:val="24"/>
                <w:highlight w:val="none"/>
              </w:rPr>
              <w:t>2.4</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检测器：具有两个PMT 光电倍增管检测器，可提供不同波长下最优的量子转换效率。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2.5</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动态范围：≥5个数量级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2.6</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图像格式：可输出16位Tif、Img及Gel格式文件。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2.7</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扫描面积≥</w:t>
            </w:r>
            <w:r>
              <w:rPr>
                <w:rFonts w:ascii="宋体" w:hAnsi="宋体" w:eastAsia="宋体" w:cs="Times New Roman"/>
                <w:color w:val="auto"/>
                <w:sz w:val="24"/>
                <w:szCs w:val="24"/>
                <w:highlight w:val="none"/>
              </w:rPr>
              <w:t>35×43</w:t>
            </w:r>
            <w:r>
              <w:rPr>
                <w:rFonts w:hint="eastAsia" w:ascii="宋体" w:hAnsi="宋体" w:eastAsia="宋体" w:cs="Times New Roman"/>
                <w:color w:val="auto"/>
                <w:sz w:val="24"/>
                <w:szCs w:val="24"/>
                <w:highlight w:val="none"/>
              </w:rPr>
              <w:t>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2.8</w:t>
            </w:r>
            <w:r>
              <w:rPr>
                <w:rFonts w:hint="eastAsia" w:ascii="宋体" w:hAnsi="宋体" w:eastAsia="宋体" w:cs="宋体"/>
                <w:color w:val="auto"/>
                <w:sz w:val="24"/>
                <w:szCs w:val="24"/>
                <w:highlight w:val="none"/>
              </w:rPr>
              <w:t>、</w:t>
            </w:r>
          </w:p>
        </w:tc>
        <w:tc>
          <w:tcPr>
            <w:tcW w:w="6291" w:type="dxa"/>
            <w:noWrap w:val="0"/>
            <w:vAlign w:val="center"/>
          </w:tcPr>
          <w:p>
            <w:pPr>
              <w:rPr>
                <w:rFonts w:ascii="Calibri" w:hAnsi="Calibri" w:eastAsia="宋体" w:cs="Times New Roman"/>
                <w:color w:val="auto"/>
                <w:highlight w:val="none"/>
              </w:rPr>
            </w:pPr>
            <w:r>
              <w:rPr>
                <w:rFonts w:hint="eastAsia" w:ascii="Calibri" w:hAnsi="Calibri" w:eastAsia="宋体" w:cs="Times New Roman"/>
                <w:color w:val="auto"/>
                <w:highlight w:val="none"/>
              </w:rPr>
              <w:t>通量：多功能平台，可同时放置9个96孔板或384孔板在聚焦平面。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2.9</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扫描速度：正常和慢扫两种，慢扫模式可以进一步降低背景噪音，提高信噪比，对微弱条带成像效果更好。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2.10</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扫描模式：自动、半自动和手动。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2.11</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半自动扫描方式：可选择感兴趣的扫描区域，通过优化PMT 电压，使感兴趣区域达到合适的灰度值。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ascii="宋体" w:hAnsi="宋体" w:eastAsia="宋体" w:cs="宋体"/>
                <w:color w:val="auto"/>
                <w:sz w:val="24"/>
                <w:szCs w:val="24"/>
                <w:highlight w:val="none"/>
              </w:rPr>
              <w:t>2.12</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分辨率：最高分辨率≥10μm。10，25，50，100和200μm可选，以及1000μm预扫描。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2.13</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内置滤光片：4 种，IP 390BP, Cy2 525BP20, Cy3 570BP20, Cy5 670BP30。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2.14</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滤光片架：9个滤光片位置，其中5个可调，支持2个定制滤光片，可适应更多荧光染料。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2.15</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扫描平台：三个，荧光平台、多样品平台、磷屏平台。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62" w:type="dxa"/>
            <w:gridSpan w:val="2"/>
            <w:noWrap w:val="0"/>
            <w:vAlign w:val="center"/>
          </w:tcPr>
          <w:p>
            <w:pPr>
              <w:spacing w:line="276"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基本配置：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ascii="宋体" w:hAnsi="宋体" w:eastAsia="宋体" w:cs="宋体"/>
                <w:color w:val="auto"/>
                <w:sz w:val="24"/>
                <w:szCs w:val="24"/>
                <w:highlight w:val="none"/>
              </w:rPr>
              <w:t>2.16</w:t>
            </w:r>
            <w:r>
              <w:rPr>
                <w:rFonts w:hint="eastAsia" w:ascii="宋体" w:hAnsi="宋体" w:eastAsia="宋体" w:cs="宋体"/>
                <w:color w:val="auto"/>
                <w:sz w:val="24"/>
                <w:szCs w:val="24"/>
                <w:highlight w:val="none"/>
              </w:rPr>
              <w:t>、</w:t>
            </w:r>
          </w:p>
        </w:tc>
        <w:tc>
          <w:tcPr>
            <w:tcW w:w="6291" w:type="dxa"/>
            <w:noWrap w:val="0"/>
            <w:vAlign w:val="center"/>
          </w:tcPr>
          <w:p>
            <w:pPr>
              <w:autoSpaceDE w:val="0"/>
              <w:autoSpaceDN w:val="0"/>
              <w:ind w:right="26"/>
              <w:textAlignment w:val="bottom"/>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主机一台，内含473nm、532nm和635nm激光光源，滤光片架及IP滤光片、Cy2滤光片、Cy3滤光片、Cy5滤光片各一个，2个PMT检测器。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.17</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Times New Roman"/>
                <w:color w:val="auto"/>
                <w:sz w:val="24"/>
                <w:szCs w:val="24"/>
                <w:highlight w:val="none"/>
              </w:rPr>
            </w:pPr>
            <w:r>
              <w:rPr>
                <w:rFonts w:hint="eastAsia" w:ascii="Calibri" w:hAnsi="Calibri" w:eastAsia="宋体" w:cs="宋体"/>
                <w:color w:val="auto"/>
                <w:sz w:val="24"/>
                <w:szCs w:val="24"/>
                <w:highlight w:val="none"/>
              </w:rPr>
              <w:t>配套电脑一台</w:t>
            </w:r>
            <w:r>
              <w:rPr>
                <w:rFonts w:ascii="Calibri" w:hAnsi="Calibri" w:eastAsia="宋体" w:cs="宋体"/>
                <w:color w:val="auto"/>
                <w:sz w:val="24"/>
                <w:szCs w:val="24"/>
                <w:highlight w:val="none"/>
              </w:rPr>
              <w:t>：</w:t>
            </w:r>
            <w:r>
              <w:rPr>
                <w:rFonts w:hint="eastAsia" w:ascii="宋体" w:hAnsi="宋体" w:eastAsia="宋体" w:cs="Times New Roman"/>
                <w:color w:val="auto"/>
                <w:sz w:val="24"/>
                <w:szCs w:val="24"/>
                <w:highlight w:val="none"/>
              </w:rPr>
              <w:t>操作系统Windows</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10</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Professional(64</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bit)，内存≥1G，硬盘≥100G光驱：DVD</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ROM，显示器：尺寸不低于23.5；像素不低于1280×1024像素。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2.18</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IP平台一个：用于扫描磷屏检测同位素信号。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2.19</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Fluor</w:t>
            </w:r>
            <w:r>
              <w:rPr>
                <w:rFonts w:hint="eastAsia" w:ascii="宋体" w:hAnsi="宋体" w:eastAsia="宋体" w:cs="Times New Roman"/>
                <w:color w:val="auto"/>
                <w:sz w:val="24"/>
                <w:szCs w:val="24"/>
                <w:highlight w:val="none"/>
              </w:rPr>
              <w:t>平台一个：用于裸胶或膜的荧光成像、数字成像和化学发光。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2.20</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Multi</w:t>
            </w:r>
            <w:r>
              <w:rPr>
                <w:rFonts w:hint="eastAsia" w:ascii="宋体" w:hAnsi="宋体" w:eastAsia="宋体" w:cs="Times New Roman"/>
                <w:color w:val="auto"/>
                <w:sz w:val="24"/>
                <w:szCs w:val="24"/>
                <w:highlight w:val="none"/>
              </w:rPr>
              <w:t>平台一个：用于荧光，96孔板，DIGE等成像。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2.21</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控制软件、USB连线、电源线、用户手册等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171"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ascii="宋体" w:hAnsi="宋体" w:eastAsia="宋体" w:cs="宋体"/>
                <w:color w:val="auto"/>
                <w:sz w:val="24"/>
                <w:szCs w:val="24"/>
                <w:highlight w:val="none"/>
              </w:rPr>
              <w:t>2.22</w:t>
            </w:r>
            <w:r>
              <w:rPr>
                <w:rFonts w:hint="eastAsia" w:ascii="宋体" w:hAnsi="宋体" w:eastAsia="宋体" w:cs="宋体"/>
                <w:color w:val="auto"/>
                <w:sz w:val="24"/>
                <w:szCs w:val="24"/>
                <w:highlight w:val="none"/>
              </w:rPr>
              <w:t>、</w:t>
            </w:r>
          </w:p>
        </w:tc>
        <w:tc>
          <w:tcPr>
            <w:tcW w:w="6291" w:type="dxa"/>
            <w:noWrap w:val="0"/>
            <w:vAlign w:val="center"/>
          </w:tcPr>
          <w:p>
            <w:pPr>
              <w:spacing w:line="276"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分析软件：</w:t>
            </w:r>
            <w:r>
              <w:rPr>
                <w:rFonts w:hint="eastAsia" w:ascii="宋体" w:hAnsi="宋体" w:eastAsia="宋体" w:cs="Times New Roman"/>
                <w:color w:val="auto"/>
                <w:sz w:val="24"/>
                <w:highlight w:val="none"/>
              </w:rPr>
              <w:t>可自动化实现可完成泳道、条带定位、背景扣除并计算相对含量，也可手动进行泳道、条带定位，5种背景扣除方式供选择，计算蛋白或核酸分子量，进行含量校正定量分析和归一化定量分析。</w:t>
            </w:r>
          </w:p>
        </w:tc>
      </w:tr>
    </w:tbl>
    <w:p>
      <w:pPr>
        <w:spacing w:line="360" w:lineRule="auto"/>
        <w:jc w:val="center"/>
        <w:rPr>
          <w:rFonts w:hint="eastAsia" w:ascii="宋体" w:hAnsi="宋体" w:eastAsia="宋体" w:cs="宋体"/>
          <w:b/>
          <w:color w:val="auto"/>
          <w:sz w:val="24"/>
          <w:szCs w:val="24"/>
          <w:highlight w:val="none"/>
        </w:rPr>
      </w:pPr>
    </w:p>
    <w:p>
      <w:pPr>
        <w:spacing w:line="360" w:lineRule="auto"/>
        <w:jc w:val="center"/>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品目3 脂双层工作站</w:t>
      </w:r>
    </w:p>
    <w:p>
      <w:pPr>
        <w:spacing w:line="360" w:lineRule="auto"/>
        <w:rPr>
          <w:rFonts w:hint="eastAsia" w:ascii="宋体" w:hAnsi="宋体" w:eastAsia="宋体" w:cs="宋体"/>
          <w:b/>
          <w:color w:val="auto"/>
          <w:sz w:val="24"/>
          <w:szCs w:val="24"/>
          <w:highlight w:val="none"/>
        </w:rPr>
      </w:pPr>
    </w:p>
    <w:p>
      <w:pPr>
        <w:widowControl/>
        <w:snapToGrid w:val="0"/>
        <w:spacing w:before="156" w:beforeLines="50" w:after="156" w:after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1、技术性能指标表</w:t>
      </w:r>
    </w:p>
    <w:tbl>
      <w:tblPr>
        <w:tblStyle w:val="8"/>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7"/>
        <w:gridCol w:w="1051"/>
        <w:gridCol w:w="527"/>
        <w:gridCol w:w="6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7"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051"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招标技术指标名称</w:t>
            </w:r>
          </w:p>
        </w:tc>
        <w:tc>
          <w:tcPr>
            <w:tcW w:w="7463" w:type="dxa"/>
            <w:gridSpan w:val="2"/>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51"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应用范围和要求</w:t>
            </w:r>
          </w:p>
        </w:tc>
        <w:tc>
          <w:tcPr>
            <w:tcW w:w="7463"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平面脂双层工作站是专业用于测量微小电流跨越人工平面脂双层膜的理想工具。可获得更高直流的通道信号，在脂膜支撑系统中也采用了不同容量尺寸的灌流、记录杯，为平面脂双层提供了充足的周边支撑产品，可为实验提供更多便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7" w:type="dxa"/>
            <w:vMerge w:val="restart"/>
            <w:noWrap w:val="0"/>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1" w:type="dxa"/>
            <w:vMerge w:val="restart"/>
            <w:noWrap w:val="0"/>
            <w:vAlign w:val="center"/>
          </w:tcPr>
          <w:p>
            <w:pPr>
              <w:adjustRightInd w:val="0"/>
              <w:spacing w:line="360" w:lineRule="auto"/>
              <w:ind w:right="-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463" w:type="dxa"/>
            <w:gridSpan w:val="2"/>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一、脂双层放大器：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adjustRightInd w:val="0"/>
              <w:spacing w:line="360" w:lineRule="auto"/>
              <w:ind w:right="-2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单通道记录(β=1)噪声≤0.045 pA rms；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adjustRightInd w:val="0"/>
              <w:spacing w:line="360" w:lineRule="auto"/>
              <w:ind w:right="-2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手动补偿电极电容，细胞电容和串连电阻。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adjustRightInd w:val="0"/>
              <w:spacing w:line="360" w:lineRule="auto"/>
              <w:ind w:right="-2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可扩展应用于单通道记录（最佳）、全细胞记录、人工双分子层膜片钳记录、松散封接记录、电化学检测（伏安法/安培测量法）。最适进行单通道记录，尤其是小电导的单通道记录。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adjustRightInd w:val="0"/>
              <w:spacing w:line="360" w:lineRule="auto"/>
              <w:ind w:right="-2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8极Bessel 滤波，多档可调。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adjustRightInd w:val="0"/>
              <w:spacing w:line="360" w:lineRule="auto"/>
              <w:ind w:right="-20"/>
              <w:rPr>
                <w:rFonts w:hint="eastAsia" w:ascii="宋体" w:hAnsi="宋体" w:eastAsia="宋体" w:cs="宋体"/>
                <w:color w:val="auto"/>
                <w:sz w:val="24"/>
                <w:szCs w:val="24"/>
                <w:highlight w:val="none"/>
              </w:rPr>
            </w:pPr>
          </w:p>
        </w:tc>
        <w:tc>
          <w:tcPr>
            <w:tcW w:w="7463" w:type="dxa"/>
            <w:gridSpan w:val="2"/>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二、转换器：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1"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1、</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高分辨率、低噪声数模/模数转换器，为即插即用型模块，和放大器分开，模块可单独使用。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低噪声：每个输入通路都用独立的模数转换器来处理，</w:t>
            </w:r>
            <w:bookmarkStart w:id="2" w:name="OLE_LINK1"/>
            <w:bookmarkStart w:id="3" w:name="OLE_LINK2"/>
            <w:r>
              <w:rPr>
                <w:rFonts w:hint="eastAsia" w:ascii="宋体" w:hAnsi="宋体" w:eastAsia="宋体" w:cs="宋体"/>
                <w:color w:val="auto"/>
                <w:sz w:val="24"/>
                <w:szCs w:val="24"/>
                <w:highlight w:val="none"/>
              </w:rPr>
              <w:t>内置1个通道可去除50/60HZ的正弦波噪声</w:t>
            </w:r>
            <w:bookmarkEnd w:id="2"/>
            <w:bookmarkEnd w:id="3"/>
            <w:r>
              <w:rPr>
                <w:rFonts w:hint="eastAsia" w:ascii="宋体" w:hAnsi="宋体" w:eastAsia="宋体" w:cs="宋体"/>
                <w:color w:val="auto"/>
                <w:sz w:val="24"/>
                <w:szCs w:val="24"/>
                <w:highlight w:val="none"/>
              </w:rPr>
              <w:t>，响应时间&lt;1s，且数模转换器为单独仪器。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模拟输入：≥8通道、范围±10V、≥16位分辨率、1Hz—500k Hz采样率。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模拟输出：≥8通道、范围±10V、≥16位分辨率、1Hz—500k Hz采样率。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模拟输出阻抗&lt;0.5</w:t>
            </w:r>
            <w:bookmarkStart w:id="4" w:name="OLE_LINK17"/>
            <w:bookmarkStart w:id="5" w:name="OLE_LINK18"/>
            <w:r>
              <w:rPr>
                <w:rFonts w:hint="eastAsia" w:ascii="宋体" w:hAnsi="宋体" w:eastAsia="宋体" w:cs="宋体"/>
                <w:color w:val="auto"/>
                <w:sz w:val="24"/>
                <w:szCs w:val="24"/>
                <w:highlight w:val="none"/>
              </w:rPr>
              <w:t>Ω</w:t>
            </w:r>
            <w:bookmarkEnd w:id="4"/>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数字输出≥8位，数字输出电流范围≥±4mA；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63" w:type="dxa"/>
            <w:gridSpan w:val="2"/>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三、左手微操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全程电动，有连续和步进两种移动模式。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电动四轴移动：X、Y、Z和斜线方向运动。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显示屏显示X、Y、Z的位置及移动速度。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行程：X、Y、Z轴移动最大距离≥25mm。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最大移动速度≤2.9mm/sec。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系统最多可存储≥ 500 个位置指令，包括暂停、执行一次、连续或反向指令。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63" w:type="dxa"/>
            <w:gridSpan w:val="2"/>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四、荧光光源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波长范围：330nm-650nm。无臭氧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光源：≥300瓦氙灯。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光源寿命≥1000小时。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滤光片尺寸≤直径25mm。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63"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五、数据采集软件：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1、</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软件既包含采样程序又包含分析程序，只使用一个加密狗。分析程序不需要使用加密狗，并且可以免费升级，可在其他任意电脑上安装使用，方便在个人电脑上处理数据，分析程序可分析全细胞钳以及单通道记录等实验数据，无需第三方软件进行格式转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可同时记录多达≥16导联的信号。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膜测试功能在记录每条扫描线时可计算串联电阻Ra和膜电容。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膜测试与封接测试窗口合并为一个可调大小尺寸的窗。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一个扫描线中的每个时段可控制≥8个数码输出。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如果施加了漏减功能，则可同时自动记录下漏减前后的电流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63"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六、防震台：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固有频率：垂直：≤2.0Hz； 水平：≤2.0Hz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调平方式：自动调平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3"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重复定位精度：≤±0.1mm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台板平面度：≤0.05mm/m²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台板粗糙度：≤0.8μm，表面亚光处理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调节高度：至少±10mm可调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台板尺寸（mm）≥600*500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lang w:val="da-DK"/>
              </w:rPr>
            </w:pPr>
            <w:r>
              <w:rPr>
                <w:rFonts w:hint="eastAsia" w:ascii="宋体" w:hAnsi="宋体" w:eastAsia="宋体" w:cs="宋体"/>
                <w:color w:val="auto"/>
                <w:sz w:val="24"/>
                <w:szCs w:val="24"/>
                <w:highlight w:val="none"/>
              </w:rPr>
              <w:t>载荷（KG）：≥70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63"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七、机柜：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采用两个前后焊接架及上下盖组装而成，安装方便、负重≥500kg。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重量轻、结构坚固。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527"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936" w:type="dxa"/>
            <w:noWrap w:val="0"/>
            <w:vAlign w:val="center"/>
          </w:tcPr>
          <w:p>
            <w:pPr>
              <w:adjustRightInd w:val="0"/>
              <w:spacing w:line="360" w:lineRule="auto"/>
              <w:ind w:right="-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移动式隔板。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noWrap w:val="0"/>
            <w:vAlign w:val="center"/>
          </w:tcPr>
          <w:p>
            <w:pPr>
              <w:widowControl/>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051" w:type="dxa"/>
            <w:noWrap w:val="0"/>
            <w:vAlign w:val="center"/>
          </w:tcPr>
          <w:p>
            <w:pPr>
              <w:widowControl/>
              <w:spacing w:line="360" w:lineRule="auto"/>
              <w:ind w:firstLine="120" w:firstLineChars="5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配置要求</w:t>
            </w:r>
          </w:p>
        </w:tc>
        <w:tc>
          <w:tcPr>
            <w:tcW w:w="527" w:type="dxa"/>
            <w:noWrap w:val="0"/>
            <w:vAlign w:val="center"/>
          </w:tcPr>
          <w:p>
            <w:pPr>
              <w:adjustRightInd w:val="0"/>
              <w:spacing w:line="360" w:lineRule="auto"/>
              <w:ind w:right="-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936" w:type="dxa"/>
            <w:noWrap w:val="0"/>
            <w:vAlign w:val="center"/>
          </w:tcPr>
          <w:p>
            <w:pPr>
              <w:tabs>
                <w:tab w:val="left" w:pos="312"/>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放大器 1套</w:t>
            </w:r>
          </w:p>
          <w:p>
            <w:pPr>
              <w:tabs>
                <w:tab w:val="left" w:pos="312"/>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数模转换器 1套</w:t>
            </w:r>
          </w:p>
          <w:p>
            <w:pPr>
              <w:tabs>
                <w:tab w:val="left" w:pos="312"/>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脂双层辅助设备 1套</w:t>
            </w:r>
          </w:p>
          <w:p>
            <w:pPr>
              <w:tabs>
                <w:tab w:val="left" w:pos="312"/>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4.防震台  1台</w:t>
            </w:r>
          </w:p>
          <w:p>
            <w:pPr>
              <w:tabs>
                <w:tab w:val="left" w:pos="312"/>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5.荧光光源 1套</w:t>
            </w:r>
          </w:p>
          <w:p>
            <w:pPr>
              <w:tabs>
                <w:tab w:val="left" w:pos="312"/>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6.左手微操 1套</w:t>
            </w:r>
          </w:p>
        </w:tc>
      </w:tr>
    </w:tbl>
    <w:p>
      <w:pPr>
        <w:spacing w:line="360" w:lineRule="auto"/>
        <w:rPr>
          <w:rFonts w:hint="eastAsia" w:ascii="宋体" w:hAnsi="宋体" w:eastAsia="宋体" w:cs="宋体"/>
          <w:b/>
          <w:color w:val="auto"/>
          <w:sz w:val="24"/>
          <w:szCs w:val="24"/>
          <w:highlight w:val="none"/>
        </w:rPr>
      </w:pPr>
    </w:p>
    <w:p>
      <w:pPr>
        <w:pStyle w:val="2"/>
        <w:spacing w:line="360" w:lineRule="auto"/>
        <w:ind w:firstLine="482"/>
        <w:rPr>
          <w:rFonts w:hint="eastAsia" w:ascii="宋体" w:eastAsia="宋体" w:cs="宋体"/>
          <w:b/>
          <w:color w:val="auto"/>
          <w:sz w:val="24"/>
          <w:szCs w:val="24"/>
          <w:highlight w:val="none"/>
        </w:rPr>
      </w:pPr>
    </w:p>
    <w:p>
      <w:pPr>
        <w:spacing w:line="360" w:lineRule="auto"/>
        <w:jc w:val="center"/>
        <w:outlineLvl w:val="2"/>
        <w:rPr>
          <w:rFonts w:ascii="宋体" w:hAnsi="宋体" w:eastAsia="宋体" w:cs="宋体"/>
          <w:b/>
          <w:color w:val="auto"/>
          <w:sz w:val="24"/>
          <w:szCs w:val="24"/>
          <w:highlight w:val="none"/>
        </w:rPr>
      </w:pPr>
      <w:bookmarkStart w:id="6" w:name="_Hlk105667090"/>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品目4 圆二色光谱仪 (CD)</w:t>
      </w:r>
    </w:p>
    <w:p>
      <w:pPr>
        <w:spacing w:line="360" w:lineRule="auto"/>
        <w:rPr>
          <w:rFonts w:hint="eastAsia" w:ascii="宋体" w:hAnsi="宋体" w:eastAsia="宋体" w:cs="宋体"/>
          <w:b/>
          <w:color w:val="auto"/>
          <w:sz w:val="24"/>
          <w:szCs w:val="24"/>
          <w:highlight w:val="none"/>
        </w:rPr>
      </w:pPr>
    </w:p>
    <w:p>
      <w:pPr>
        <w:widowControl/>
        <w:snapToGrid w:val="0"/>
        <w:spacing w:line="360" w:lineRule="auto"/>
        <w:rPr>
          <w:rFonts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p>
      <w:pPr>
        <w:autoSpaceDE w:val="0"/>
        <w:autoSpaceDN w:val="0"/>
        <w:ind w:right="26" w:firstLine="420" w:firstLineChars="200"/>
        <w:textAlignment w:val="bottom"/>
        <w:rPr>
          <w:rFonts w:ascii="宋体" w:hAnsi="宋体" w:eastAsia="宋体" w:cs="Times New Roman"/>
          <w:color w:val="auto"/>
          <w:szCs w:val="21"/>
          <w:highlight w:val="none"/>
        </w:rPr>
      </w:pPr>
    </w:p>
    <w:tbl>
      <w:tblPr>
        <w:tblStyle w:val="8"/>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239"/>
        <w:gridCol w:w="87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序号</w:t>
            </w:r>
          </w:p>
        </w:tc>
        <w:tc>
          <w:tcPr>
            <w:tcW w:w="6239"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名称</w:t>
            </w:r>
          </w:p>
        </w:tc>
        <w:tc>
          <w:tcPr>
            <w:tcW w:w="87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数量</w:t>
            </w:r>
          </w:p>
        </w:tc>
        <w:tc>
          <w:tcPr>
            <w:tcW w:w="87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jc w:val="left"/>
              <w:rPr>
                <w:rFonts w:ascii="宋体" w:hAnsi="宋体" w:eastAsia="宋体" w:cs="Times New Roman"/>
                <w:color w:val="auto"/>
                <w:sz w:val="24"/>
                <w:szCs w:val="24"/>
                <w:highlight w:val="none"/>
              </w:rPr>
            </w:pPr>
            <w:r>
              <w:rPr>
                <w:rFonts w:hint="eastAsia" w:ascii="Calibri" w:hAnsi="Calibri" w:eastAsia="宋体" w:cs="Times New Roman"/>
                <w:color w:val="auto"/>
                <w:highlight w:val="none"/>
              </w:rPr>
              <w:t xml:space="preserve">圆二色光谱仪主机 </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1mm、10mm比色皿各2个</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台式工作站 </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套</w:t>
            </w:r>
          </w:p>
        </w:tc>
      </w:tr>
    </w:tbl>
    <w:p>
      <w:pPr>
        <w:autoSpaceDE w:val="0"/>
        <w:autoSpaceDN w:val="0"/>
        <w:ind w:right="26" w:firstLine="420" w:firstLineChars="200"/>
        <w:textAlignment w:val="bottom"/>
        <w:rPr>
          <w:rFonts w:ascii="宋体" w:hAnsi="宋体" w:eastAsia="宋体" w:cs="Times New Roman"/>
          <w:color w:val="auto"/>
          <w:szCs w:val="21"/>
          <w:highlight w:val="none"/>
        </w:rPr>
      </w:pPr>
    </w:p>
    <w:p>
      <w:pPr>
        <w:autoSpaceDE w:val="0"/>
        <w:autoSpaceDN w:val="0"/>
        <w:ind w:right="26" w:firstLine="420" w:firstLineChars="200"/>
        <w:textAlignment w:val="bottom"/>
        <w:rPr>
          <w:rFonts w:ascii="宋体" w:hAnsi="宋体" w:eastAsia="宋体" w:cs="Times New Roman"/>
          <w:color w:val="auto"/>
          <w:szCs w:val="21"/>
          <w:highlight w:val="none"/>
        </w:rPr>
      </w:pPr>
    </w:p>
    <w:p>
      <w:pPr>
        <w:widowControl/>
        <w:snapToGrid w:val="0"/>
        <w:spacing w:before="156" w:beforeLines="50" w:after="156" w:afterLines="5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2、技术性能指标表</w:t>
      </w:r>
    </w:p>
    <w:tbl>
      <w:tblPr>
        <w:tblStyle w:val="8"/>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6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8"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051" w:type="dxa"/>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招标技术指标名称</w:t>
            </w:r>
          </w:p>
        </w:tc>
        <w:tc>
          <w:tcPr>
            <w:tcW w:w="7462" w:type="dxa"/>
            <w:gridSpan w:val="2"/>
            <w:noWrap w:val="0"/>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8"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51"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应用范围和要求</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用于研究蛋白质二级结构或高级结构，也可用于有机立体化学研究、光学活性物质纯度测试、药物定量分析、天然有机化学、生物化学与宏观大分子、金属配合物化学、聚合物化学、蛋白质折叠研究、蛋白质热稳定性测量，也可用于研究分子构象变化及分子间相互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noWrap w:val="0"/>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1" w:type="dxa"/>
            <w:vMerge w:val="restart"/>
            <w:noWrap w:val="0"/>
            <w:vAlign w:val="center"/>
          </w:tcPr>
          <w:p>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圆二色光谱仪</w:t>
            </w:r>
          </w:p>
        </w:tc>
        <w:tc>
          <w:tcPr>
            <w:tcW w:w="7462" w:type="dxa"/>
            <w:gridSpan w:val="2"/>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圆二色光谱仪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光源：150W氙灯（空冷），450W氙灯水冷和20W卤素灯可升级；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2、</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汞灯校正光源：用于检证仪器的波长正确性和波长重复准确性，确保得到高准确度的圆二色光谱，非试剂法校正；</w:t>
            </w:r>
            <w:r>
              <w:rPr>
                <w:rFonts w:hint="eastAsia" w:ascii="宋体" w:hAnsi="宋体" w:eastAsia="宋体" w:cs="宋体"/>
                <w:b/>
                <w:bCs/>
                <w:color w:val="auto"/>
                <w:sz w:val="24"/>
                <w:szCs w:val="24"/>
                <w:highlight w:val="none"/>
              </w:rPr>
              <w:t>【提供制造商公开发布的印刷资料（彩页或Datasheet）或检测机构出具的检测报告】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分光系统：双偏振棱镜分光系统，样品室的光束形状为平行光束，采用高性能PEM晶体；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波长范围： 163~950nm可调；在此基础上可再升级2500nm；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扫描方式：自动响应扫描，连续扫描，步进扫描、时间扫描（快速反应动力学，慢）、温度扫描；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CD分辨率：≦0.00001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噪音：≦0.005 mdeg (185nm, 150W)；≦0.004 mdeg (185nm, 450W)；≦0.008 mdeg (200, 500 nm)，测试条件：光谱带宽1nm，数据积分时间8秒，收集噪音信号，积分时间越长越好；</w:t>
            </w:r>
            <w:r>
              <w:rPr>
                <w:rFonts w:hint="eastAsia" w:ascii="宋体" w:hAnsi="宋体" w:eastAsia="宋体" w:cs="宋体"/>
                <w:b/>
                <w:bCs/>
                <w:color w:val="auto"/>
                <w:sz w:val="24"/>
                <w:szCs w:val="24"/>
                <w:highlight w:val="none"/>
              </w:rPr>
              <w:t>【提供制造商公开发布的印刷资料（彩页或Datasheet）或检测机构出具的检测报告】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氮气吹扫用量：≦3升/分钟；</w:t>
            </w:r>
            <w:r>
              <w:rPr>
                <w:rFonts w:hint="eastAsia" w:ascii="宋体" w:hAnsi="宋体" w:eastAsia="宋体" w:cs="宋体"/>
                <w:b/>
                <w:bCs/>
                <w:color w:val="auto"/>
                <w:sz w:val="24"/>
                <w:szCs w:val="24"/>
                <w:highlight w:val="none"/>
              </w:rPr>
              <w:t>【提供制造商公开发布的印刷资料（彩页或Datasheet）或检测机构出具的检测报告】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UV测量范围：≥4Abs；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CD量程：≥±9500 mdeg；</w:t>
            </w:r>
            <w:r>
              <w:rPr>
                <w:rFonts w:hint="eastAsia" w:ascii="宋体" w:hAnsi="宋体" w:eastAsia="宋体" w:cs="宋体"/>
                <w:b/>
                <w:bCs/>
                <w:color w:val="auto"/>
                <w:sz w:val="24"/>
                <w:szCs w:val="24"/>
                <w:highlight w:val="none"/>
              </w:rPr>
              <w:t>【提供制造商公开发布的印刷资料（彩页或Datasheet）或检测机构出具的检测报告】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标配线性二色LD测量配件：量程±1△OD，分辨率≦0.000002△OD，仪器主机可同时在线检测线二色和圆二色信号；</w:t>
            </w:r>
            <w:r>
              <w:rPr>
                <w:rFonts w:hint="eastAsia" w:ascii="宋体" w:hAnsi="宋体" w:eastAsia="宋体" w:cs="宋体"/>
                <w:b/>
                <w:bCs/>
                <w:color w:val="auto"/>
                <w:sz w:val="24"/>
                <w:szCs w:val="24"/>
                <w:highlight w:val="none"/>
              </w:rPr>
              <w:t>【提供制造商公开发布的印刷资料（彩页或Datasheet）或检测机构出具的检测报告】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6713" w:type="dxa"/>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CD比色皿：1mm、10mm各两个；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62" w:type="dxa"/>
            <w:gridSpan w:val="2"/>
            <w:noWrap w:val="0"/>
            <w:vAlign w:val="center"/>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360" w:lineRule="auto"/>
              <w:jc w:val="center"/>
              <w:rPr>
                <w:rFonts w:hint="eastAsia" w:ascii="宋体" w:hAnsi="宋体" w:eastAsia="宋体" w:cs="宋体"/>
                <w:color w:val="auto"/>
                <w:sz w:val="24"/>
                <w:szCs w:val="24"/>
                <w:highlight w:val="none"/>
              </w:rPr>
            </w:pPr>
          </w:p>
        </w:tc>
        <w:tc>
          <w:tcPr>
            <w:tcW w:w="1051" w:type="dxa"/>
            <w:vMerge w:val="continue"/>
            <w:noWrap w:val="0"/>
            <w:vAlign w:val="center"/>
          </w:tcPr>
          <w:p>
            <w:pPr>
              <w:widowControl/>
              <w:spacing w:line="360" w:lineRule="auto"/>
              <w:ind w:firstLine="120" w:firstLineChars="50"/>
              <w:rPr>
                <w:rFonts w:hint="eastAsia" w:ascii="宋体" w:hAnsi="宋体" w:eastAsia="宋体" w:cs="宋体"/>
                <w:color w:val="auto"/>
                <w:sz w:val="24"/>
                <w:szCs w:val="24"/>
                <w:highlight w:val="none"/>
              </w:rPr>
            </w:pPr>
          </w:p>
        </w:tc>
        <w:tc>
          <w:tcPr>
            <w:tcW w:w="74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13" w:type="dxa"/>
            <w:noWrap w:val="0"/>
            <w:vAlign w:val="center"/>
          </w:tcPr>
          <w:p>
            <w:pPr>
              <w:autoSpaceDE w:val="0"/>
              <w:autoSpaceDN w:val="0"/>
              <w:spacing w:line="360" w:lineRule="auto"/>
              <w:ind w:right="26"/>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台式工作站</w:t>
            </w:r>
            <w:r>
              <w:rPr>
                <w:rFonts w:hint="eastAsia" w:ascii="宋体" w:hAnsi="宋体" w:eastAsia="宋体" w:cs="宋体"/>
                <w:color w:val="auto"/>
                <w:kern w:val="0"/>
                <w:sz w:val="24"/>
                <w:szCs w:val="24"/>
                <w:highlight w:val="none"/>
                <w:lang w:bidi="ar"/>
              </w:rPr>
              <w:t>1套</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bidi="ar"/>
              </w:rPr>
              <w:t>处理器酷睿 I5 及以上， 内存 8G 及以上，硬盘 1T 及以上，显示器 23 英寸及以上</w:t>
            </w:r>
          </w:p>
        </w:tc>
      </w:tr>
    </w:tbl>
    <w:p>
      <w:pPr>
        <w:spacing w:line="360" w:lineRule="auto"/>
        <w:rPr>
          <w:rFonts w:ascii="Calibri" w:hAnsi="Calibri" w:eastAsia="宋体" w:cs="Times New Roman"/>
          <w:color w:val="auto"/>
          <w:sz w:val="24"/>
          <w:szCs w:val="24"/>
          <w:highlight w:val="none"/>
        </w:rPr>
      </w:pPr>
    </w:p>
    <w:p>
      <w:pPr>
        <w:spacing w:line="360" w:lineRule="auto"/>
        <w:rPr>
          <w:rFonts w:hint="eastAsia" w:ascii="宋体" w:hAnsi="宋体" w:eastAsia="宋体" w:cs="宋体"/>
          <w:b/>
          <w:color w:val="auto"/>
          <w:sz w:val="24"/>
          <w:szCs w:val="24"/>
          <w:highlight w:val="none"/>
        </w:rPr>
      </w:pPr>
    </w:p>
    <w:p>
      <w:pPr>
        <w:spacing w:line="360" w:lineRule="auto"/>
        <w:jc w:val="center"/>
        <w:outlineLvl w:val="2"/>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品目5 傅里叶变换近红外光谱仪</w:t>
      </w:r>
    </w:p>
    <w:p>
      <w:pPr>
        <w:spacing w:line="360" w:lineRule="auto"/>
        <w:rPr>
          <w:rFonts w:hint="eastAsia" w:ascii="宋体" w:hAnsi="宋体" w:eastAsia="宋体" w:cs="宋体"/>
          <w:b/>
          <w:color w:val="auto"/>
          <w:sz w:val="24"/>
          <w:szCs w:val="24"/>
          <w:highlight w:val="none"/>
        </w:rPr>
      </w:pPr>
    </w:p>
    <w:p>
      <w:pPr>
        <w:widowControl/>
        <w:snapToGrid w:val="0"/>
        <w:spacing w:line="360" w:lineRule="auto"/>
        <w:rPr>
          <w:rFonts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p>
      <w:pPr>
        <w:autoSpaceDE w:val="0"/>
        <w:autoSpaceDN w:val="0"/>
        <w:ind w:right="26" w:firstLine="420" w:firstLineChars="200"/>
        <w:textAlignment w:val="bottom"/>
        <w:rPr>
          <w:rFonts w:ascii="宋体" w:hAnsi="宋体" w:eastAsia="宋体" w:cs="Times New Roman"/>
          <w:color w:val="auto"/>
          <w:szCs w:val="21"/>
          <w:highlight w:val="none"/>
        </w:rPr>
      </w:pPr>
    </w:p>
    <w:tbl>
      <w:tblPr>
        <w:tblStyle w:val="8"/>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239"/>
        <w:gridCol w:w="87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序号</w:t>
            </w:r>
          </w:p>
        </w:tc>
        <w:tc>
          <w:tcPr>
            <w:tcW w:w="6239"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名称</w:t>
            </w:r>
          </w:p>
        </w:tc>
        <w:tc>
          <w:tcPr>
            <w:tcW w:w="87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数量</w:t>
            </w:r>
          </w:p>
        </w:tc>
        <w:tc>
          <w:tcPr>
            <w:tcW w:w="87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近红外光谱仪主机</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电源线</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操作软件及数据处理软件</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4</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自动透射模块</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5</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加热样品架</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样品管（≥7</w:t>
            </w:r>
            <w:r>
              <w:rPr>
                <w:rFonts w:ascii="宋体" w:hAnsi="宋体" w:eastAsia="宋体" w:cs="Times New Roman"/>
                <w:color w:val="auto"/>
                <w:sz w:val="24"/>
                <w:szCs w:val="24"/>
                <w:highlight w:val="none"/>
              </w:rPr>
              <w:t>20</w:t>
            </w:r>
            <w:r>
              <w:rPr>
                <w:rFonts w:hint="eastAsia" w:ascii="宋体" w:hAnsi="宋体" w:eastAsia="宋体" w:cs="Times New Roman"/>
                <w:color w:val="auto"/>
                <w:sz w:val="24"/>
                <w:szCs w:val="24"/>
                <w:highlight w:val="none"/>
              </w:rPr>
              <w:t>支）</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7</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台式计算机（含显示器）</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8</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打印机</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台</w:t>
            </w:r>
          </w:p>
        </w:tc>
      </w:tr>
    </w:tbl>
    <w:p>
      <w:pPr>
        <w:autoSpaceDE w:val="0"/>
        <w:autoSpaceDN w:val="0"/>
        <w:ind w:right="26" w:firstLine="420" w:firstLineChars="200"/>
        <w:textAlignment w:val="bottom"/>
        <w:rPr>
          <w:rFonts w:ascii="宋体" w:hAnsi="宋体" w:eastAsia="宋体" w:cs="Times New Roman"/>
          <w:color w:val="auto"/>
          <w:szCs w:val="21"/>
          <w:highlight w:val="none"/>
        </w:rPr>
      </w:pPr>
    </w:p>
    <w:p>
      <w:pPr>
        <w:widowControl/>
        <w:snapToGrid w:val="0"/>
        <w:spacing w:before="156" w:beforeLines="50" w:after="156" w:afterLines="5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2、技术性能指标表</w:t>
      </w:r>
    </w:p>
    <w:tbl>
      <w:tblPr>
        <w:tblStyle w:val="8"/>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6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8" w:type="dxa"/>
            <w:noWrap w:val="0"/>
            <w:vAlign w:val="center"/>
          </w:tcPr>
          <w:p>
            <w:pPr>
              <w:spacing w:line="276" w:lineRule="auto"/>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编号</w:t>
            </w:r>
          </w:p>
        </w:tc>
        <w:tc>
          <w:tcPr>
            <w:tcW w:w="1051" w:type="dxa"/>
            <w:noWrap w:val="0"/>
            <w:vAlign w:val="center"/>
          </w:tcPr>
          <w:p>
            <w:pPr>
              <w:spacing w:line="276" w:lineRule="auto"/>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招标技术指标名称</w:t>
            </w:r>
          </w:p>
        </w:tc>
        <w:tc>
          <w:tcPr>
            <w:tcW w:w="7462" w:type="dxa"/>
            <w:gridSpan w:val="2"/>
            <w:noWrap w:val="0"/>
            <w:vAlign w:val="center"/>
          </w:tcPr>
          <w:p>
            <w:pPr>
              <w:spacing w:line="276" w:lineRule="auto"/>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8"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1051" w:type="dxa"/>
            <w:noWrap w:val="0"/>
            <w:vAlign w:val="center"/>
          </w:tcPr>
          <w:p>
            <w:pPr>
              <w:spacing w:line="276"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应用范围和要求</w:t>
            </w:r>
          </w:p>
        </w:tc>
        <w:tc>
          <w:tcPr>
            <w:tcW w:w="7462" w:type="dxa"/>
            <w:gridSpan w:val="2"/>
            <w:noWrap w:val="0"/>
            <w:vAlign w:val="center"/>
          </w:tcPr>
          <w:p>
            <w:pPr>
              <w:spacing w:line="276"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主要用于食品中蛋白质，水分，糖类以及中药材中有效成分的分析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1</w:t>
            </w:r>
            <w:r>
              <w:rPr>
                <w:rFonts w:hint="eastAsia" w:ascii="宋体" w:hAnsi="宋体" w:eastAsia="宋体" w:cs="宋体"/>
                <w:color w:val="auto"/>
                <w:sz w:val="24"/>
                <w:szCs w:val="24"/>
                <w:highlight w:val="none"/>
              </w:rPr>
              <w:t>、</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主机光谱至少支持范围：12000~3800cm</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（833~2630nm）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分辨率：≤2cm</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（0.3nm@1250nm）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系统间光谱重现性：</w:t>
            </w:r>
            <w:r>
              <w:rPr>
                <w:rFonts w:hint="eastAsia" w:ascii="Times New Roman" w:hAnsi="Times New Roman" w:eastAsia="宋体" w:cs="Times New Roman"/>
                <w:color w:val="auto"/>
                <w:highlight w:val="none"/>
              </w:rPr>
              <w:t>≤</w:t>
            </w:r>
            <w:r>
              <w:rPr>
                <w:rFonts w:hint="eastAsia" w:ascii="宋体" w:hAnsi="宋体" w:eastAsia="宋体" w:cs="宋体"/>
                <w:color w:val="auto"/>
                <w:sz w:val="24"/>
                <w:szCs w:val="24"/>
                <w:highlight w:val="none"/>
              </w:rPr>
              <w:t>0.05cm</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（0.008nm@1250nm）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系统内光谱重现性：10次采集光谱标准偏差小于0.006cm</w:t>
            </w:r>
            <w:r>
              <w:rPr>
                <w:rFonts w:hint="eastAsia" w:ascii="宋体" w:hAnsi="宋体" w:eastAsia="宋体" w:cs="宋体"/>
                <w:color w:val="auto"/>
                <w:sz w:val="24"/>
                <w:szCs w:val="24"/>
                <w:highlight w:val="none"/>
                <w:vertAlign w:val="superscrip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波数准确度：≤±0.03cm</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（0.005nm@1250nm）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光度线性度：斜率1.0±0.05、截距0.0±0.05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干涉仪：智能化动态调整迈克尔逊干涉仪，干涉仪采用每秒≥13万次高速动态准直技术，能够消除外界振动、温度等变化的影响以保证每次检测的高度重现性和准确性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86"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仪器维护：长寿命卤钨灯近红外光源；光源和激光器更换可由用户自行完成，无需调整光路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62" w:type="dxa"/>
            <w:gridSpan w:val="2"/>
            <w:noWrap w:val="0"/>
            <w:vAlign w:val="center"/>
          </w:tcPr>
          <w:p>
            <w:pPr>
              <w:spacing w:line="276"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液体透射分析模块：：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自动透射采样支架：三位一体型液体支架，提供两个样品和一个背景采样位置；可以兼容直径4mm~8mm的玻璃管和光程0.5~10mm的比色皿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仪器自动精确采集样品和背景光谱，避免人工操作可能产生的误差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62" w:type="dxa"/>
            <w:gridSpan w:val="2"/>
            <w:noWrap w:val="0"/>
            <w:vAlign w:val="center"/>
          </w:tcPr>
          <w:p>
            <w:pPr>
              <w:spacing w:line="276"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操作软件：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基于Workflow的方法建立和设计：根据不同的分析任务和SOP的需要，将一系列的功能（如光谱测定、定性分类、定量检测、数据存储、生成报告、过程通讯、逻辑判断、报警、循环）按一定的逻辑结构排列组合起来，便可形成一套完整的工作流程；一台电脑上可设定的工作流程数量不限；无需编写宏程序、逻辑严密、结构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操作界面：选定相应分析任务，软件即会按设定好的程序自动执行工作流程的每一个步骤；确保0误差操作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rPr>
              <w:t>、</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与TQ Analyst光谱化学计量学软件和其它国际著名的Camo公司的Unscrambler、InfoMetrix公司的Pirouette和GRAMS PLS/IQ等化学计量学软件兼容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4</w:t>
            </w:r>
            <w:r>
              <w:rPr>
                <w:rFonts w:hint="eastAsia" w:ascii="宋体" w:hAnsi="宋体" w:eastAsia="宋体" w:cs="宋体"/>
                <w:color w:val="auto"/>
                <w:sz w:val="24"/>
                <w:szCs w:val="24"/>
                <w:highlight w:val="none"/>
              </w:rPr>
              <w:t>、</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系统与系统间模型和方法的转移只需拷贝模型文件和工作流程文件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5</w:t>
            </w:r>
            <w:r>
              <w:rPr>
                <w:rFonts w:hint="eastAsia" w:ascii="宋体" w:hAnsi="宋体" w:eastAsia="宋体" w:cs="宋体"/>
                <w:color w:val="auto"/>
                <w:sz w:val="24"/>
                <w:szCs w:val="24"/>
                <w:highlight w:val="none"/>
              </w:rPr>
              <w:t>、</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定量算法包含有：经典最小二乘回归（CLR）、逐步多元线性回归（SMLR）、法；主成分回归（PCR）、偏最小二乘回归（PLS）及其各种改进算法如加权PLS和非线性PLS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6</w:t>
            </w:r>
            <w:r>
              <w:rPr>
                <w:rFonts w:hint="eastAsia" w:ascii="宋体" w:hAnsi="宋体" w:eastAsia="宋体" w:cs="宋体"/>
                <w:color w:val="auto"/>
                <w:sz w:val="24"/>
                <w:szCs w:val="24"/>
                <w:highlight w:val="none"/>
              </w:rPr>
              <w:t>、</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定性算法包括：判别分析技术、相似度（Similarity）和距离（Distance）匹配技术、光谱库建立和检索技术、QC Compare 光谱鉴别技术和SIMCA分类技术等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7</w:t>
            </w:r>
            <w:r>
              <w:rPr>
                <w:rFonts w:hint="eastAsia" w:ascii="宋体" w:hAnsi="宋体" w:eastAsia="宋体" w:cs="宋体"/>
                <w:color w:val="auto"/>
                <w:sz w:val="24"/>
                <w:szCs w:val="24"/>
                <w:highlight w:val="none"/>
              </w:rPr>
              <w:t>、</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光谱预处理方法包括：Pathlength（光程）校正（MSC，SNV，峰比规一化，内标），光谱校正（一阶导数、二阶导数，Savitzky-Golay filter，Norris Derivative Filter等），基线校正（差谱、分段线性校正、样条校正），光谱标准化处理（规一化、中心化），光谱统计处理（平均光谱、方差光谱、相关光谱）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749"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8</w:t>
            </w:r>
            <w:r>
              <w:rPr>
                <w:rFonts w:hint="eastAsia" w:ascii="宋体" w:hAnsi="宋体" w:eastAsia="宋体" w:cs="宋体"/>
                <w:color w:val="auto"/>
                <w:sz w:val="24"/>
                <w:szCs w:val="24"/>
                <w:highlight w:val="none"/>
              </w:rPr>
              <w:t>、</w:t>
            </w:r>
          </w:p>
        </w:tc>
        <w:tc>
          <w:tcPr>
            <w:tcW w:w="6713"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具有各种灵活的数据操作功能，兼容各种光谱数据格式如.csv、.JDX、.IRD、.NIC、.WMF、.TIF、.SPC、.IRS、.GAML、.IGM等，光谱图数据与含量或类别数据可自动对应成表导出到Excel或Text文档中</w:t>
            </w:r>
          </w:p>
        </w:tc>
      </w:tr>
    </w:tbl>
    <w:p>
      <w:pPr>
        <w:pStyle w:val="2"/>
        <w:spacing w:line="360" w:lineRule="auto"/>
        <w:ind w:firstLine="482"/>
        <w:rPr>
          <w:rFonts w:hint="eastAsia" w:ascii="宋体" w:eastAsia="宋体" w:cs="宋体"/>
          <w:b/>
          <w:color w:val="auto"/>
          <w:sz w:val="24"/>
          <w:szCs w:val="24"/>
          <w:highlight w:val="none"/>
        </w:rPr>
      </w:pPr>
    </w:p>
    <w:p>
      <w:pPr>
        <w:pStyle w:val="2"/>
        <w:spacing w:line="360" w:lineRule="auto"/>
        <w:ind w:firstLine="482"/>
        <w:rPr>
          <w:rFonts w:hint="eastAsia" w:ascii="宋体" w:eastAsia="宋体" w:cs="宋体"/>
          <w:b/>
          <w:color w:val="auto"/>
          <w:sz w:val="24"/>
          <w:szCs w:val="24"/>
          <w:highlight w:val="none"/>
        </w:rPr>
      </w:pPr>
    </w:p>
    <w:p>
      <w:pPr>
        <w:pStyle w:val="2"/>
        <w:spacing w:line="360" w:lineRule="auto"/>
        <w:ind w:firstLine="482"/>
        <w:jc w:val="center"/>
        <w:outlineLvl w:val="2"/>
        <w:rPr>
          <w:rFonts w:ascii="宋体" w:eastAsia="宋体" w:cs="宋体"/>
          <w:b/>
          <w:color w:val="auto"/>
          <w:sz w:val="24"/>
          <w:szCs w:val="24"/>
          <w:highlight w:val="none"/>
        </w:rPr>
      </w:pPr>
      <w:r>
        <w:rPr>
          <w:rFonts w:hint="eastAsia" w:ascii="宋体" w:eastAsia="宋体" w:cs="宋体"/>
          <w:b/>
          <w:color w:val="auto"/>
          <w:sz w:val="24"/>
          <w:szCs w:val="24"/>
          <w:highlight w:val="none"/>
        </w:rPr>
        <w:br w:type="page"/>
      </w:r>
      <w:r>
        <w:rPr>
          <w:rFonts w:hint="eastAsia" w:ascii="宋体" w:eastAsia="宋体" w:cs="宋体"/>
          <w:b/>
          <w:color w:val="auto"/>
          <w:sz w:val="24"/>
          <w:szCs w:val="24"/>
          <w:highlight w:val="none"/>
        </w:rPr>
        <w:t>品目6 全自动蛋白免疫印迹定量分析仪</w:t>
      </w:r>
    </w:p>
    <w:p>
      <w:pPr>
        <w:pStyle w:val="2"/>
        <w:spacing w:line="360" w:lineRule="auto"/>
        <w:ind w:firstLine="482"/>
        <w:rPr>
          <w:rFonts w:hint="eastAsia" w:ascii="宋体" w:eastAsia="宋体" w:cs="宋体"/>
          <w:b/>
          <w:color w:val="auto"/>
          <w:sz w:val="24"/>
          <w:szCs w:val="24"/>
          <w:highlight w:val="none"/>
        </w:rPr>
      </w:pPr>
    </w:p>
    <w:p>
      <w:pPr>
        <w:widowControl/>
        <w:snapToGrid w:val="0"/>
        <w:spacing w:line="360" w:lineRule="auto"/>
        <w:rPr>
          <w:rFonts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lang w:val="zh-CN"/>
        </w:rPr>
        <w:t>★</w:t>
      </w:r>
      <w:r>
        <w:rPr>
          <w:rFonts w:hint="eastAsia" w:ascii="宋体" w:hAnsi="宋体" w:eastAsia="宋体" w:cs="宋体"/>
          <w:b/>
          <w:color w:val="auto"/>
          <w:sz w:val="24"/>
          <w:szCs w:val="24"/>
          <w:highlight w:val="none"/>
        </w:rPr>
        <w:t>1、配置清单及零配件（包括专用工具）：</w:t>
      </w:r>
    </w:p>
    <w:p>
      <w:pPr>
        <w:autoSpaceDE w:val="0"/>
        <w:autoSpaceDN w:val="0"/>
        <w:ind w:right="26" w:firstLine="420" w:firstLineChars="200"/>
        <w:textAlignment w:val="bottom"/>
        <w:rPr>
          <w:rFonts w:ascii="宋体" w:hAnsi="宋体" w:eastAsia="宋体" w:cs="Times New Roman"/>
          <w:color w:val="auto"/>
          <w:szCs w:val="21"/>
          <w:highlight w:val="none"/>
        </w:rPr>
      </w:pPr>
    </w:p>
    <w:tbl>
      <w:tblPr>
        <w:tblStyle w:val="8"/>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239"/>
        <w:gridCol w:w="877"/>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1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序号</w:t>
            </w:r>
          </w:p>
        </w:tc>
        <w:tc>
          <w:tcPr>
            <w:tcW w:w="6239"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名称</w:t>
            </w:r>
          </w:p>
        </w:tc>
        <w:tc>
          <w:tcPr>
            <w:tcW w:w="87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数量</w:t>
            </w:r>
          </w:p>
        </w:tc>
        <w:tc>
          <w:tcPr>
            <w:tcW w:w="877" w:type="dxa"/>
            <w:noWrap w:val="0"/>
            <w:vAlign w:val="center"/>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全自动蛋白免疫印迹定量分析仪</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台式工作站（含显示器）</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17" w:type="dxa"/>
            <w:noWrap w:val="0"/>
            <w:vAlign w:val="center"/>
          </w:tcPr>
          <w:p>
            <w:pPr>
              <w:spacing w:line="276" w:lineRule="auto"/>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p>
        </w:tc>
        <w:tc>
          <w:tcPr>
            <w:tcW w:w="6239" w:type="dxa"/>
            <w:tcBorders>
              <w:top w:val="single" w:color="auto" w:sz="4" w:space="0"/>
              <w:left w:val="single" w:color="auto" w:sz="4" w:space="0"/>
              <w:bottom w:val="single" w:color="auto" w:sz="4" w:space="0"/>
              <w:right w:val="single" w:color="000000" w:sz="4" w:space="0"/>
            </w:tcBorders>
            <w:noWrap w:val="0"/>
            <w:vAlign w:val="center"/>
          </w:tcPr>
          <w:p>
            <w:pPr>
              <w:spacing w:line="276" w:lineRule="auto"/>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用户手册</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877"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套</w:t>
            </w:r>
          </w:p>
        </w:tc>
      </w:tr>
    </w:tbl>
    <w:p>
      <w:pPr>
        <w:autoSpaceDE w:val="0"/>
        <w:autoSpaceDN w:val="0"/>
        <w:ind w:right="26" w:firstLine="420" w:firstLineChars="200"/>
        <w:textAlignment w:val="bottom"/>
        <w:rPr>
          <w:rFonts w:ascii="宋体" w:hAnsi="宋体" w:eastAsia="宋体" w:cs="Times New Roman"/>
          <w:color w:val="auto"/>
          <w:szCs w:val="21"/>
          <w:highlight w:val="none"/>
        </w:rPr>
      </w:pPr>
    </w:p>
    <w:p>
      <w:pPr>
        <w:autoSpaceDE w:val="0"/>
        <w:autoSpaceDN w:val="0"/>
        <w:ind w:right="26" w:firstLine="420" w:firstLineChars="200"/>
        <w:textAlignment w:val="bottom"/>
        <w:rPr>
          <w:rFonts w:ascii="宋体" w:hAnsi="宋体" w:eastAsia="宋体" w:cs="Times New Roman"/>
          <w:color w:val="auto"/>
          <w:szCs w:val="21"/>
          <w:highlight w:val="none"/>
        </w:rPr>
      </w:pPr>
    </w:p>
    <w:p>
      <w:pPr>
        <w:widowControl/>
        <w:snapToGrid w:val="0"/>
        <w:spacing w:before="156" w:beforeLines="50" w:after="156" w:afterLines="5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2、技术性能指标表</w:t>
      </w:r>
    </w:p>
    <w:tbl>
      <w:tblPr>
        <w:tblStyle w:val="8"/>
        <w:tblW w:w="9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1030"/>
        <w:gridCol w:w="64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9" w:hRule="atLeast"/>
          <w:jc w:val="center"/>
        </w:trPr>
        <w:tc>
          <w:tcPr>
            <w:tcW w:w="608" w:type="dxa"/>
            <w:noWrap w:val="0"/>
            <w:vAlign w:val="center"/>
          </w:tcPr>
          <w:p>
            <w:pPr>
              <w:spacing w:line="276" w:lineRule="auto"/>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编号</w:t>
            </w:r>
          </w:p>
        </w:tc>
        <w:tc>
          <w:tcPr>
            <w:tcW w:w="1051" w:type="dxa"/>
            <w:noWrap w:val="0"/>
            <w:vAlign w:val="center"/>
          </w:tcPr>
          <w:p>
            <w:pPr>
              <w:spacing w:line="276" w:lineRule="auto"/>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招标技术指标名称</w:t>
            </w:r>
          </w:p>
        </w:tc>
        <w:tc>
          <w:tcPr>
            <w:tcW w:w="7462" w:type="dxa"/>
            <w:gridSpan w:val="2"/>
            <w:noWrap w:val="0"/>
            <w:vAlign w:val="center"/>
          </w:tcPr>
          <w:p>
            <w:pPr>
              <w:spacing w:line="276" w:lineRule="auto"/>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8" w:hRule="atLeast"/>
          <w:jc w:val="center"/>
        </w:trPr>
        <w:tc>
          <w:tcPr>
            <w:tcW w:w="608" w:type="dxa"/>
            <w:noWrap w:val="0"/>
            <w:vAlign w:val="center"/>
          </w:tcPr>
          <w:p>
            <w:pPr>
              <w:spacing w:line="276"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1051" w:type="dxa"/>
            <w:noWrap w:val="0"/>
            <w:vAlign w:val="center"/>
          </w:tcPr>
          <w:p>
            <w:pPr>
              <w:spacing w:line="276"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应用范围和要求</w:t>
            </w:r>
          </w:p>
        </w:tc>
        <w:tc>
          <w:tcPr>
            <w:tcW w:w="7462" w:type="dxa"/>
            <w:gridSpan w:val="2"/>
            <w:noWrap w:val="0"/>
            <w:vAlign w:val="center"/>
          </w:tcPr>
          <w:p>
            <w:pPr>
              <w:autoSpaceDE w:val="0"/>
              <w:autoSpaceDN w:val="0"/>
              <w:ind w:right="26"/>
              <w:textAlignment w:val="bottom"/>
              <w:rPr>
                <w:rFonts w:ascii="宋体" w:hAnsi="Calibri" w:eastAsia="宋体" w:cs="宋体"/>
                <w:color w:val="auto"/>
                <w:kern w:val="0"/>
                <w:sz w:val="24"/>
                <w:szCs w:val="24"/>
                <w:highlight w:val="none"/>
              </w:rPr>
            </w:pPr>
            <w:r>
              <w:rPr>
                <w:rFonts w:hint="eastAsia" w:ascii="宋体" w:hAnsi="Calibri" w:eastAsia="宋体" w:cs="宋体"/>
                <w:color w:val="auto"/>
                <w:kern w:val="0"/>
                <w:sz w:val="24"/>
                <w:szCs w:val="24"/>
                <w:highlight w:val="none"/>
              </w:rPr>
              <w:t>主要用于Western</w:t>
            </w:r>
            <w:r>
              <w:rPr>
                <w:rFonts w:ascii="宋体" w:hAnsi="Calibri" w:eastAsia="宋体" w:cs="宋体"/>
                <w:color w:val="auto"/>
                <w:kern w:val="0"/>
                <w:sz w:val="24"/>
                <w:szCs w:val="24"/>
                <w:highlight w:val="none"/>
              </w:rPr>
              <w:t xml:space="preserve"> blot</w:t>
            </w:r>
            <w:r>
              <w:rPr>
                <w:rFonts w:hint="eastAsia" w:ascii="宋体" w:hAnsi="Calibri" w:eastAsia="宋体" w:cs="宋体"/>
                <w:color w:val="auto"/>
                <w:kern w:val="0"/>
                <w:sz w:val="24"/>
                <w:szCs w:val="24"/>
                <w:highlight w:val="none"/>
              </w:rPr>
              <w:t>标准化、快速化的实现。</w:t>
            </w:r>
          </w:p>
          <w:p>
            <w:pPr>
              <w:autoSpaceDE w:val="0"/>
              <w:autoSpaceDN w:val="0"/>
              <w:ind w:right="26"/>
              <w:textAlignment w:val="bottom"/>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restart"/>
            <w:noWrap w:val="0"/>
            <w:vAlign w:val="center"/>
          </w:tcPr>
          <w:p>
            <w:pPr>
              <w:widowControl/>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51" w:type="dxa"/>
            <w:vMerge w:val="restart"/>
            <w:noWrap w:val="0"/>
            <w:vAlign w:val="center"/>
          </w:tcPr>
          <w:p>
            <w:pPr>
              <w:widowControl/>
              <w:spacing w:line="276" w:lineRule="auto"/>
              <w:ind w:firstLine="120" w:firstLineChars="5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ascii="宋体" w:hAnsi="宋体" w:eastAsia="宋体" w:cs="宋体"/>
                <w:color w:val="auto"/>
                <w:sz w:val="24"/>
                <w:szCs w:val="24"/>
                <w:highlight w:val="none"/>
              </w:rPr>
              <w:t>2.1</w:t>
            </w:r>
            <w:r>
              <w:rPr>
                <w:rFonts w:hint="eastAsia" w:ascii="宋体" w:hAnsi="宋体" w:eastAsia="宋体" w:cs="宋体"/>
                <w:color w:val="auto"/>
                <w:sz w:val="24"/>
                <w:szCs w:val="24"/>
                <w:highlight w:val="none"/>
              </w:rPr>
              <w:t>、</w:t>
            </w:r>
          </w:p>
        </w:tc>
        <w:tc>
          <w:tcPr>
            <w:tcW w:w="6432" w:type="dxa"/>
            <w:noWrap w:val="0"/>
            <w:vAlign w:val="center"/>
          </w:tcPr>
          <w:p>
            <w:pPr>
              <w:autoSpaceDE w:val="0"/>
              <w:autoSpaceDN w:val="0"/>
              <w:adjustRightInd w:val="0"/>
              <w:jc w:val="left"/>
              <w:rPr>
                <w:rFonts w:ascii="宋体" w:hAnsi="宋体" w:eastAsia="宋体" w:cs="宋体"/>
                <w:color w:val="auto"/>
                <w:sz w:val="24"/>
                <w:szCs w:val="24"/>
                <w:highlight w:val="none"/>
              </w:rPr>
            </w:pPr>
            <w:r>
              <w:rPr>
                <w:rFonts w:hint="eastAsia" w:ascii="宋体" w:hAnsi="Calibri" w:eastAsia="宋体" w:cs="宋体"/>
                <w:color w:val="auto"/>
                <w:kern w:val="0"/>
                <w:sz w:val="24"/>
                <w:szCs w:val="24"/>
                <w:highlight w:val="none"/>
              </w:rPr>
              <w:t>自动化步骤：全自动进样、进行基于蛋白质分子量的毛细管电泳分离、一抗二抗孵育，信号检测步骤；以上步骤全自动连贯完成，无需人工操作。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w:t>
            </w:r>
          </w:p>
        </w:tc>
        <w:tc>
          <w:tcPr>
            <w:tcW w:w="6432" w:type="dxa"/>
            <w:noWrap w:val="0"/>
            <w:vAlign w:val="center"/>
          </w:tcPr>
          <w:p>
            <w:pPr>
              <w:spacing w:line="276" w:lineRule="auto"/>
              <w:rPr>
                <w:rFonts w:ascii="宋体" w:hAnsi="宋体" w:eastAsia="宋体" w:cs="宋体"/>
                <w:color w:val="auto"/>
                <w:sz w:val="24"/>
                <w:szCs w:val="24"/>
                <w:highlight w:val="none"/>
              </w:rPr>
            </w:pPr>
            <w:r>
              <w:rPr>
                <w:rFonts w:hint="eastAsia" w:ascii="宋体" w:hAnsi="Calibri" w:eastAsia="宋体" w:cs="宋体"/>
                <w:color w:val="auto"/>
                <w:kern w:val="0"/>
                <w:sz w:val="24"/>
                <w:szCs w:val="24"/>
                <w:highlight w:val="none"/>
              </w:rPr>
              <w:t>蛋白质分离原理：通过毛细管电泳将样品中的各蛋白质分子基于分子量大小不同而分离开来。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Calibri" w:eastAsia="宋体" w:cs="宋体"/>
                <w:color w:val="auto"/>
                <w:kern w:val="0"/>
                <w:sz w:val="24"/>
                <w:szCs w:val="24"/>
                <w:highlight w:val="none"/>
              </w:rPr>
              <w:t>▲</w:t>
            </w:r>
            <w:r>
              <w:rPr>
                <w:rFonts w:hint="eastAsia" w:ascii="宋体" w:hAnsi="宋体" w:eastAsia="宋体" w:cs="宋体"/>
                <w:color w:val="auto"/>
                <w:kern w:val="0"/>
                <w:sz w:val="24"/>
                <w:szCs w:val="24"/>
                <w:highlight w:val="none"/>
                <w:lang w:val="zh-CN"/>
              </w:rPr>
              <w:t>2</w:t>
            </w:r>
            <w:r>
              <w:rPr>
                <w:rFonts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3、</w:t>
            </w:r>
          </w:p>
        </w:tc>
        <w:tc>
          <w:tcPr>
            <w:tcW w:w="6432" w:type="dxa"/>
            <w:noWrap w:val="0"/>
            <w:vAlign w:val="center"/>
          </w:tcPr>
          <w:p>
            <w:pPr>
              <w:spacing w:line="276" w:lineRule="auto"/>
              <w:rPr>
                <w:rFonts w:ascii="宋体" w:hAnsi="宋体" w:eastAsia="宋体" w:cs="宋体"/>
                <w:color w:val="auto"/>
                <w:sz w:val="24"/>
                <w:szCs w:val="24"/>
                <w:highlight w:val="none"/>
              </w:rPr>
            </w:pPr>
            <w:r>
              <w:rPr>
                <w:rFonts w:hint="eastAsia" w:ascii="宋体" w:hAnsi="Calibri" w:eastAsia="宋体" w:cs="宋体"/>
                <w:color w:val="auto"/>
                <w:kern w:val="0"/>
                <w:sz w:val="24"/>
                <w:szCs w:val="24"/>
                <w:highlight w:val="none"/>
              </w:rPr>
              <w:t>信号检测方式：支持化学发光检测法和荧光检测法。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2.4</w:t>
            </w:r>
            <w:r>
              <w:rPr>
                <w:rFonts w:hint="eastAsia" w:ascii="宋体" w:hAnsi="宋体" w:eastAsia="宋体" w:cs="宋体"/>
                <w:color w:val="auto"/>
                <w:sz w:val="24"/>
                <w:szCs w:val="24"/>
                <w:highlight w:val="none"/>
              </w:rPr>
              <w:t>、</w:t>
            </w:r>
          </w:p>
        </w:tc>
        <w:tc>
          <w:tcPr>
            <w:tcW w:w="6432" w:type="dxa"/>
            <w:noWrap w:val="0"/>
            <w:vAlign w:val="center"/>
          </w:tcPr>
          <w:p>
            <w:pPr>
              <w:spacing w:line="276" w:lineRule="auto"/>
              <w:rPr>
                <w:rFonts w:ascii="宋体" w:hAnsi="宋体" w:eastAsia="宋体" w:cs="宋体"/>
                <w:color w:val="auto"/>
                <w:sz w:val="24"/>
                <w:szCs w:val="24"/>
                <w:highlight w:val="none"/>
              </w:rPr>
            </w:pPr>
            <w:r>
              <w:rPr>
                <w:rFonts w:hint="eastAsia" w:ascii="宋体" w:hAnsi="Calibri" w:eastAsia="宋体" w:cs="宋体"/>
                <w:color w:val="auto"/>
                <w:kern w:val="0"/>
                <w:sz w:val="24"/>
                <w:szCs w:val="24"/>
                <w:highlight w:val="none"/>
              </w:rPr>
              <w:t>样本通量：具有≥1</w:t>
            </w:r>
            <w:r>
              <w:rPr>
                <w:rFonts w:ascii="宋体" w:hAnsi="Calibri" w:eastAsia="宋体" w:cs="宋体"/>
                <w:color w:val="auto"/>
                <w:kern w:val="0"/>
                <w:sz w:val="24"/>
                <w:szCs w:val="24"/>
                <w:highlight w:val="none"/>
              </w:rPr>
              <w:t>2</w:t>
            </w:r>
            <w:r>
              <w:rPr>
                <w:rFonts w:hint="eastAsia" w:ascii="宋体" w:hAnsi="Calibri" w:eastAsia="宋体" w:cs="宋体"/>
                <w:color w:val="auto"/>
                <w:kern w:val="0"/>
                <w:sz w:val="24"/>
                <w:szCs w:val="24"/>
                <w:highlight w:val="none"/>
              </w:rPr>
              <w:t>个样本通道，可同步检测样品数≥1</w:t>
            </w:r>
            <w:r>
              <w:rPr>
                <w:rFonts w:ascii="宋体" w:hAnsi="Calibri" w:eastAsia="宋体" w:cs="宋体"/>
                <w:color w:val="auto"/>
                <w:kern w:val="0"/>
                <w:sz w:val="24"/>
                <w:szCs w:val="24"/>
                <w:highlight w:val="none"/>
              </w:rPr>
              <w:t>2</w:t>
            </w:r>
            <w:r>
              <w:rPr>
                <w:rFonts w:hint="eastAsia" w:ascii="宋体" w:hAnsi="Calibri" w:eastAsia="宋体" w:cs="宋体"/>
                <w:color w:val="auto"/>
                <w:kern w:val="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3"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5、</w:t>
            </w:r>
          </w:p>
        </w:tc>
        <w:tc>
          <w:tcPr>
            <w:tcW w:w="6432" w:type="dxa"/>
            <w:noWrap w:val="0"/>
            <w:vAlign w:val="center"/>
          </w:tcPr>
          <w:p>
            <w:pPr>
              <w:spacing w:line="276" w:lineRule="auto"/>
              <w:rPr>
                <w:rFonts w:ascii="宋体" w:hAnsi="宋体" w:eastAsia="宋体" w:cs="宋体"/>
                <w:color w:val="auto"/>
                <w:sz w:val="24"/>
                <w:szCs w:val="24"/>
                <w:highlight w:val="none"/>
              </w:rPr>
            </w:pPr>
            <w:r>
              <w:rPr>
                <w:rFonts w:hint="eastAsia" w:ascii="宋体" w:hAnsi="Calibri" w:eastAsia="宋体" w:cs="宋体"/>
                <w:color w:val="auto"/>
                <w:kern w:val="0"/>
                <w:sz w:val="24"/>
                <w:szCs w:val="24"/>
                <w:highlight w:val="none"/>
              </w:rPr>
              <w:t>检测蛋白质范围：可检测</w:t>
            </w:r>
            <w:r>
              <w:rPr>
                <w:rFonts w:ascii="宋体" w:hAnsi="Calibri" w:eastAsia="宋体" w:cs="宋体"/>
                <w:color w:val="auto"/>
                <w:kern w:val="0"/>
                <w:sz w:val="24"/>
                <w:szCs w:val="24"/>
                <w:highlight w:val="none"/>
              </w:rPr>
              <w:t>3kD</w:t>
            </w:r>
            <w:r>
              <w:rPr>
                <w:rFonts w:hint="eastAsia" w:ascii="宋体" w:hAnsi="Calibri" w:eastAsia="宋体" w:cs="宋体"/>
                <w:color w:val="auto"/>
                <w:kern w:val="0"/>
                <w:sz w:val="24"/>
                <w:szCs w:val="24"/>
                <w:highlight w:val="none"/>
              </w:rPr>
              <w:t>～</w:t>
            </w:r>
            <w:r>
              <w:rPr>
                <w:rFonts w:ascii="宋体" w:hAnsi="Calibri" w:eastAsia="宋体" w:cs="宋体"/>
                <w:color w:val="auto"/>
                <w:kern w:val="0"/>
                <w:sz w:val="24"/>
                <w:szCs w:val="24"/>
                <w:highlight w:val="none"/>
              </w:rPr>
              <w:t xml:space="preserve">400kD </w:t>
            </w:r>
            <w:r>
              <w:rPr>
                <w:rFonts w:hint="eastAsia" w:ascii="宋体" w:hAnsi="Calibri" w:eastAsia="宋体" w:cs="宋体"/>
                <w:color w:val="auto"/>
                <w:kern w:val="0"/>
                <w:sz w:val="24"/>
                <w:szCs w:val="24"/>
                <w:highlight w:val="none"/>
              </w:rPr>
              <w:t>分子量范围的目标蛋白质。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4"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6、</w:t>
            </w:r>
          </w:p>
        </w:tc>
        <w:tc>
          <w:tcPr>
            <w:tcW w:w="6432"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全自动运行：软件控制整个系统全自动运行，中间无需人工分阶段操作软件。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7、</w:t>
            </w:r>
          </w:p>
        </w:tc>
        <w:tc>
          <w:tcPr>
            <w:tcW w:w="6432" w:type="dxa"/>
            <w:noWrap w:val="0"/>
            <w:vAlign w:val="center"/>
          </w:tcPr>
          <w:p>
            <w:pPr>
              <w:autoSpaceDE w:val="0"/>
              <w:autoSpaceDN w:val="0"/>
              <w:adjustRightInd w:val="0"/>
              <w:jc w:val="left"/>
              <w:rPr>
                <w:rFonts w:ascii="宋体" w:hAnsi="宋体" w:eastAsia="宋体" w:cs="宋体"/>
                <w:color w:val="auto"/>
                <w:sz w:val="24"/>
                <w:szCs w:val="24"/>
                <w:highlight w:val="none"/>
              </w:rPr>
            </w:pPr>
            <w:r>
              <w:rPr>
                <w:rFonts w:hint="eastAsia" w:ascii="宋体" w:hAnsi="Calibri" w:eastAsia="宋体" w:cs="宋体"/>
                <w:color w:val="auto"/>
                <w:kern w:val="0"/>
                <w:sz w:val="24"/>
                <w:szCs w:val="24"/>
                <w:highlight w:val="none"/>
              </w:rPr>
              <w:t>软件分析功能：实验结束后软件可识别蛋白条带、计算出目标蛋白峰形信号图的峰面积、信噪比等数据。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8、</w:t>
            </w:r>
          </w:p>
        </w:tc>
        <w:tc>
          <w:tcPr>
            <w:tcW w:w="6432" w:type="dxa"/>
            <w:noWrap w:val="0"/>
            <w:vAlign w:val="center"/>
          </w:tcPr>
          <w:p>
            <w:pPr>
              <w:spacing w:line="276" w:lineRule="auto"/>
              <w:rPr>
                <w:rFonts w:ascii="宋体" w:hAnsi="宋体" w:eastAsia="宋体" w:cs="宋体"/>
                <w:color w:val="auto"/>
                <w:sz w:val="24"/>
                <w:szCs w:val="24"/>
                <w:highlight w:val="none"/>
              </w:rPr>
            </w:pPr>
            <w:r>
              <w:rPr>
                <w:rFonts w:hint="eastAsia" w:ascii="宋体" w:hAnsi="Calibri" w:eastAsia="宋体" w:cs="宋体"/>
                <w:color w:val="auto"/>
                <w:kern w:val="0"/>
                <w:sz w:val="24"/>
                <w:szCs w:val="24"/>
                <w:highlight w:val="none"/>
              </w:rPr>
              <w:t>质保期内每年均免费提供分离试剂盒≥</w:t>
            </w:r>
            <w:r>
              <w:rPr>
                <w:rFonts w:ascii="宋体" w:hAnsi="Calibri" w:eastAsia="宋体" w:cs="宋体"/>
                <w:color w:val="auto"/>
                <w:kern w:val="0"/>
                <w:sz w:val="24"/>
                <w:szCs w:val="24"/>
                <w:highlight w:val="none"/>
              </w:rPr>
              <w:t>5</w:t>
            </w:r>
            <w:r>
              <w:rPr>
                <w:rFonts w:hint="eastAsia" w:ascii="宋体" w:hAnsi="Calibri" w:eastAsia="宋体" w:cs="宋体"/>
                <w:color w:val="auto"/>
                <w:kern w:val="0"/>
                <w:sz w:val="24"/>
                <w:szCs w:val="24"/>
                <w:highlight w:val="none"/>
              </w:rPr>
              <w:t>套，检测试剂盒≥</w:t>
            </w:r>
            <w:r>
              <w:rPr>
                <w:rFonts w:ascii="宋体" w:hAnsi="Calibri" w:eastAsia="宋体" w:cs="宋体"/>
                <w:color w:val="auto"/>
                <w:kern w:val="0"/>
                <w:sz w:val="24"/>
                <w:szCs w:val="24"/>
                <w:highlight w:val="none"/>
              </w:rPr>
              <w:t xml:space="preserve">2 </w:t>
            </w:r>
            <w:r>
              <w:rPr>
                <w:rFonts w:hint="eastAsia" w:ascii="宋体" w:hAnsi="Calibri" w:eastAsia="宋体" w:cs="宋体"/>
                <w:color w:val="auto"/>
                <w:kern w:val="0"/>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ascii="宋体" w:hAnsi="宋体" w:eastAsia="宋体" w:cs="宋体"/>
                <w:color w:val="auto"/>
                <w:sz w:val="24"/>
                <w:szCs w:val="24"/>
                <w:highlight w:val="none"/>
              </w:rPr>
              <w:t>2.9</w:t>
            </w:r>
            <w:r>
              <w:rPr>
                <w:rFonts w:hint="eastAsia" w:ascii="宋体" w:hAnsi="宋体" w:eastAsia="宋体" w:cs="宋体"/>
                <w:color w:val="auto"/>
                <w:sz w:val="24"/>
                <w:szCs w:val="24"/>
                <w:highlight w:val="none"/>
              </w:rPr>
              <w:t>、</w:t>
            </w:r>
          </w:p>
        </w:tc>
        <w:tc>
          <w:tcPr>
            <w:tcW w:w="6432" w:type="dxa"/>
            <w:noWrap w:val="0"/>
            <w:vAlign w:val="center"/>
          </w:tcPr>
          <w:p>
            <w:pPr>
              <w:spacing w:line="276" w:lineRule="auto"/>
              <w:rPr>
                <w:rFonts w:ascii="宋体" w:hAnsi="宋体" w:eastAsia="宋体" w:cs="宋体"/>
                <w:color w:val="auto"/>
                <w:sz w:val="24"/>
                <w:szCs w:val="24"/>
                <w:highlight w:val="none"/>
              </w:rPr>
            </w:pPr>
            <w:r>
              <w:rPr>
                <w:rFonts w:hint="eastAsia" w:ascii="宋体" w:hAnsi="Calibri" w:eastAsia="宋体" w:cs="宋体"/>
                <w:color w:val="auto"/>
                <w:kern w:val="0"/>
                <w:sz w:val="24"/>
                <w:szCs w:val="24"/>
                <w:highlight w:val="none"/>
              </w:rPr>
              <w:t>数据呈现形式：数据结果有条带图和峰形图等不同呈现形式。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2.10</w:t>
            </w:r>
            <w:r>
              <w:rPr>
                <w:rFonts w:hint="eastAsia" w:ascii="宋体" w:hAnsi="宋体" w:eastAsia="宋体" w:cs="宋体"/>
                <w:color w:val="auto"/>
                <w:sz w:val="24"/>
                <w:szCs w:val="24"/>
                <w:highlight w:val="none"/>
              </w:rPr>
              <w:t>、</w:t>
            </w:r>
          </w:p>
        </w:tc>
        <w:tc>
          <w:tcPr>
            <w:tcW w:w="6432" w:type="dxa"/>
            <w:noWrap w:val="0"/>
            <w:vAlign w:val="center"/>
          </w:tcPr>
          <w:p>
            <w:pPr>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实时监控：通过荧光内标分子实时监控蛋白质基于分子量毛细管电泳分离的全过程，并以影像的形式存于实验文件中，后期可随时回放该电泳分离过程。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.11</w:t>
            </w:r>
            <w:r>
              <w:rPr>
                <w:rFonts w:hint="eastAsia" w:ascii="宋体" w:hAnsi="宋体" w:eastAsia="宋体" w:cs="宋体"/>
                <w:color w:val="auto"/>
                <w:sz w:val="24"/>
                <w:szCs w:val="24"/>
                <w:highlight w:val="none"/>
              </w:rPr>
              <w:t>、</w:t>
            </w:r>
          </w:p>
        </w:tc>
        <w:tc>
          <w:tcPr>
            <w:tcW w:w="6432" w:type="dxa"/>
            <w:noWrap w:val="0"/>
            <w:vAlign w:val="center"/>
          </w:tcPr>
          <w:p>
            <w:pPr>
              <w:spacing w:line="276" w:lineRule="auto"/>
              <w:rPr>
                <w:rFonts w:ascii="宋体" w:hAnsi="宋体" w:eastAsia="宋体" w:cs="宋体"/>
                <w:color w:val="auto"/>
                <w:sz w:val="24"/>
                <w:szCs w:val="24"/>
                <w:highlight w:val="none"/>
              </w:rPr>
            </w:pPr>
            <w:r>
              <w:rPr>
                <w:rFonts w:hint="eastAsia" w:ascii="宋体" w:hAnsi="Calibri" w:eastAsia="宋体" w:cs="宋体"/>
                <w:color w:val="auto"/>
                <w:kern w:val="0"/>
                <w:sz w:val="24"/>
                <w:szCs w:val="24"/>
                <w:highlight w:val="none"/>
              </w:rPr>
              <w:t>制胶：系统无需制胶过程，也不用预制胶。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ascii="宋体" w:hAnsi="宋体" w:eastAsia="宋体" w:cs="宋体"/>
                <w:color w:val="auto"/>
                <w:sz w:val="24"/>
                <w:szCs w:val="24"/>
                <w:highlight w:val="none"/>
              </w:rPr>
              <w:t>2.12</w:t>
            </w:r>
            <w:r>
              <w:rPr>
                <w:rFonts w:hint="eastAsia" w:ascii="宋体" w:hAnsi="宋体" w:eastAsia="宋体" w:cs="宋体"/>
                <w:color w:val="auto"/>
                <w:sz w:val="24"/>
                <w:szCs w:val="24"/>
                <w:highlight w:val="none"/>
              </w:rPr>
              <w:t>、</w:t>
            </w:r>
          </w:p>
        </w:tc>
        <w:tc>
          <w:tcPr>
            <w:tcW w:w="6432" w:type="dxa"/>
            <w:noWrap w:val="0"/>
            <w:vAlign w:val="center"/>
          </w:tcPr>
          <w:p>
            <w:pPr>
              <w:spacing w:line="276" w:lineRule="auto"/>
              <w:rPr>
                <w:rFonts w:ascii="宋体" w:hAnsi="宋体" w:eastAsia="宋体" w:cs="宋体"/>
                <w:color w:val="auto"/>
                <w:sz w:val="24"/>
                <w:szCs w:val="24"/>
                <w:highlight w:val="none"/>
              </w:rPr>
            </w:pPr>
            <w:r>
              <w:rPr>
                <w:rFonts w:hint="eastAsia" w:ascii="宋体" w:hAnsi="Calibri" w:eastAsia="宋体" w:cs="宋体"/>
                <w:color w:val="auto"/>
                <w:kern w:val="0"/>
                <w:sz w:val="24"/>
                <w:szCs w:val="24"/>
                <w:highlight w:val="none"/>
              </w:rPr>
              <w:t>转膜：系统无需转膜步骤。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rPr>
              <w:t>、</w:t>
            </w:r>
          </w:p>
        </w:tc>
        <w:tc>
          <w:tcPr>
            <w:tcW w:w="6432" w:type="dxa"/>
            <w:noWrap w:val="0"/>
            <w:vAlign w:val="center"/>
          </w:tcPr>
          <w:p>
            <w:pPr>
              <w:spacing w:line="276" w:lineRule="auto"/>
              <w:rPr>
                <w:rFonts w:ascii="宋体" w:hAnsi="宋体" w:eastAsia="宋体" w:cs="宋体"/>
                <w:color w:val="auto"/>
                <w:sz w:val="24"/>
                <w:szCs w:val="24"/>
                <w:highlight w:val="none"/>
              </w:rPr>
            </w:pPr>
            <w:r>
              <w:rPr>
                <w:rFonts w:hint="eastAsia" w:ascii="宋体" w:hAnsi="Calibri" w:eastAsia="宋体" w:cs="宋体"/>
                <w:color w:val="auto"/>
                <w:kern w:val="0"/>
                <w:sz w:val="24"/>
                <w:szCs w:val="24"/>
                <w:highlight w:val="none"/>
              </w:rPr>
              <w:t>样本准备量：进样体积≤50nL。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noWrap w:val="0"/>
            <w:vAlign w:val="center"/>
          </w:tcPr>
          <w:p>
            <w:pPr>
              <w:widowControl/>
              <w:spacing w:line="276" w:lineRule="auto"/>
              <w:jc w:val="center"/>
              <w:rPr>
                <w:rFonts w:ascii="宋体" w:hAnsi="宋体" w:eastAsia="宋体" w:cs="宋体"/>
                <w:color w:val="auto"/>
                <w:sz w:val="24"/>
                <w:szCs w:val="24"/>
                <w:highlight w:val="none"/>
              </w:rPr>
            </w:pPr>
          </w:p>
        </w:tc>
        <w:tc>
          <w:tcPr>
            <w:tcW w:w="1051" w:type="dxa"/>
            <w:vMerge w:val="continue"/>
            <w:noWrap w:val="0"/>
            <w:vAlign w:val="center"/>
          </w:tcPr>
          <w:p>
            <w:pPr>
              <w:widowControl/>
              <w:spacing w:line="276" w:lineRule="auto"/>
              <w:ind w:firstLine="120" w:firstLineChars="50"/>
              <w:rPr>
                <w:rFonts w:ascii="宋体" w:hAnsi="宋体" w:eastAsia="宋体" w:cs="宋体"/>
                <w:color w:val="auto"/>
                <w:sz w:val="24"/>
                <w:szCs w:val="24"/>
                <w:highlight w:val="none"/>
              </w:rPr>
            </w:pPr>
          </w:p>
        </w:tc>
        <w:tc>
          <w:tcPr>
            <w:tcW w:w="1030" w:type="dxa"/>
            <w:noWrap w:val="0"/>
            <w:vAlign w:val="center"/>
          </w:tcPr>
          <w:p>
            <w:pPr>
              <w:spacing w:line="276"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2.14</w:t>
            </w:r>
            <w:r>
              <w:rPr>
                <w:rFonts w:hint="eastAsia" w:ascii="宋体" w:hAnsi="宋体" w:eastAsia="宋体" w:cs="宋体"/>
                <w:color w:val="auto"/>
                <w:sz w:val="24"/>
                <w:szCs w:val="24"/>
                <w:highlight w:val="none"/>
              </w:rPr>
              <w:t>、</w:t>
            </w:r>
          </w:p>
        </w:tc>
        <w:tc>
          <w:tcPr>
            <w:tcW w:w="6432" w:type="dxa"/>
            <w:noWrap w:val="0"/>
            <w:vAlign w:val="center"/>
          </w:tcPr>
          <w:p>
            <w:pPr>
              <w:spacing w:line="276" w:lineRule="auto"/>
              <w:rPr>
                <w:rFonts w:ascii="宋体" w:hAnsi="宋体" w:eastAsia="宋体" w:cs="宋体"/>
                <w:color w:val="auto"/>
                <w:sz w:val="24"/>
                <w:szCs w:val="24"/>
                <w:highlight w:val="none"/>
              </w:rPr>
            </w:pPr>
            <w:r>
              <w:rPr>
                <w:rFonts w:hint="eastAsia" w:ascii="宋体" w:hAnsi="Calibri" w:eastAsia="宋体" w:cs="宋体"/>
                <w:color w:val="auto"/>
                <w:kern w:val="0"/>
                <w:sz w:val="24"/>
                <w:szCs w:val="24"/>
                <w:highlight w:val="none"/>
              </w:rPr>
              <w:t>运行时间：一次完整检测的运行时间≤</w:t>
            </w:r>
            <w:r>
              <w:rPr>
                <w:rFonts w:ascii="宋体" w:hAnsi="Calibri" w:eastAsia="宋体" w:cs="宋体"/>
                <w:color w:val="auto"/>
                <w:kern w:val="0"/>
                <w:sz w:val="24"/>
                <w:szCs w:val="24"/>
                <w:highlight w:val="none"/>
              </w:rPr>
              <w:t>4</w:t>
            </w:r>
            <w:r>
              <w:rPr>
                <w:rFonts w:hint="eastAsia" w:ascii="宋体" w:hAnsi="Calibri" w:eastAsia="宋体" w:cs="宋体"/>
                <w:color w:val="auto"/>
                <w:kern w:val="0"/>
                <w:sz w:val="24"/>
                <w:szCs w:val="24"/>
                <w:highlight w:val="none"/>
              </w:rPr>
              <w:t>个小时。</w:t>
            </w:r>
          </w:p>
        </w:tc>
      </w:tr>
    </w:tbl>
    <w:p>
      <w:pPr>
        <w:pStyle w:val="2"/>
        <w:ind w:firstLine="482"/>
        <w:rPr>
          <w:rFonts w:hint="eastAsia" w:ascii="宋体" w:cs="Times New Roman"/>
          <w:b/>
          <w:color w:val="auto"/>
          <w:sz w:val="24"/>
          <w:szCs w:val="22"/>
          <w:highlight w:val="none"/>
        </w:rPr>
      </w:pPr>
    </w:p>
    <w:p>
      <w:pPr>
        <w:pStyle w:val="2"/>
        <w:ind w:firstLine="482"/>
        <w:rPr>
          <w:rFonts w:hint="eastAsia" w:ascii="宋体" w:cs="Times New Roman"/>
          <w:b/>
          <w:color w:val="auto"/>
          <w:sz w:val="24"/>
          <w:szCs w:val="22"/>
          <w:highlight w:val="none"/>
        </w:rPr>
      </w:pPr>
    </w:p>
    <w:p>
      <w:pPr>
        <w:spacing w:line="360" w:lineRule="auto"/>
        <w:jc w:val="center"/>
        <w:rPr>
          <w:rFonts w:hint="eastAsia" w:ascii="宋体" w:hAnsi="宋体" w:eastAsia="宋体" w:cs="Times New Roman"/>
          <w:b/>
          <w:color w:val="auto"/>
          <w:sz w:val="24"/>
          <w:szCs w:val="22"/>
          <w:highlight w:val="none"/>
        </w:rPr>
      </w:pPr>
    </w:p>
    <w:p>
      <w:pPr>
        <w:spacing w:line="360" w:lineRule="auto"/>
        <w:outlineLvl w:val="1"/>
        <w:rPr>
          <w:rFonts w:ascii="宋体" w:hAnsi="宋体" w:eastAsia="宋体" w:cs="Times New Roman"/>
          <w:b/>
          <w:color w:val="auto"/>
          <w:highlight w:val="none"/>
        </w:rPr>
      </w:pPr>
      <w:r>
        <w:rPr>
          <w:rFonts w:hint="eastAsia" w:ascii="宋体" w:hAnsi="宋体" w:eastAsia="宋体" w:cs="Times New Roman"/>
          <w:b/>
          <w:color w:val="auto"/>
          <w:sz w:val="24"/>
          <w:szCs w:val="22"/>
          <w:highlight w:val="none"/>
        </w:rPr>
        <w:br w:type="page"/>
      </w:r>
      <w:r>
        <w:rPr>
          <w:rFonts w:hint="eastAsia" w:ascii="宋体" w:hAnsi="宋体" w:eastAsia="宋体" w:cs="Times New Roman"/>
          <w:b/>
          <w:color w:val="auto"/>
          <w:sz w:val="24"/>
          <w:szCs w:val="22"/>
          <w:highlight w:val="none"/>
        </w:rPr>
        <w:t>（二）商务要求</w:t>
      </w:r>
    </w:p>
    <w:p>
      <w:pPr>
        <w:numPr>
          <w:ilvl w:val="0"/>
          <w:numId w:val="2"/>
        </w:numPr>
        <w:autoSpaceDE w:val="0"/>
        <w:autoSpaceDN w:val="0"/>
        <w:adjustRightInd w:val="0"/>
        <w:spacing w:line="360" w:lineRule="auto"/>
        <w:ind w:left="425" w:hanging="425"/>
        <w:rPr>
          <w:rFonts w:hint="eastAsia" w:ascii="宋体" w:hAnsi="宋体" w:eastAsia="宋体" w:cs="宋体"/>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★交货地点：</w:t>
      </w:r>
      <w:r>
        <w:rPr>
          <w:rFonts w:hint="eastAsia" w:ascii="宋体" w:hAnsi="宋体" w:eastAsia="宋体" w:cs="宋体"/>
          <w:color w:val="auto"/>
          <w:kern w:val="0"/>
          <w:sz w:val="24"/>
          <w:szCs w:val="24"/>
          <w:highlight w:val="none"/>
        </w:rPr>
        <w:t>采购人</w:t>
      </w:r>
      <w:r>
        <w:rPr>
          <w:rFonts w:hint="eastAsia" w:ascii="宋体" w:hAnsi="宋体" w:eastAsia="宋体" w:cs="宋体"/>
          <w:color w:val="auto"/>
          <w:kern w:val="0"/>
          <w:sz w:val="24"/>
          <w:szCs w:val="24"/>
          <w:highlight w:val="none"/>
          <w:lang w:val="zh-CN"/>
        </w:rPr>
        <w:t>指定地点</w:t>
      </w:r>
    </w:p>
    <w:p>
      <w:pPr>
        <w:numPr>
          <w:ilvl w:val="0"/>
          <w:numId w:val="2"/>
        </w:numPr>
        <w:tabs>
          <w:tab w:val="left" w:pos="420"/>
        </w:tabs>
        <w:autoSpaceDE w:val="0"/>
        <w:autoSpaceDN w:val="0"/>
        <w:adjustRightInd w:val="0"/>
        <w:spacing w:line="360" w:lineRule="auto"/>
        <w:ind w:left="425" w:hanging="425"/>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★交货期：</w:t>
      </w:r>
      <w:r>
        <w:rPr>
          <w:rFonts w:hint="eastAsia" w:ascii="宋体" w:hAnsi="宋体" w:eastAsia="宋体" w:cs="宋体"/>
          <w:color w:val="auto"/>
          <w:kern w:val="0"/>
          <w:sz w:val="24"/>
          <w:szCs w:val="24"/>
          <w:highlight w:val="none"/>
          <w:lang w:val="de-DE"/>
        </w:rPr>
        <w:t>合同签订后</w:t>
      </w:r>
      <w:r>
        <w:rPr>
          <w:rFonts w:ascii="宋体" w:hAnsi="宋体" w:eastAsia="宋体" w:cs="宋体"/>
          <w:color w:val="auto"/>
          <w:kern w:val="0"/>
          <w:sz w:val="24"/>
          <w:szCs w:val="24"/>
          <w:highlight w:val="none"/>
        </w:rPr>
        <w:t>6</w:t>
      </w:r>
      <w:r>
        <w:rPr>
          <w:rFonts w:hint="eastAsia" w:ascii="宋体" w:hAnsi="宋体" w:eastAsia="宋体" w:cs="宋体"/>
          <w:color w:val="auto"/>
          <w:kern w:val="0"/>
          <w:sz w:val="24"/>
          <w:szCs w:val="24"/>
          <w:highlight w:val="none"/>
        </w:rPr>
        <w:t>个月</w:t>
      </w:r>
      <w:r>
        <w:rPr>
          <w:rFonts w:hint="eastAsia" w:ascii="宋体" w:hAnsi="宋体" w:eastAsia="宋体" w:cs="宋体"/>
          <w:color w:val="auto"/>
          <w:kern w:val="0"/>
          <w:sz w:val="24"/>
          <w:szCs w:val="24"/>
          <w:highlight w:val="none"/>
          <w:lang w:val="zh-CN"/>
        </w:rPr>
        <w:t>交货。</w:t>
      </w:r>
    </w:p>
    <w:p>
      <w:pPr>
        <w:numPr>
          <w:ilvl w:val="0"/>
          <w:numId w:val="2"/>
        </w:numPr>
        <w:tabs>
          <w:tab w:val="left" w:pos="420"/>
        </w:tabs>
        <w:autoSpaceDE w:val="0"/>
        <w:autoSpaceDN w:val="0"/>
        <w:adjustRightInd w:val="0"/>
        <w:spacing w:line="360" w:lineRule="auto"/>
        <w:ind w:left="425" w:hanging="425"/>
        <w:rPr>
          <w:rFonts w:hint="eastAsia" w:ascii="宋体" w:hAnsi="宋体" w:eastAsia="宋体" w:cs="宋体"/>
          <w:color w:val="auto"/>
          <w:sz w:val="24"/>
          <w:szCs w:val="24"/>
          <w:highlight w:val="none"/>
          <w:lang w:val="zh-CN"/>
        </w:rPr>
      </w:pPr>
      <w:r>
        <w:rPr>
          <w:rFonts w:hint="eastAsia" w:ascii="宋体" w:hAnsi="宋体" w:eastAsia="宋体" w:cs="宋体"/>
          <w:b/>
          <w:bCs/>
          <w:color w:val="auto"/>
          <w:kern w:val="0"/>
          <w:sz w:val="24"/>
          <w:szCs w:val="24"/>
          <w:highlight w:val="none"/>
          <w:lang w:val="zh-CN"/>
        </w:rPr>
        <w:t>★报价方式及要求：</w:t>
      </w:r>
    </w:p>
    <w:p>
      <w:pPr>
        <w:numPr>
          <w:ilvl w:val="0"/>
          <w:numId w:val="3"/>
        </w:numPr>
        <w:tabs>
          <w:tab w:val="left" w:pos="420"/>
          <w:tab w:val="clear" w:pos="312"/>
        </w:tabs>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本项目允许采购进口产品参与投标，不拒绝投标人选用国产产品参与投标（进口产品是指通过海关验放进入中国境内且产自关境外的进口产品）</w:t>
      </w:r>
    </w:p>
    <w:p>
      <w:pPr>
        <w:numPr>
          <w:ilvl w:val="0"/>
          <w:numId w:val="3"/>
        </w:numPr>
        <w:tabs>
          <w:tab w:val="left" w:pos="420"/>
          <w:tab w:val="clear" w:pos="312"/>
        </w:tabs>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进口产品与服务均报项目现场交货人民币免税价。</w:t>
      </w:r>
      <w:r>
        <w:rPr>
          <w:rFonts w:hint="eastAsia" w:ascii="宋体" w:hAnsi="宋体" w:eastAsia="宋体" w:cs="宋体"/>
          <w:color w:val="auto"/>
          <w:sz w:val="24"/>
          <w:szCs w:val="24"/>
          <w:highlight w:val="none"/>
          <w:lang w:val="zh-CN"/>
        </w:rPr>
        <w:t>投标价包含仪器设备的价款、包装、运输、装卸、安装、调试、技术指导、培训、咨询、服务、保险、检测、验收合格交付使用之前以及技术和售后服务等其他各项有关费用。</w:t>
      </w:r>
    </w:p>
    <w:p>
      <w:pPr>
        <w:numPr>
          <w:ilvl w:val="0"/>
          <w:numId w:val="3"/>
        </w:numPr>
        <w:tabs>
          <w:tab w:val="left" w:pos="420"/>
          <w:tab w:val="clear" w:pos="312"/>
        </w:tabs>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国产产品与服务均报项目现场交货人民币含税价。</w:t>
      </w:r>
      <w:r>
        <w:rPr>
          <w:rFonts w:hint="eastAsia" w:ascii="宋体" w:hAnsi="宋体" w:eastAsia="宋体" w:cs="宋体"/>
          <w:color w:val="auto"/>
          <w:sz w:val="24"/>
          <w:szCs w:val="24"/>
          <w:highlight w:val="none"/>
          <w:lang w:val="zh-CN"/>
        </w:rPr>
        <w:t>投标价包含仪器设备的价款、包装、税费、运输、装卸、安装、调试、技术指导、培训、咨询、服务、保险、检测、验收合格交付使用之前以及技术和售后服务等其他各项有关费用。</w:t>
      </w:r>
    </w:p>
    <w:p>
      <w:pPr>
        <w:numPr>
          <w:ilvl w:val="0"/>
          <w:numId w:val="3"/>
        </w:numPr>
        <w:tabs>
          <w:tab w:val="left" w:pos="420"/>
          <w:tab w:val="clear" w:pos="312"/>
        </w:tabs>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pPr>
        <w:numPr>
          <w:ilvl w:val="0"/>
          <w:numId w:val="3"/>
        </w:numPr>
        <w:tabs>
          <w:tab w:val="left" w:pos="420"/>
          <w:tab w:val="clear" w:pos="312"/>
        </w:tabs>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投标报价不得超过采购预算（如有最高限价则不得超出最高限价）。</w:t>
      </w:r>
    </w:p>
    <w:p>
      <w:pPr>
        <w:numPr>
          <w:ilvl w:val="0"/>
          <w:numId w:val="2"/>
        </w:numPr>
        <w:tabs>
          <w:tab w:val="left" w:pos="0"/>
        </w:tabs>
        <w:autoSpaceDE w:val="0"/>
        <w:autoSpaceDN w:val="0"/>
        <w:adjustRightInd w:val="0"/>
        <w:spacing w:line="360" w:lineRule="auto"/>
        <w:ind w:left="425" w:hanging="425"/>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b/>
          <w:bCs/>
          <w:color w:val="auto"/>
          <w:kern w:val="0"/>
          <w:sz w:val="24"/>
          <w:szCs w:val="24"/>
          <w:highlight w:val="none"/>
        </w:rPr>
        <w:t>进</w:t>
      </w:r>
      <w:r>
        <w:rPr>
          <w:rFonts w:hint="eastAsia" w:ascii="宋体" w:hAnsi="宋体" w:eastAsia="宋体" w:cs="宋体"/>
          <w:b/>
          <w:bCs/>
          <w:color w:val="auto"/>
          <w:kern w:val="0"/>
          <w:sz w:val="24"/>
          <w:szCs w:val="24"/>
          <w:highlight w:val="none"/>
          <w:lang w:val="zh-CN"/>
        </w:rPr>
        <w:t>口产品需在中标后签订供货合同时提供原厂有效授权</w:t>
      </w:r>
      <w:r>
        <w:rPr>
          <w:rFonts w:hint="eastAsia" w:ascii="宋体" w:hAnsi="宋体" w:eastAsia="宋体" w:cs="宋体"/>
          <w:b/>
          <w:bCs/>
          <w:color w:val="auto"/>
          <w:kern w:val="0"/>
          <w:sz w:val="24"/>
          <w:szCs w:val="24"/>
          <w:highlight w:val="none"/>
        </w:rPr>
        <w:t>书。</w:t>
      </w:r>
    </w:p>
    <w:p>
      <w:pPr>
        <w:numPr>
          <w:ilvl w:val="0"/>
          <w:numId w:val="2"/>
        </w:numPr>
        <w:tabs>
          <w:tab w:val="left" w:pos="0"/>
        </w:tabs>
        <w:autoSpaceDE w:val="0"/>
        <w:autoSpaceDN w:val="0"/>
        <w:adjustRightInd w:val="0"/>
        <w:spacing w:line="360" w:lineRule="auto"/>
        <w:ind w:left="425" w:hanging="425"/>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★付款方式：</w:t>
      </w:r>
    </w:p>
    <w:p>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zh-CN"/>
        </w:rPr>
        <w:t>签订合同后中标人提供合法正规发票采购人支付</w:t>
      </w:r>
      <w:r>
        <w:rPr>
          <w:rFonts w:hint="eastAsia" w:ascii="宋体" w:hAnsi="宋体" w:eastAsia="宋体" w:cs="宋体"/>
          <w:color w:val="auto"/>
          <w:sz w:val="24"/>
          <w:szCs w:val="24"/>
          <w:highlight w:val="none"/>
          <w:u w:val="single"/>
        </w:rPr>
        <w:t>4</w:t>
      </w:r>
      <w:r>
        <w:rPr>
          <w:rFonts w:ascii="宋体" w:hAnsi="宋体" w:eastAsia="宋体" w:cs="宋体"/>
          <w:color w:val="auto"/>
          <w:sz w:val="24"/>
          <w:szCs w:val="24"/>
          <w:highlight w:val="none"/>
          <w:u w:val="single"/>
        </w:rPr>
        <w:t>0</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lang w:val="zh-CN"/>
        </w:rPr>
        <w:t>货款，</w:t>
      </w:r>
      <w:r>
        <w:rPr>
          <w:rFonts w:hint="eastAsia" w:ascii="宋体" w:hAnsi="宋体" w:eastAsia="宋体" w:cs="宋体"/>
          <w:color w:val="auto"/>
          <w:sz w:val="24"/>
          <w:szCs w:val="24"/>
          <w:highlight w:val="none"/>
        </w:rPr>
        <w:t>合同总金额10%的</w:t>
      </w:r>
      <w:r>
        <w:rPr>
          <w:rFonts w:hint="eastAsia" w:ascii="宋体" w:hAnsi="宋体" w:eastAsia="宋体" w:cs="宋体"/>
          <w:color w:val="auto"/>
          <w:sz w:val="24"/>
          <w:szCs w:val="24"/>
          <w:highlight w:val="none"/>
          <w:lang w:val="zh-CN"/>
        </w:rPr>
        <w:t>履约</w:t>
      </w:r>
      <w:r>
        <w:rPr>
          <w:rFonts w:hint="eastAsia" w:ascii="宋体" w:hAnsi="宋体" w:eastAsia="宋体" w:cs="宋体"/>
          <w:color w:val="auto"/>
          <w:sz w:val="24"/>
          <w:szCs w:val="24"/>
          <w:highlight w:val="none"/>
        </w:rPr>
        <w:t>保函于合同签订后1</w:t>
      </w:r>
      <w:r>
        <w:rPr>
          <w:rFonts w:ascii="宋体" w:hAnsi="宋体" w:eastAsia="宋体" w:cs="宋体"/>
          <w:color w:val="auto"/>
          <w:sz w:val="24"/>
          <w:szCs w:val="24"/>
          <w:highlight w:val="none"/>
        </w:rPr>
        <w:t>0</w:t>
      </w:r>
      <w:r>
        <w:rPr>
          <w:rFonts w:hint="eastAsia" w:ascii="宋体" w:hAnsi="宋体" w:eastAsia="宋体" w:cs="宋体"/>
          <w:color w:val="auto"/>
          <w:sz w:val="24"/>
          <w:szCs w:val="24"/>
          <w:highlight w:val="none"/>
        </w:rPr>
        <w:t>个工作日内提供给甲方</w:t>
      </w:r>
      <w:r>
        <w:rPr>
          <w:rFonts w:hint="eastAsia" w:ascii="宋体" w:hAnsi="宋体" w:eastAsia="宋体" w:cs="宋体"/>
          <w:color w:val="auto"/>
          <w:sz w:val="24"/>
          <w:szCs w:val="24"/>
          <w:highlight w:val="none"/>
          <w:lang w:val="zh-CN"/>
        </w:rPr>
        <w:t>，设备发货后（提供装箱单或其他运输资料）支付4</w:t>
      </w:r>
      <w:r>
        <w:rPr>
          <w:rFonts w:ascii="宋体" w:hAnsi="宋体" w:eastAsia="宋体" w:cs="宋体"/>
          <w:color w:val="auto"/>
          <w:sz w:val="24"/>
          <w:szCs w:val="24"/>
          <w:highlight w:val="none"/>
          <w:lang w:val="zh-CN"/>
        </w:rPr>
        <w:t>0</w:t>
      </w:r>
      <w:r>
        <w:rPr>
          <w:rFonts w:hint="eastAsia" w:ascii="宋体" w:hAnsi="宋体" w:eastAsia="宋体" w:cs="宋体"/>
          <w:color w:val="auto"/>
          <w:sz w:val="24"/>
          <w:szCs w:val="24"/>
          <w:highlight w:val="none"/>
          <w:lang w:val="zh-CN"/>
        </w:rPr>
        <w:t>%货款，验收合格后，中标人提供合法正规发票采购人支付剩余</w:t>
      </w:r>
      <w:r>
        <w:rPr>
          <w:rFonts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lang w:val="zh-CN"/>
        </w:rPr>
        <w:t>货款同时退还履约</w:t>
      </w:r>
      <w:r>
        <w:rPr>
          <w:rFonts w:hint="eastAsia" w:ascii="宋体" w:hAnsi="宋体" w:eastAsia="宋体" w:cs="宋体"/>
          <w:color w:val="auto"/>
          <w:sz w:val="24"/>
          <w:szCs w:val="24"/>
          <w:highlight w:val="none"/>
        </w:rPr>
        <w:t>保证金</w:t>
      </w:r>
      <w:r>
        <w:rPr>
          <w:rFonts w:hint="eastAsia" w:ascii="宋体" w:hAnsi="宋体" w:eastAsia="宋体" w:cs="宋体"/>
          <w:color w:val="auto"/>
          <w:sz w:val="24"/>
          <w:szCs w:val="24"/>
          <w:highlight w:val="none"/>
          <w:lang w:val="zh-CN"/>
        </w:rPr>
        <w:t>。</w:t>
      </w:r>
    </w:p>
    <w:p>
      <w:pPr>
        <w:numPr>
          <w:ilvl w:val="0"/>
          <w:numId w:val="2"/>
        </w:numPr>
        <w:tabs>
          <w:tab w:val="left" w:pos="0"/>
        </w:tabs>
        <w:autoSpaceDE w:val="0"/>
        <w:autoSpaceDN w:val="0"/>
        <w:adjustRightInd w:val="0"/>
        <w:spacing w:line="360" w:lineRule="auto"/>
        <w:ind w:left="425" w:hanging="425"/>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质保</w:t>
      </w:r>
      <w:r>
        <w:rPr>
          <w:rFonts w:hint="eastAsia" w:ascii="宋体" w:hAnsi="宋体" w:eastAsia="宋体" w:cs="宋体"/>
          <w:b/>
          <w:bCs/>
          <w:color w:val="auto"/>
          <w:kern w:val="0"/>
          <w:sz w:val="24"/>
          <w:szCs w:val="24"/>
          <w:highlight w:val="none"/>
        </w:rPr>
        <w:t>及</w:t>
      </w:r>
      <w:r>
        <w:rPr>
          <w:rFonts w:hint="eastAsia" w:ascii="宋体" w:hAnsi="宋体" w:eastAsia="宋体" w:cs="宋体"/>
          <w:b/>
          <w:bCs/>
          <w:color w:val="auto"/>
          <w:kern w:val="0"/>
          <w:sz w:val="24"/>
          <w:szCs w:val="24"/>
          <w:highlight w:val="none"/>
          <w:lang w:val="zh-CN"/>
        </w:rPr>
        <w:t>售后服务</w:t>
      </w:r>
      <w:r>
        <w:rPr>
          <w:rFonts w:hint="eastAsia" w:ascii="宋体" w:hAnsi="宋体" w:eastAsia="宋体" w:cs="宋体"/>
          <w:b/>
          <w:bCs/>
          <w:color w:val="auto"/>
          <w:kern w:val="0"/>
          <w:sz w:val="24"/>
          <w:szCs w:val="24"/>
          <w:highlight w:val="none"/>
        </w:rPr>
        <w:t>要求</w:t>
      </w:r>
      <w:r>
        <w:rPr>
          <w:rFonts w:hint="eastAsia" w:ascii="宋体" w:hAnsi="宋体" w:eastAsia="宋体" w:cs="宋体"/>
          <w:b/>
          <w:bCs/>
          <w:color w:val="auto"/>
          <w:kern w:val="0"/>
          <w:sz w:val="24"/>
          <w:szCs w:val="24"/>
          <w:highlight w:val="none"/>
          <w:lang w:val="zh-CN"/>
        </w:rPr>
        <w:t>：</w:t>
      </w:r>
    </w:p>
    <w:p>
      <w:pPr>
        <w:widowControl/>
        <w:numPr>
          <w:ilvl w:val="0"/>
          <w:numId w:val="4"/>
        </w:numPr>
        <w:tabs>
          <w:tab w:val="left" w:pos="420"/>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投标人需为本项目配备足够的售后服务力量，具有国内本地化的服务团队。</w:t>
      </w:r>
    </w:p>
    <w:p>
      <w:pPr>
        <w:widowControl/>
        <w:numPr>
          <w:ilvl w:val="0"/>
          <w:numId w:val="4"/>
        </w:numPr>
        <w:tabs>
          <w:tab w:val="left" w:pos="420"/>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投标人售后服务响应时间：电话响应时间要求8小时内，到场响应时间要求2个工作日内（指从接到报障至到达故障现场的时间）。</w:t>
      </w:r>
    </w:p>
    <w:p>
      <w:pPr>
        <w:widowControl/>
        <w:numPr>
          <w:ilvl w:val="0"/>
          <w:numId w:val="4"/>
        </w:numPr>
        <w:tabs>
          <w:tab w:val="left" w:pos="420"/>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投标人免费提供技术支持热线电话，满足24小时热线服务。</w:t>
      </w:r>
    </w:p>
    <w:p>
      <w:pPr>
        <w:widowControl/>
        <w:numPr>
          <w:ilvl w:val="0"/>
          <w:numId w:val="4"/>
        </w:numPr>
        <w:tabs>
          <w:tab w:val="left" w:pos="420"/>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投标人免费提供email技术支持，并且在24小时内回复。</w:t>
      </w:r>
    </w:p>
    <w:p>
      <w:pPr>
        <w:widowControl/>
        <w:numPr>
          <w:ilvl w:val="0"/>
          <w:numId w:val="4"/>
        </w:numPr>
        <w:tabs>
          <w:tab w:val="left" w:pos="420"/>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投标人提供仪器设备</w:t>
      </w:r>
      <w:r>
        <w:rPr>
          <w:rFonts w:ascii="宋体" w:hAnsi="宋体" w:eastAsia="宋体" w:cs="宋体"/>
          <w:color w:val="auto"/>
          <w:sz w:val="24"/>
          <w:szCs w:val="24"/>
          <w:highlight w:val="none"/>
        </w:rPr>
        <w:t>保修期一年</w:t>
      </w:r>
      <w:r>
        <w:rPr>
          <w:rFonts w:hint="eastAsia" w:ascii="宋体" w:hAnsi="宋体" w:eastAsia="宋体" w:cs="宋体"/>
          <w:color w:val="auto"/>
          <w:sz w:val="24"/>
          <w:szCs w:val="24"/>
          <w:highlight w:val="none"/>
        </w:rPr>
        <w:t>（保修期内免费维修并更换除消耗品以外的零部件，维修人员的路费、食宿等自理）。</w:t>
      </w:r>
    </w:p>
    <w:p>
      <w:pPr>
        <w:widowControl/>
        <w:numPr>
          <w:ilvl w:val="0"/>
          <w:numId w:val="4"/>
        </w:numPr>
        <w:tabs>
          <w:tab w:val="left" w:pos="420"/>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投标人提供该设备的技术使用说明书及外购配件仪器说明书，并指导在使用该设备时的操作注意事项等。</w:t>
      </w:r>
    </w:p>
    <w:p>
      <w:pPr>
        <w:widowControl/>
        <w:numPr>
          <w:ilvl w:val="0"/>
          <w:numId w:val="4"/>
        </w:numPr>
        <w:tabs>
          <w:tab w:val="left" w:pos="420"/>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投标人提供配套软件三年免费升级服务。</w:t>
      </w:r>
    </w:p>
    <w:p>
      <w:pPr>
        <w:widowControl/>
        <w:numPr>
          <w:ilvl w:val="0"/>
          <w:numId w:val="4"/>
        </w:numPr>
        <w:tabs>
          <w:tab w:val="left" w:pos="420"/>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eastAsia="宋体" w:cs="宋体"/>
          <w:color w:val="auto"/>
          <w:sz w:val="24"/>
          <w:szCs w:val="24"/>
          <w:highlight w:val="none"/>
        </w:rPr>
        <w:t>投标人提供设备二次搬运（含保险）服务。</w:t>
      </w:r>
    </w:p>
    <w:p>
      <w:pPr>
        <w:pStyle w:val="2"/>
        <w:spacing w:line="360" w:lineRule="auto"/>
        <w:ind w:firstLine="480"/>
        <w:rPr>
          <w:rFonts w:hint="eastAsia" w:ascii="宋体" w:eastAsia="宋体" w:cs="宋体"/>
          <w:color w:val="auto"/>
          <w:sz w:val="24"/>
          <w:szCs w:val="24"/>
          <w:highlight w:val="none"/>
          <w:lang w:val="zh-CN"/>
        </w:rPr>
      </w:pPr>
    </w:p>
    <w:p>
      <w:pPr>
        <w:widowControl/>
        <w:numPr>
          <w:ilvl w:val="0"/>
          <w:numId w:val="2"/>
        </w:numPr>
        <w:spacing w:line="360" w:lineRule="auto"/>
        <w:ind w:left="425" w:hanging="42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培训要求：</w:t>
      </w:r>
    </w:p>
    <w:p>
      <w:pPr>
        <w:widowControl/>
        <w:numPr>
          <w:ilvl w:val="0"/>
          <w:numId w:val="5"/>
        </w:numPr>
        <w:tabs>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为保证投标人所提供的仪器设备安全、可靠运行，便于采购人的运行维护，必须对采购人培训合格的维护和管理人员。</w:t>
      </w:r>
    </w:p>
    <w:p>
      <w:pPr>
        <w:widowControl/>
        <w:numPr>
          <w:ilvl w:val="0"/>
          <w:numId w:val="5"/>
        </w:numPr>
        <w:tabs>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投标人负责对采购人提供至少一次现场技术培训，以便工作人员在培训后能熟练地掌握系统的维护工作，并能及时排除大部分的系统障碍。</w:t>
      </w:r>
    </w:p>
    <w:p>
      <w:pPr>
        <w:widowControl/>
        <w:numPr>
          <w:ilvl w:val="0"/>
          <w:numId w:val="5"/>
        </w:numPr>
        <w:tabs>
          <w:tab w:val="clear" w:pos="1500"/>
        </w:tabs>
        <w:spacing w:before="156" w:beforeLines="50" w:line="360" w:lineRule="auto"/>
        <w:ind w:left="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至少一次厂家工程师到采购人现场免费培训；培训至采购人可以熟练操作为止。</w:t>
      </w:r>
    </w:p>
    <w:p>
      <w:pPr>
        <w:numPr>
          <w:ilvl w:val="0"/>
          <w:numId w:val="2"/>
        </w:numPr>
        <w:tabs>
          <w:tab w:val="left" w:pos="420"/>
        </w:tabs>
        <w:autoSpaceDE w:val="0"/>
        <w:autoSpaceDN w:val="0"/>
        <w:adjustRightInd w:val="0"/>
        <w:spacing w:line="360" w:lineRule="auto"/>
        <w:ind w:left="425" w:hanging="425"/>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运输及包装方式的要求</w:t>
      </w:r>
    </w:p>
    <w:p>
      <w:pPr>
        <w:autoSpaceDE w:val="0"/>
        <w:autoSpaceDN w:val="0"/>
        <w:adjustRightInd w:val="0"/>
        <w:spacing w:line="360" w:lineRule="auto"/>
        <w:ind w:firstLine="480" w:firstLineChars="20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pPr>
        <w:numPr>
          <w:ilvl w:val="0"/>
          <w:numId w:val="2"/>
        </w:numPr>
        <w:tabs>
          <w:tab w:val="left" w:pos="420"/>
        </w:tabs>
        <w:autoSpaceDE w:val="0"/>
        <w:autoSpaceDN w:val="0"/>
        <w:adjustRightInd w:val="0"/>
        <w:spacing w:line="360" w:lineRule="auto"/>
        <w:ind w:left="425" w:hanging="425"/>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安装、调试及验收：</w:t>
      </w:r>
    </w:p>
    <w:p>
      <w:pPr>
        <w:pStyle w:val="2"/>
        <w:numPr>
          <w:ilvl w:val="0"/>
          <w:numId w:val="6"/>
        </w:numPr>
        <w:spacing w:line="360" w:lineRule="auto"/>
        <w:ind w:firstLineChars="0"/>
        <w:rPr>
          <w:rFonts w:hint="eastAsia" w:ascii="宋体" w:eastAsia="宋体" w:cs="宋体"/>
          <w:bCs/>
          <w:color w:val="auto"/>
          <w:kern w:val="0"/>
          <w:sz w:val="24"/>
          <w:szCs w:val="24"/>
          <w:highlight w:val="none"/>
          <w:lang w:val="zh-CN"/>
        </w:rPr>
      </w:pPr>
      <w:r>
        <w:rPr>
          <w:rFonts w:hint="eastAsia" w:ascii="宋体" w:eastAsia="宋体" w:cs="宋体"/>
          <w:bCs/>
          <w:color w:val="auto"/>
          <w:kern w:val="0"/>
          <w:sz w:val="24"/>
          <w:szCs w:val="24"/>
          <w:highlight w:val="none"/>
        </w:rPr>
        <w:t>合同签订后15天内，中标人应</w:t>
      </w:r>
      <w:r>
        <w:rPr>
          <w:rFonts w:hint="eastAsia" w:ascii="宋体" w:eastAsia="宋体" w:cs="宋体"/>
          <w:bCs/>
          <w:color w:val="auto"/>
          <w:kern w:val="0"/>
          <w:sz w:val="24"/>
          <w:szCs w:val="24"/>
          <w:highlight w:val="none"/>
          <w:lang w:val="zh-CN"/>
        </w:rPr>
        <w:t>提供</w:t>
      </w:r>
      <w:r>
        <w:rPr>
          <w:rFonts w:hint="eastAsia" w:ascii="宋体" w:eastAsia="宋体" w:cs="宋体"/>
          <w:color w:val="auto"/>
          <w:sz w:val="24"/>
          <w:szCs w:val="24"/>
          <w:highlight w:val="none"/>
        </w:rPr>
        <w:t>仪器安装前对采购人的具体安装</w:t>
      </w:r>
      <w:r>
        <w:rPr>
          <w:rFonts w:hint="eastAsia" w:ascii="宋体" w:eastAsia="宋体" w:cs="宋体"/>
          <w:bCs/>
          <w:color w:val="auto"/>
          <w:kern w:val="0"/>
          <w:sz w:val="24"/>
          <w:szCs w:val="24"/>
          <w:highlight w:val="none"/>
          <w:lang w:val="zh-CN"/>
        </w:rPr>
        <w:t>条件</w:t>
      </w:r>
      <w:r>
        <w:rPr>
          <w:rFonts w:hint="eastAsia" w:ascii="宋体" w:eastAsia="宋体" w:cs="宋体"/>
          <w:color w:val="auto"/>
          <w:sz w:val="24"/>
          <w:szCs w:val="24"/>
          <w:highlight w:val="none"/>
        </w:rPr>
        <w:t>要求</w:t>
      </w:r>
      <w:r>
        <w:rPr>
          <w:rFonts w:hint="eastAsia" w:ascii="宋体" w:eastAsia="宋体" w:cs="宋体"/>
          <w:bCs/>
          <w:color w:val="auto"/>
          <w:kern w:val="0"/>
          <w:sz w:val="24"/>
          <w:szCs w:val="24"/>
          <w:highlight w:val="none"/>
          <w:lang w:val="zh-CN"/>
        </w:rPr>
        <w:t>，</w:t>
      </w:r>
      <w:r>
        <w:rPr>
          <w:rFonts w:hint="eastAsia" w:ascii="宋体" w:eastAsia="宋体" w:cs="宋体"/>
          <w:color w:val="auto"/>
          <w:sz w:val="24"/>
          <w:szCs w:val="24"/>
          <w:highlight w:val="none"/>
        </w:rPr>
        <w:t>除了在技术规格中提出的要求外，在合同生效后30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pPr>
        <w:pStyle w:val="2"/>
        <w:numPr>
          <w:ilvl w:val="0"/>
          <w:numId w:val="6"/>
        </w:numPr>
        <w:spacing w:line="360" w:lineRule="auto"/>
        <w:ind w:firstLineChars="0"/>
        <w:rPr>
          <w:rFonts w:hint="eastAsia" w:ascii="宋体" w:eastAsia="宋体" w:cs="宋体"/>
          <w:bCs/>
          <w:color w:val="auto"/>
          <w:kern w:val="0"/>
          <w:sz w:val="24"/>
          <w:szCs w:val="24"/>
          <w:highlight w:val="none"/>
          <w:lang w:val="zh-CN"/>
        </w:rPr>
      </w:pPr>
      <w:r>
        <w:rPr>
          <w:rFonts w:hint="eastAsia" w:ascii="宋体" w:eastAsia="宋体" w:cs="宋体"/>
          <w:bCs/>
          <w:color w:val="auto"/>
          <w:kern w:val="0"/>
          <w:sz w:val="24"/>
          <w:szCs w:val="24"/>
          <w:highlight w:val="none"/>
          <w:lang w:val="zh-CN"/>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pPr>
        <w:pStyle w:val="2"/>
        <w:numPr>
          <w:ilvl w:val="0"/>
          <w:numId w:val="6"/>
        </w:numPr>
        <w:spacing w:line="360" w:lineRule="auto"/>
        <w:ind w:firstLineChars="0"/>
        <w:rPr>
          <w:rFonts w:hint="eastAsia" w:ascii="宋体" w:eastAsia="宋体" w:cs="宋体"/>
          <w:bCs/>
          <w:color w:val="auto"/>
          <w:kern w:val="0"/>
          <w:sz w:val="24"/>
          <w:szCs w:val="24"/>
          <w:highlight w:val="none"/>
          <w:lang w:val="zh-CN"/>
        </w:rPr>
      </w:pPr>
      <w:r>
        <w:rPr>
          <w:rFonts w:hint="eastAsia" w:ascii="宋体" w:eastAsia="宋体" w:cs="宋体"/>
          <w:bCs/>
          <w:color w:val="auto"/>
          <w:kern w:val="0"/>
          <w:sz w:val="24"/>
          <w:szCs w:val="24"/>
          <w:highlight w:val="none"/>
          <w:lang w:val="zh-CN"/>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pPr>
        <w:pStyle w:val="2"/>
        <w:numPr>
          <w:ilvl w:val="0"/>
          <w:numId w:val="6"/>
        </w:numPr>
        <w:spacing w:line="360" w:lineRule="auto"/>
        <w:ind w:firstLineChars="0"/>
        <w:rPr>
          <w:rFonts w:hint="eastAsia" w:ascii="宋体" w:eastAsia="宋体" w:cs="宋体"/>
          <w:color w:val="auto"/>
          <w:sz w:val="24"/>
          <w:szCs w:val="24"/>
          <w:highlight w:val="none"/>
          <w:lang w:val="zh-CN"/>
        </w:rPr>
      </w:pPr>
      <w:r>
        <w:rPr>
          <w:rFonts w:hint="eastAsia" w:ascii="宋体" w:eastAsia="宋体" w:cs="宋体"/>
          <w:bCs/>
          <w:color w:val="auto"/>
          <w:kern w:val="0"/>
          <w:sz w:val="24"/>
          <w:szCs w:val="24"/>
          <w:highlight w:val="none"/>
          <w:lang w:val="zh-CN"/>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pPr>
        <w:numPr>
          <w:ilvl w:val="0"/>
          <w:numId w:val="2"/>
        </w:numPr>
        <w:tabs>
          <w:tab w:val="left" w:pos="420"/>
        </w:tabs>
        <w:autoSpaceDE w:val="0"/>
        <w:autoSpaceDN w:val="0"/>
        <w:adjustRightInd w:val="0"/>
        <w:spacing w:line="360" w:lineRule="auto"/>
        <w:ind w:left="425" w:hanging="425"/>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质量及知识产权要求</w:t>
      </w:r>
    </w:p>
    <w:p>
      <w:pPr>
        <w:numPr>
          <w:ilvl w:val="0"/>
          <w:numId w:val="7"/>
        </w:numPr>
        <w:tabs>
          <w:tab w:val="left" w:pos="426"/>
          <w:tab w:val="left" w:pos="851"/>
        </w:tabs>
        <w:autoSpaceDE w:val="0"/>
        <w:autoSpaceDN w:val="0"/>
        <w:adjustRightInd w:val="0"/>
        <w:spacing w:line="360" w:lineRule="auto"/>
        <w:ind w:left="420" w:hanging="42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投标人提供完好、全新的原包装产品（包括零配件），随机技术资料齐全。产品符合国家质量检测标准，必须具有生产日期、厂名、厂址、产品合格证等。进口产品须提供海关进货单（复印件备查）。</w:t>
      </w:r>
    </w:p>
    <w:p>
      <w:pPr>
        <w:numPr>
          <w:ilvl w:val="0"/>
          <w:numId w:val="7"/>
        </w:numPr>
        <w:tabs>
          <w:tab w:val="left" w:pos="426"/>
          <w:tab w:val="left" w:pos="851"/>
        </w:tabs>
        <w:autoSpaceDE w:val="0"/>
        <w:autoSpaceDN w:val="0"/>
        <w:adjustRightInd w:val="0"/>
        <w:spacing w:line="360" w:lineRule="auto"/>
        <w:ind w:left="420" w:hanging="42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采购人在中国使用该货物或货物的任何一部分时，免受第三方提出的侵犯其专利权、商标权或工业设计权等知识产权的起诉或司法干预。如果发生上述起诉或干预，则其法律责任均由投标人负责。</w:t>
      </w:r>
    </w:p>
    <w:p>
      <w:pPr>
        <w:numPr>
          <w:ilvl w:val="0"/>
          <w:numId w:val="2"/>
        </w:numPr>
        <w:tabs>
          <w:tab w:val="left" w:pos="420"/>
        </w:tabs>
        <w:autoSpaceDE w:val="0"/>
        <w:autoSpaceDN w:val="0"/>
        <w:adjustRightInd w:val="0"/>
        <w:spacing w:line="360" w:lineRule="auto"/>
        <w:ind w:left="425" w:hanging="425"/>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zh-CN"/>
        </w:rPr>
        <w:t>★关于违约责任</w:t>
      </w:r>
    </w:p>
    <w:p>
      <w:pPr>
        <w:tabs>
          <w:tab w:val="left" w:pos="426"/>
          <w:tab w:val="left" w:pos="851"/>
        </w:tabs>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1）由于中标人的原因未能按时供货的，每迟一天罚款合同总额的0.5%，累计不超过 10% 。如超过供货期45天，采购人有权视情况终止采购合同并通过法律程序对供应商进行索赔。</w:t>
      </w:r>
    </w:p>
    <w:p>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采购人有权对中标人就本项目要求提供的相关证明资料（原件）进行审查。中标人提供虚假资料被查实的，采购人有权采取如下措施：</w:t>
      </w:r>
    </w:p>
    <w:p>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a、上报财政监管部门取消中标人本项目中标资格； </w:t>
      </w:r>
    </w:p>
    <w:p>
      <w:pPr>
        <w:tabs>
          <w:tab w:val="left" w:pos="426"/>
          <w:tab w:val="left" w:pos="851"/>
        </w:tabs>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b、上报财政监管部门列入</w:t>
      </w:r>
      <w:r>
        <w:rPr>
          <w:rFonts w:hint="eastAsia" w:ascii="宋体" w:hAnsi="宋体" w:eastAsia="宋体" w:cs="宋体"/>
          <w:color w:val="auto"/>
          <w:sz w:val="24"/>
          <w:szCs w:val="24"/>
          <w:highlight w:val="none"/>
        </w:rPr>
        <w:t>不良行为记录名单和三年内禁止参与政府采购活动；</w:t>
      </w:r>
    </w:p>
    <w:p>
      <w:pPr>
        <w:tabs>
          <w:tab w:val="left" w:pos="426"/>
          <w:tab w:val="left" w:pos="851"/>
        </w:tabs>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c、追返采购人向中标人已支付的相关费用，并要求中标人赔偿合同总金额30%的违约金。违约金不足以弥补采购人损失的，中标人应当继续赔偿。由此造成的一切损失由中标人承担。</w:t>
      </w:r>
    </w:p>
    <w:p>
      <w:pPr>
        <w:tabs>
          <w:tab w:val="left" w:pos="426"/>
          <w:tab w:val="left" w:pos="851"/>
        </w:tabs>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3）中标人所提供的服务及所交付的产品品种、型号、规格、质量不符合同规定标准的，采购人有权拒绝收货且无需承担任何责任，同时采购人有权要求中标人限期重新供货或解除采购合同，由此造成的一</w:t>
      </w:r>
      <w:r>
        <w:rPr>
          <w:rFonts w:hint="eastAsia" w:ascii="宋体" w:hAnsi="宋体" w:eastAsia="宋体" w:cs="宋体"/>
          <w:color w:val="auto"/>
          <w:sz w:val="24"/>
          <w:szCs w:val="24"/>
          <w:highlight w:val="none"/>
          <w:lang w:val="zh-CN"/>
        </w:rPr>
        <w:t>切损失由中标人承</w:t>
      </w:r>
      <w:r>
        <w:rPr>
          <w:rFonts w:hint="eastAsia" w:ascii="宋体" w:hAnsi="宋体" w:eastAsia="宋体" w:cs="宋体"/>
          <w:color w:val="auto"/>
          <w:sz w:val="24"/>
          <w:szCs w:val="24"/>
          <w:highlight w:val="none"/>
        </w:rPr>
        <w:t>担。</w:t>
      </w:r>
    </w:p>
    <w:p>
      <w:pPr>
        <w:tabs>
          <w:tab w:val="left" w:pos="426"/>
          <w:tab w:val="left" w:pos="851"/>
        </w:tabs>
        <w:autoSpaceDE w:val="0"/>
        <w:autoSpaceDN w:val="0"/>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4）其他由违法导致违约的行为按相关法律法规执行。</w:t>
      </w:r>
    </w:p>
    <w:bookmarkEnd w:id="6"/>
    <w:p>
      <w:bookmarkStart w:id="7" w:name="_GoBack"/>
      <w:bookmarkEnd w:id="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0000009F" w:csb1="00000000"/>
  </w:font>
  <w:font w:name="仿宋_GB2312">
    <w:altName w:val="仿宋"/>
    <w:panose1 w:val="02010609030101010101"/>
    <w:charset w:val="86"/>
    <w:family w:val="modern"/>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986757"/>
    <w:multiLevelType w:val="singleLevel"/>
    <w:tmpl w:val="04986757"/>
    <w:lvl w:ilvl="0" w:tentative="0">
      <w:start w:val="1"/>
      <w:numFmt w:val="decimal"/>
      <w:lvlText w:val="%1)"/>
      <w:lvlJc w:val="left"/>
      <w:pPr>
        <w:ind w:left="425" w:hanging="425"/>
      </w:pPr>
      <w:rPr>
        <w:rFonts w:hint="default"/>
      </w:rPr>
    </w:lvl>
  </w:abstractNum>
  <w:abstractNum w:abstractNumId="1">
    <w:nsid w:val="367C4060"/>
    <w:multiLevelType w:val="singleLevel"/>
    <w:tmpl w:val="367C4060"/>
    <w:lvl w:ilvl="0" w:tentative="0">
      <w:start w:val="4"/>
      <w:numFmt w:val="chineseCounting"/>
      <w:suff w:val="space"/>
      <w:lvlText w:val="第%1章"/>
      <w:lvlJc w:val="left"/>
      <w:rPr>
        <w:rFonts w:hint="eastAsia"/>
      </w:rPr>
    </w:lvl>
  </w:abstractNum>
  <w:abstractNum w:abstractNumId="2">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3">
    <w:nsid w:val="6E2E2083"/>
    <w:multiLevelType w:val="multilevel"/>
    <w:tmpl w:val="6E2E2083"/>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4">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C68EB4"/>
    <w:multiLevelType w:val="singleLevel"/>
    <w:tmpl w:val="70C68EB4"/>
    <w:lvl w:ilvl="0" w:tentative="0">
      <w:start w:val="1"/>
      <w:numFmt w:val="decimal"/>
      <w:lvlText w:val="%1)"/>
      <w:lvlJc w:val="left"/>
      <w:pPr>
        <w:tabs>
          <w:tab w:val="left" w:pos="312"/>
        </w:tabs>
      </w:pPr>
    </w:lvl>
  </w:abstractNum>
  <w:abstractNum w:abstractNumId="6">
    <w:nsid w:val="7AE1256C"/>
    <w:multiLevelType w:val="singleLevel"/>
    <w:tmpl w:val="7AE1256C"/>
    <w:lvl w:ilvl="0" w:tentative="0">
      <w:start w:val="1"/>
      <w:numFmt w:val="decimal"/>
      <w:lvlText w:val="%1."/>
      <w:lvlJc w:val="left"/>
      <w:pPr>
        <w:ind w:left="425" w:hanging="425"/>
      </w:pPr>
      <w:rPr>
        <w:rFonts w:hint="default"/>
        <w:b/>
        <w:bCs/>
      </w:rPr>
    </w:lvl>
  </w:abstractNum>
  <w:num w:numId="1">
    <w:abstractNumId w:val="1"/>
  </w:num>
  <w:num w:numId="2">
    <w:abstractNumId w:val="6"/>
  </w:num>
  <w:num w:numId="3">
    <w:abstractNumId w:val="5"/>
  </w:num>
  <w:num w:numId="4">
    <w:abstractNumId w:val="2"/>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5N2Y1ZTMzYTE1ZjNiN2NlY2ZlOGI3ODgyYzIxZDYifQ=="/>
  </w:docVars>
  <w:rsids>
    <w:rsidRoot w:val="03EC79A2"/>
    <w:rsid w:val="03EC79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next w:val="1"/>
    <w:qFormat/>
    <w:uiPriority w:val="0"/>
    <w:pPr>
      <w:keepNext/>
      <w:keepLines/>
      <w:widowControl w:val="0"/>
      <w:spacing w:before="340" w:beforeLines="0" w:after="330" w:afterLines="0" w:line="578" w:lineRule="auto"/>
      <w:jc w:val="both"/>
      <w:outlineLvl w:val="0"/>
    </w:pPr>
    <w:rPr>
      <w:rFonts w:ascii="Times New Roman" w:hAnsi="Times New Roman" w:eastAsia="楷体_GB2312" w:cs="Times New Roman"/>
      <w:b/>
      <w:kern w:val="44"/>
      <w:sz w:val="72"/>
      <w:lang w:val="en-US" w:eastAsia="zh-CN" w:bidi="ar-SA"/>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unhideWhenUsed/>
    <w:qFormat/>
    <w:uiPriority w:val="99"/>
    <w:pPr>
      <w:widowControl w:val="0"/>
      <w:ind w:left="420" w:firstLine="420" w:firstLineChars="200"/>
      <w:jc w:val="both"/>
    </w:pPr>
    <w:rPr>
      <w:rFonts w:ascii="楷体_GB2312" w:hAnsi="宋体" w:eastAsia="楷体_GB2312" w:cs="Times New Roman"/>
      <w:kern w:val="2"/>
      <w:sz w:val="28"/>
      <w:lang w:val="en-US" w:eastAsia="zh-CN" w:bidi="ar-SA"/>
    </w:rPr>
  </w:style>
  <w:style w:type="paragraph" w:styleId="4">
    <w:name w:val="Body Text"/>
    <w:next w:val="1"/>
    <w:qFormat/>
    <w:uiPriority w:val="0"/>
    <w:pPr>
      <w:widowControl w:val="0"/>
      <w:spacing w:line="480" w:lineRule="atLeast"/>
      <w:jc w:val="both"/>
    </w:pPr>
    <w:rPr>
      <w:rFonts w:ascii="楷体_GB2312" w:hAnsi="Times New Roman" w:eastAsia="楷体_GB2312" w:cs="Times New Roman"/>
      <w:b/>
      <w:kern w:val="2"/>
      <w:sz w:val="30"/>
      <w:lang w:val="en-US" w:eastAsia="zh-CN" w:bidi="ar-SA"/>
    </w:rPr>
  </w:style>
  <w:style w:type="paragraph" w:styleId="5">
    <w:name w:val="Body Text Indent"/>
    <w:next w:val="6"/>
    <w:qFormat/>
    <w:uiPriority w:val="0"/>
    <w:pPr>
      <w:widowControl w:val="0"/>
      <w:ind w:firstLine="700" w:firstLineChars="250"/>
      <w:jc w:val="both"/>
    </w:pPr>
    <w:rPr>
      <w:rFonts w:ascii="楷体_GB2312" w:hAnsi="宋体" w:eastAsia="楷体_GB2312" w:cs="Times New Roman"/>
      <w:kern w:val="2"/>
      <w:sz w:val="28"/>
      <w:lang w:val="en-US" w:eastAsia="zh-CN" w:bidi="ar-SA"/>
    </w:rPr>
  </w:style>
  <w:style w:type="paragraph" w:styleId="6">
    <w:name w:val="envelope return"/>
    <w:unhideWhenUsed/>
    <w:qFormat/>
    <w:uiPriority w:val="99"/>
    <w:pPr>
      <w:widowControl w:val="0"/>
      <w:snapToGrid w:val="0"/>
      <w:jc w:val="both"/>
    </w:pPr>
    <w:rPr>
      <w:rFonts w:ascii="Arial" w:hAnsi="Arial" w:eastAsia="宋体" w:cs="Times New Roman"/>
      <w:kern w:val="2"/>
      <w:sz w:val="21"/>
      <w:lang w:val="en-US" w:eastAsia="zh-CN" w:bidi="ar-SA"/>
    </w:rPr>
  </w:style>
  <w:style w:type="paragraph" w:styleId="7">
    <w:name w:val="Plain Text"/>
    <w:qFormat/>
    <w:uiPriority w:val="0"/>
    <w:pPr>
      <w:widowControl w:val="0"/>
      <w:jc w:val="both"/>
    </w:pPr>
    <w:rPr>
      <w:rFonts w:ascii="宋体" w:hAnsi="Courier New"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2023-11-29T12:59:00Z</dcterms:created>
  <dc:creator>MJ</dc:creator>
  <cp:lastModifiedBy>MJ</cp:lastModifiedBy>
  <dcterms:modified xsi:type="dcterms:W3CDTF">2023-11-29T12:59:37Z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88184CD4F7F0466989A1E6EAB1924D48_11</vt:lpwstr>
  </property>
</Properties>
</file>