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75902D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hAnsi="Times New Roman" w:eastAsia="黑体" w:cs="Times New Roman"/>
          <w:b/>
          <w:kern w:val="44"/>
          <w:sz w:val="48"/>
          <w:szCs w:val="20"/>
        </w:rPr>
      </w:pPr>
      <w:bookmarkStart w:id="0" w:name="_Toc129880039"/>
      <w:r>
        <w:rPr>
          <w:rFonts w:hint="eastAsia" w:ascii="宋体" w:hAnsi="宋体" w:eastAsia="宋体" w:cs="Times New Roman"/>
          <w:b/>
          <w:sz w:val="30"/>
          <w:szCs w:val="30"/>
        </w:rPr>
        <w:t>第八部分 采购需求</w:t>
      </w:r>
      <w:bookmarkEnd w:id="0"/>
    </w:p>
    <w:p w14:paraId="031AD169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货物需求一览表</w:t>
      </w:r>
    </w:p>
    <w:p w14:paraId="6CC8A547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tbl>
      <w:tblPr>
        <w:tblStyle w:val="4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49AD11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09327F8E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5E8EACBC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0FBDDA7F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749C4941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是否接受进口</w:t>
            </w:r>
          </w:p>
        </w:tc>
      </w:tr>
      <w:tr w14:paraId="5CDF95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6F1D034B">
            <w:pPr>
              <w:jc w:val="center"/>
              <w:rPr>
                <w:rFonts w:hint="eastAsia" w:ascii="宋体" w:hAnsi="Times New Roman" w:eastAsia="宋体" w:cs="Times New Roman"/>
                <w:sz w:val="24"/>
              </w:rPr>
            </w:pPr>
            <w:r>
              <w:rPr>
                <w:rFonts w:hint="eastAsia" w:ascii="宋体" w:hAnsi="Times New Roman" w:eastAsia="宋体" w:cs="Times New Roman"/>
                <w:sz w:val="24"/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 w14:paraId="224C4F5D">
            <w:pPr>
              <w:jc w:val="center"/>
              <w:rPr>
                <w:rFonts w:hint="eastAsia" w:ascii="Bookman Old Style" w:hAnsi="Bookman Old Style" w:eastAsia="宋体" w:cs="Times New Roman"/>
                <w:sz w:val="24"/>
              </w:rPr>
            </w:pPr>
            <w:r>
              <w:rPr>
                <w:rFonts w:hint="eastAsia" w:ascii="Bookman Old Style" w:hAnsi="Bookman Old Style" w:eastAsia="宋体" w:cs="Times New Roman"/>
                <w:sz w:val="24"/>
              </w:rPr>
              <w:t>元素分析仪</w:t>
            </w:r>
          </w:p>
        </w:tc>
        <w:tc>
          <w:tcPr>
            <w:tcW w:w="1329" w:type="dxa"/>
            <w:noWrap w:val="0"/>
            <w:vAlign w:val="center"/>
          </w:tcPr>
          <w:p w14:paraId="32307A10">
            <w:pPr>
              <w:jc w:val="center"/>
              <w:rPr>
                <w:rFonts w:hint="eastAsia"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1套</w:t>
            </w:r>
          </w:p>
        </w:tc>
        <w:tc>
          <w:tcPr>
            <w:tcW w:w="2470" w:type="dxa"/>
            <w:noWrap w:val="0"/>
            <w:vAlign w:val="center"/>
          </w:tcPr>
          <w:p w14:paraId="42533CC2">
            <w:pPr>
              <w:jc w:val="center"/>
              <w:rPr>
                <w:rFonts w:hint="eastAsia"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否</w:t>
            </w:r>
          </w:p>
        </w:tc>
      </w:tr>
    </w:tbl>
    <w:p w14:paraId="67CFAABC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p w14:paraId="26813AAC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p w14:paraId="150B72E5">
      <w:pPr>
        <w:rPr>
          <w:rFonts w:hint="eastAsia" w:ascii="Bookman Old Style" w:hAnsi="Bookman Old Style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注：投标人须对上述投标内容中完整的一包进行投标，</w:t>
      </w:r>
      <w:r>
        <w:rPr>
          <w:rFonts w:hint="eastAsia" w:ascii="Bookman Old Style" w:hAnsi="Bookman Old Style" w:eastAsia="宋体" w:cs="Times New Roman"/>
          <w:sz w:val="24"/>
        </w:rPr>
        <w:t>不完整的投标将视为非响应性投标予以拒绝。</w:t>
      </w:r>
    </w:p>
    <w:p w14:paraId="6090056C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61144E4B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51BFF9CE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6076B72B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30"/>
          <w:szCs w:val="30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</w:rPr>
        <w:t>一、总则</w:t>
      </w:r>
    </w:p>
    <w:p w14:paraId="5418CB2C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28"/>
          <w:szCs w:val="28"/>
        </w:rPr>
        <w:t>1</w:t>
      </w:r>
      <w:r>
        <w:rPr>
          <w:rFonts w:hint="eastAsia" w:ascii="宋体" w:hAnsi="宋体" w:eastAsia="宋体" w:cs="Times New Roman"/>
          <w:b/>
          <w:sz w:val="28"/>
          <w:szCs w:val="28"/>
        </w:rPr>
        <w:t>、投标要求</w:t>
      </w:r>
    </w:p>
    <w:p w14:paraId="351E6A4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 xml:space="preserve">1.1 </w:t>
      </w:r>
      <w:r>
        <w:rPr>
          <w:rFonts w:hint="eastAsia" w:ascii="宋体" w:hAnsi="宋体" w:eastAsia="宋体" w:cs="Times New Roman"/>
          <w:sz w:val="24"/>
        </w:rPr>
        <w:t xml:space="preserve"> 投标人在准备投标书时，务必在所提供的商品的技术规格文件中，标明型号、商标名称、目录号。</w:t>
      </w:r>
    </w:p>
    <w:p w14:paraId="4702D19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7168B9CD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1.3  </w:t>
      </w:r>
      <w:r>
        <w:rPr>
          <w:rFonts w:hint="eastAsia" w:ascii="Times New Roman" w:hAnsi="Times New Roman" w:eastAsia="宋体" w:cs="Times New Roman"/>
          <w:sz w:val="24"/>
        </w:rPr>
        <w:t>投标人提供的</w:t>
      </w:r>
      <w:r>
        <w:rPr>
          <w:rFonts w:hint="eastAsia" w:ascii="宋体" w:hAnsi="Times New Roman" w:eastAsia="宋体" w:cs="Times New Roman"/>
          <w:sz w:val="24"/>
        </w:rPr>
        <w:t>产品</w:t>
      </w:r>
      <w:r>
        <w:rPr>
          <w:rFonts w:hint="eastAsia" w:ascii="Times New Roman" w:hAnsi="Times New Roman" w:eastAsia="宋体" w:cs="Times New Roman"/>
          <w:sz w:val="24"/>
        </w:rPr>
        <w:t>样本，必须是“原件”而非复印件，</w:t>
      </w:r>
      <w:r>
        <w:rPr>
          <w:rFonts w:hint="eastAsia" w:ascii="宋体" w:hAnsi="Times New Roman" w:eastAsia="宋体" w:cs="Times New Roman"/>
          <w:sz w:val="24"/>
        </w:rPr>
        <w:t>图表、简图、电路图以及印刷电路板图等都应</w:t>
      </w:r>
      <w:r>
        <w:rPr>
          <w:rFonts w:hint="eastAsia" w:ascii="Times New Roman" w:hAnsi="Times New Roman" w:eastAsia="宋体" w:cs="Times New Roman"/>
          <w:sz w:val="24"/>
        </w:rPr>
        <w:t>清晰易读。买方有权</w:t>
      </w:r>
      <w:r>
        <w:rPr>
          <w:rFonts w:hint="eastAsia" w:ascii="宋体" w:hAnsi="Times New Roman" w:eastAsia="宋体" w:cs="Times New Roman"/>
          <w:sz w:val="24"/>
        </w:rPr>
        <w:t>不付任何附加费用</w:t>
      </w:r>
      <w:r>
        <w:rPr>
          <w:rFonts w:hint="eastAsia" w:ascii="Times New Roman" w:hAnsi="Times New Roman" w:eastAsia="宋体" w:cs="Times New Roman"/>
          <w:sz w:val="24"/>
        </w:rPr>
        <w:t>复制这些资料</w:t>
      </w:r>
      <w:r>
        <w:rPr>
          <w:rFonts w:hint="eastAsia" w:ascii="宋体" w:hAnsi="Times New Roman" w:eastAsia="宋体" w:cs="Times New Roman"/>
          <w:sz w:val="24"/>
        </w:rPr>
        <w:t>以供参考。</w:t>
      </w:r>
    </w:p>
    <w:p w14:paraId="007A03B9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hint="eastAsia" w:ascii="宋体" w:hAnsi="Times New Roman" w:eastAsia="宋体" w:cs="Times New Roman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336691FB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2、评标标准</w:t>
      </w:r>
    </w:p>
    <w:p w14:paraId="0E6AE6E2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2.</w:t>
      </w:r>
      <w:r>
        <w:rPr>
          <w:rFonts w:hint="eastAsia" w:ascii="宋体" w:hAnsi="宋体" w:eastAsia="宋体" w:cs="Times New Roman"/>
          <w:sz w:val="24"/>
        </w:rPr>
        <w:t xml:space="preserve">1  </w:t>
      </w:r>
      <w:r>
        <w:rPr>
          <w:rFonts w:hint="eastAsia" w:ascii="Times New Roman" w:hAnsi="Times New Roman" w:eastAsia="宋体" w:cs="Times New Roman"/>
          <w:sz w:val="24"/>
        </w:rPr>
        <w:t>除招标文件中指定的附件和专用工具外，</w:t>
      </w:r>
      <w:r>
        <w:rPr>
          <w:rFonts w:hint="eastAsia" w:ascii="宋体" w:hAnsi="Times New Roman" w:eastAsia="宋体" w:cs="Times New Roman"/>
          <w:sz w:val="24"/>
        </w:rPr>
        <w:t>投标人应提供仪器设备的正常运行和常规保养所需的全套标准附件、专用工具</w:t>
      </w:r>
      <w:r>
        <w:rPr>
          <w:rFonts w:hint="eastAsia" w:ascii="Times New Roman" w:hAnsi="Times New Roman" w:eastAsia="宋体" w:cs="Times New Roman"/>
          <w:sz w:val="24"/>
        </w:rPr>
        <w:t>和消耗品</w:t>
      </w:r>
      <w:r>
        <w:rPr>
          <w:rFonts w:hint="eastAsia" w:ascii="宋体" w:hAnsi="Times New Roman" w:eastAsia="宋体" w:cs="Times New Roman"/>
          <w:sz w:val="24"/>
        </w:rPr>
        <w:t>。投标人在投标书中需列出这些附件和工具的数量和单价的清单，这些附件和工具的报价的总值需计入投标价中。</w:t>
      </w:r>
    </w:p>
    <w:p w14:paraId="4D2B36C2">
      <w:pPr>
        <w:spacing w:line="360" w:lineRule="auto"/>
        <w:ind w:left="554" w:hanging="554" w:hangingChars="231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2.2  </w:t>
      </w:r>
      <w:r>
        <w:rPr>
          <w:rFonts w:hint="eastAsia" w:ascii="Times New Roman" w:hAnsi="Times New Roman" w:eastAsia="宋体" w:cs="Times New Roman"/>
          <w:sz w:val="24"/>
        </w:rPr>
        <w:t>对于标书</w:t>
      </w:r>
      <w:r>
        <w:rPr>
          <w:rFonts w:hint="eastAsia" w:ascii="宋体" w:hAnsi="Times New Roman" w:eastAsia="宋体" w:cs="Times New Roman"/>
          <w:sz w:val="24"/>
        </w:rPr>
        <w:t>技术规范中已列</w:t>
      </w:r>
      <w:r>
        <w:rPr>
          <w:rFonts w:hint="eastAsia" w:ascii="Times New Roman" w:hAnsi="Times New Roman" w:eastAsia="宋体" w:cs="Times New Roman"/>
          <w:sz w:val="24"/>
        </w:rPr>
        <w:t>出的作为查询选件的附件、零配件、专用工具和消耗品，投标书中</w:t>
      </w:r>
      <w:r>
        <w:rPr>
          <w:rFonts w:hint="eastAsia" w:ascii="宋体" w:hAnsi="Times New Roman" w:eastAsia="宋体" w:cs="Times New Roman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0103AC2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2.3  为便于用户进行接收仪器的准备工作，卖方应在合同生效后</w:t>
      </w:r>
      <w:r>
        <w:rPr>
          <w:rFonts w:hint="eastAsia" w:ascii="宋体" w:hAnsi="宋体" w:eastAsia="宋体" w:cs="Times New Roman"/>
          <w:b/>
          <w:sz w:val="24"/>
        </w:rPr>
        <w:t>60</w:t>
      </w:r>
      <w:r>
        <w:rPr>
          <w:rFonts w:hint="eastAsia" w:ascii="宋体" w:hAnsi="宋体" w:eastAsia="宋体" w:cs="Times New Roman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2C7565B9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2</w:t>
      </w:r>
      <w:r>
        <w:rPr>
          <w:rFonts w:ascii="宋体" w:hAnsi="宋体" w:eastAsia="宋体" w:cs="Times New Roman"/>
          <w:sz w:val="24"/>
        </w:rPr>
        <w:t>.</w:t>
      </w:r>
      <w:r>
        <w:rPr>
          <w:rFonts w:hint="eastAsia" w:ascii="宋体" w:hAnsi="宋体" w:eastAsia="宋体" w:cs="Times New Roman"/>
          <w:sz w:val="24"/>
        </w:rPr>
        <w:t>4</w:t>
      </w:r>
      <w:r>
        <w:rPr>
          <w:rFonts w:ascii="宋体" w:hAnsi="宋体" w:eastAsia="宋体" w:cs="Times New Roman"/>
          <w:sz w:val="24"/>
        </w:rPr>
        <w:t xml:space="preserve"> </w:t>
      </w:r>
      <w:r>
        <w:rPr>
          <w:rFonts w:hint="eastAsia" w:ascii="宋体" w:hAnsi="宋体" w:eastAsia="宋体" w:cs="Times New Roman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6925AB17">
      <w:pPr>
        <w:spacing w:line="360" w:lineRule="auto"/>
        <w:ind w:left="554" w:hanging="554" w:hangingChars="231"/>
        <w:rPr>
          <w:rFonts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2.</w:t>
      </w:r>
      <w:r>
        <w:rPr>
          <w:rFonts w:hint="eastAsia" w:ascii="宋体" w:hAnsi="宋体" w:eastAsia="宋体" w:cs="Times New Roman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6951DC35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3、工作条件</w:t>
      </w:r>
    </w:p>
    <w:p w14:paraId="614C61CF">
      <w:pPr>
        <w:spacing w:after="312" w:afterLines="100" w:line="360" w:lineRule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除非在技术规格中另有说明，所有仪器、设备和系统都应符合下列要求：</w:t>
      </w:r>
      <w:r>
        <w:rPr>
          <w:rFonts w:ascii="宋体" w:hAnsi="宋体" w:eastAsia="宋体" w:cs="Times New Roman"/>
          <w:sz w:val="24"/>
        </w:rPr>
        <w:t xml:space="preserve"> </w:t>
      </w:r>
    </w:p>
    <w:p w14:paraId="4F973246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3.1  适于在气温为摄氏</w:t>
      </w:r>
      <w:r>
        <w:rPr>
          <w:rFonts w:ascii="宋体" w:hAnsi="宋体" w:eastAsia="宋体" w:cs="Times New Roman"/>
          <w:b/>
          <w:sz w:val="24"/>
        </w:rPr>
        <w:t>-40</w:t>
      </w:r>
      <w:r>
        <w:rPr>
          <w:rFonts w:hint="eastAsia" w:ascii="宋体" w:hAnsi="宋体" w:eastAsia="宋体" w:cs="Times New Roman"/>
          <w:b/>
          <w:sz w:val="24"/>
        </w:rPr>
        <w:t>℃～＋</w:t>
      </w:r>
      <w:r>
        <w:rPr>
          <w:rFonts w:ascii="宋体" w:hAnsi="宋体" w:eastAsia="宋体" w:cs="Times New Roman"/>
          <w:b/>
          <w:sz w:val="24"/>
        </w:rPr>
        <w:t>50</w:t>
      </w:r>
      <w:r>
        <w:rPr>
          <w:rFonts w:hint="eastAsia" w:ascii="宋体" w:hAnsi="宋体" w:eastAsia="宋体" w:cs="Times New Roman"/>
          <w:b/>
          <w:sz w:val="24"/>
        </w:rPr>
        <w:t>℃</w:t>
      </w:r>
      <w:r>
        <w:rPr>
          <w:rFonts w:hint="eastAsia" w:ascii="宋体" w:hAnsi="宋体" w:eastAsia="宋体" w:cs="Times New Roman"/>
          <w:sz w:val="24"/>
        </w:rPr>
        <w:t>和相对湿度为</w:t>
      </w:r>
      <w:r>
        <w:rPr>
          <w:rFonts w:ascii="宋体" w:hAnsi="宋体" w:eastAsia="宋体" w:cs="Times New Roman"/>
          <w:b/>
          <w:sz w:val="24"/>
        </w:rPr>
        <w:t>90</w:t>
      </w:r>
      <w:r>
        <w:rPr>
          <w:rFonts w:hint="eastAsia" w:ascii="宋体" w:hAnsi="宋体" w:eastAsia="宋体" w:cs="Times New Roman"/>
          <w:b/>
          <w:sz w:val="24"/>
        </w:rPr>
        <w:t>％</w:t>
      </w:r>
      <w:r>
        <w:rPr>
          <w:rFonts w:hint="eastAsia" w:ascii="宋体" w:hAnsi="宋体" w:eastAsia="宋体" w:cs="Times New Roman"/>
          <w:sz w:val="24"/>
        </w:rPr>
        <w:t>的环境条件下运输和贮存。</w:t>
      </w:r>
    </w:p>
    <w:p w14:paraId="4AA9FB41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3.2  适于在电源</w:t>
      </w:r>
      <w:r>
        <w:rPr>
          <w:rFonts w:ascii="宋体" w:hAnsi="宋体" w:eastAsia="宋体" w:cs="Times New Roman"/>
          <w:b/>
          <w:sz w:val="24"/>
        </w:rPr>
        <w:t>220V</w:t>
      </w:r>
      <w:r>
        <w:rPr>
          <w:rFonts w:hint="eastAsia" w:ascii="宋体" w:hAnsi="宋体" w:eastAsia="宋体" w:cs="Times New Roman"/>
          <w:b/>
          <w:sz w:val="24"/>
        </w:rPr>
        <w:t>（</w:t>
      </w:r>
      <w:r>
        <w:rPr>
          <w:rFonts w:ascii="宋体" w:hAnsi="宋体" w:eastAsia="宋体" w:cs="Times New Roman"/>
          <w:b/>
          <w:sz w:val="24"/>
        </w:rPr>
        <w:sym w:font="Symbol" w:char="F0B1"/>
      </w:r>
      <w:r>
        <w:rPr>
          <w:rFonts w:ascii="宋体" w:hAnsi="宋体" w:eastAsia="宋体" w:cs="Times New Roman"/>
          <w:b/>
          <w:sz w:val="24"/>
        </w:rPr>
        <w:t>10</w:t>
      </w:r>
      <w:r>
        <w:rPr>
          <w:rFonts w:hint="eastAsia" w:ascii="宋体" w:hAnsi="宋体" w:eastAsia="宋体" w:cs="Times New Roman"/>
          <w:b/>
          <w:sz w:val="24"/>
        </w:rPr>
        <w:t>％）</w:t>
      </w:r>
      <w:r>
        <w:rPr>
          <w:rFonts w:ascii="宋体" w:hAnsi="宋体" w:eastAsia="宋体" w:cs="Times New Roman"/>
          <w:b/>
          <w:sz w:val="24"/>
        </w:rPr>
        <w:t>/50Hz</w:t>
      </w:r>
      <w:r>
        <w:rPr>
          <w:rFonts w:hint="eastAsia" w:ascii="宋体" w:hAnsi="宋体" w:eastAsia="宋体" w:cs="Times New Roman"/>
          <w:sz w:val="24"/>
        </w:rPr>
        <w:t>、气温摄氏</w:t>
      </w:r>
      <w:r>
        <w:rPr>
          <w:rFonts w:hint="eastAsia" w:ascii="宋体" w:hAnsi="宋体" w:eastAsia="宋体" w:cs="Times New Roman"/>
          <w:b/>
          <w:sz w:val="24"/>
        </w:rPr>
        <w:t>+1</w:t>
      </w:r>
      <w:r>
        <w:rPr>
          <w:rFonts w:ascii="宋体" w:hAnsi="宋体" w:eastAsia="宋体" w:cs="Times New Roman"/>
          <w:b/>
          <w:sz w:val="24"/>
        </w:rPr>
        <w:t>5</w:t>
      </w:r>
      <w:r>
        <w:rPr>
          <w:rFonts w:hint="eastAsia" w:ascii="宋体" w:hAnsi="宋体" w:eastAsia="宋体" w:cs="Times New Roman"/>
          <w:b/>
          <w:sz w:val="24"/>
        </w:rPr>
        <w:t>℃～＋3</w:t>
      </w:r>
      <w:r>
        <w:rPr>
          <w:rFonts w:ascii="宋体" w:hAnsi="宋体" w:eastAsia="宋体" w:cs="Times New Roman"/>
          <w:b/>
          <w:sz w:val="24"/>
        </w:rPr>
        <w:t>0</w:t>
      </w:r>
      <w:r>
        <w:rPr>
          <w:rFonts w:hint="eastAsia" w:ascii="宋体" w:hAnsi="宋体" w:eastAsia="宋体" w:cs="Times New Roman"/>
          <w:b/>
          <w:sz w:val="24"/>
        </w:rPr>
        <w:t>℃</w:t>
      </w:r>
      <w:r>
        <w:rPr>
          <w:rFonts w:hint="eastAsia" w:ascii="宋体" w:hAnsi="宋体" w:eastAsia="宋体" w:cs="Times New Roman"/>
          <w:sz w:val="24"/>
        </w:rPr>
        <w:t>和相对湿度小于</w:t>
      </w:r>
      <w:r>
        <w:rPr>
          <w:rFonts w:ascii="宋体" w:hAnsi="宋体" w:eastAsia="宋体" w:cs="Times New Roman"/>
          <w:b/>
          <w:sz w:val="24"/>
        </w:rPr>
        <w:t>8</w:t>
      </w:r>
      <w:r>
        <w:rPr>
          <w:rFonts w:hint="eastAsia" w:ascii="宋体" w:hAnsi="宋体" w:eastAsia="宋体" w:cs="Times New Roman"/>
          <w:b/>
          <w:sz w:val="24"/>
        </w:rPr>
        <w:t>0％</w:t>
      </w:r>
      <w:r>
        <w:rPr>
          <w:rFonts w:hint="eastAsia" w:ascii="宋体" w:hAnsi="宋体" w:eastAsia="宋体" w:cs="Times New Roman"/>
          <w:sz w:val="24"/>
        </w:rPr>
        <w:t>的环境条件下运行。</w:t>
      </w:r>
      <w:r>
        <w:rPr>
          <w:rFonts w:hint="eastAsia" w:ascii="宋体" w:hAnsi="宋体" w:eastAsia="宋体" w:cs="Times New Roman"/>
          <w:b/>
          <w:sz w:val="24"/>
        </w:rPr>
        <w:t>能够连续正常工作。</w:t>
      </w:r>
    </w:p>
    <w:p w14:paraId="26441079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3.3  配置符合中国有关标准要求的插头，如果没有这样的插头，则需</w:t>
      </w:r>
      <w:r>
        <w:rPr>
          <w:rFonts w:hint="eastAsia" w:ascii="宋体" w:hAnsi="Times New Roman" w:eastAsia="宋体" w:cs="Times New Roman"/>
          <w:sz w:val="24"/>
        </w:rPr>
        <w:t>提供适当的转</w:t>
      </w:r>
      <w:r>
        <w:rPr>
          <w:rFonts w:hint="eastAsia" w:ascii="宋体" w:hAnsi="宋体" w:eastAsia="宋体" w:cs="Times New Roman"/>
          <w:sz w:val="24"/>
        </w:rPr>
        <w:t>换插座。</w:t>
      </w:r>
    </w:p>
    <w:p w14:paraId="44A4BD83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1A7BAF59">
      <w:pPr>
        <w:rPr>
          <w:rFonts w:hint="eastAsia" w:ascii="Times New Roman" w:hAnsi="Times New Roman" w:eastAsia="黑体" w:cs="Times New Roman"/>
          <w:b/>
          <w:bCs/>
          <w:kern w:val="44"/>
          <w:sz w:val="24"/>
        </w:rPr>
      </w:pPr>
    </w:p>
    <w:p w14:paraId="6C8684DE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4、验收标准</w:t>
      </w:r>
    </w:p>
    <w:p w14:paraId="7EF95C7C">
      <w:pPr>
        <w:spacing w:after="312" w:afterLines="100" w:line="360" w:lineRule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除非另有说明，所有仪器、设备和系统按下列要求进行验收：</w:t>
      </w:r>
      <w:r>
        <w:rPr>
          <w:rFonts w:ascii="宋体" w:hAnsi="宋体" w:eastAsia="宋体" w:cs="Times New Roman"/>
          <w:sz w:val="24"/>
        </w:rPr>
        <w:t xml:space="preserve"> </w:t>
      </w:r>
    </w:p>
    <w:p w14:paraId="51E491F2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4.1  仪器设备运抵安装现场后，买方将与卖方共同开箱验收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如卖方届时不派人来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则验收结果应以买方的验收报告为最终验收结果。验收时发现短缺、破损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买方有权要求卖方负责更换。</w:t>
      </w:r>
    </w:p>
    <w:p w14:paraId="6E75A5D9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4.2  </w:t>
      </w:r>
      <w:r>
        <w:rPr>
          <w:rFonts w:hint="eastAsia" w:ascii="Times New Roman" w:hAnsi="Times New Roman" w:eastAsia="宋体" w:cs="Times New Roman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5D3EDE6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4.3  </w:t>
      </w:r>
      <w:r>
        <w:rPr>
          <w:rFonts w:ascii="宋体" w:hAnsi="宋体" w:eastAsia="宋体" w:cs="Times New Roman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7C1BDB42">
      <w:pPr>
        <w:pStyle w:val="2"/>
        <w:spacing w:line="360" w:lineRule="auto"/>
        <w:ind w:left="410" w:hanging="410" w:hangingChars="170"/>
        <w:rPr>
          <w:rFonts w:hint="eastAsia" w:hAnsi="宋体" w:eastAsia="宋体" w:cs="Times New Roman"/>
          <w:b/>
          <w:sz w:val="24"/>
          <w:szCs w:val="24"/>
        </w:rPr>
      </w:pPr>
    </w:p>
    <w:p w14:paraId="64DA1C92">
      <w:pPr>
        <w:adjustRightInd w:val="0"/>
        <w:snapToGrid w:val="0"/>
        <w:spacing w:line="360" w:lineRule="auto"/>
        <w:rPr>
          <w:rFonts w:hint="eastAsia" w:ascii="Times New Roman" w:hAnsi="宋体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>5、本采购需求书中标注“</w:t>
      </w:r>
      <w:r>
        <w:rPr>
          <w:rFonts w:hint="eastAsia" w:ascii="宋体" w:hAnsi="宋体" w:eastAsia="宋体" w:cs="仿宋"/>
          <w:b/>
          <w:bCs/>
          <w:sz w:val="24"/>
        </w:rPr>
        <w:t>*</w:t>
      </w:r>
      <w:r>
        <w:rPr>
          <w:rFonts w:hint="eastAsia" w:ascii="Times New Roman" w:hAnsi="Times New Roman" w:eastAsia="宋体" w:cs="Times New Roman"/>
          <w:b/>
          <w:bCs/>
          <w:sz w:val="24"/>
        </w:rPr>
        <w:t>”号技术条款的为实质性要求，不满足其投标将视为无效投标被拒绝。</w:t>
      </w:r>
    </w:p>
    <w:p w14:paraId="0FC7B96F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</w:rPr>
      </w:pPr>
    </w:p>
    <w:p w14:paraId="4F97F410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6、如在具体规格要求中有本总则不一致之处，以具体规格中的要求为准。</w:t>
      </w:r>
    </w:p>
    <w:p w14:paraId="6FAF8BBB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28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</w:rPr>
        <w:t>二、具体规格要求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1794"/>
        <w:gridCol w:w="2060"/>
        <w:gridCol w:w="4082"/>
      </w:tblGrid>
      <w:tr w14:paraId="000F6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27" w:type="pct"/>
            <w:tcBorders>
              <w:top w:val="single" w:color="auto" w:sz="4" w:space="0"/>
            </w:tcBorders>
            <w:noWrap w:val="0"/>
            <w:vAlign w:val="center"/>
          </w:tcPr>
          <w:p w14:paraId="2C2457D8">
            <w:pPr>
              <w:pStyle w:val="3"/>
              <w:spacing w:beforeAutospacing="0" w:afterAutospacing="0"/>
              <w:jc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货物</w:t>
            </w:r>
            <w:r>
              <w:rPr>
                <w:rFonts w:ascii="宋体" w:hAnsi="宋体" w:eastAsia="宋体"/>
              </w:rPr>
              <w:t>名称</w:t>
            </w:r>
          </w:p>
        </w:tc>
        <w:tc>
          <w:tcPr>
            <w:tcW w:w="4273" w:type="pct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730B3198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元素分析仪</w:t>
            </w:r>
          </w:p>
        </w:tc>
      </w:tr>
      <w:tr w14:paraId="400F1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727" w:type="pct"/>
            <w:tcBorders>
              <w:top w:val="single" w:color="auto" w:sz="4" w:space="0"/>
            </w:tcBorders>
            <w:noWrap w:val="0"/>
            <w:vAlign w:val="center"/>
          </w:tcPr>
          <w:p w14:paraId="7A9766C1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项目需求与用途</w:t>
            </w:r>
          </w:p>
        </w:tc>
        <w:tc>
          <w:tcPr>
            <w:tcW w:w="4273" w:type="pct"/>
            <w:gridSpan w:val="3"/>
            <w:tcBorders>
              <w:top w:val="single" w:color="auto" w:sz="4" w:space="0"/>
            </w:tcBorders>
            <w:noWrap w:val="0"/>
            <w:vAlign w:val="top"/>
          </w:tcPr>
          <w:p w14:paraId="21089BF8">
            <w:pPr>
              <w:spacing w:before="156" w:beforeLines="50"/>
              <w:ind w:firstLine="480" w:firstLineChars="200"/>
              <w:rPr>
                <w:rFonts w:hint="eastAsia" w:ascii="Times New Roman" w:hAnsi="Times New Roman" w:eastAsia="宋体" w:cs="仿宋"/>
                <w:sz w:val="24"/>
              </w:rPr>
            </w:pPr>
            <w:r>
              <w:rPr>
                <w:rFonts w:hint="eastAsia" w:ascii="Times New Roman" w:hAnsi="Times New Roman" w:eastAsia="宋体" w:cs="仿宋"/>
                <w:sz w:val="24"/>
              </w:rPr>
              <w:t>支持</w:t>
            </w:r>
            <w:r>
              <w:rPr>
                <w:rFonts w:ascii="Times New Roman" w:hAnsi="Times New Roman" w:eastAsia="宋体" w:cs="仿宋"/>
                <w:sz w:val="24"/>
              </w:rPr>
              <w:t>干旱区土壤碳氮循环研究</w:t>
            </w:r>
            <w:r>
              <w:rPr>
                <w:rFonts w:hint="eastAsia" w:ascii="Times New Roman" w:hAnsi="Times New Roman" w:eastAsia="宋体" w:cs="仿宋"/>
                <w:sz w:val="24"/>
              </w:rPr>
              <w:t>。</w:t>
            </w:r>
            <w:r>
              <w:rPr>
                <w:rFonts w:ascii="Times New Roman" w:hAnsi="Times New Roman" w:eastAsia="宋体" w:cs="仿宋"/>
                <w:sz w:val="24"/>
              </w:rPr>
              <w:t>通过测定不同土地利用类型（耕地、草地、荒漠、绿洲）土壤的 TC、TN 含量及 C/N 比，分析干旱区土壤碳库储量与空间分布特征，揭示土地利用变化对土壤碳氮封存的影响；结合土壤剖面分层检测，研究干旱区土壤碳氮的垂直迁移规律，为评估干旱区生态系统碳汇潜力提供数据支撑。</w:t>
            </w:r>
          </w:p>
          <w:p w14:paraId="5EE5E305">
            <w:pPr>
              <w:spacing w:before="156" w:beforeLines="50"/>
              <w:ind w:firstLine="480" w:firstLineChars="200"/>
              <w:rPr>
                <w:rFonts w:hint="eastAsia" w:ascii="Times New Roman" w:hAnsi="Times New Roman" w:eastAsia="宋体" w:cs="仿宋"/>
                <w:sz w:val="24"/>
              </w:rPr>
            </w:pPr>
            <w:r>
              <w:rPr>
                <w:rFonts w:hint="eastAsia" w:ascii="Times New Roman" w:hAnsi="Times New Roman" w:eastAsia="宋体" w:cs="仿宋"/>
                <w:sz w:val="24"/>
              </w:rPr>
              <w:t>支持</w:t>
            </w:r>
            <w:r>
              <w:rPr>
                <w:rFonts w:ascii="Times New Roman" w:hAnsi="Times New Roman" w:eastAsia="宋体" w:cs="仿宋"/>
                <w:sz w:val="24"/>
              </w:rPr>
              <w:t>干旱区植物适应机制与养分利用研究</w:t>
            </w:r>
            <w:r>
              <w:rPr>
                <w:rFonts w:hint="eastAsia" w:ascii="Times New Roman" w:hAnsi="Times New Roman" w:eastAsia="宋体" w:cs="仿宋"/>
                <w:sz w:val="24"/>
              </w:rPr>
              <w:t>。</w:t>
            </w:r>
            <w:r>
              <w:rPr>
                <w:rFonts w:ascii="Times New Roman" w:hAnsi="Times New Roman" w:eastAsia="宋体" w:cs="仿宋"/>
                <w:sz w:val="24"/>
              </w:rPr>
              <w:t>检测干旱区典型植物不同器官（叶、茎、根）的 TC、TN、TS 含量及 C/N 比，分析植物在水分胁迫、盐碱胁迫下的养分吸收与分配策略；对比不同生境（荒漠、绿洲边缘、盐碱地）植物的元素组成差异，揭示植物对干旱区极端环境的适应机制；为筛选耐旱、耐盐优良植物品种，优化干旱区植被恢复技术提供科学依据。​</w:t>
            </w:r>
          </w:p>
          <w:p w14:paraId="38B06068">
            <w:pPr>
              <w:spacing w:before="156" w:beforeLines="50"/>
              <w:ind w:firstLine="480" w:firstLineChars="200"/>
              <w:rPr>
                <w:rFonts w:hint="eastAsia" w:ascii="Times New Roman" w:hAnsi="Times New Roman" w:eastAsia="宋体" w:cs="仿宋"/>
                <w:sz w:val="24"/>
              </w:rPr>
            </w:pPr>
            <w:r>
              <w:rPr>
                <w:rFonts w:hint="eastAsia" w:ascii="Times New Roman" w:hAnsi="Times New Roman" w:eastAsia="宋体" w:cs="仿宋"/>
                <w:sz w:val="24"/>
              </w:rPr>
              <w:t>支持</w:t>
            </w:r>
            <w:r>
              <w:rPr>
                <w:rFonts w:ascii="Times New Roman" w:hAnsi="Times New Roman" w:eastAsia="宋体" w:cs="仿宋"/>
                <w:sz w:val="24"/>
              </w:rPr>
              <w:t>干旱区水文</w:t>
            </w:r>
            <w:r>
              <w:rPr>
                <w:rFonts w:hint="eastAsia" w:ascii="Times New Roman" w:hAnsi="Times New Roman" w:eastAsia="宋体" w:cs="仿宋"/>
                <w:sz w:val="24"/>
              </w:rPr>
              <w:t>-</w:t>
            </w:r>
            <w:r>
              <w:rPr>
                <w:rFonts w:ascii="Times New Roman" w:hAnsi="Times New Roman" w:eastAsia="宋体" w:cs="仿宋"/>
                <w:sz w:val="24"/>
              </w:rPr>
              <w:t>沉积物系统物质迁移研究</w:t>
            </w:r>
            <w:r>
              <w:rPr>
                <w:rFonts w:hint="eastAsia" w:ascii="Times New Roman" w:hAnsi="Times New Roman" w:eastAsia="宋体" w:cs="仿宋"/>
                <w:sz w:val="24"/>
              </w:rPr>
              <w:t>。</w:t>
            </w:r>
            <w:r>
              <w:rPr>
                <w:rFonts w:ascii="Times New Roman" w:hAnsi="Times New Roman" w:eastAsia="宋体" w:cs="仿宋"/>
                <w:sz w:val="24"/>
              </w:rPr>
              <w:t>测定干旱区河流、湖泊、地下水沉积物的 TC、TN、TS 含量，分析沉积物中有机质来源（陆源 / 水生）与污染状况；结合水体元素检测，研究干旱区水循环过程中碳、氮、硫等元素在水 - 沉积物界面的迁移转化规律；评估干旱区水资源开发（如水库建设、地下水开采）对水文 - 沉积物系统物质循环的影响，为干旱区水资源保护与污染防治提供技术支撑。​</w:t>
            </w:r>
          </w:p>
          <w:p w14:paraId="0C2B60D5">
            <w:pPr>
              <w:spacing w:before="156" w:beforeLines="50"/>
              <w:ind w:firstLine="480" w:firstLineChars="200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Times New Roman" w:hAnsi="Times New Roman" w:eastAsia="宋体" w:cs="仿宋"/>
                <w:sz w:val="24"/>
              </w:rPr>
              <w:t>支持</w:t>
            </w:r>
            <w:r>
              <w:rPr>
                <w:rFonts w:ascii="Times New Roman" w:hAnsi="Times New Roman" w:eastAsia="宋体" w:cs="仿宋"/>
                <w:sz w:val="24"/>
              </w:rPr>
              <w:t>干旱区生态修复效果量化评估</w:t>
            </w:r>
            <w:r>
              <w:rPr>
                <w:rFonts w:hint="eastAsia" w:ascii="Times New Roman" w:hAnsi="Times New Roman" w:eastAsia="宋体" w:cs="仿宋"/>
                <w:sz w:val="24"/>
              </w:rPr>
              <w:t>。</w:t>
            </w:r>
            <w:r>
              <w:rPr>
                <w:rFonts w:ascii="Times New Roman" w:hAnsi="Times New Roman" w:eastAsia="宋体" w:cs="仿宋"/>
                <w:sz w:val="24"/>
              </w:rPr>
              <w:t>在生态修复工程区域（如退牧还草、荒漠绿洲建设、盐碱地改良），定期采集土壤、植物样本，通过元素分析仪监测 TC、TN、TS 等指标的动态变化；量化修复工程对土壤肥力提升（如有机碳增加、氮含量提升）、植物养分积累的改善效果；基于长期监测数据，建立干旱区生态修复效果评价指标体系，为修复方案优化与推广提供数据支持。</w:t>
            </w:r>
          </w:p>
        </w:tc>
      </w:tr>
      <w:tr w14:paraId="7982D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27" w:type="pct"/>
            <w:noWrap w:val="0"/>
            <w:vAlign w:val="center"/>
          </w:tcPr>
          <w:p w14:paraId="0F7E2B87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预算金额（万元）</w:t>
            </w:r>
          </w:p>
        </w:tc>
        <w:tc>
          <w:tcPr>
            <w:tcW w:w="4273" w:type="pct"/>
            <w:gridSpan w:val="3"/>
            <w:noWrap w:val="0"/>
            <w:vAlign w:val="center"/>
          </w:tcPr>
          <w:p w14:paraId="49ED4395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¥</w:t>
            </w:r>
            <w:r>
              <w:rPr>
                <w:rFonts w:ascii="宋体" w:hAnsi="宋体" w:eastAsia="宋体" w:cs="Times New Roman"/>
                <w:sz w:val="24"/>
                <w:u w:val="single"/>
              </w:rPr>
              <w:t xml:space="preserve">49.4 </w:t>
            </w:r>
            <w:r>
              <w:rPr>
                <w:rFonts w:ascii="宋体" w:hAnsi="宋体" w:eastAsia="宋体" w:cs="Times New Roman"/>
                <w:sz w:val="24"/>
              </w:rPr>
              <w:t>万元</w:t>
            </w:r>
          </w:p>
        </w:tc>
      </w:tr>
      <w:tr w14:paraId="15765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27" w:type="pct"/>
            <w:noWrap w:val="0"/>
            <w:vAlign w:val="center"/>
          </w:tcPr>
          <w:p w14:paraId="73FAE6F5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采购数量</w:t>
            </w:r>
          </w:p>
        </w:tc>
        <w:tc>
          <w:tcPr>
            <w:tcW w:w="966" w:type="pct"/>
            <w:noWrap w:val="0"/>
            <w:vAlign w:val="center"/>
          </w:tcPr>
          <w:p w14:paraId="7D4D8351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1套</w:t>
            </w:r>
          </w:p>
        </w:tc>
        <w:tc>
          <w:tcPr>
            <w:tcW w:w="1109" w:type="pct"/>
            <w:noWrap w:val="0"/>
            <w:vAlign w:val="center"/>
          </w:tcPr>
          <w:p w14:paraId="2DA073EF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交货期</w:t>
            </w:r>
          </w:p>
        </w:tc>
        <w:tc>
          <w:tcPr>
            <w:tcW w:w="2198" w:type="pct"/>
            <w:noWrap w:val="0"/>
            <w:vAlign w:val="center"/>
          </w:tcPr>
          <w:p w14:paraId="010AC0EC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招标完成，合同签订后</w:t>
            </w:r>
            <w:r>
              <w:rPr>
                <w:rFonts w:ascii="宋体" w:hAnsi="宋体" w:eastAsia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u w:val="single"/>
              </w:rPr>
              <w:t xml:space="preserve"> 1</w:t>
            </w:r>
            <w:r>
              <w:rPr>
                <w:rFonts w:ascii="宋体" w:hAnsi="宋体" w:eastAsia="宋体" w:cs="Times New Roman"/>
                <w:sz w:val="24"/>
                <w:u w:val="single"/>
              </w:rPr>
              <w:t xml:space="preserve"> </w:t>
            </w:r>
            <w:r>
              <w:rPr>
                <w:rFonts w:ascii="宋体" w:hAnsi="宋体" w:eastAsia="宋体" w:cs="Times New Roman"/>
                <w:sz w:val="24"/>
              </w:rPr>
              <w:t>个月</w:t>
            </w:r>
          </w:p>
        </w:tc>
      </w:tr>
      <w:tr w14:paraId="43B5A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727" w:type="pct"/>
            <w:tcBorders>
              <w:right w:val="single" w:color="auto" w:sz="4" w:space="0"/>
            </w:tcBorders>
            <w:noWrap w:val="0"/>
            <w:vAlign w:val="center"/>
          </w:tcPr>
          <w:p w14:paraId="5FC79926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拟采购项目的</w:t>
            </w:r>
          </w:p>
          <w:p w14:paraId="5E71F72B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配置要求</w:t>
            </w:r>
          </w:p>
        </w:tc>
        <w:tc>
          <w:tcPr>
            <w:tcW w:w="4273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757E43E">
            <w:pPr>
              <w:ind w:firstLine="480" w:firstLineChars="200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核心检测指标覆盖：需精准测定干旱区生态系统关键生源要素及特征元素，包括但不限于总碳CHNS等植物必需元素，满足土壤 - 植物 - 水体 - 沉积物多介质分析需求。针对干旱区低养分背景样本（如荒漠土壤、贫营养水体沉积物），核心指标检出限需达：仪器检出限：TN≤0.02%、TC≤0.02%、TS≤0.02%，准确度：CHNSO＜0.3%（基准物）；精度：CHNSO＜0.3%（基准物），确保微量元素检测数据可靠性。支持多种形态样本分析，包括固体（土壤、植物组织、沉积物）、半固体（腐殖质、污泥）、液态（消解后水样）；单次进样量灵活（固体 1-200mg，液体 5-500μL），可处理高盐（含盐量≤20%）、高纤维（如梭梭、胡杨枯枝）样本，避免基质干扰。单次样品分析时间≤5 分钟（TC/TN 同步检测），配备≥100 位自动进样器，支持无人值守连续运行，满足实验室日均 80-120 份样本的批量检测需求，适配野外大规模采样后的快速数据分析。</w:t>
            </w:r>
          </w:p>
        </w:tc>
      </w:tr>
      <w:tr w14:paraId="41E45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exact"/>
        </w:trPr>
        <w:tc>
          <w:tcPr>
            <w:tcW w:w="72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D3907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拟采购项目的</w:t>
            </w:r>
          </w:p>
          <w:p w14:paraId="1FD1EEA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技术指标</w:t>
            </w:r>
          </w:p>
        </w:tc>
        <w:tc>
          <w:tcPr>
            <w:tcW w:w="4273" w:type="pct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 w14:paraId="1E0A2B80">
            <w:pPr>
              <w:pStyle w:val="3"/>
              <w:spacing w:beforeAutospacing="0" w:afterAutospacing="0"/>
              <w:jc w:val="both"/>
              <w:rPr>
                <w:rFonts w:ascii="宋体" w:hAnsi="宋体" w:eastAsia="宋体"/>
              </w:rPr>
            </w:pPr>
          </w:p>
        </w:tc>
      </w:tr>
      <w:tr w14:paraId="3F6A1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2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7AA90">
            <w:pPr>
              <w:pStyle w:val="3"/>
              <w:spacing w:beforeAutospacing="0" w:afterAutospacing="0"/>
              <w:jc w:val="both"/>
              <w:rPr>
                <w:rFonts w:ascii="宋体" w:hAnsi="宋体" w:eastAsia="宋体"/>
              </w:rPr>
            </w:pPr>
          </w:p>
        </w:tc>
        <w:tc>
          <w:tcPr>
            <w:tcW w:w="4273" w:type="pct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886A3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1、设备原理：杜马分析法，基于“闪燃”技术/气相色谱法分离法的元素分析技术，非吸附解吸附分离方法，请提供以上功能的技术说明画册证明材料。</w:t>
            </w:r>
          </w:p>
          <w:p w14:paraId="6E6D0752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2、工作条件:</w:t>
            </w:r>
          </w:p>
          <w:p w14:paraId="090F892C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2.1 电源电压要求：220V，50Hz/60HZ</w:t>
            </w:r>
          </w:p>
          <w:p w14:paraId="482E29E4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2.2 温度：常温</w:t>
            </w:r>
          </w:p>
          <w:p w14:paraId="21C97400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3、可测元素：CHNS</w:t>
            </w:r>
          </w:p>
          <w:p w14:paraId="286BF65E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4、可选氧气供气档位：微量，半微量，大量（根据样品量的大小可以进行调整）</w:t>
            </w:r>
          </w:p>
          <w:p w14:paraId="5F155A18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5、氧化反应器：800-1100 °C ,还原反应器：600-1100 °C</w:t>
            </w:r>
          </w:p>
          <w:p w14:paraId="0B852198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6、燃烧管：元素分析仪须兼容四种以上燃烧管规格，如10.5mm, 18mm, 20mm, 26mm，且燃烧管可定制，请提供以上功能的技术说明画册证明材料</w:t>
            </w:r>
          </w:p>
          <w:p w14:paraId="6CE7F9C1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7、气动自动进样器：具有可选配的气动自动进样器，标配不少于 50位（通过升级最高位数不少于19</w:t>
            </w: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5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位）请提供以上功能的技术说明画册证明材料。</w:t>
            </w:r>
          </w:p>
          <w:p w14:paraId="63666657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#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8、配套了纯铝材质的红外陶瓷系统模块，加热温度≥810℃，请提供技术说明文件截图和铁簇化合物检测应用报告等证明材料。</w:t>
            </w:r>
          </w:p>
          <w:p w14:paraId="72890D7F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#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9、验收指标配套了智能普朗克常数UV紫外测定单元模块具备提供了2种以上的光源和2个以上的波长范围可以同时使用或者独立使用，请提供以上功能的技术说明画册证明材料。</w:t>
            </w:r>
          </w:p>
          <w:p w14:paraId="64B84210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10、可选提供四合一元素材料检测设备，金属探测波普系统120mm，非金属100mm，其他材料50mm，提供技术规格画册证明材料</w:t>
            </w:r>
          </w:p>
          <w:p w14:paraId="17B99DDC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11、GC柱尺寸：兼容0.8m，1m，2m，3m等多种尺寸</w:t>
            </w:r>
          </w:p>
          <w:p w14:paraId="6B87C115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12、检测器：高灵敏度TCD，自行校准，无需利用基准气体</w:t>
            </w:r>
          </w:p>
          <w:p w14:paraId="645C2EB6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12</w:t>
            </w: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.1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、可选智能光谱偏振综合测试系统，波长范围≥350-9</w:t>
            </w: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80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nm，具备宽量程的探测范围，光学分辨率为7nm，可以同光谱测试报告，具备智能互联APP软件工作站系统，积分时间为0.1-2000ms。请提供以上功能的产品技术说明画册证明材料</w:t>
            </w:r>
          </w:p>
          <w:p w14:paraId="23A5995C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12</w:t>
            </w: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.2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、可选智能多普勒效应综合测试单元模块，测量范围0.01-50m/s，提供智能机械测量系统，请提供以上功能的产品技术说明画册证明材料</w:t>
            </w:r>
          </w:p>
          <w:p w14:paraId="5E8A291C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#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13、准确度：CHNSO＜0.3%（基准物）</w:t>
            </w:r>
          </w:p>
          <w:p w14:paraId="69476CCF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#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14、精度：CHNSO＜0.3%（基准物）</w:t>
            </w:r>
          </w:p>
          <w:p w14:paraId="43DFCA8E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15、校准：线性、二次曲线、三次曲线</w:t>
            </w:r>
          </w:p>
          <w:p w14:paraId="7466AC68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16、分析时间：用2米GC柱分析CHNS分析需15分钟； 用2米GC柱分析CN需3分钟 (基准物)</w:t>
            </w:r>
          </w:p>
          <w:p w14:paraId="7387E43C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17、样品大小：0.1-200mg（取决于样品性质）</w:t>
            </w:r>
          </w:p>
          <w:p w14:paraId="2FCD747C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18、尺寸：元素分析仪不大于76cm*35cm*70cm（（长 x 宽 x 高）</w:t>
            </w:r>
          </w:p>
          <w:p w14:paraId="6F645B35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#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19、可选太赫兹光谱实验分析单元模块，光谱范围260到380nm，峰值可达365nm，量段范围是0~</w:t>
            </w: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39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000μw，请提供以上功能的产品技术说明画册证明材料。</w:t>
            </w:r>
          </w:p>
          <w:p w14:paraId="1537D14F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#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20、校准曲线：线型曲线、二次曲线、三次曲线</w:t>
            </w: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。具备智能氧化钬智能滤光系统，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请提供以上功能的产品技术</w:t>
            </w: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方案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画册证明材料</w:t>
            </w: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。</w:t>
            </w:r>
          </w:p>
          <w:p w14:paraId="7672BD29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1"/>
              </w:rPr>
              <w:t>#</w:t>
            </w:r>
            <w:r>
              <w:rPr>
                <w:rFonts w:ascii="Times New Roman" w:hAnsi="Times New Roman" w:eastAsia="宋体" w:cs="仿宋"/>
                <w:sz w:val="24"/>
                <w:szCs w:val="21"/>
              </w:rPr>
              <w:t>基本配置（验收指标）</w:t>
            </w:r>
          </w:p>
          <w:p w14:paraId="46A4E08B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(1)主机单元（带安装工具）包含主机、燃烧及还原反应管、配套管路等1套</w:t>
            </w:r>
          </w:p>
          <w:p w14:paraId="70DF38C7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(2)自动进样器（带旋转木马，标配50位）1套</w:t>
            </w:r>
          </w:p>
          <w:p w14:paraId="1B708F47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(3)数据采集软件1套</w:t>
            </w:r>
          </w:p>
          <w:p w14:paraId="2A34AD2F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(4)内置红外陶瓷系统模块1套</w:t>
            </w:r>
          </w:p>
          <w:p w14:paraId="7223E7DD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(5)多中心高碳钢专用工具及装机必需品附件1套</w:t>
            </w:r>
          </w:p>
          <w:p w14:paraId="4B019976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(6)智能光谱偏振综合测试系统1套</w:t>
            </w:r>
          </w:p>
          <w:p w14:paraId="249D8EE5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(7)标配智能普朗克常数UV紫外测定单元模块1套</w:t>
            </w:r>
          </w:p>
          <w:p w14:paraId="0BF32E7D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(8)四合一元素材料检测设备1套</w:t>
            </w:r>
          </w:p>
          <w:p w14:paraId="573AE3BB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(9)CHNS分析耗材套件(1000个)1套</w:t>
            </w:r>
          </w:p>
          <w:p w14:paraId="5111B2F8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(10)电脑和PVC特氟龙安装工具1套</w:t>
            </w:r>
          </w:p>
          <w:p w14:paraId="1831603C">
            <w:pPr>
              <w:spacing w:line="360" w:lineRule="auto"/>
              <w:rPr>
                <w:rFonts w:hint="eastAsia" w:ascii="Times New Roman" w:hAnsi="Times New Roman" w:eastAsia="宋体" w:cs="仿宋"/>
                <w:sz w:val="24"/>
                <w:szCs w:val="21"/>
              </w:rPr>
            </w:pPr>
            <w:r>
              <w:rPr>
                <w:rFonts w:ascii="Times New Roman" w:hAnsi="Times New Roman" w:eastAsia="宋体" w:cs="仿宋"/>
                <w:sz w:val="24"/>
                <w:szCs w:val="21"/>
              </w:rPr>
              <w:t>(11)产品说明书1套</w:t>
            </w:r>
          </w:p>
          <w:p w14:paraId="5A84CE93">
            <w:pPr>
              <w:pStyle w:val="3"/>
              <w:spacing w:beforeAutospacing="0" w:afterAutospacing="0"/>
              <w:jc w:val="both"/>
              <w:rPr>
                <w:rFonts w:hint="eastAsia" w:ascii="Times New Roman" w:hAnsi="Times New Roman" w:eastAsia="宋体" w:cs="仿宋"/>
                <w:kern w:val="2"/>
                <w:szCs w:val="21"/>
              </w:rPr>
            </w:pPr>
          </w:p>
        </w:tc>
      </w:tr>
      <w:tr w14:paraId="5AA2A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2" w:hRule="atLeast"/>
        </w:trPr>
        <w:tc>
          <w:tcPr>
            <w:tcW w:w="727" w:type="pc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CD856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服务需求</w:t>
            </w:r>
          </w:p>
        </w:tc>
        <w:tc>
          <w:tcPr>
            <w:tcW w:w="4273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07FB845B">
            <w:pPr>
              <w:autoSpaceDE w:val="0"/>
              <w:autoSpaceDN w:val="0"/>
              <w:adjustRightInd w:val="0"/>
              <w:snapToGrid w:val="0"/>
              <w:spacing w:before="62" w:beforeLines="20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 xml:space="preserve">1、供应商免费安排工程师上门安装、调试，免费为用户进行操作及维护培训。 </w:t>
            </w:r>
          </w:p>
          <w:p w14:paraId="5D1EA11D">
            <w:pPr>
              <w:autoSpaceDE w:val="0"/>
              <w:autoSpaceDN w:val="0"/>
              <w:adjustRightInd w:val="0"/>
              <w:snapToGrid w:val="0"/>
              <w:spacing w:before="62" w:beforeLines="20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2、质保期  1  年，质保期内免费维修或更换部件，维修2次仍无法正常使用应整体更换。质保期后，供应商以优惠价格负责后续维修保养，提供全周期技术支持。</w:t>
            </w:r>
          </w:p>
          <w:p w14:paraId="6A4220FB">
            <w:pPr>
              <w:autoSpaceDE w:val="0"/>
              <w:autoSpaceDN w:val="0"/>
              <w:adjustRightInd w:val="0"/>
              <w:snapToGrid w:val="0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3、供应商应在接到售后服务要求后4小时内响应、24小时内安排技术人员解决或提供解决方案。出现重大紧急故障，应在接到通知后48小时内赶赴现场排除故障。</w:t>
            </w:r>
          </w:p>
        </w:tc>
      </w:tr>
      <w:tr w14:paraId="4FD6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7" w:type="pct"/>
            <w:noWrap w:val="0"/>
            <w:vAlign w:val="center"/>
          </w:tcPr>
          <w:p w14:paraId="74A62A6F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其他说明事项</w:t>
            </w:r>
          </w:p>
        </w:tc>
        <w:tc>
          <w:tcPr>
            <w:tcW w:w="4273" w:type="pct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51D868BA"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lang w:bidi="ar"/>
              </w:rPr>
              <w:t>甲方收到全部货物并技术验收合格后凭发票于30日内全额付款。</w:t>
            </w:r>
          </w:p>
        </w:tc>
      </w:tr>
    </w:tbl>
    <w:p w14:paraId="203BA38C">
      <w:pPr>
        <w:widowControl/>
        <w:spacing w:line="360" w:lineRule="atLeast"/>
        <w:rPr>
          <w:rFonts w:hint="eastAsia" w:ascii="宋体" w:hAnsi="宋体" w:eastAsia="宋体" w:cs="Times New Roman"/>
          <w:b/>
          <w:sz w:val="30"/>
          <w:szCs w:val="30"/>
        </w:rPr>
      </w:pPr>
    </w:p>
    <w:p w14:paraId="3A3EB15D">
      <w:bookmarkStart w:id="1" w:name="_GoBack"/>
      <w:bookmarkEnd w:id="1"/>
    </w:p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B05ED8"/>
    <w:rsid w:val="6DB0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99"/>
    <w:pPr>
      <w:widowControl w:val="0"/>
      <w:jc w:val="both"/>
    </w:pPr>
    <w:rPr>
      <w:rFonts w:ascii="宋体" w:hAnsi="Courier New" w:eastAsia="宋体" w:cs="Times New Roman"/>
      <w:kern w:val="2"/>
      <w:sz w:val="21"/>
      <w:szCs w:val="20"/>
      <w:lang w:val="en-US" w:eastAsia="zh-CN" w:bidi="ar-SA"/>
    </w:rPr>
  </w:style>
  <w:style w:type="paragraph" w:styleId="3">
    <w:name w:val="Normal (Web)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2025-11-28T10:25:00Z</dcterms:created>
  <dc:creator>顾嘉宁</dc:creator>
  <cp:lastModifiedBy>顾嘉宁</cp:lastModifiedBy>
  <dcterms:modified xsi:type="dcterms:W3CDTF">2025-11-28T10:26:09Z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5A7A5D3A8C85410D93A39DCAB3884D2B_11</vt:lpwstr>
  </property>
  <property fmtid="{D5CDD505-2E9C-101B-9397-08002B2CF9AE}" pid="4" name="KSOTemplateDocerSaveRecord">
    <vt:lpwstr>eyJoZGlkIjoiZjUyMjZiYjQwOTljOWFlMTY1NjA4M2M4Nzk1M2ZiZTAiLCJ1c2VySWQiOiIxNjYzMDExNDYwIn0=</vt:lpwstr>
  </property>
</Properties>
</file>