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0" w:firstLineChars="0"/>
        <w:jc w:val="center"/>
        <w:rPr>
          <w:rFonts w:hint="eastAsia" w:ascii="宋体" w:hAnsi="宋体" w:eastAsia="宋体" w:cs="宋体"/>
          <w:b/>
          <w:bCs/>
          <w:color w:val="auto"/>
          <w:sz w:val="56"/>
          <w:szCs w:val="56"/>
          <w:highlight w:val="none"/>
          <w:lang w:eastAsia="zh-CN"/>
        </w:rPr>
      </w:pPr>
      <w:bookmarkStart w:id="0" w:name="_Toc13646"/>
      <w:r>
        <w:rPr>
          <w:rFonts w:hint="eastAsia" w:ascii="宋体" w:hAnsi="宋体" w:cs="宋体"/>
          <w:b/>
          <w:bCs/>
          <w:color w:val="auto"/>
          <w:sz w:val="56"/>
          <w:szCs w:val="56"/>
          <w:highlight w:val="none"/>
          <w:lang w:eastAsia="zh-CN"/>
        </w:rPr>
        <w:t>曲靖市消防救援支队2024年度支队集中采购器材装备项目</w:t>
      </w:r>
    </w:p>
    <w:p>
      <w:pPr>
        <w:pStyle w:val="11"/>
        <w:keepNext w:val="0"/>
        <w:keepLines w:val="0"/>
        <w:pageBreakBefore w:val="0"/>
        <w:widowControl w:val="0"/>
        <w:kinsoku/>
        <w:wordWrap/>
        <w:overflowPunct/>
        <w:topLinePunct w:val="0"/>
        <w:autoSpaceDE/>
        <w:autoSpaceDN/>
        <w:bidi w:val="0"/>
        <w:snapToGrid/>
        <w:spacing w:beforeAutospacing="0" w:after="0" w:afterAutospacing="0"/>
        <w:ind w:left="0" w:leftChars="0" w:right="0" w:rightChars="0" w:firstLine="0" w:firstLineChars="0"/>
        <w:rPr>
          <w:rFonts w:hint="eastAsia"/>
          <w:color w:val="auto"/>
          <w:highlight w:val="none"/>
        </w:rPr>
      </w:pPr>
    </w:p>
    <w:p>
      <w:pPr>
        <w:pStyle w:val="12"/>
        <w:rPr>
          <w:rFonts w:hint="eastAsia"/>
          <w:color w:val="auto"/>
          <w:highlight w:val="none"/>
        </w:rPr>
      </w:pPr>
    </w:p>
    <w:p>
      <w:pPr>
        <w:pStyle w:val="2"/>
        <w:rPr>
          <w:rFonts w:hint="eastAsia"/>
          <w:color w:val="auto"/>
        </w:rPr>
      </w:pPr>
    </w:p>
    <w:p>
      <w:pPr>
        <w:pStyle w:val="11"/>
        <w:keepNext w:val="0"/>
        <w:keepLines w:val="0"/>
        <w:pageBreakBefore w:val="0"/>
        <w:widowControl w:val="0"/>
        <w:kinsoku/>
        <w:wordWrap/>
        <w:overflowPunct/>
        <w:topLinePunct w:val="0"/>
        <w:autoSpaceDE/>
        <w:autoSpaceDN/>
        <w:bidi w:val="0"/>
        <w:snapToGrid/>
        <w:spacing w:beforeAutospacing="0" w:after="0" w:afterAutospacing="0"/>
        <w:ind w:left="0" w:leftChars="0" w:right="0" w:rightChars="0" w:firstLine="0" w:firstLineChars="0"/>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项目编号：FC2024501</w:t>
      </w:r>
    </w:p>
    <w:p>
      <w:pPr>
        <w:keepNext w:val="0"/>
        <w:keepLines w:val="0"/>
        <w:pageBreakBefore w:val="0"/>
        <w:widowControl w:val="0"/>
        <w:kinsoku/>
        <w:wordWrap/>
        <w:overflowPunct/>
        <w:topLinePunct w:val="0"/>
        <w:autoSpaceDE/>
        <w:autoSpaceDN/>
        <w:bidi w:val="0"/>
        <w:snapToGrid/>
        <w:spacing w:beforeAutospacing="0" w:afterAutospacing="0" w:line="360" w:lineRule="auto"/>
        <w:ind w:left="0" w:leftChars="0" w:right="0" w:rightChars="0" w:firstLine="0" w:firstLineChars="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采购文件</w:t>
      </w:r>
    </w:p>
    <w:p>
      <w:pPr>
        <w:pStyle w:val="18"/>
        <w:keepNext w:val="0"/>
        <w:keepLines w:val="0"/>
        <w:pageBreakBefore w:val="0"/>
        <w:widowControl w:val="0"/>
        <w:kinsoku/>
        <w:wordWrap/>
        <w:overflowPunct/>
        <w:topLinePunct w:val="0"/>
        <w:autoSpaceDE/>
        <w:autoSpaceDN/>
        <w:bidi w:val="0"/>
        <w:snapToGrid/>
        <w:spacing w:beforeAutospacing="0" w:afterAutospacing="0"/>
        <w:ind w:left="0" w:leftChars="0" w:right="0" w:rightChars="0" w:firstLine="0" w:firstLineChars="0"/>
        <w:rPr>
          <w:rFonts w:hint="eastAsia" w:ascii="宋体" w:hAnsi="宋体" w:eastAsia="宋体" w:cs="宋体"/>
          <w:b/>
          <w:bCs/>
          <w:color w:val="auto"/>
          <w:sz w:val="22"/>
          <w:szCs w:val="22"/>
          <w:highlight w:val="none"/>
          <w:lang w:val="en-US" w:eastAsia="zh-CN"/>
        </w:rPr>
      </w:pPr>
    </w:p>
    <w:p>
      <w:pPr>
        <w:keepNext w:val="0"/>
        <w:keepLines w:val="0"/>
        <w:pageBreakBefore w:val="0"/>
        <w:widowControl w:val="0"/>
        <w:kinsoku/>
        <w:wordWrap/>
        <w:overflowPunct/>
        <w:topLinePunct w:val="0"/>
        <w:autoSpaceDE/>
        <w:autoSpaceDN/>
        <w:bidi w:val="0"/>
        <w:snapToGrid/>
        <w:spacing w:beforeAutospacing="0" w:afterAutospacing="0"/>
        <w:ind w:left="0" w:leftChars="0" w:right="0" w:rightChars="0" w:firstLine="0" w:firstLineChars="0"/>
        <w:jc w:val="center"/>
        <w:rPr>
          <w:rFonts w:hint="eastAsia" w:ascii="宋体" w:hAnsi="宋体" w:eastAsia="宋体" w:cs="宋体"/>
          <w:b/>
          <w:bCs/>
          <w:color w:val="auto"/>
          <w:sz w:val="28"/>
          <w:szCs w:val="28"/>
          <w:highlight w:val="none"/>
        </w:rPr>
      </w:pPr>
    </w:p>
    <w:p>
      <w:pPr>
        <w:keepNext w:val="0"/>
        <w:keepLines w:val="0"/>
        <w:pageBreakBefore w:val="0"/>
        <w:widowControl w:val="0"/>
        <w:kinsoku/>
        <w:wordWrap/>
        <w:overflowPunct/>
        <w:topLinePunct w:val="0"/>
        <w:autoSpaceDE/>
        <w:autoSpaceDN/>
        <w:bidi w:val="0"/>
        <w:snapToGrid/>
        <w:spacing w:beforeAutospacing="0" w:afterAutospacing="0"/>
        <w:ind w:left="0" w:leftChars="0" w:right="0" w:rightChars="0" w:firstLine="0" w:firstLineChars="0"/>
        <w:jc w:val="center"/>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本文件适用于（1标包、3标包）</w:t>
      </w:r>
    </w:p>
    <w:p>
      <w:pPr>
        <w:pStyle w:val="2"/>
        <w:keepNext w:val="0"/>
        <w:keepLines w:val="0"/>
        <w:pageBreakBefore w:val="0"/>
        <w:widowControl w:val="0"/>
        <w:kinsoku/>
        <w:wordWrap/>
        <w:overflowPunct/>
        <w:topLinePunct w:val="0"/>
        <w:autoSpaceDE/>
        <w:autoSpaceDN/>
        <w:bidi w:val="0"/>
        <w:snapToGrid/>
        <w:spacing w:before="0" w:beforeAutospacing="0" w:after="0" w:afterAutospacing="0"/>
        <w:ind w:left="0" w:leftChars="0" w:right="0" w:rightChars="0" w:firstLine="0" w:firstLineChars="0"/>
        <w:rPr>
          <w:rFonts w:hint="eastAsia" w:ascii="宋体" w:hAnsi="宋体" w:eastAsia="宋体" w:cs="宋体"/>
          <w:b/>
          <w:bCs/>
          <w:color w:val="auto"/>
          <w:sz w:val="32"/>
          <w:szCs w:val="32"/>
          <w:highlight w:val="none"/>
        </w:rPr>
      </w:pPr>
    </w:p>
    <w:p>
      <w:pPr>
        <w:keepNext w:val="0"/>
        <w:keepLines w:val="0"/>
        <w:pageBreakBefore w:val="0"/>
        <w:widowControl w:val="0"/>
        <w:kinsoku/>
        <w:wordWrap/>
        <w:overflowPunct/>
        <w:topLinePunct w:val="0"/>
        <w:autoSpaceDE/>
        <w:autoSpaceDN/>
        <w:bidi w:val="0"/>
        <w:snapToGrid/>
        <w:spacing w:beforeAutospacing="0" w:afterAutospacing="0"/>
        <w:ind w:left="0" w:leftChars="0" w:right="0" w:rightChars="0" w:firstLine="0" w:firstLineChars="0"/>
        <w:rPr>
          <w:rFonts w:hint="eastAsia" w:ascii="宋体" w:hAnsi="宋体" w:eastAsia="宋体" w:cs="宋体"/>
          <w:b/>
          <w:bCs/>
          <w:color w:val="auto"/>
          <w:sz w:val="32"/>
          <w:szCs w:val="32"/>
          <w:highlight w:val="none"/>
        </w:rPr>
      </w:pPr>
    </w:p>
    <w:p>
      <w:pPr>
        <w:pStyle w:val="2"/>
        <w:keepNext w:val="0"/>
        <w:keepLines w:val="0"/>
        <w:pageBreakBefore w:val="0"/>
        <w:widowControl w:val="0"/>
        <w:kinsoku/>
        <w:wordWrap/>
        <w:overflowPunct/>
        <w:topLinePunct w:val="0"/>
        <w:autoSpaceDE/>
        <w:autoSpaceDN/>
        <w:bidi w:val="0"/>
        <w:snapToGrid/>
        <w:spacing w:before="0" w:beforeAutospacing="0" w:after="0" w:afterAutospacing="0"/>
        <w:ind w:left="0" w:leftChars="0" w:right="0" w:rightChars="0" w:firstLine="0" w:firstLineChars="0"/>
        <w:rPr>
          <w:rFonts w:hint="eastAsia"/>
          <w:color w:val="auto"/>
        </w:rPr>
      </w:pPr>
    </w:p>
    <w:p>
      <w:pPr>
        <w:rPr>
          <w:rFonts w:hint="eastAsia"/>
          <w:color w:val="auto"/>
        </w:rPr>
      </w:pPr>
    </w:p>
    <w:p>
      <w:pPr>
        <w:pStyle w:val="2"/>
        <w:rPr>
          <w:rFonts w:hint="eastAsia"/>
          <w:color w:val="auto"/>
        </w:rPr>
      </w:pPr>
    </w:p>
    <w:p>
      <w:pPr>
        <w:keepNext w:val="0"/>
        <w:keepLines w:val="0"/>
        <w:pageBreakBefore w:val="0"/>
        <w:widowControl w:val="0"/>
        <w:kinsoku/>
        <w:wordWrap/>
        <w:overflowPunct/>
        <w:topLinePunct w:val="0"/>
        <w:autoSpaceDE/>
        <w:autoSpaceDN/>
        <w:bidi w:val="0"/>
        <w:snapToGrid/>
        <w:spacing w:beforeAutospacing="0" w:afterAutospacing="0" w:line="720" w:lineRule="auto"/>
        <w:ind w:left="0" w:leftChars="0" w:right="0" w:rightChars="0" w:firstLine="0" w:firstLineChars="0"/>
        <w:jc w:val="center"/>
        <w:rPr>
          <w:rFonts w:hint="eastAsia" w:ascii="宋体" w:hAnsi="宋体" w:cs="宋体"/>
          <w:b/>
          <w:bCs/>
          <w:color w:val="auto"/>
          <w:sz w:val="32"/>
          <w:szCs w:val="32"/>
          <w:highlight w:val="none"/>
          <w:lang w:eastAsia="zh-CN"/>
        </w:rPr>
      </w:pPr>
      <w:r>
        <w:rPr>
          <w:rFonts w:hint="eastAsia" w:ascii="宋体" w:hAnsi="宋体" w:eastAsia="宋体" w:cs="宋体"/>
          <w:b/>
          <w:bCs/>
          <w:color w:val="auto"/>
          <w:sz w:val="32"/>
          <w:szCs w:val="32"/>
          <w:highlight w:val="none"/>
        </w:rPr>
        <w:t>采购人：</w:t>
      </w:r>
      <w:r>
        <w:rPr>
          <w:rFonts w:hint="eastAsia" w:ascii="宋体" w:hAnsi="宋体" w:cs="宋体"/>
          <w:b/>
          <w:bCs/>
          <w:color w:val="auto"/>
          <w:sz w:val="32"/>
          <w:szCs w:val="32"/>
          <w:highlight w:val="none"/>
          <w:lang w:eastAsia="zh-CN"/>
        </w:rPr>
        <w:t>曲靖市消防救援支队</w:t>
      </w:r>
    </w:p>
    <w:p>
      <w:pPr>
        <w:pStyle w:val="11"/>
        <w:keepNext w:val="0"/>
        <w:keepLines w:val="0"/>
        <w:pageBreakBefore w:val="0"/>
        <w:widowControl w:val="0"/>
        <w:kinsoku/>
        <w:wordWrap/>
        <w:overflowPunct/>
        <w:topLinePunct w:val="0"/>
        <w:autoSpaceDE/>
        <w:autoSpaceDN/>
        <w:bidi w:val="0"/>
        <w:snapToGrid/>
        <w:spacing w:beforeAutospacing="0" w:after="0" w:afterAutospacing="0"/>
        <w:ind w:left="0" w:leftChars="0" w:right="0" w:rightChars="0" w:firstLine="0" w:firstLineChars="0"/>
        <w:jc w:val="center"/>
        <w:rPr>
          <w:rFonts w:hint="eastAsia"/>
          <w:color w:val="auto"/>
          <w:highlight w:val="none"/>
          <w:lang w:eastAsia="zh-CN"/>
        </w:rPr>
      </w:pPr>
    </w:p>
    <w:p>
      <w:pPr>
        <w:keepNext w:val="0"/>
        <w:keepLines w:val="0"/>
        <w:pageBreakBefore w:val="0"/>
        <w:widowControl w:val="0"/>
        <w:kinsoku/>
        <w:wordWrap/>
        <w:overflowPunct/>
        <w:topLinePunct w:val="0"/>
        <w:autoSpaceDE/>
        <w:autoSpaceDN/>
        <w:bidi w:val="0"/>
        <w:snapToGrid/>
        <w:spacing w:beforeAutospacing="0" w:afterAutospacing="0" w:line="720" w:lineRule="auto"/>
        <w:ind w:left="0" w:leftChars="0" w:right="0" w:rightChars="0" w:firstLine="0" w:firstLineChars="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采购代理机构：</w:t>
      </w:r>
      <w:r>
        <w:rPr>
          <w:rFonts w:hint="eastAsia" w:ascii="宋体" w:hAnsi="宋体" w:cs="宋体"/>
          <w:b/>
          <w:bCs/>
          <w:color w:val="auto"/>
          <w:sz w:val="32"/>
          <w:szCs w:val="32"/>
          <w:highlight w:val="none"/>
          <w:lang w:eastAsia="zh-CN"/>
        </w:rPr>
        <w:t>云南福诚招标有限公司</w:t>
      </w:r>
    </w:p>
    <w:p>
      <w:pPr>
        <w:keepNext w:val="0"/>
        <w:keepLines w:val="0"/>
        <w:pageBreakBefore w:val="0"/>
        <w:widowControl w:val="0"/>
        <w:kinsoku/>
        <w:wordWrap/>
        <w:overflowPunct/>
        <w:topLinePunct w:val="0"/>
        <w:autoSpaceDE/>
        <w:autoSpaceDN/>
        <w:bidi w:val="0"/>
        <w:snapToGrid/>
        <w:spacing w:beforeAutospacing="0" w:afterAutospacing="0" w:line="720" w:lineRule="auto"/>
        <w:ind w:left="0" w:leftChars="0" w:right="0" w:rightChars="0" w:firstLine="0" w:firstLineChars="0"/>
        <w:jc w:val="center"/>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日期：202</w:t>
      </w:r>
      <w:r>
        <w:rPr>
          <w:rFonts w:hint="eastAsia" w:ascii="宋体" w:hAnsi="宋体" w:cs="宋体"/>
          <w:b/>
          <w:bCs/>
          <w:color w:val="auto"/>
          <w:sz w:val="32"/>
          <w:szCs w:val="32"/>
          <w:highlight w:val="none"/>
          <w:lang w:val="en-US" w:eastAsia="zh-CN"/>
        </w:rPr>
        <w:t>4</w:t>
      </w:r>
      <w:r>
        <w:rPr>
          <w:rFonts w:hint="eastAsia" w:ascii="宋体" w:hAnsi="宋体" w:cs="宋体"/>
          <w:b/>
          <w:bCs/>
          <w:color w:val="auto"/>
          <w:sz w:val="32"/>
          <w:szCs w:val="32"/>
          <w:highlight w:val="none"/>
          <w:lang w:eastAsia="zh-CN"/>
        </w:rPr>
        <w:t>年</w:t>
      </w:r>
      <w:r>
        <w:rPr>
          <w:rFonts w:hint="eastAsia" w:ascii="宋体" w:hAnsi="宋体" w:cs="宋体"/>
          <w:b/>
          <w:bCs/>
          <w:color w:val="auto"/>
          <w:sz w:val="32"/>
          <w:szCs w:val="32"/>
          <w:highlight w:val="none"/>
          <w:lang w:val="en-US" w:eastAsia="zh-CN"/>
        </w:rPr>
        <w:t>5月</w:t>
      </w:r>
    </w:p>
    <w:p>
      <w:pPr>
        <w:rPr>
          <w:rFonts w:hint="eastAsia" w:ascii="宋体" w:hAnsi="宋体" w:eastAsia="宋体" w:cs="宋体"/>
          <w:bCs/>
          <w:color w:val="auto"/>
          <w:sz w:val="40"/>
          <w:szCs w:val="48"/>
          <w:highlight w:val="none"/>
        </w:rPr>
      </w:pPr>
      <w:r>
        <w:rPr>
          <w:rFonts w:hint="eastAsia" w:ascii="宋体" w:hAnsi="宋体" w:eastAsia="宋体" w:cs="宋体"/>
          <w:bCs/>
          <w:color w:val="auto"/>
          <w:sz w:val="40"/>
          <w:szCs w:val="48"/>
          <w:highlight w:val="none"/>
        </w:rPr>
        <w:br w:type="page"/>
      </w:r>
    </w:p>
    <w:bookmarkEnd w:id="0"/>
    <w:p>
      <w:pPr>
        <w:pStyle w:val="24"/>
        <w:tabs>
          <w:tab w:val="right" w:leader="dot" w:pos="9740"/>
        </w:tabs>
        <w:jc w:val="center"/>
        <w:rPr>
          <w:rFonts w:hint="eastAsia" w:ascii="宋体" w:hAnsi="宋体" w:eastAsia="宋体" w:cs="宋体"/>
          <w:color w:val="auto"/>
          <w:sz w:val="56"/>
          <w:szCs w:val="96"/>
          <w:highlight w:val="none"/>
          <w:lang w:eastAsia="zh-CN"/>
        </w:rPr>
      </w:pPr>
      <w:bookmarkStart w:id="1" w:name="_Toc24005"/>
      <w:bookmarkStart w:id="2" w:name="_Toc28130"/>
      <w:r>
        <w:rPr>
          <w:rFonts w:hint="eastAsia" w:ascii="宋体" w:hAnsi="宋体" w:cs="宋体"/>
          <w:color w:val="auto"/>
          <w:sz w:val="56"/>
          <w:szCs w:val="96"/>
          <w:highlight w:val="none"/>
          <w:lang w:eastAsia="zh-CN"/>
        </w:rPr>
        <w:t>目录</w:t>
      </w:r>
    </w:p>
    <w:p>
      <w:pPr>
        <w:pStyle w:val="24"/>
        <w:tabs>
          <w:tab w:val="right" w:leader="dot" w:pos="9740"/>
        </w:tabs>
        <w:rPr>
          <w:rFonts w:hint="eastAsia" w:ascii="宋体" w:hAnsi="宋体" w:eastAsia="宋体" w:cs="宋体"/>
          <w:color w:val="auto"/>
          <w:sz w:val="24"/>
          <w:szCs w:val="32"/>
          <w:highlight w:val="none"/>
        </w:rPr>
      </w:pPr>
    </w:p>
    <w:p>
      <w:pPr>
        <w:pStyle w:val="24"/>
        <w:tabs>
          <w:tab w:val="right" w:leader="dot" w:pos="9740"/>
        </w:tabs>
        <w:rPr>
          <w:rFonts w:hint="eastAsia" w:ascii="宋体" w:hAnsi="宋体" w:eastAsia="宋体" w:cs="宋体"/>
          <w:color w:val="auto"/>
          <w:sz w:val="24"/>
          <w:szCs w:val="32"/>
          <w:highlight w:val="none"/>
        </w:rPr>
      </w:pPr>
    </w:p>
    <w:p>
      <w:pPr>
        <w:pStyle w:val="11"/>
        <w:rPr>
          <w:rFonts w:hint="eastAsia"/>
          <w:color w:val="auto"/>
        </w:rPr>
      </w:pPr>
    </w:p>
    <w:p>
      <w:pPr>
        <w:pStyle w:val="24"/>
        <w:tabs>
          <w:tab w:val="right" w:leader="dot" w:pos="9746"/>
        </w:tabs>
        <w:spacing w:line="360" w:lineRule="auto"/>
        <w:rPr>
          <w:rFonts w:hint="eastAsia" w:ascii="宋体" w:hAnsi="宋体" w:eastAsia="宋体" w:cs="宋体"/>
          <w:color w:val="auto"/>
          <w:sz w:val="28"/>
          <w:szCs w:val="36"/>
          <w:highlight w:val="none"/>
          <w:lang w:val="en-US" w:eastAsia="zh-CN" w:bidi="ar-SA"/>
        </w:rPr>
      </w:pPr>
      <w:r>
        <w:rPr>
          <w:rFonts w:hint="eastAsia" w:ascii="宋体" w:hAnsi="宋体" w:eastAsia="宋体" w:cs="宋体"/>
          <w:color w:val="auto"/>
          <w:sz w:val="52"/>
          <w:szCs w:val="72"/>
          <w:highlight w:val="none"/>
        </w:rPr>
        <w:fldChar w:fldCharType="begin"/>
      </w:r>
      <w:r>
        <w:rPr>
          <w:rFonts w:hint="eastAsia" w:ascii="宋体" w:hAnsi="宋体" w:eastAsia="宋体" w:cs="宋体"/>
          <w:color w:val="auto"/>
          <w:sz w:val="52"/>
          <w:szCs w:val="72"/>
          <w:highlight w:val="none"/>
        </w:rPr>
        <w:instrText xml:space="preserve">TOC \o "1-3" \h \u </w:instrText>
      </w:r>
      <w:r>
        <w:rPr>
          <w:rFonts w:hint="eastAsia" w:ascii="宋体" w:hAnsi="宋体" w:eastAsia="宋体" w:cs="宋体"/>
          <w:color w:val="auto"/>
          <w:sz w:val="52"/>
          <w:szCs w:val="72"/>
          <w:highlight w:val="none"/>
        </w:rPr>
        <w:fldChar w:fldCharType="separate"/>
      </w: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HYPERLINK \l _Toc5564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第一章 采购公告</w:t>
      </w:r>
      <w:r>
        <w:rPr>
          <w:rFonts w:hint="eastAsia" w:ascii="宋体" w:hAnsi="宋体" w:eastAsia="宋体" w:cs="宋体"/>
          <w:color w:val="auto"/>
          <w:sz w:val="28"/>
          <w:szCs w:val="36"/>
          <w:highlight w:val="none"/>
          <w:lang w:val="en-US" w:eastAsia="zh-CN" w:bidi="ar-SA"/>
        </w:rPr>
        <w:tab/>
      </w: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PAGEREF _Toc5564 \h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1</w:t>
      </w:r>
      <w:r>
        <w:rPr>
          <w:rFonts w:hint="eastAsia" w:ascii="宋体" w:hAnsi="宋体" w:eastAsia="宋体" w:cs="宋体"/>
          <w:color w:val="auto"/>
          <w:sz w:val="28"/>
          <w:szCs w:val="36"/>
          <w:highlight w:val="none"/>
          <w:lang w:val="en-US" w:eastAsia="zh-CN" w:bidi="ar-SA"/>
        </w:rPr>
        <w:fldChar w:fldCharType="end"/>
      </w:r>
      <w:r>
        <w:rPr>
          <w:rFonts w:hint="eastAsia" w:ascii="宋体" w:hAnsi="宋体" w:eastAsia="宋体" w:cs="宋体"/>
          <w:color w:val="auto"/>
          <w:sz w:val="28"/>
          <w:szCs w:val="36"/>
          <w:highlight w:val="none"/>
          <w:lang w:val="en-US" w:eastAsia="zh-CN" w:bidi="ar-SA"/>
        </w:rPr>
        <w:fldChar w:fldCharType="end"/>
      </w:r>
    </w:p>
    <w:p>
      <w:pPr>
        <w:pStyle w:val="24"/>
        <w:tabs>
          <w:tab w:val="right" w:leader="dot" w:pos="9746"/>
        </w:tabs>
        <w:spacing w:line="360" w:lineRule="auto"/>
        <w:rPr>
          <w:rFonts w:hint="eastAsia" w:ascii="宋体" w:hAnsi="宋体" w:eastAsia="宋体" w:cs="宋体"/>
          <w:color w:val="auto"/>
          <w:sz w:val="28"/>
          <w:szCs w:val="36"/>
          <w:highlight w:val="none"/>
          <w:lang w:val="en-US" w:eastAsia="zh-CN" w:bidi="ar-SA"/>
        </w:rPr>
      </w:pP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HYPERLINK \l _Toc16790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第二章 供应商须知</w:t>
      </w:r>
      <w:r>
        <w:rPr>
          <w:rFonts w:hint="eastAsia" w:ascii="宋体" w:hAnsi="宋体" w:eastAsia="宋体" w:cs="宋体"/>
          <w:color w:val="auto"/>
          <w:sz w:val="28"/>
          <w:szCs w:val="36"/>
          <w:highlight w:val="none"/>
          <w:lang w:val="en-US" w:eastAsia="zh-CN" w:bidi="ar-SA"/>
        </w:rPr>
        <w:tab/>
      </w: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PAGEREF _Toc16790 \h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8</w:t>
      </w:r>
      <w:r>
        <w:rPr>
          <w:rFonts w:hint="eastAsia" w:ascii="宋体" w:hAnsi="宋体" w:eastAsia="宋体" w:cs="宋体"/>
          <w:color w:val="auto"/>
          <w:sz w:val="28"/>
          <w:szCs w:val="36"/>
          <w:highlight w:val="none"/>
          <w:lang w:val="en-US" w:eastAsia="zh-CN" w:bidi="ar-SA"/>
        </w:rPr>
        <w:fldChar w:fldCharType="end"/>
      </w:r>
      <w:r>
        <w:rPr>
          <w:rFonts w:hint="eastAsia" w:ascii="宋体" w:hAnsi="宋体" w:eastAsia="宋体" w:cs="宋体"/>
          <w:color w:val="auto"/>
          <w:sz w:val="28"/>
          <w:szCs w:val="36"/>
          <w:highlight w:val="none"/>
          <w:lang w:val="en-US" w:eastAsia="zh-CN" w:bidi="ar-SA"/>
        </w:rPr>
        <w:fldChar w:fldCharType="end"/>
      </w:r>
    </w:p>
    <w:p>
      <w:pPr>
        <w:pStyle w:val="24"/>
        <w:tabs>
          <w:tab w:val="right" w:leader="dot" w:pos="9746"/>
        </w:tabs>
        <w:spacing w:line="360" w:lineRule="auto"/>
        <w:rPr>
          <w:rFonts w:hint="eastAsia" w:ascii="宋体" w:hAnsi="宋体" w:eastAsia="宋体" w:cs="宋体"/>
          <w:color w:val="auto"/>
          <w:sz w:val="28"/>
          <w:szCs w:val="36"/>
          <w:highlight w:val="none"/>
          <w:lang w:val="en-US" w:eastAsia="zh-CN" w:bidi="ar-SA"/>
        </w:rPr>
      </w:pP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HYPERLINK \l _Toc9291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第三章 评标办法（综合评分法）</w:t>
      </w:r>
      <w:r>
        <w:rPr>
          <w:rFonts w:hint="eastAsia" w:ascii="宋体" w:hAnsi="宋体" w:eastAsia="宋体" w:cs="宋体"/>
          <w:color w:val="auto"/>
          <w:sz w:val="28"/>
          <w:szCs w:val="36"/>
          <w:highlight w:val="none"/>
          <w:lang w:val="en-US" w:eastAsia="zh-CN" w:bidi="ar-SA"/>
        </w:rPr>
        <w:tab/>
      </w: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PAGEREF _Toc9291 \h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32</w:t>
      </w:r>
      <w:r>
        <w:rPr>
          <w:rFonts w:hint="eastAsia" w:ascii="宋体" w:hAnsi="宋体" w:eastAsia="宋体" w:cs="宋体"/>
          <w:color w:val="auto"/>
          <w:sz w:val="28"/>
          <w:szCs w:val="36"/>
          <w:highlight w:val="none"/>
          <w:lang w:val="en-US" w:eastAsia="zh-CN" w:bidi="ar-SA"/>
        </w:rPr>
        <w:fldChar w:fldCharType="end"/>
      </w:r>
      <w:r>
        <w:rPr>
          <w:rFonts w:hint="eastAsia" w:ascii="宋体" w:hAnsi="宋体" w:eastAsia="宋体" w:cs="宋体"/>
          <w:color w:val="auto"/>
          <w:sz w:val="28"/>
          <w:szCs w:val="36"/>
          <w:highlight w:val="none"/>
          <w:lang w:val="en-US" w:eastAsia="zh-CN" w:bidi="ar-SA"/>
        </w:rPr>
        <w:fldChar w:fldCharType="end"/>
      </w:r>
    </w:p>
    <w:p>
      <w:pPr>
        <w:pStyle w:val="24"/>
        <w:tabs>
          <w:tab w:val="right" w:leader="dot" w:pos="9746"/>
        </w:tabs>
        <w:spacing w:line="360" w:lineRule="auto"/>
        <w:rPr>
          <w:rFonts w:hint="eastAsia" w:ascii="宋体" w:hAnsi="宋体" w:eastAsia="宋体" w:cs="宋体"/>
          <w:color w:val="auto"/>
          <w:sz w:val="28"/>
          <w:szCs w:val="36"/>
          <w:highlight w:val="none"/>
          <w:lang w:val="en-US" w:eastAsia="zh-CN" w:bidi="ar-SA"/>
        </w:rPr>
      </w:pP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HYPERLINK \l _Toc15372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第四章 合同条款及格式</w:t>
      </w:r>
      <w:r>
        <w:rPr>
          <w:rFonts w:hint="eastAsia" w:ascii="宋体" w:hAnsi="宋体" w:eastAsia="宋体" w:cs="宋体"/>
          <w:color w:val="auto"/>
          <w:sz w:val="28"/>
          <w:szCs w:val="36"/>
          <w:highlight w:val="none"/>
          <w:lang w:val="en-US" w:eastAsia="zh-CN" w:bidi="ar-SA"/>
        </w:rPr>
        <w:tab/>
      </w: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PAGEREF _Toc15372 \h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43</w:t>
      </w:r>
      <w:r>
        <w:rPr>
          <w:rFonts w:hint="eastAsia" w:ascii="宋体" w:hAnsi="宋体" w:eastAsia="宋体" w:cs="宋体"/>
          <w:color w:val="auto"/>
          <w:sz w:val="28"/>
          <w:szCs w:val="36"/>
          <w:highlight w:val="none"/>
          <w:lang w:val="en-US" w:eastAsia="zh-CN" w:bidi="ar-SA"/>
        </w:rPr>
        <w:fldChar w:fldCharType="end"/>
      </w:r>
      <w:r>
        <w:rPr>
          <w:rFonts w:hint="eastAsia" w:ascii="宋体" w:hAnsi="宋体" w:eastAsia="宋体" w:cs="宋体"/>
          <w:color w:val="auto"/>
          <w:sz w:val="28"/>
          <w:szCs w:val="36"/>
          <w:highlight w:val="none"/>
          <w:lang w:val="en-US" w:eastAsia="zh-CN" w:bidi="ar-SA"/>
        </w:rPr>
        <w:fldChar w:fldCharType="end"/>
      </w:r>
    </w:p>
    <w:p>
      <w:pPr>
        <w:pStyle w:val="24"/>
        <w:tabs>
          <w:tab w:val="right" w:leader="dot" w:pos="9746"/>
        </w:tabs>
        <w:spacing w:line="360" w:lineRule="auto"/>
        <w:rPr>
          <w:rFonts w:hint="eastAsia" w:ascii="宋体" w:hAnsi="宋体" w:eastAsia="宋体" w:cs="宋体"/>
          <w:color w:val="auto"/>
          <w:sz w:val="28"/>
          <w:szCs w:val="36"/>
          <w:highlight w:val="none"/>
          <w:lang w:val="en-US" w:eastAsia="zh-CN" w:bidi="ar-SA"/>
        </w:rPr>
      </w:pP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HYPERLINK \l _Toc17388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第五章 投标文件格式</w:t>
      </w:r>
      <w:r>
        <w:rPr>
          <w:rFonts w:hint="eastAsia" w:ascii="宋体" w:hAnsi="宋体" w:eastAsia="宋体" w:cs="宋体"/>
          <w:color w:val="auto"/>
          <w:sz w:val="28"/>
          <w:szCs w:val="36"/>
          <w:highlight w:val="none"/>
          <w:lang w:val="en-US" w:eastAsia="zh-CN" w:bidi="ar-SA"/>
        </w:rPr>
        <w:tab/>
      </w: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PAGEREF _Toc17388 \h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52</w:t>
      </w:r>
      <w:r>
        <w:rPr>
          <w:rFonts w:hint="eastAsia" w:ascii="宋体" w:hAnsi="宋体" w:eastAsia="宋体" w:cs="宋体"/>
          <w:color w:val="auto"/>
          <w:sz w:val="28"/>
          <w:szCs w:val="36"/>
          <w:highlight w:val="none"/>
          <w:lang w:val="en-US" w:eastAsia="zh-CN" w:bidi="ar-SA"/>
        </w:rPr>
        <w:fldChar w:fldCharType="end"/>
      </w:r>
      <w:r>
        <w:rPr>
          <w:rFonts w:hint="eastAsia" w:ascii="宋体" w:hAnsi="宋体" w:eastAsia="宋体" w:cs="宋体"/>
          <w:color w:val="auto"/>
          <w:sz w:val="28"/>
          <w:szCs w:val="36"/>
          <w:highlight w:val="none"/>
          <w:lang w:val="en-US" w:eastAsia="zh-CN" w:bidi="ar-SA"/>
        </w:rPr>
        <w:fldChar w:fldCharType="end"/>
      </w:r>
    </w:p>
    <w:p>
      <w:pPr>
        <w:pStyle w:val="24"/>
        <w:tabs>
          <w:tab w:val="right" w:leader="dot" w:pos="9746"/>
        </w:tabs>
        <w:spacing w:line="360" w:lineRule="auto"/>
        <w:rPr>
          <w:rFonts w:hint="eastAsia" w:ascii="宋体" w:hAnsi="宋体" w:eastAsia="宋体" w:cs="宋体"/>
          <w:color w:val="auto"/>
          <w:sz w:val="28"/>
          <w:szCs w:val="36"/>
          <w:highlight w:val="none"/>
          <w:lang w:val="en-US" w:eastAsia="zh-CN" w:bidi="ar-SA"/>
        </w:rPr>
      </w:pP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HYPERLINK \l _Toc6504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第六章 采购需求</w:t>
      </w:r>
      <w:r>
        <w:rPr>
          <w:rFonts w:hint="eastAsia" w:ascii="宋体" w:hAnsi="宋体" w:eastAsia="宋体" w:cs="宋体"/>
          <w:color w:val="auto"/>
          <w:sz w:val="28"/>
          <w:szCs w:val="36"/>
          <w:highlight w:val="none"/>
          <w:lang w:val="en-US" w:eastAsia="zh-CN" w:bidi="ar-SA"/>
        </w:rPr>
        <w:tab/>
      </w: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PAGEREF _Toc6504 \h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71</w:t>
      </w:r>
      <w:r>
        <w:rPr>
          <w:rFonts w:hint="eastAsia" w:ascii="宋体" w:hAnsi="宋体" w:eastAsia="宋体" w:cs="宋体"/>
          <w:color w:val="auto"/>
          <w:sz w:val="28"/>
          <w:szCs w:val="36"/>
          <w:highlight w:val="none"/>
          <w:lang w:val="en-US" w:eastAsia="zh-CN" w:bidi="ar-SA"/>
        </w:rPr>
        <w:fldChar w:fldCharType="end"/>
      </w:r>
      <w:r>
        <w:rPr>
          <w:rFonts w:hint="eastAsia" w:ascii="宋体" w:hAnsi="宋体" w:eastAsia="宋体" w:cs="宋体"/>
          <w:color w:val="auto"/>
          <w:sz w:val="28"/>
          <w:szCs w:val="36"/>
          <w:highlight w:val="none"/>
          <w:lang w:val="en-US" w:eastAsia="zh-CN" w:bidi="ar-SA"/>
        </w:rPr>
        <w:fldChar w:fldCharType="end"/>
      </w:r>
    </w:p>
    <w:p>
      <w:pPr>
        <w:pStyle w:val="24"/>
        <w:tabs>
          <w:tab w:val="right" w:leader="dot" w:pos="9746"/>
        </w:tabs>
        <w:spacing w:line="360" w:lineRule="auto"/>
        <w:rPr>
          <w:color w:val="auto"/>
          <w:sz w:val="28"/>
          <w:szCs w:val="36"/>
        </w:rPr>
      </w:pP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HYPERLINK \l _Toc24253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第七章 电子投标注意事项</w:t>
      </w:r>
      <w:r>
        <w:rPr>
          <w:rFonts w:hint="eastAsia" w:ascii="宋体" w:hAnsi="宋体" w:eastAsia="宋体" w:cs="宋体"/>
          <w:color w:val="auto"/>
          <w:sz w:val="28"/>
          <w:szCs w:val="36"/>
          <w:highlight w:val="none"/>
          <w:lang w:val="en-US" w:eastAsia="zh-CN" w:bidi="ar-SA"/>
        </w:rPr>
        <w:tab/>
      </w:r>
      <w:r>
        <w:rPr>
          <w:rFonts w:hint="eastAsia" w:ascii="宋体" w:hAnsi="宋体" w:eastAsia="宋体" w:cs="宋体"/>
          <w:color w:val="auto"/>
          <w:sz w:val="28"/>
          <w:szCs w:val="36"/>
          <w:highlight w:val="none"/>
          <w:lang w:val="en-US" w:eastAsia="zh-CN" w:bidi="ar-SA"/>
        </w:rPr>
        <w:fldChar w:fldCharType="begin"/>
      </w:r>
      <w:r>
        <w:rPr>
          <w:rFonts w:hint="eastAsia" w:ascii="宋体" w:hAnsi="宋体" w:eastAsia="宋体" w:cs="宋体"/>
          <w:color w:val="auto"/>
          <w:sz w:val="28"/>
          <w:szCs w:val="36"/>
          <w:highlight w:val="none"/>
          <w:lang w:val="en-US" w:eastAsia="zh-CN" w:bidi="ar-SA"/>
        </w:rPr>
        <w:instrText xml:space="preserve"> PAGEREF _Toc24253 \h </w:instrText>
      </w:r>
      <w:r>
        <w:rPr>
          <w:rFonts w:hint="eastAsia" w:ascii="宋体" w:hAnsi="宋体" w:eastAsia="宋体" w:cs="宋体"/>
          <w:color w:val="auto"/>
          <w:sz w:val="28"/>
          <w:szCs w:val="36"/>
          <w:highlight w:val="none"/>
          <w:lang w:val="en-US" w:eastAsia="zh-CN" w:bidi="ar-SA"/>
        </w:rPr>
        <w:fldChar w:fldCharType="separate"/>
      </w:r>
      <w:r>
        <w:rPr>
          <w:rFonts w:hint="eastAsia" w:ascii="宋体" w:hAnsi="宋体" w:eastAsia="宋体" w:cs="宋体"/>
          <w:color w:val="auto"/>
          <w:sz w:val="28"/>
          <w:szCs w:val="36"/>
          <w:highlight w:val="none"/>
          <w:lang w:val="en-US" w:eastAsia="zh-CN" w:bidi="ar-SA"/>
        </w:rPr>
        <w:t>108</w:t>
      </w:r>
      <w:r>
        <w:rPr>
          <w:rFonts w:hint="eastAsia" w:ascii="宋体" w:hAnsi="宋体" w:eastAsia="宋体" w:cs="宋体"/>
          <w:color w:val="auto"/>
          <w:sz w:val="28"/>
          <w:szCs w:val="36"/>
          <w:highlight w:val="none"/>
          <w:lang w:val="en-US" w:eastAsia="zh-CN" w:bidi="ar-SA"/>
        </w:rPr>
        <w:fldChar w:fldCharType="end"/>
      </w:r>
      <w:r>
        <w:rPr>
          <w:rFonts w:hint="eastAsia" w:ascii="宋体" w:hAnsi="宋体" w:eastAsia="宋体" w:cs="宋体"/>
          <w:color w:val="auto"/>
          <w:sz w:val="28"/>
          <w:szCs w:val="36"/>
          <w:highlight w:val="none"/>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2"/>
          <w:szCs w:val="40"/>
          <w:highlight w:val="none"/>
        </w:rPr>
      </w:pPr>
      <w:r>
        <w:rPr>
          <w:rFonts w:hint="eastAsia" w:ascii="宋体" w:hAnsi="宋体" w:eastAsia="宋体" w:cs="宋体"/>
          <w:color w:val="auto"/>
          <w:sz w:val="28"/>
          <w:szCs w:val="72"/>
          <w:highlight w:val="none"/>
        </w:rPr>
        <w:fldChar w:fldCharType="end"/>
      </w:r>
    </w:p>
    <w:bookmarkEnd w:id="1"/>
    <w:p>
      <w:pPr>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0"/>
        <w:rPr>
          <w:rStyle w:val="48"/>
          <w:rFonts w:hint="eastAsia" w:ascii="宋体" w:hAnsi="宋体" w:eastAsia="宋体" w:cs="宋体"/>
          <w:color w:val="auto"/>
          <w:szCs w:val="24"/>
          <w:highlight w:val="none"/>
          <w:lang w:val="en-US" w:eastAsia="zh-CN" w:bidi="ar-SA"/>
        </w:rPr>
        <w:sectPr>
          <w:footerReference r:id="rId3" w:type="default"/>
          <w:pgSz w:w="11906" w:h="16838"/>
          <w:pgMar w:top="1440" w:right="1080" w:bottom="1440" w:left="1080" w:header="851" w:footer="992" w:gutter="0"/>
          <w:pgNumType w:fmt="decimal"/>
          <w:cols w:space="708" w:num="1"/>
          <w:docGrid w:type="lines" w:linePitch="319" w:charSpace="0"/>
        </w:sectPr>
      </w:pPr>
      <w:bookmarkStart w:id="3" w:name="_Toc5816"/>
      <w:bookmarkStart w:id="4" w:name="_Toc30128"/>
      <w:bookmarkStart w:id="5" w:name="_Toc16527"/>
      <w:bookmarkStart w:id="6" w:name="_Toc26396"/>
      <w:bookmarkStart w:id="7" w:name="_Toc10779"/>
    </w:p>
    <w:p>
      <w:pPr>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0"/>
        <w:rPr>
          <w:rStyle w:val="48"/>
          <w:rFonts w:hint="eastAsia" w:ascii="宋体" w:hAnsi="宋体" w:eastAsia="宋体" w:cs="宋体"/>
          <w:color w:val="auto"/>
          <w:szCs w:val="24"/>
          <w:highlight w:val="none"/>
          <w:lang w:val="en-US" w:eastAsia="zh-CN" w:bidi="ar-SA"/>
        </w:rPr>
      </w:pPr>
      <w:bookmarkStart w:id="8" w:name="_Toc5564"/>
      <w:r>
        <w:rPr>
          <w:rStyle w:val="48"/>
          <w:rFonts w:hint="eastAsia" w:ascii="宋体" w:hAnsi="宋体" w:eastAsia="宋体" w:cs="宋体"/>
          <w:color w:val="auto"/>
          <w:szCs w:val="24"/>
          <w:highlight w:val="none"/>
          <w:lang w:val="en-US" w:eastAsia="zh-CN" w:bidi="ar-SA"/>
        </w:rPr>
        <w:t>第一章 采购公告</w:t>
      </w:r>
      <w:bookmarkEnd w:id="2"/>
      <w:bookmarkEnd w:id="3"/>
      <w:bookmarkEnd w:id="8"/>
    </w:p>
    <w:bookmarkEnd w:id="4"/>
    <w:bookmarkEnd w:id="5"/>
    <w:bookmarkEnd w:id="6"/>
    <w:bookmarkEnd w:id="7"/>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auto"/>
          <w:sz w:val="24"/>
          <w:szCs w:val="24"/>
        </w:rPr>
      </w:pPr>
      <w:bookmarkStart w:id="9" w:name="_Toc6911"/>
      <w:bookmarkStart w:id="10" w:name="_Toc28550"/>
      <w:bookmarkStart w:id="11" w:name="_Toc13514"/>
      <w:bookmarkStart w:id="12" w:name="_Toc12443"/>
      <w:bookmarkStart w:id="13" w:name="_Toc32438"/>
      <w:bookmarkStart w:id="14" w:name="_Toc32710"/>
      <w:r>
        <w:rPr>
          <w:rFonts w:hint="eastAsia" w:ascii="宋体" w:hAnsi="宋体" w:eastAsia="宋体" w:cs="宋体"/>
          <w:color w:val="auto"/>
          <w:sz w:val="24"/>
          <w:szCs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曲靖市消防救援支队2024年度支队集中采购器材装备项目</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 xml:space="preserve"> 的潜在投标人应在</w:t>
      </w:r>
      <w:r>
        <w:rPr>
          <w:rFonts w:hint="eastAsia" w:ascii="宋体" w:hAnsi="宋体" w:eastAsia="宋体" w:cs="宋体"/>
          <w:color w:val="auto"/>
          <w:sz w:val="24"/>
          <w:szCs w:val="24"/>
          <w:u w:val="single"/>
        </w:rPr>
        <w:t>曲靖市公共资源交易电子服务系统(须进入http://ggzy.yn.gov.cn/#/homePage网站选择“曲靖市”跳转进入曲靖市公共资源交易电子服务系统）</w:t>
      </w:r>
      <w:r>
        <w:rPr>
          <w:rFonts w:hint="eastAsia" w:ascii="宋体" w:hAnsi="宋体" w:eastAsia="宋体" w:cs="宋体"/>
          <w:color w:val="auto"/>
          <w:sz w:val="24"/>
          <w:szCs w:val="24"/>
        </w:rPr>
        <w:t>获取招标文件，并于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2024</w:t>
      </w:r>
      <w:r>
        <w:rPr>
          <w:rFonts w:hint="eastAsia" w:ascii="宋体" w:hAnsi="宋体" w:eastAsia="宋体" w:cs="宋体"/>
          <w:color w:val="auto"/>
          <w:sz w:val="24"/>
          <w:szCs w:val="24"/>
          <w:u w:val="single"/>
        </w:rPr>
        <w:t xml:space="preserve"> </w:t>
      </w:r>
      <w:r>
        <w:rPr>
          <w:rFonts w:hint="eastAsia" w:ascii="宋体" w:hAnsi="宋体" w:eastAsia="宋体" w:cs="宋体"/>
          <w:bCs/>
          <w:color w:val="auto"/>
          <w:sz w:val="24"/>
          <w:szCs w:val="24"/>
          <w:u w:val="single"/>
        </w:rPr>
        <w:t xml:space="preserve">年 </w:t>
      </w:r>
      <w:r>
        <w:rPr>
          <w:rFonts w:hint="eastAsia" w:ascii="宋体" w:hAnsi="宋体" w:cs="宋体"/>
          <w:bCs/>
          <w:color w:val="auto"/>
          <w:sz w:val="24"/>
          <w:szCs w:val="24"/>
          <w:u w:val="single"/>
          <w:lang w:val="en-US" w:eastAsia="zh-CN"/>
        </w:rPr>
        <w:t>07</w:t>
      </w:r>
      <w:r>
        <w:rPr>
          <w:rFonts w:hint="eastAsia" w:ascii="宋体" w:hAnsi="宋体" w:eastAsia="宋体" w:cs="宋体"/>
          <w:bCs/>
          <w:color w:val="auto"/>
          <w:sz w:val="24"/>
          <w:szCs w:val="24"/>
          <w:u w:val="single"/>
        </w:rPr>
        <w:t xml:space="preserve"> 月 </w:t>
      </w:r>
      <w:r>
        <w:rPr>
          <w:rFonts w:hint="eastAsia" w:ascii="宋体" w:hAnsi="宋体" w:cs="宋体"/>
          <w:bCs/>
          <w:color w:val="auto"/>
          <w:sz w:val="24"/>
          <w:szCs w:val="24"/>
          <w:u w:val="single"/>
          <w:lang w:val="en-US" w:eastAsia="zh-CN"/>
        </w:rPr>
        <w:t>08</w:t>
      </w:r>
      <w:r>
        <w:rPr>
          <w:rFonts w:hint="eastAsia" w:ascii="宋体" w:hAnsi="宋体" w:eastAsia="宋体" w:cs="宋体"/>
          <w:bCs/>
          <w:color w:val="auto"/>
          <w:sz w:val="24"/>
          <w:szCs w:val="24"/>
          <w:u w:val="single"/>
        </w:rPr>
        <w:t xml:space="preserve"> 日 </w:t>
      </w:r>
      <w:r>
        <w:rPr>
          <w:rFonts w:hint="eastAsia" w:ascii="宋体" w:hAnsi="宋体" w:cs="宋体"/>
          <w:bCs/>
          <w:color w:val="auto"/>
          <w:sz w:val="24"/>
          <w:szCs w:val="24"/>
          <w:u w:val="single"/>
          <w:lang w:val="en-US" w:eastAsia="zh-CN"/>
        </w:rPr>
        <w:t>09</w:t>
      </w:r>
      <w:r>
        <w:rPr>
          <w:rFonts w:hint="eastAsia" w:ascii="宋体" w:hAnsi="宋体" w:eastAsia="宋体" w:cs="宋体"/>
          <w:bCs/>
          <w:color w:val="auto"/>
          <w:sz w:val="24"/>
          <w:szCs w:val="24"/>
          <w:u w:val="single"/>
        </w:rPr>
        <w:t xml:space="preserve"> 点 </w:t>
      </w:r>
      <w:r>
        <w:rPr>
          <w:rFonts w:hint="eastAsia" w:ascii="宋体" w:hAnsi="宋体" w:cs="宋体"/>
          <w:bCs/>
          <w:color w:val="auto"/>
          <w:sz w:val="24"/>
          <w:szCs w:val="24"/>
          <w:u w:val="single"/>
          <w:lang w:val="en-US" w:eastAsia="zh-CN"/>
        </w:rPr>
        <w:t>00</w:t>
      </w:r>
      <w:r>
        <w:rPr>
          <w:rFonts w:hint="eastAsia" w:ascii="宋体" w:hAnsi="宋体" w:eastAsia="宋体" w:cs="宋体"/>
          <w:bCs/>
          <w:color w:val="auto"/>
          <w:sz w:val="24"/>
          <w:szCs w:val="24"/>
          <w:u w:val="single"/>
        </w:rPr>
        <w:t xml:space="preserve"> 分（</w:t>
      </w:r>
      <w:r>
        <w:rPr>
          <w:rFonts w:hint="eastAsia" w:ascii="宋体" w:hAnsi="宋体" w:eastAsia="宋体" w:cs="宋体"/>
          <w:bCs/>
          <w:color w:val="auto"/>
          <w:sz w:val="24"/>
          <w:szCs w:val="24"/>
        </w:rPr>
        <w:t>北京时间）前递交投标文件</w:t>
      </w:r>
      <w:r>
        <w:rPr>
          <w:rFonts w:hint="eastAsia" w:ascii="宋体" w:hAnsi="宋体" w:eastAsia="宋体" w:cs="宋体"/>
          <w:color w:val="auto"/>
          <w:sz w:val="24"/>
          <w:szCs w:val="24"/>
        </w:rPr>
        <w:t>。</w:t>
      </w:r>
    </w:p>
    <w:p>
      <w:pPr>
        <w:pStyle w:val="4"/>
        <w:keepNext/>
        <w:keepLines/>
        <w:pageBreakBefore w:val="0"/>
        <w:widowControl w:val="0"/>
        <w:numPr>
          <w:ilvl w:val="1"/>
          <w:numId w:val="0"/>
        </w:numPr>
        <w:tabs>
          <w:tab w:val="left" w:pos="360"/>
        </w:tabs>
        <w:kinsoku/>
        <w:wordWrap/>
        <w:overflowPunct/>
        <w:topLinePunct w:val="0"/>
        <w:autoSpaceDE/>
        <w:autoSpaceDN/>
        <w:bidi w:val="0"/>
        <w:adjustRightInd/>
        <w:snapToGrid/>
        <w:spacing w:before="100" w:after="100" w:line="360" w:lineRule="auto"/>
        <w:ind w:left="425" w:leftChars="0"/>
        <w:textAlignment w:val="auto"/>
        <w:rPr>
          <w:rFonts w:hint="eastAsia" w:ascii="宋体" w:hAnsi="宋体" w:eastAsia="宋体" w:cs="宋体"/>
          <w:b/>
          <w:bCs w:val="0"/>
          <w:color w:val="auto"/>
          <w:sz w:val="24"/>
          <w:szCs w:val="24"/>
        </w:rPr>
      </w:pPr>
      <w:bookmarkStart w:id="15" w:name="_Toc3108"/>
      <w:bookmarkStart w:id="16" w:name="_Toc29013"/>
      <w:bookmarkStart w:id="17" w:name="_Toc18278"/>
      <w:bookmarkStart w:id="18" w:name="_Toc35393621"/>
      <w:bookmarkStart w:id="19" w:name="_Toc16267"/>
      <w:bookmarkStart w:id="20" w:name="_Toc35393790"/>
      <w:bookmarkStart w:id="21" w:name="_Toc28359079"/>
      <w:bookmarkStart w:id="22" w:name="_Toc11451"/>
      <w:bookmarkStart w:id="23" w:name="_Toc28359002"/>
      <w:bookmarkStart w:id="24" w:name="_Hlk24379207"/>
      <w:r>
        <w:rPr>
          <w:rFonts w:hint="eastAsia" w:ascii="宋体" w:hAnsi="宋体" w:eastAsia="宋体" w:cs="宋体"/>
          <w:b/>
          <w:bCs w:val="0"/>
          <w:color w:val="auto"/>
          <w:sz w:val="24"/>
          <w:szCs w:val="24"/>
        </w:rPr>
        <w:t>一、项目基本情况</w:t>
      </w:r>
      <w:bookmarkEnd w:id="15"/>
      <w:bookmarkEnd w:id="16"/>
      <w:bookmarkEnd w:id="17"/>
      <w:bookmarkEnd w:id="18"/>
      <w:bookmarkEnd w:id="19"/>
      <w:bookmarkEnd w:id="20"/>
      <w:bookmarkEnd w:id="21"/>
      <w:bookmarkEnd w:id="22"/>
      <w:bookmarkEnd w:id="23"/>
    </w:p>
    <w:p>
      <w:pPr>
        <w:keepLines w:val="0"/>
        <w:pageBreakBefore w:val="0"/>
        <w:kinsoku/>
        <w:wordWrap/>
        <w:overflowPunct/>
        <w:topLinePunct w:val="0"/>
        <w:bidi w:val="0"/>
        <w:snapToGrid/>
        <w:spacing w:line="360" w:lineRule="auto"/>
        <w:ind w:firstLine="480" w:firstLineChars="200"/>
        <w:rPr>
          <w:rFonts w:hint="default" w:ascii="宋体" w:hAnsi="宋体" w:eastAsia="宋体" w:cs="宋体"/>
          <w:color w:val="auto"/>
          <w:sz w:val="24"/>
          <w:szCs w:val="24"/>
          <w:highlight w:val="none"/>
          <w:u w:val="none"/>
          <w:lang w:val="en-US"/>
        </w:rPr>
      </w:pPr>
      <w:r>
        <w:rPr>
          <w:rFonts w:hint="eastAsia" w:ascii="宋体" w:hAnsi="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项目编号</w:t>
      </w:r>
      <w:r>
        <w:rPr>
          <w:rFonts w:hint="eastAsia" w:ascii="宋体" w:hAnsi="宋体" w:eastAsia="宋体" w:cs="宋体"/>
          <w:color w:val="auto"/>
          <w:sz w:val="24"/>
          <w:szCs w:val="24"/>
          <w:highlight w:val="none"/>
          <w:u w:val="none"/>
          <w:lang w:eastAsia="zh-CN"/>
        </w:rPr>
        <w:t>：FC2024501</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none"/>
        </w:rPr>
        <w:t>项目名称：</w:t>
      </w:r>
      <w:r>
        <w:rPr>
          <w:rFonts w:hint="eastAsia" w:ascii="宋体" w:hAnsi="宋体" w:eastAsia="宋体" w:cs="宋体"/>
          <w:color w:val="auto"/>
          <w:sz w:val="24"/>
          <w:szCs w:val="24"/>
          <w:highlight w:val="none"/>
          <w:u w:val="none"/>
          <w:lang w:eastAsia="zh-CN"/>
        </w:rPr>
        <w:t>曲靖市消防救援支队2024年度支队集中采购器材装备项目</w:t>
      </w:r>
    </w:p>
    <w:p>
      <w:pPr>
        <w:keepLines w:val="0"/>
        <w:pageBreakBefore w:val="0"/>
        <w:kinsoku/>
        <w:wordWrap/>
        <w:overflowPunct/>
        <w:topLinePunct w:val="0"/>
        <w:bidi w:val="0"/>
        <w:snapToGrid/>
        <w:spacing w:line="360" w:lineRule="auto"/>
        <w:ind w:firstLine="480" w:firstLineChars="200"/>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3.采购方式：公开招标</w:t>
      </w:r>
    </w:p>
    <w:bookmarkEnd w:id="24"/>
    <w:p>
      <w:pPr>
        <w:keepLines w:val="0"/>
        <w:pageBreakBefore w:val="0"/>
        <w:kinsoku/>
        <w:wordWrap/>
        <w:overflowPunct/>
        <w:topLinePunct w:val="0"/>
        <w:bidi w:val="0"/>
        <w:snapToGrid/>
        <w:spacing w:line="360" w:lineRule="auto"/>
        <w:ind w:firstLine="480" w:firstLineChars="200"/>
        <w:rPr>
          <w:rFonts w:hint="eastAsia"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4.预算金额：</w:t>
      </w:r>
      <w:r>
        <w:rPr>
          <w:rFonts w:hint="eastAsia" w:ascii="宋体" w:hAnsi="宋体" w:cs="宋体"/>
          <w:color w:val="auto"/>
          <w:sz w:val="24"/>
          <w:szCs w:val="24"/>
          <w:highlight w:val="none"/>
          <w:u w:val="none"/>
          <w:lang w:val="en-US" w:eastAsia="zh-CN"/>
        </w:rPr>
        <w:t>539.6867万元</w:t>
      </w:r>
    </w:p>
    <w:p>
      <w:pPr>
        <w:keepLines w:val="0"/>
        <w:pageBreakBefore w:val="0"/>
        <w:kinsoku/>
        <w:wordWrap/>
        <w:overflowPunct/>
        <w:topLinePunct w:val="0"/>
        <w:bidi w:val="0"/>
        <w:snapToGrid/>
        <w:spacing w:line="360" w:lineRule="auto"/>
        <w:ind w:firstLine="480" w:firstLineChars="200"/>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5.最高限价</w:t>
      </w:r>
    </w:p>
    <w:p>
      <w:pPr>
        <w:keepLines w:val="0"/>
        <w:pageBreakBefore w:val="0"/>
        <w:kinsoku/>
        <w:wordWrap/>
        <w:overflowPunct/>
        <w:topLinePunct w:val="0"/>
        <w:bidi w:val="0"/>
        <w:snapToGrid/>
        <w:spacing w:line="360" w:lineRule="auto"/>
        <w:ind w:firstLine="720" w:firstLineChars="30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1标包</w:t>
      </w:r>
      <w:r>
        <w:rPr>
          <w:rFonts w:hint="eastAsia" w:ascii="宋体" w:hAnsi="宋体" w:eastAsia="宋体" w:cs="宋体"/>
          <w:color w:val="auto"/>
          <w:sz w:val="24"/>
          <w:szCs w:val="24"/>
          <w:highlight w:val="none"/>
          <w:u w:val="none"/>
        </w:rPr>
        <w:t>最高限价：2067470</w:t>
      </w:r>
      <w:r>
        <w:rPr>
          <w:rFonts w:hint="eastAsia" w:ascii="宋体" w:hAnsi="宋体" w:cs="宋体"/>
          <w:color w:val="auto"/>
          <w:sz w:val="24"/>
          <w:szCs w:val="24"/>
          <w:highlight w:val="none"/>
          <w:u w:val="none"/>
          <w:lang w:val="en-US" w:eastAsia="zh-CN"/>
        </w:rPr>
        <w:t>.00元</w:t>
      </w:r>
    </w:p>
    <w:p>
      <w:pPr>
        <w:keepLines w:val="0"/>
        <w:pageBreakBefore w:val="0"/>
        <w:kinsoku/>
        <w:wordWrap/>
        <w:overflowPunct/>
        <w:topLinePunct w:val="0"/>
        <w:bidi w:val="0"/>
        <w:snapToGrid/>
        <w:spacing w:line="360" w:lineRule="auto"/>
        <w:ind w:firstLine="720" w:firstLineChars="300"/>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2标包</w:t>
      </w:r>
      <w:r>
        <w:rPr>
          <w:rFonts w:hint="eastAsia" w:ascii="宋体" w:hAnsi="宋体" w:eastAsia="宋体" w:cs="宋体"/>
          <w:color w:val="auto"/>
          <w:sz w:val="24"/>
          <w:szCs w:val="24"/>
          <w:highlight w:val="none"/>
          <w:u w:val="none"/>
        </w:rPr>
        <w:t>最高限价：</w:t>
      </w:r>
      <w:r>
        <w:rPr>
          <w:rFonts w:hint="eastAsia" w:ascii="宋体" w:hAnsi="宋体" w:cs="宋体"/>
          <w:color w:val="auto"/>
          <w:sz w:val="24"/>
          <w:szCs w:val="24"/>
          <w:highlight w:val="none"/>
          <w:u w:val="none"/>
          <w:lang w:val="en-US" w:eastAsia="zh-CN"/>
        </w:rPr>
        <w:t>736000.00</w:t>
      </w:r>
      <w:r>
        <w:rPr>
          <w:rFonts w:hint="eastAsia" w:ascii="宋体" w:hAnsi="宋体" w:eastAsia="宋体" w:cs="宋体"/>
          <w:color w:val="auto"/>
          <w:sz w:val="24"/>
          <w:szCs w:val="24"/>
          <w:highlight w:val="none"/>
          <w:u w:val="none"/>
        </w:rPr>
        <w:t>元</w:t>
      </w:r>
    </w:p>
    <w:p>
      <w:pPr>
        <w:keepLines w:val="0"/>
        <w:pageBreakBefore w:val="0"/>
        <w:kinsoku/>
        <w:wordWrap/>
        <w:overflowPunct/>
        <w:topLinePunct w:val="0"/>
        <w:bidi w:val="0"/>
        <w:snapToGrid/>
        <w:spacing w:line="360" w:lineRule="auto"/>
        <w:ind w:firstLine="720" w:firstLineChars="300"/>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3标包</w:t>
      </w:r>
      <w:r>
        <w:rPr>
          <w:rFonts w:hint="eastAsia" w:ascii="宋体" w:hAnsi="宋体" w:eastAsia="宋体" w:cs="宋体"/>
          <w:color w:val="auto"/>
          <w:sz w:val="24"/>
          <w:szCs w:val="24"/>
          <w:highlight w:val="none"/>
          <w:u w:val="none"/>
        </w:rPr>
        <w:t>最高限价：</w:t>
      </w:r>
      <w:r>
        <w:rPr>
          <w:rFonts w:hint="eastAsia" w:ascii="宋体" w:hAnsi="宋体" w:cs="宋体"/>
          <w:color w:val="auto"/>
          <w:sz w:val="24"/>
          <w:szCs w:val="24"/>
          <w:highlight w:val="none"/>
          <w:u w:val="none"/>
          <w:lang w:val="en-US" w:eastAsia="zh-CN"/>
        </w:rPr>
        <w:t>2593397</w:t>
      </w:r>
      <w:r>
        <w:rPr>
          <w:rFonts w:hint="eastAsia" w:ascii="宋体" w:hAnsi="宋体" w:eastAsia="宋体" w:cs="宋体"/>
          <w:color w:val="auto"/>
          <w:sz w:val="24"/>
          <w:szCs w:val="24"/>
          <w:highlight w:val="none"/>
          <w:u w:val="none"/>
        </w:rPr>
        <w:t>.00</w:t>
      </w:r>
      <w:r>
        <w:rPr>
          <w:rFonts w:hint="eastAsia" w:ascii="宋体" w:hAnsi="宋体" w:cs="宋体"/>
          <w:color w:val="auto"/>
          <w:sz w:val="24"/>
          <w:szCs w:val="24"/>
          <w:highlight w:val="none"/>
          <w:u w:val="none"/>
          <w:lang w:val="en-US" w:eastAsia="zh-CN"/>
        </w:rPr>
        <w:t>元</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rPr>
        <w:t>采购需求：</w:t>
      </w:r>
    </w:p>
    <w:p>
      <w:pPr>
        <w:keepLines w:val="0"/>
        <w:pageBreakBefore w:val="0"/>
        <w:kinsoku/>
        <w:wordWrap/>
        <w:overflowPunct/>
        <w:topLinePunct w:val="0"/>
        <w:bidi w:val="0"/>
        <w:snapToGrid/>
        <w:spacing w:line="360" w:lineRule="auto"/>
        <w:ind w:firstLine="480" w:firstLineChars="200"/>
        <w:rPr>
          <w:rFonts w:hint="eastAsia" w:ascii="宋体" w:hAnsi="宋体" w:cs="宋体"/>
          <w:color w:val="auto"/>
          <w:sz w:val="24"/>
          <w:szCs w:val="24"/>
          <w:highlight w:val="none"/>
          <w:u w:val="none"/>
          <w:lang w:eastAsia="zh-CN"/>
        </w:rPr>
      </w:pPr>
      <w:r>
        <w:rPr>
          <w:rFonts w:hint="eastAsia" w:ascii="宋体" w:hAnsi="宋体" w:cs="宋体"/>
          <w:color w:val="auto"/>
          <w:sz w:val="24"/>
          <w:szCs w:val="24"/>
          <w:highlight w:val="none"/>
          <w:u w:val="none"/>
          <w:lang w:val="en-US" w:eastAsia="zh-CN"/>
        </w:rPr>
        <w:t>1标包采购需求：</w:t>
      </w:r>
      <w:r>
        <w:rPr>
          <w:rFonts w:hint="eastAsia" w:ascii="宋体" w:hAnsi="宋体" w:eastAsia="宋体" w:cs="宋体"/>
          <w:color w:val="auto"/>
          <w:sz w:val="24"/>
          <w:szCs w:val="24"/>
          <w:highlight w:val="none"/>
          <w:u w:val="none"/>
        </w:rPr>
        <w:t>曲靖市消防救援支队2024年度</w:t>
      </w:r>
      <w:r>
        <w:rPr>
          <w:rFonts w:hint="eastAsia" w:ascii="宋体" w:hAnsi="宋体" w:cs="宋体"/>
          <w:color w:val="auto"/>
          <w:sz w:val="24"/>
          <w:szCs w:val="24"/>
          <w:highlight w:val="none"/>
          <w:u w:val="none"/>
          <w:lang w:eastAsia="zh-CN"/>
        </w:rPr>
        <w:t>特种防护装备、救生器材、侦检器材等采购，具体采购内容详见“第</w:t>
      </w:r>
      <w:r>
        <w:rPr>
          <w:rFonts w:hint="eastAsia" w:ascii="宋体" w:hAnsi="宋体" w:cs="宋体"/>
          <w:color w:val="auto"/>
          <w:sz w:val="24"/>
          <w:szCs w:val="24"/>
          <w:highlight w:val="none"/>
          <w:u w:val="none"/>
          <w:lang w:val="en-US" w:eastAsia="zh-CN"/>
        </w:rPr>
        <w:t>六</w:t>
      </w:r>
      <w:r>
        <w:rPr>
          <w:rFonts w:hint="eastAsia" w:ascii="宋体" w:hAnsi="宋体" w:cs="宋体"/>
          <w:color w:val="auto"/>
          <w:sz w:val="24"/>
          <w:szCs w:val="24"/>
          <w:highlight w:val="none"/>
          <w:u w:val="none"/>
          <w:lang w:eastAsia="zh-CN"/>
        </w:rPr>
        <w:t>章</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eastAsia="zh-CN"/>
        </w:rPr>
        <w:t>采购需求</w:t>
      </w:r>
      <w:r>
        <w:rPr>
          <w:rFonts w:hint="eastAsia" w:ascii="宋体" w:hAnsi="宋体" w:cs="宋体"/>
          <w:color w:val="auto"/>
          <w:sz w:val="24"/>
          <w:szCs w:val="24"/>
          <w:highlight w:val="none"/>
          <w:u w:val="none"/>
          <w:lang w:val="en-US" w:eastAsia="zh-CN"/>
        </w:rPr>
        <w:t>1标包</w:t>
      </w:r>
      <w:r>
        <w:rPr>
          <w:rFonts w:hint="eastAsia" w:ascii="宋体" w:hAnsi="宋体" w:cs="宋体"/>
          <w:color w:val="auto"/>
          <w:sz w:val="24"/>
          <w:szCs w:val="24"/>
          <w:highlight w:val="none"/>
          <w:u w:val="none"/>
          <w:lang w:eastAsia="zh-CN"/>
        </w:rPr>
        <w:t>项目明细表”。</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highlight w:val="none"/>
          <w:u w:val="none"/>
          <w:lang w:eastAsia="zh-CN"/>
        </w:rPr>
      </w:pPr>
      <w:r>
        <w:rPr>
          <w:rFonts w:hint="eastAsia" w:ascii="宋体" w:hAnsi="宋体" w:cs="宋体"/>
          <w:color w:val="auto"/>
          <w:sz w:val="24"/>
          <w:szCs w:val="24"/>
          <w:highlight w:val="none"/>
          <w:u w:val="none"/>
          <w:lang w:val="en-US" w:eastAsia="zh-CN"/>
        </w:rPr>
        <w:t>2标包采购需求：</w:t>
      </w:r>
      <w:r>
        <w:rPr>
          <w:rFonts w:hint="eastAsia" w:ascii="宋体" w:hAnsi="宋体" w:eastAsia="宋体" w:cs="宋体"/>
          <w:color w:val="auto"/>
          <w:sz w:val="24"/>
          <w:szCs w:val="24"/>
          <w:highlight w:val="none"/>
          <w:u w:val="none"/>
        </w:rPr>
        <w:t>曲靖市消防救援支队2024年度</w:t>
      </w:r>
      <w:r>
        <w:rPr>
          <w:rFonts w:hint="eastAsia" w:ascii="宋体" w:hAnsi="宋体" w:cs="宋体"/>
          <w:color w:val="auto"/>
          <w:sz w:val="24"/>
          <w:szCs w:val="24"/>
          <w:highlight w:val="none"/>
          <w:u w:val="none"/>
          <w:lang w:eastAsia="zh-CN"/>
        </w:rPr>
        <w:t>灭火药剂采购，具体采购内容详见“第</w:t>
      </w:r>
      <w:r>
        <w:rPr>
          <w:rFonts w:hint="eastAsia" w:ascii="宋体" w:hAnsi="宋体" w:cs="宋体"/>
          <w:color w:val="auto"/>
          <w:sz w:val="24"/>
          <w:szCs w:val="24"/>
          <w:highlight w:val="none"/>
          <w:u w:val="none"/>
          <w:lang w:val="en-US" w:eastAsia="zh-CN"/>
        </w:rPr>
        <w:t>六</w:t>
      </w:r>
      <w:r>
        <w:rPr>
          <w:rFonts w:hint="eastAsia" w:ascii="宋体" w:hAnsi="宋体" w:cs="宋体"/>
          <w:color w:val="auto"/>
          <w:sz w:val="24"/>
          <w:szCs w:val="24"/>
          <w:highlight w:val="none"/>
          <w:u w:val="none"/>
          <w:lang w:eastAsia="zh-CN"/>
        </w:rPr>
        <w:t>章</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eastAsia="zh-CN"/>
        </w:rPr>
        <w:t>采购需求</w:t>
      </w:r>
      <w:r>
        <w:rPr>
          <w:rFonts w:hint="eastAsia" w:ascii="宋体" w:hAnsi="宋体" w:cs="宋体"/>
          <w:color w:val="auto"/>
          <w:sz w:val="24"/>
          <w:szCs w:val="24"/>
          <w:highlight w:val="none"/>
          <w:u w:val="none"/>
          <w:lang w:val="en-US" w:eastAsia="zh-CN"/>
        </w:rPr>
        <w:t>2标包</w:t>
      </w:r>
      <w:r>
        <w:rPr>
          <w:rFonts w:hint="eastAsia" w:ascii="宋体" w:hAnsi="宋体" w:cs="宋体"/>
          <w:color w:val="auto"/>
          <w:sz w:val="24"/>
          <w:szCs w:val="24"/>
          <w:highlight w:val="none"/>
          <w:u w:val="none"/>
          <w:lang w:eastAsia="zh-CN"/>
        </w:rPr>
        <w:t>项目明细表”。</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highlight w:val="none"/>
          <w:u w:val="none"/>
          <w:lang w:eastAsia="zh-CN"/>
        </w:rPr>
      </w:pPr>
      <w:r>
        <w:rPr>
          <w:rFonts w:hint="eastAsia" w:ascii="宋体" w:hAnsi="宋体" w:cs="宋体"/>
          <w:color w:val="auto"/>
          <w:sz w:val="24"/>
          <w:szCs w:val="24"/>
          <w:highlight w:val="none"/>
          <w:u w:val="none"/>
          <w:lang w:val="en-US" w:eastAsia="zh-CN"/>
        </w:rPr>
        <w:t>3标包采购需求：</w:t>
      </w:r>
      <w:r>
        <w:rPr>
          <w:rFonts w:hint="eastAsia" w:ascii="宋体" w:hAnsi="宋体" w:eastAsia="宋体" w:cs="宋体"/>
          <w:color w:val="auto"/>
          <w:sz w:val="24"/>
          <w:szCs w:val="24"/>
          <w:highlight w:val="none"/>
          <w:u w:val="none"/>
        </w:rPr>
        <w:t>曲靖市消防救援支队2024年度</w:t>
      </w:r>
      <w:r>
        <w:rPr>
          <w:rFonts w:hint="eastAsia" w:ascii="宋体" w:hAnsi="宋体" w:cs="宋体"/>
          <w:color w:val="auto"/>
          <w:sz w:val="24"/>
          <w:szCs w:val="24"/>
          <w:highlight w:val="none"/>
          <w:u w:val="none"/>
          <w:lang w:eastAsia="zh-CN"/>
        </w:rPr>
        <w:t>破拆器材、堵漏器材、输转器材、洗消器材、照明排烟器材、其他器材、自选器材等采购，具体采购内容详见“第</w:t>
      </w:r>
      <w:r>
        <w:rPr>
          <w:rFonts w:hint="eastAsia" w:ascii="宋体" w:hAnsi="宋体" w:cs="宋体"/>
          <w:color w:val="auto"/>
          <w:sz w:val="24"/>
          <w:szCs w:val="24"/>
          <w:highlight w:val="none"/>
          <w:u w:val="none"/>
          <w:lang w:val="en-US" w:eastAsia="zh-CN"/>
        </w:rPr>
        <w:t>六</w:t>
      </w:r>
      <w:r>
        <w:rPr>
          <w:rFonts w:hint="eastAsia" w:ascii="宋体" w:hAnsi="宋体" w:cs="宋体"/>
          <w:color w:val="auto"/>
          <w:sz w:val="24"/>
          <w:szCs w:val="24"/>
          <w:highlight w:val="none"/>
          <w:u w:val="none"/>
          <w:lang w:eastAsia="zh-CN"/>
        </w:rPr>
        <w:t>章</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eastAsia="zh-CN"/>
        </w:rPr>
        <w:t>采购需求</w:t>
      </w:r>
      <w:r>
        <w:rPr>
          <w:rFonts w:hint="eastAsia" w:ascii="宋体" w:hAnsi="宋体" w:cs="宋体"/>
          <w:color w:val="auto"/>
          <w:sz w:val="24"/>
          <w:szCs w:val="24"/>
          <w:highlight w:val="none"/>
          <w:u w:val="none"/>
          <w:lang w:val="en-US" w:eastAsia="zh-CN"/>
        </w:rPr>
        <w:t>3标包</w:t>
      </w:r>
      <w:r>
        <w:rPr>
          <w:rFonts w:hint="eastAsia" w:ascii="宋体" w:hAnsi="宋体" w:cs="宋体"/>
          <w:color w:val="auto"/>
          <w:sz w:val="24"/>
          <w:szCs w:val="24"/>
          <w:highlight w:val="none"/>
          <w:u w:val="none"/>
          <w:lang w:eastAsia="zh-CN"/>
        </w:rPr>
        <w:t>项目明细表”。</w:t>
      </w:r>
    </w:p>
    <w:p>
      <w:pPr>
        <w:keepLines w:val="0"/>
        <w:pageBreakBefore w:val="0"/>
        <w:kinsoku/>
        <w:wordWrap/>
        <w:overflowPunct/>
        <w:topLinePunct w:val="0"/>
        <w:bidi w:val="0"/>
        <w:snapToGrid/>
        <w:spacing w:line="360" w:lineRule="auto"/>
        <w:ind w:firstLine="480" w:firstLineChars="20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7.</w:t>
      </w:r>
      <w:r>
        <w:rPr>
          <w:rFonts w:hint="eastAsia" w:ascii="宋体" w:hAnsi="宋体" w:eastAsia="宋体" w:cs="宋体"/>
          <w:color w:val="auto"/>
          <w:sz w:val="24"/>
          <w:szCs w:val="24"/>
          <w:highlight w:val="none"/>
          <w:u w:val="none"/>
        </w:rPr>
        <w:t>合同履行期限：合同签订后</w:t>
      </w:r>
      <w:r>
        <w:rPr>
          <w:rFonts w:hint="eastAsia" w:ascii="宋体" w:hAnsi="宋体" w:cs="宋体"/>
          <w:color w:val="auto"/>
          <w:sz w:val="24"/>
          <w:szCs w:val="24"/>
          <w:highlight w:val="none"/>
          <w:u w:val="none"/>
          <w:lang w:val="en-US" w:eastAsia="zh-CN"/>
        </w:rPr>
        <w:t>60</w:t>
      </w:r>
      <w:r>
        <w:rPr>
          <w:rFonts w:hint="eastAsia" w:ascii="宋体" w:hAnsi="宋体" w:eastAsia="宋体" w:cs="宋体"/>
          <w:color w:val="auto"/>
          <w:sz w:val="24"/>
          <w:szCs w:val="24"/>
          <w:highlight w:val="none"/>
          <w:u w:val="none"/>
        </w:rPr>
        <w:t>天内完成供货以及与之配套的辅助工作，交付采购人使用</w:t>
      </w:r>
      <w:r>
        <w:rPr>
          <w:rFonts w:hint="eastAsia" w:ascii="宋体" w:hAnsi="宋体" w:cs="宋体"/>
          <w:color w:val="auto"/>
          <w:sz w:val="24"/>
          <w:szCs w:val="24"/>
          <w:highlight w:val="none"/>
          <w:u w:val="none"/>
          <w:lang w:val="en-US" w:eastAsia="zh-CN"/>
        </w:rPr>
        <w:t>。</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u w:val="none"/>
          <w:lang w:val="en-US" w:eastAsia="zh-CN"/>
        </w:rPr>
        <w:t>8.</w:t>
      </w:r>
      <w:r>
        <w:rPr>
          <w:rFonts w:hint="eastAsia" w:ascii="宋体" w:hAnsi="宋体" w:eastAsia="宋体" w:cs="宋体"/>
          <w:color w:val="auto"/>
          <w:sz w:val="24"/>
          <w:szCs w:val="24"/>
          <w:u w:val="none"/>
        </w:rPr>
        <w:t>本项目</w:t>
      </w:r>
      <w:r>
        <w:rPr>
          <w:rFonts w:hint="eastAsia" w:ascii="宋体" w:hAnsi="宋体" w:eastAsia="宋体" w:cs="宋体"/>
          <w:color w:val="auto"/>
          <w:sz w:val="24"/>
          <w:szCs w:val="24"/>
          <w:u w:val="none"/>
          <w:lang w:eastAsia="zh-CN"/>
        </w:rPr>
        <w:t>不</w:t>
      </w:r>
      <w:r>
        <w:rPr>
          <w:rFonts w:hint="eastAsia" w:ascii="宋体" w:hAnsi="宋体" w:eastAsia="宋体" w:cs="宋体"/>
          <w:color w:val="auto"/>
          <w:sz w:val="24"/>
          <w:szCs w:val="24"/>
          <w:u w:val="none"/>
        </w:rPr>
        <w:t>接受联合体投标</w:t>
      </w:r>
      <w:r>
        <w:rPr>
          <w:rFonts w:hint="eastAsia" w:ascii="宋体" w:hAnsi="宋体" w:eastAsia="宋体" w:cs="宋体"/>
          <w:color w:val="auto"/>
          <w:sz w:val="24"/>
          <w:szCs w:val="24"/>
        </w:rPr>
        <w:t>。</w:t>
      </w:r>
    </w:p>
    <w:p>
      <w:pPr>
        <w:pStyle w:val="4"/>
        <w:keepNext/>
        <w:keepLines/>
        <w:pageBreakBefore w:val="0"/>
        <w:widowControl w:val="0"/>
        <w:numPr>
          <w:ilvl w:val="1"/>
          <w:numId w:val="0"/>
        </w:numPr>
        <w:tabs>
          <w:tab w:val="left" w:pos="360"/>
        </w:tabs>
        <w:kinsoku/>
        <w:wordWrap/>
        <w:overflowPunct/>
        <w:topLinePunct w:val="0"/>
        <w:autoSpaceDE/>
        <w:autoSpaceDN/>
        <w:bidi w:val="0"/>
        <w:adjustRightInd/>
        <w:snapToGrid/>
        <w:spacing w:before="100" w:after="100" w:line="360" w:lineRule="auto"/>
        <w:ind w:left="425" w:leftChars="0"/>
        <w:textAlignment w:val="auto"/>
        <w:rPr>
          <w:rFonts w:hint="eastAsia" w:ascii="宋体" w:hAnsi="宋体" w:eastAsia="宋体" w:cs="宋体"/>
          <w:b/>
          <w:bCs w:val="0"/>
          <w:color w:val="auto"/>
          <w:sz w:val="24"/>
          <w:szCs w:val="24"/>
        </w:rPr>
      </w:pPr>
      <w:bookmarkStart w:id="25" w:name="_Toc25212"/>
      <w:bookmarkStart w:id="26" w:name="_Toc31065"/>
      <w:bookmarkStart w:id="27" w:name="_Toc35393791"/>
      <w:bookmarkStart w:id="28" w:name="_Toc4102"/>
      <w:bookmarkStart w:id="29" w:name="_Toc35393622"/>
      <w:bookmarkStart w:id="30" w:name="_Toc28359003"/>
      <w:bookmarkStart w:id="31" w:name="_Toc4580"/>
      <w:bookmarkStart w:id="32" w:name="_Toc10458"/>
      <w:bookmarkStart w:id="33" w:name="_Toc28359080"/>
      <w:r>
        <w:rPr>
          <w:rFonts w:hint="eastAsia" w:ascii="宋体" w:hAnsi="宋体" w:eastAsia="宋体" w:cs="宋体"/>
          <w:b/>
          <w:bCs w:val="0"/>
          <w:color w:val="auto"/>
          <w:sz w:val="24"/>
          <w:szCs w:val="24"/>
        </w:rPr>
        <w:t>二、申请人的资格要求：</w:t>
      </w:r>
      <w:bookmarkEnd w:id="25"/>
      <w:bookmarkEnd w:id="26"/>
      <w:bookmarkEnd w:id="27"/>
      <w:bookmarkEnd w:id="28"/>
      <w:bookmarkEnd w:id="29"/>
      <w:bookmarkEnd w:id="30"/>
      <w:bookmarkEnd w:id="31"/>
      <w:bookmarkEnd w:id="32"/>
      <w:bookmarkEnd w:id="33"/>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u w:val="none"/>
        </w:rPr>
      </w:pPr>
      <w:bookmarkStart w:id="34" w:name="_Hlk93669154"/>
      <w:bookmarkStart w:id="35" w:name="_Toc28359004"/>
      <w:bookmarkStart w:id="36" w:name="_Toc28359081"/>
      <w:r>
        <w:rPr>
          <w:rFonts w:hint="eastAsia" w:ascii="宋体" w:hAnsi="宋体" w:eastAsia="宋体" w:cs="宋体"/>
          <w:color w:val="auto"/>
          <w:sz w:val="24"/>
          <w:szCs w:val="24"/>
          <w:u w:val="none"/>
        </w:rPr>
        <w:t>1.满足《中华人民共和国政府采购法》第二十二条规定；</w:t>
      </w:r>
    </w:p>
    <w:p>
      <w:pPr>
        <w:widowControl w:val="0"/>
        <w:spacing w:line="360" w:lineRule="auto"/>
        <w:ind w:firstLine="720" w:firstLineChars="3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1.1具有独立承担民事责任的能力；</w:t>
      </w:r>
    </w:p>
    <w:p>
      <w:pPr>
        <w:widowControl w:val="0"/>
        <w:spacing w:line="360" w:lineRule="auto"/>
        <w:ind w:firstLine="720" w:firstLineChars="3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1.2具有良好的商业信誉和健全的财务会计制度；</w:t>
      </w:r>
    </w:p>
    <w:p>
      <w:pPr>
        <w:spacing w:line="360" w:lineRule="auto"/>
        <w:ind w:firstLine="720" w:firstLineChars="3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1.3具有履行合同所必需的设备和专业技术能力；</w:t>
      </w:r>
    </w:p>
    <w:p>
      <w:pPr>
        <w:spacing w:line="360" w:lineRule="auto"/>
        <w:ind w:firstLine="720" w:firstLineChars="3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1.4有依法缴纳税收和社会保障资金的良好记录；</w:t>
      </w:r>
    </w:p>
    <w:p>
      <w:pPr>
        <w:spacing w:line="360" w:lineRule="auto"/>
        <w:ind w:firstLine="720" w:firstLineChars="30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1.5参加政府采购活动前三年内，在经营活动中没有重大违法记录；</w:t>
      </w:r>
    </w:p>
    <w:p>
      <w:pPr>
        <w:pStyle w:val="46"/>
        <w:ind w:firstLine="708" w:firstLineChars="295"/>
        <w:rPr>
          <w:rFonts w:hint="eastAsia"/>
          <w:color w:val="auto"/>
        </w:rPr>
      </w:pPr>
      <w:r>
        <w:rPr>
          <w:rFonts w:hint="eastAsia" w:ascii="宋体" w:hAnsi="宋体" w:cs="宋体"/>
          <w:color w:val="auto"/>
          <w:sz w:val="24"/>
          <w:szCs w:val="24"/>
          <w:highlight w:val="none"/>
        </w:rPr>
        <w:t>1.6法律、行政法规规定的其他条件</w:t>
      </w:r>
      <w:r>
        <w:rPr>
          <w:rFonts w:hint="eastAsia" w:ascii="宋体" w:hAnsi="宋体" w:cs="宋体"/>
          <w:color w:val="auto"/>
          <w:sz w:val="24"/>
          <w:highlight w:val="none"/>
        </w:rPr>
        <w:t>。</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2.落实政府采购政策需满足的资格要求：</w:t>
      </w:r>
    </w:p>
    <w:p>
      <w:pPr>
        <w:keepLines w:val="0"/>
        <w:pageBreakBefore w:val="0"/>
        <w:kinsoku/>
        <w:wordWrap/>
        <w:overflowPunct/>
        <w:topLinePunct w:val="0"/>
        <w:bidi w:val="0"/>
        <w:snapToGrid/>
        <w:spacing w:line="360" w:lineRule="auto"/>
        <w:ind w:firstLine="720" w:firstLineChars="300"/>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2.1</w:t>
      </w:r>
      <w:r>
        <w:rPr>
          <w:rFonts w:hint="eastAsia" w:ascii="宋体" w:hAnsi="宋体" w:eastAsia="宋体" w:cs="宋体"/>
          <w:color w:val="auto"/>
          <w:sz w:val="24"/>
          <w:szCs w:val="24"/>
          <w:u w:val="none"/>
          <w:lang w:eastAsia="zh-CN"/>
        </w:rPr>
        <w:t>根据《政府采购促进中小企业发展管理办法》（财库〔2020〕46号）和《关于进一步加大政府采购支持中小企业力度的通知》财库〔2022〕19号的规定，对小型和微型企业产品的价格给予</w:t>
      </w:r>
      <w:r>
        <w:rPr>
          <w:rFonts w:hint="eastAsia" w:ascii="宋体" w:hAnsi="宋体" w:eastAsia="宋体" w:cs="宋体"/>
          <w:color w:val="auto"/>
          <w:sz w:val="24"/>
          <w:szCs w:val="24"/>
          <w:u w:val="none"/>
          <w:lang w:val="en-US" w:eastAsia="zh-CN"/>
        </w:rPr>
        <w:t>10</w:t>
      </w:r>
      <w:r>
        <w:rPr>
          <w:rFonts w:hint="eastAsia" w:ascii="宋体" w:hAnsi="宋体" w:eastAsia="宋体" w:cs="宋体"/>
          <w:color w:val="auto"/>
          <w:sz w:val="24"/>
          <w:szCs w:val="24"/>
          <w:u w:val="none"/>
          <w:lang w:eastAsia="zh-CN"/>
        </w:rPr>
        <w:t>%的扣除；监狱企业、残疾人福利性单位视同小型、 微型企业享受价格扣除优惠政策</w:t>
      </w:r>
      <w:r>
        <w:rPr>
          <w:rFonts w:hint="eastAsia" w:ascii="宋体" w:hAnsi="宋体" w:eastAsia="宋体" w:cs="宋体"/>
          <w:color w:val="auto"/>
          <w:sz w:val="24"/>
          <w:szCs w:val="24"/>
          <w:u w:val="none"/>
        </w:rPr>
        <w:t>。</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注：在货物采购项目中，供应商提供的货物既有中小企业制造货物，也有大型企业制造货物的，不享受本办法规定的中小企业扶持政策</w:t>
      </w:r>
      <w:r>
        <w:rPr>
          <w:rFonts w:hint="eastAsia" w:ascii="宋体" w:hAnsi="宋体" w:eastAsia="宋体" w:cs="宋体"/>
          <w:color w:val="auto"/>
          <w:sz w:val="24"/>
          <w:szCs w:val="24"/>
          <w:u w:val="none"/>
        </w:rPr>
        <w:t>。</w:t>
      </w:r>
    </w:p>
    <w:p>
      <w:pPr>
        <w:keepLines w:val="0"/>
        <w:pageBreakBefore w:val="0"/>
        <w:kinsoku/>
        <w:wordWrap/>
        <w:overflowPunct/>
        <w:topLinePunct w:val="0"/>
        <w:bidi w:val="0"/>
        <w:snapToGrid/>
        <w:spacing w:line="360" w:lineRule="auto"/>
        <w:ind w:firstLine="720" w:firstLineChars="300"/>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2.2</w:t>
      </w:r>
      <w:r>
        <w:rPr>
          <w:rFonts w:hint="eastAsia" w:ascii="宋体" w:hAnsi="宋体" w:eastAsia="宋体" w:cs="宋体"/>
          <w:color w:val="auto"/>
          <w:sz w:val="24"/>
          <w:szCs w:val="24"/>
          <w:u w:val="none"/>
          <w:lang w:eastAsia="zh-CN"/>
        </w:rPr>
        <w:t>政府采购属于节能（环保标志）清单中产品时，在技术、服务等指标同等条件下，应当优先采购节能（环保标志）清单所列的节能（环保标志）产品。</w:t>
      </w:r>
    </w:p>
    <w:p>
      <w:pPr>
        <w:keepLines w:val="0"/>
        <w:pageBreakBefore w:val="0"/>
        <w:kinsoku/>
        <w:wordWrap/>
        <w:overflowPunct/>
        <w:topLinePunct w:val="0"/>
        <w:bidi w:val="0"/>
        <w:snapToGrid/>
        <w:spacing w:line="360" w:lineRule="auto"/>
        <w:ind w:firstLine="480" w:firstLineChars="200"/>
        <w:rPr>
          <w:rFonts w:hint="default" w:ascii="宋体" w:hAnsi="宋体" w:eastAsia="宋体" w:cs="宋体"/>
          <w:color w:val="auto"/>
          <w:sz w:val="24"/>
          <w:szCs w:val="24"/>
          <w:u w:val="none"/>
          <w:lang w:val="en-US" w:eastAsia="zh-CN"/>
        </w:rPr>
      </w:pPr>
      <w:r>
        <w:rPr>
          <w:rFonts w:hint="eastAsia" w:ascii="宋体" w:hAnsi="宋体" w:eastAsia="宋体" w:cs="宋体"/>
          <w:color w:val="auto"/>
          <w:sz w:val="24"/>
          <w:szCs w:val="24"/>
          <w:u w:val="none"/>
        </w:rPr>
        <w:t>3.本项目的特定资格要求：</w:t>
      </w:r>
      <w:bookmarkEnd w:id="34"/>
      <w:r>
        <w:rPr>
          <w:rFonts w:hint="eastAsia" w:ascii="宋体" w:hAnsi="宋体" w:eastAsia="宋体" w:cs="宋体"/>
          <w:color w:val="auto"/>
          <w:sz w:val="24"/>
          <w:szCs w:val="24"/>
          <w:u w:val="none"/>
          <w:lang w:eastAsia="zh-CN"/>
        </w:rPr>
        <w:t>无</w:t>
      </w:r>
    </w:p>
    <w:p>
      <w:pPr>
        <w:pStyle w:val="4"/>
        <w:keepNext/>
        <w:keepLines/>
        <w:pageBreakBefore w:val="0"/>
        <w:widowControl w:val="0"/>
        <w:numPr>
          <w:ilvl w:val="1"/>
          <w:numId w:val="0"/>
        </w:numPr>
        <w:tabs>
          <w:tab w:val="left" w:pos="360"/>
        </w:tabs>
        <w:kinsoku/>
        <w:wordWrap/>
        <w:overflowPunct/>
        <w:topLinePunct w:val="0"/>
        <w:autoSpaceDE/>
        <w:autoSpaceDN/>
        <w:bidi w:val="0"/>
        <w:adjustRightInd/>
        <w:snapToGrid/>
        <w:spacing w:before="100" w:after="100" w:line="360" w:lineRule="auto"/>
        <w:ind w:left="425" w:leftChars="0"/>
        <w:textAlignment w:val="auto"/>
        <w:rPr>
          <w:rFonts w:hint="eastAsia" w:ascii="宋体" w:hAnsi="宋体" w:eastAsia="宋体" w:cs="宋体"/>
          <w:b/>
          <w:bCs w:val="0"/>
          <w:color w:val="auto"/>
          <w:sz w:val="24"/>
          <w:szCs w:val="24"/>
        </w:rPr>
      </w:pPr>
      <w:bookmarkStart w:id="37" w:name="_Toc24236"/>
      <w:bookmarkStart w:id="38" w:name="_Toc5110"/>
      <w:bookmarkStart w:id="39" w:name="_Toc35393792"/>
      <w:bookmarkStart w:id="40" w:name="_Toc26415"/>
      <w:bookmarkStart w:id="41" w:name="_Toc35393623"/>
      <w:bookmarkStart w:id="42" w:name="_Toc8262"/>
      <w:bookmarkStart w:id="43" w:name="_Toc25619"/>
      <w:r>
        <w:rPr>
          <w:rFonts w:hint="eastAsia" w:ascii="宋体" w:hAnsi="宋体" w:eastAsia="宋体" w:cs="宋体"/>
          <w:b/>
          <w:bCs w:val="0"/>
          <w:color w:val="auto"/>
          <w:sz w:val="24"/>
          <w:szCs w:val="24"/>
        </w:rPr>
        <w:t>三、获取招标文件</w:t>
      </w:r>
      <w:bookmarkEnd w:id="35"/>
      <w:bookmarkEnd w:id="36"/>
      <w:bookmarkEnd w:id="37"/>
      <w:bookmarkEnd w:id="38"/>
      <w:bookmarkEnd w:id="39"/>
      <w:bookmarkEnd w:id="40"/>
      <w:bookmarkEnd w:id="41"/>
      <w:bookmarkEnd w:id="42"/>
      <w:bookmarkEnd w:id="43"/>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2024</w:t>
      </w:r>
      <w:r>
        <w:rPr>
          <w:rFonts w:hint="eastAsia" w:ascii="宋体" w:hAnsi="宋体" w:eastAsia="宋体" w:cs="宋体"/>
          <w:color w:val="auto"/>
          <w:sz w:val="24"/>
          <w:szCs w:val="24"/>
          <w:u w:val="single"/>
        </w:rPr>
        <w:t xml:space="preserve"> 年 </w:t>
      </w:r>
      <w:r>
        <w:rPr>
          <w:rFonts w:hint="eastAsia" w:ascii="宋体" w:hAnsi="宋体" w:cs="宋体"/>
          <w:color w:val="auto"/>
          <w:sz w:val="24"/>
          <w:szCs w:val="24"/>
          <w:u w:val="single"/>
          <w:lang w:val="en-US" w:eastAsia="zh-CN"/>
        </w:rPr>
        <w:t>06</w:t>
      </w:r>
      <w:r>
        <w:rPr>
          <w:rFonts w:hint="eastAsia" w:ascii="宋体" w:hAnsi="宋体" w:eastAsia="宋体" w:cs="宋体"/>
          <w:color w:val="auto"/>
          <w:sz w:val="24"/>
          <w:szCs w:val="24"/>
          <w:u w:val="single"/>
        </w:rPr>
        <w:t xml:space="preserve"> 月 </w:t>
      </w:r>
      <w:r>
        <w:rPr>
          <w:rFonts w:hint="eastAsia" w:ascii="宋体" w:hAnsi="宋体" w:cs="宋体"/>
          <w:color w:val="auto"/>
          <w:sz w:val="24"/>
          <w:szCs w:val="24"/>
          <w:u w:val="single"/>
          <w:lang w:val="en-US" w:eastAsia="zh-CN"/>
        </w:rPr>
        <w:t>05</w:t>
      </w:r>
      <w:r>
        <w:rPr>
          <w:rFonts w:hint="eastAsia" w:ascii="宋体" w:hAnsi="宋体" w:eastAsia="宋体" w:cs="宋体"/>
          <w:color w:val="auto"/>
          <w:sz w:val="24"/>
          <w:szCs w:val="24"/>
          <w:u w:val="single"/>
        </w:rPr>
        <w:t xml:space="preserve"> 日</w:t>
      </w:r>
      <w:r>
        <w:rPr>
          <w:rFonts w:hint="eastAsia" w:ascii="宋体" w:hAnsi="宋体" w:eastAsia="宋体" w:cs="宋体"/>
          <w:color w:val="auto"/>
          <w:sz w:val="24"/>
          <w:szCs w:val="24"/>
        </w:rPr>
        <w:t>至</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2024</w:t>
      </w:r>
      <w:r>
        <w:rPr>
          <w:rFonts w:hint="eastAsia" w:ascii="宋体" w:hAnsi="宋体" w:eastAsia="宋体" w:cs="宋体"/>
          <w:color w:val="auto"/>
          <w:sz w:val="24"/>
          <w:szCs w:val="24"/>
          <w:u w:val="single"/>
        </w:rPr>
        <w:t xml:space="preserve"> 年 </w:t>
      </w:r>
      <w:r>
        <w:rPr>
          <w:rFonts w:hint="eastAsia" w:ascii="宋体" w:hAnsi="宋体" w:cs="宋体"/>
          <w:color w:val="auto"/>
          <w:sz w:val="24"/>
          <w:szCs w:val="24"/>
          <w:u w:val="single"/>
          <w:lang w:val="en-US" w:eastAsia="zh-CN"/>
        </w:rPr>
        <w:t>06</w:t>
      </w:r>
      <w:r>
        <w:rPr>
          <w:rFonts w:hint="eastAsia" w:ascii="宋体" w:hAnsi="宋体" w:eastAsia="宋体" w:cs="宋体"/>
          <w:color w:val="auto"/>
          <w:sz w:val="24"/>
          <w:szCs w:val="24"/>
          <w:u w:val="single"/>
        </w:rPr>
        <w:t xml:space="preserve"> 月 </w:t>
      </w:r>
      <w:r>
        <w:rPr>
          <w:rFonts w:hint="eastAsia" w:ascii="宋体" w:hAnsi="宋体" w:cs="宋体"/>
          <w:color w:val="auto"/>
          <w:sz w:val="24"/>
          <w:szCs w:val="24"/>
          <w:u w:val="single"/>
          <w:lang w:val="en-US" w:eastAsia="zh-CN"/>
        </w:rPr>
        <w:t>13</w:t>
      </w:r>
      <w:r>
        <w:rPr>
          <w:rFonts w:hint="eastAsia" w:ascii="宋体" w:hAnsi="宋体" w:eastAsia="宋体" w:cs="宋体"/>
          <w:color w:val="auto"/>
          <w:sz w:val="24"/>
          <w:szCs w:val="24"/>
          <w:u w:val="single"/>
        </w:rPr>
        <w:t xml:space="preserve"> 日</w:t>
      </w:r>
      <w:r>
        <w:rPr>
          <w:rFonts w:hint="eastAsia" w:ascii="宋体" w:hAnsi="宋体" w:eastAsia="宋体" w:cs="宋体"/>
          <w:color w:val="auto"/>
          <w:sz w:val="24"/>
          <w:szCs w:val="24"/>
        </w:rPr>
        <w:t>，每天上午</w:t>
      </w:r>
      <w:r>
        <w:rPr>
          <w:rFonts w:hint="eastAsia" w:ascii="宋体" w:hAnsi="宋体" w:cs="宋体"/>
          <w:color w:val="auto"/>
          <w:sz w:val="24"/>
          <w:szCs w:val="24"/>
          <w:u w:val="single"/>
          <w:lang w:val="en-US" w:eastAsia="zh-CN"/>
        </w:rPr>
        <w:t>09:00</w:t>
      </w:r>
      <w:r>
        <w:rPr>
          <w:rFonts w:hint="eastAsia" w:ascii="宋体" w:hAnsi="宋体" w:eastAsia="宋体" w:cs="宋体"/>
          <w:color w:val="auto"/>
          <w:sz w:val="24"/>
          <w:szCs w:val="24"/>
        </w:rPr>
        <w:t>至</w:t>
      </w:r>
      <w:r>
        <w:rPr>
          <w:rFonts w:hint="eastAsia" w:ascii="宋体" w:hAnsi="宋体" w:cs="宋体"/>
          <w:color w:val="auto"/>
          <w:sz w:val="24"/>
          <w:szCs w:val="24"/>
          <w:u w:val="single"/>
          <w:lang w:val="en-US" w:eastAsia="zh-CN"/>
        </w:rPr>
        <w:t>12:00</w:t>
      </w:r>
      <w:r>
        <w:rPr>
          <w:rFonts w:hint="eastAsia" w:ascii="宋体" w:hAnsi="宋体" w:eastAsia="宋体" w:cs="宋体"/>
          <w:color w:val="auto"/>
          <w:sz w:val="24"/>
          <w:szCs w:val="24"/>
        </w:rPr>
        <w:t>，下午</w:t>
      </w:r>
      <w:r>
        <w:rPr>
          <w:rFonts w:hint="eastAsia" w:ascii="宋体" w:hAnsi="宋体" w:cs="宋体"/>
          <w:color w:val="auto"/>
          <w:sz w:val="24"/>
          <w:szCs w:val="24"/>
          <w:u w:val="single"/>
          <w:lang w:val="en-US" w:eastAsia="zh-CN"/>
        </w:rPr>
        <w:t>14:00</w:t>
      </w:r>
      <w:r>
        <w:rPr>
          <w:rFonts w:hint="eastAsia" w:ascii="宋体" w:hAnsi="宋体" w:eastAsia="宋体" w:cs="宋体"/>
          <w:color w:val="auto"/>
          <w:sz w:val="24"/>
          <w:szCs w:val="24"/>
        </w:rPr>
        <w:t>至</w:t>
      </w:r>
      <w:r>
        <w:rPr>
          <w:rFonts w:hint="eastAsia" w:ascii="宋体" w:hAnsi="宋体" w:cs="宋体"/>
          <w:color w:val="auto"/>
          <w:sz w:val="24"/>
          <w:szCs w:val="24"/>
          <w:u w:val="single"/>
          <w:lang w:val="en-US" w:eastAsia="zh-CN"/>
        </w:rPr>
        <w:t>18:00</w:t>
      </w:r>
      <w:r>
        <w:rPr>
          <w:rFonts w:hint="eastAsia" w:ascii="宋体" w:hAnsi="宋体" w:eastAsia="宋体" w:cs="宋体"/>
          <w:color w:val="auto"/>
          <w:sz w:val="24"/>
          <w:szCs w:val="24"/>
        </w:rPr>
        <w:t>（北京时间，法定节假日除外）</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地点：曲靖市公共资源交易电子服务系统(须进入http://ggzy.yn.gov.cn/#/homePage网站选择“曲靖市”跳转进入曲靖市公共资源交易电子服务系统）</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方式：</w:t>
      </w:r>
      <w:r>
        <w:rPr>
          <w:rFonts w:hint="eastAsia" w:ascii="宋体" w:hAnsi="宋体" w:eastAsia="宋体" w:cs="宋体"/>
          <w:color w:val="auto"/>
          <w:sz w:val="24"/>
          <w:szCs w:val="24"/>
          <w:lang w:eastAsia="zh-CN"/>
        </w:rPr>
        <w:t>网上获取</w:t>
      </w:r>
    </w:p>
    <w:p>
      <w:pPr>
        <w:pStyle w:val="4"/>
        <w:keepNext/>
        <w:keepLines/>
        <w:pageBreakBefore w:val="0"/>
        <w:widowControl w:val="0"/>
        <w:numPr>
          <w:ilvl w:val="1"/>
          <w:numId w:val="0"/>
        </w:numPr>
        <w:tabs>
          <w:tab w:val="left" w:pos="360"/>
        </w:tabs>
        <w:kinsoku/>
        <w:wordWrap/>
        <w:overflowPunct/>
        <w:topLinePunct w:val="0"/>
        <w:autoSpaceDE/>
        <w:autoSpaceDN/>
        <w:bidi w:val="0"/>
        <w:adjustRightInd/>
        <w:snapToGrid/>
        <w:spacing w:before="100" w:after="100" w:line="360" w:lineRule="auto"/>
        <w:ind w:left="425" w:leftChars="0"/>
        <w:textAlignment w:val="auto"/>
        <w:rPr>
          <w:rFonts w:hint="eastAsia" w:ascii="宋体" w:hAnsi="宋体" w:eastAsia="宋体" w:cs="宋体"/>
          <w:b/>
          <w:bCs w:val="0"/>
          <w:color w:val="auto"/>
          <w:sz w:val="24"/>
          <w:szCs w:val="24"/>
        </w:rPr>
      </w:pPr>
      <w:bookmarkStart w:id="44" w:name="_Toc28359082"/>
      <w:bookmarkStart w:id="45" w:name="_Toc28359005"/>
      <w:bookmarkStart w:id="46" w:name="_Toc20000"/>
      <w:bookmarkStart w:id="47" w:name="_Toc6382"/>
      <w:bookmarkStart w:id="48" w:name="_Toc35393793"/>
      <w:bookmarkStart w:id="49" w:name="_Toc19987"/>
      <w:bookmarkStart w:id="50" w:name="_Toc35393624"/>
      <w:bookmarkStart w:id="51" w:name="_Toc2781"/>
      <w:bookmarkStart w:id="52" w:name="_Toc28406"/>
      <w:r>
        <w:rPr>
          <w:rFonts w:hint="eastAsia" w:ascii="宋体" w:hAnsi="宋体" w:eastAsia="宋体" w:cs="宋体"/>
          <w:b/>
          <w:bCs w:val="0"/>
          <w:color w:val="auto"/>
          <w:sz w:val="24"/>
          <w:szCs w:val="24"/>
        </w:rPr>
        <w:t>四、提交投标文件</w:t>
      </w:r>
      <w:bookmarkEnd w:id="44"/>
      <w:bookmarkEnd w:id="45"/>
      <w:r>
        <w:rPr>
          <w:rFonts w:hint="eastAsia" w:ascii="宋体" w:hAnsi="宋体" w:eastAsia="宋体" w:cs="宋体"/>
          <w:b/>
          <w:bCs w:val="0"/>
          <w:color w:val="auto"/>
          <w:sz w:val="24"/>
          <w:szCs w:val="24"/>
        </w:rPr>
        <w:t>截止时间、开标时间和地点</w:t>
      </w:r>
      <w:bookmarkEnd w:id="46"/>
      <w:bookmarkEnd w:id="47"/>
      <w:bookmarkEnd w:id="48"/>
      <w:bookmarkEnd w:id="49"/>
      <w:bookmarkEnd w:id="50"/>
      <w:bookmarkEnd w:id="51"/>
      <w:bookmarkEnd w:id="52"/>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 </w:t>
      </w:r>
      <w:r>
        <w:rPr>
          <w:rFonts w:hint="eastAsia" w:ascii="宋体" w:hAnsi="宋体" w:cs="宋体"/>
          <w:bCs/>
          <w:color w:val="auto"/>
          <w:sz w:val="24"/>
          <w:szCs w:val="24"/>
          <w:u w:val="single"/>
          <w:lang w:val="en-US" w:eastAsia="zh-CN"/>
        </w:rPr>
        <w:t>2024</w:t>
      </w:r>
      <w:r>
        <w:rPr>
          <w:rFonts w:hint="eastAsia" w:ascii="宋体" w:hAnsi="宋体" w:eastAsia="宋体" w:cs="宋体"/>
          <w:bCs/>
          <w:color w:val="auto"/>
          <w:sz w:val="24"/>
          <w:szCs w:val="24"/>
          <w:u w:val="single"/>
        </w:rPr>
        <w:t xml:space="preserve"> 年 </w:t>
      </w:r>
      <w:r>
        <w:rPr>
          <w:rFonts w:hint="eastAsia" w:ascii="宋体" w:hAnsi="宋体" w:cs="宋体"/>
          <w:bCs/>
          <w:color w:val="auto"/>
          <w:sz w:val="24"/>
          <w:szCs w:val="24"/>
          <w:u w:val="single"/>
          <w:lang w:val="en-US" w:eastAsia="zh-CN"/>
        </w:rPr>
        <w:t>07</w:t>
      </w:r>
      <w:r>
        <w:rPr>
          <w:rFonts w:hint="eastAsia" w:ascii="宋体" w:hAnsi="宋体" w:eastAsia="宋体" w:cs="宋体"/>
          <w:bCs/>
          <w:color w:val="auto"/>
          <w:sz w:val="24"/>
          <w:szCs w:val="24"/>
          <w:u w:val="single"/>
        </w:rPr>
        <w:t xml:space="preserve"> 月 </w:t>
      </w:r>
      <w:r>
        <w:rPr>
          <w:rFonts w:hint="eastAsia" w:ascii="宋体" w:hAnsi="宋体" w:cs="宋体"/>
          <w:bCs/>
          <w:color w:val="auto"/>
          <w:sz w:val="24"/>
          <w:szCs w:val="24"/>
          <w:u w:val="single"/>
          <w:lang w:val="en-US" w:eastAsia="zh-CN"/>
        </w:rPr>
        <w:t>08</w:t>
      </w:r>
      <w:r>
        <w:rPr>
          <w:rFonts w:hint="eastAsia" w:ascii="宋体" w:hAnsi="宋体" w:eastAsia="宋体" w:cs="宋体"/>
          <w:bCs/>
          <w:color w:val="auto"/>
          <w:sz w:val="24"/>
          <w:szCs w:val="24"/>
          <w:u w:val="single"/>
        </w:rPr>
        <w:t xml:space="preserve"> 日 </w:t>
      </w:r>
      <w:r>
        <w:rPr>
          <w:rFonts w:hint="eastAsia" w:ascii="宋体" w:hAnsi="宋体" w:cs="宋体"/>
          <w:bCs/>
          <w:color w:val="auto"/>
          <w:sz w:val="24"/>
          <w:szCs w:val="24"/>
          <w:u w:val="single"/>
          <w:lang w:val="en-US" w:eastAsia="zh-CN"/>
        </w:rPr>
        <w:t>09</w:t>
      </w:r>
      <w:r>
        <w:rPr>
          <w:rFonts w:hint="eastAsia" w:ascii="宋体" w:hAnsi="宋体" w:eastAsia="宋体" w:cs="宋体"/>
          <w:bCs/>
          <w:color w:val="auto"/>
          <w:sz w:val="24"/>
          <w:szCs w:val="24"/>
          <w:u w:val="single"/>
        </w:rPr>
        <w:t xml:space="preserve"> 点 </w:t>
      </w:r>
      <w:r>
        <w:rPr>
          <w:rFonts w:hint="eastAsia" w:ascii="宋体" w:hAnsi="宋体" w:cs="宋体"/>
          <w:bCs/>
          <w:color w:val="auto"/>
          <w:sz w:val="24"/>
          <w:szCs w:val="24"/>
          <w:u w:val="single"/>
          <w:lang w:val="en-US" w:eastAsia="zh-CN"/>
        </w:rPr>
        <w:t>00</w:t>
      </w:r>
      <w:r>
        <w:rPr>
          <w:rFonts w:hint="eastAsia" w:ascii="宋体" w:hAnsi="宋体" w:eastAsia="宋体" w:cs="宋体"/>
          <w:bCs/>
          <w:color w:val="auto"/>
          <w:sz w:val="24"/>
          <w:szCs w:val="24"/>
          <w:u w:val="single"/>
        </w:rPr>
        <w:t xml:space="preserve"> 分</w:t>
      </w:r>
      <w:r>
        <w:rPr>
          <w:rFonts w:hint="eastAsia" w:ascii="宋体" w:hAnsi="宋体" w:eastAsia="宋体" w:cs="宋体"/>
          <w:bCs/>
          <w:color w:val="auto"/>
          <w:sz w:val="24"/>
          <w:szCs w:val="24"/>
        </w:rPr>
        <w:t>（北京时间）</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bCs/>
          <w:color w:val="auto"/>
          <w:sz w:val="24"/>
          <w:szCs w:val="24"/>
          <w:u w:val="single"/>
        </w:rPr>
      </w:pPr>
      <w:r>
        <w:rPr>
          <w:rFonts w:hint="eastAsia" w:ascii="宋体" w:hAnsi="宋体" w:eastAsia="宋体" w:cs="宋体"/>
          <w:color w:val="auto"/>
          <w:sz w:val="24"/>
          <w:szCs w:val="24"/>
        </w:rPr>
        <w:t>地点：曲靖市公共资源交易电子服务系统(须进入http://ggzy.yn.gov.cn/#/homePage网站选择“曲靖市”跳转进入曲靖市公共资源交易电子服务系统）</w:t>
      </w:r>
    </w:p>
    <w:p>
      <w:pPr>
        <w:pStyle w:val="4"/>
        <w:keepNext/>
        <w:keepLines/>
        <w:pageBreakBefore w:val="0"/>
        <w:widowControl w:val="0"/>
        <w:numPr>
          <w:ilvl w:val="1"/>
          <w:numId w:val="0"/>
        </w:numPr>
        <w:tabs>
          <w:tab w:val="left" w:pos="360"/>
        </w:tabs>
        <w:kinsoku/>
        <w:wordWrap/>
        <w:overflowPunct/>
        <w:topLinePunct w:val="0"/>
        <w:autoSpaceDE/>
        <w:autoSpaceDN/>
        <w:bidi w:val="0"/>
        <w:adjustRightInd/>
        <w:snapToGrid/>
        <w:spacing w:before="100" w:after="100" w:line="360" w:lineRule="auto"/>
        <w:ind w:left="425" w:leftChars="0"/>
        <w:textAlignment w:val="auto"/>
        <w:rPr>
          <w:rFonts w:hint="eastAsia" w:ascii="宋体" w:hAnsi="宋体" w:eastAsia="宋体" w:cs="宋体"/>
          <w:b/>
          <w:bCs w:val="0"/>
          <w:color w:val="auto"/>
          <w:sz w:val="24"/>
          <w:szCs w:val="24"/>
        </w:rPr>
      </w:pPr>
      <w:bookmarkStart w:id="53" w:name="_Toc15020"/>
      <w:bookmarkStart w:id="54" w:name="_Toc35393794"/>
      <w:bookmarkStart w:id="55" w:name="_Toc26514"/>
      <w:bookmarkStart w:id="56" w:name="_Toc24234"/>
      <w:bookmarkStart w:id="57" w:name="_Toc23586"/>
      <w:bookmarkStart w:id="58" w:name="_Toc31614"/>
      <w:bookmarkStart w:id="59" w:name="_Toc35393625"/>
      <w:bookmarkStart w:id="60" w:name="_Toc28359084"/>
      <w:bookmarkStart w:id="61" w:name="_Toc28359007"/>
      <w:r>
        <w:rPr>
          <w:rFonts w:hint="eastAsia" w:ascii="宋体" w:hAnsi="宋体" w:eastAsia="宋体" w:cs="宋体"/>
          <w:b/>
          <w:bCs w:val="0"/>
          <w:color w:val="auto"/>
          <w:sz w:val="24"/>
          <w:szCs w:val="24"/>
        </w:rPr>
        <w:t>五、公告期限</w:t>
      </w:r>
      <w:bookmarkEnd w:id="53"/>
      <w:bookmarkEnd w:id="54"/>
      <w:bookmarkEnd w:id="55"/>
      <w:bookmarkEnd w:id="56"/>
      <w:bookmarkEnd w:id="57"/>
      <w:bookmarkEnd w:id="58"/>
      <w:bookmarkEnd w:id="59"/>
      <w:bookmarkEnd w:id="60"/>
      <w:bookmarkEnd w:id="61"/>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自本公告发布之日起5个工作日。</w:t>
      </w:r>
    </w:p>
    <w:p>
      <w:pPr>
        <w:pStyle w:val="4"/>
        <w:keepNext/>
        <w:keepLines/>
        <w:pageBreakBefore w:val="0"/>
        <w:widowControl w:val="0"/>
        <w:numPr>
          <w:ilvl w:val="1"/>
          <w:numId w:val="0"/>
        </w:numPr>
        <w:tabs>
          <w:tab w:val="left" w:pos="360"/>
        </w:tabs>
        <w:kinsoku/>
        <w:wordWrap/>
        <w:overflowPunct/>
        <w:topLinePunct w:val="0"/>
        <w:autoSpaceDE/>
        <w:autoSpaceDN/>
        <w:bidi w:val="0"/>
        <w:adjustRightInd/>
        <w:snapToGrid/>
        <w:spacing w:before="100" w:after="100" w:line="360" w:lineRule="auto"/>
        <w:ind w:left="425" w:leftChars="0"/>
        <w:textAlignment w:val="auto"/>
        <w:rPr>
          <w:rFonts w:hint="eastAsia" w:ascii="宋体" w:hAnsi="宋体" w:eastAsia="宋体" w:cs="宋体"/>
          <w:b/>
          <w:bCs w:val="0"/>
          <w:color w:val="auto"/>
          <w:sz w:val="24"/>
          <w:szCs w:val="24"/>
        </w:rPr>
      </w:pPr>
      <w:bookmarkStart w:id="62" w:name="_Toc1637"/>
      <w:bookmarkStart w:id="63" w:name="_Toc3814"/>
      <w:bookmarkStart w:id="64" w:name="_Toc4658"/>
      <w:bookmarkStart w:id="65" w:name="_Toc88"/>
      <w:bookmarkStart w:id="66" w:name="_Toc6342"/>
      <w:bookmarkStart w:id="67" w:name="_Toc35393626"/>
      <w:bookmarkStart w:id="68" w:name="_Toc35393795"/>
      <w:r>
        <w:rPr>
          <w:rFonts w:hint="eastAsia" w:ascii="宋体" w:hAnsi="宋体" w:eastAsia="宋体" w:cs="宋体"/>
          <w:b/>
          <w:bCs w:val="0"/>
          <w:color w:val="auto"/>
          <w:sz w:val="24"/>
          <w:szCs w:val="24"/>
        </w:rPr>
        <w:t>六、其他补充事宜</w:t>
      </w:r>
      <w:bookmarkEnd w:id="62"/>
      <w:bookmarkEnd w:id="63"/>
      <w:bookmarkEnd w:id="64"/>
      <w:bookmarkEnd w:id="65"/>
      <w:bookmarkEnd w:id="66"/>
      <w:bookmarkEnd w:id="67"/>
      <w:bookmarkEnd w:id="68"/>
    </w:p>
    <w:p>
      <w:pPr>
        <w:pStyle w:val="4"/>
        <w:keepNext/>
        <w:keepLines w:val="0"/>
        <w:pageBreakBefore w:val="0"/>
        <w:widowControl w:val="0"/>
        <w:numPr>
          <w:ilvl w:val="1"/>
          <w:numId w:val="0"/>
        </w:numPr>
        <w:tabs>
          <w:tab w:val="left" w:pos="360"/>
        </w:tabs>
        <w:kinsoku/>
        <w:wordWrap/>
        <w:overflowPunct/>
        <w:topLinePunct w:val="0"/>
        <w:autoSpaceDE/>
        <w:autoSpaceDN/>
        <w:bidi w:val="0"/>
        <w:adjustRightInd w:val="0"/>
        <w:snapToGrid/>
        <w:spacing w:line="360" w:lineRule="auto"/>
        <w:ind w:left="420" w:leftChars="0" w:firstLine="480" w:firstLineChars="200"/>
        <w:textAlignment w:val="baseline"/>
        <w:rPr>
          <w:rFonts w:hint="eastAsia" w:ascii="宋体" w:hAnsi="宋体" w:eastAsia="宋体" w:cs="宋体"/>
          <w:b w:val="0"/>
          <w:color w:val="auto"/>
          <w:sz w:val="24"/>
          <w:szCs w:val="24"/>
          <w:lang w:eastAsia="zh-CN"/>
        </w:rPr>
      </w:pPr>
      <w:bookmarkStart w:id="69" w:name="_Toc17755"/>
      <w:bookmarkStart w:id="70" w:name="_Toc1231"/>
      <w:bookmarkStart w:id="71" w:name="_Toc20221"/>
      <w:bookmarkStart w:id="72" w:name="_Toc19956"/>
      <w:bookmarkStart w:id="73" w:name="_Toc32540"/>
      <w:bookmarkStart w:id="74" w:name="_Toc9834"/>
      <w:bookmarkStart w:id="75" w:name="_Toc3714"/>
      <w:bookmarkStart w:id="76" w:name="_Toc28359085"/>
      <w:bookmarkStart w:id="77" w:name="_Toc35393796"/>
      <w:bookmarkStart w:id="78" w:name="_Toc28359008"/>
      <w:bookmarkStart w:id="79" w:name="_Toc35393627"/>
      <w:r>
        <w:rPr>
          <w:rFonts w:hint="eastAsia" w:ascii="宋体" w:hAnsi="宋体" w:eastAsia="宋体" w:cs="宋体"/>
          <w:b w:val="0"/>
          <w:color w:val="auto"/>
          <w:sz w:val="24"/>
          <w:szCs w:val="24"/>
        </w:rPr>
        <w:t>采购信息、成交公告均在以下媒体发布：</w:t>
      </w:r>
      <w:bookmarkEnd w:id="69"/>
      <w:bookmarkEnd w:id="70"/>
      <w:bookmarkEnd w:id="71"/>
      <w:bookmarkEnd w:id="72"/>
      <w:bookmarkEnd w:id="73"/>
      <w:bookmarkEnd w:id="74"/>
      <w:r>
        <w:rPr>
          <w:rFonts w:hint="eastAsia" w:ascii="宋体" w:hAnsi="宋体" w:eastAsia="宋体" w:cs="宋体"/>
          <w:b w:val="0"/>
          <w:color w:val="auto"/>
          <w:sz w:val="24"/>
          <w:szCs w:val="24"/>
        </w:rPr>
        <w:t>中国政府采购网（http://www.ccgp.gov.cn/）、中国招标投标公共服务平台（http://www.cebpubservice.com/）、曲靖市公共资源交易电子服务系统(须进入http://ggzy.yn.gov.cn/#/homePage网站选择“曲靖市”跳转进入曲靖市公共资源交易电子服务系统)</w:t>
      </w:r>
      <w:r>
        <w:rPr>
          <w:rFonts w:hint="eastAsia" w:ascii="宋体" w:hAnsi="宋体" w:eastAsia="宋体" w:cs="宋体"/>
          <w:b w:val="0"/>
          <w:color w:val="auto"/>
          <w:sz w:val="24"/>
          <w:szCs w:val="24"/>
          <w:lang w:eastAsia="zh-CN"/>
        </w:rPr>
        <w:t>。</w:t>
      </w:r>
      <w:bookmarkEnd w:id="75"/>
    </w:p>
    <w:p>
      <w:pPr>
        <w:pStyle w:val="4"/>
        <w:keepNext/>
        <w:keepLines/>
        <w:pageBreakBefore w:val="0"/>
        <w:widowControl w:val="0"/>
        <w:numPr>
          <w:ilvl w:val="1"/>
          <w:numId w:val="0"/>
        </w:numPr>
        <w:tabs>
          <w:tab w:val="left" w:pos="360"/>
        </w:tabs>
        <w:kinsoku/>
        <w:wordWrap/>
        <w:overflowPunct/>
        <w:topLinePunct w:val="0"/>
        <w:autoSpaceDE/>
        <w:autoSpaceDN/>
        <w:bidi w:val="0"/>
        <w:adjustRightInd/>
        <w:snapToGrid/>
        <w:spacing w:before="100" w:after="100" w:line="360" w:lineRule="auto"/>
        <w:ind w:left="425" w:leftChars="0"/>
        <w:textAlignment w:val="auto"/>
        <w:rPr>
          <w:rFonts w:hint="eastAsia" w:ascii="宋体" w:hAnsi="宋体" w:eastAsia="宋体" w:cs="宋体"/>
          <w:b/>
          <w:bCs w:val="0"/>
          <w:color w:val="auto"/>
          <w:sz w:val="24"/>
          <w:szCs w:val="24"/>
        </w:rPr>
      </w:pPr>
      <w:bookmarkStart w:id="80" w:name="_Toc17192"/>
      <w:bookmarkStart w:id="81" w:name="_Toc15514"/>
      <w:bookmarkStart w:id="82" w:name="_Toc25879"/>
      <w:bookmarkStart w:id="83" w:name="_Toc29925"/>
      <w:bookmarkStart w:id="84" w:name="_Toc20436"/>
      <w:r>
        <w:rPr>
          <w:rFonts w:hint="eastAsia" w:ascii="宋体" w:hAnsi="宋体" w:eastAsia="宋体" w:cs="宋体"/>
          <w:b/>
          <w:bCs w:val="0"/>
          <w:color w:val="auto"/>
          <w:sz w:val="24"/>
          <w:szCs w:val="24"/>
        </w:rPr>
        <w:t>七、对本次招标提出询问，请按以下方式联系。</w:t>
      </w:r>
      <w:bookmarkEnd w:id="76"/>
      <w:bookmarkEnd w:id="77"/>
      <w:bookmarkEnd w:id="78"/>
      <w:bookmarkEnd w:id="79"/>
      <w:bookmarkEnd w:id="80"/>
      <w:bookmarkEnd w:id="81"/>
      <w:bookmarkEnd w:id="82"/>
      <w:bookmarkEnd w:id="83"/>
      <w:bookmarkEnd w:id="84"/>
    </w:p>
    <w:p>
      <w:pPr>
        <w:keepNext w:val="0"/>
        <w:keepLines w:val="0"/>
        <w:pageBreakBefore w:val="0"/>
        <w:widowControl/>
        <w:kinsoku/>
        <w:wordWrap/>
        <w:overflowPunct/>
        <w:topLinePunct w:val="0"/>
        <w:autoSpaceDE/>
        <w:autoSpaceDN/>
        <w:bidi w:val="0"/>
        <w:snapToGrid/>
        <w:spacing w:line="360" w:lineRule="auto"/>
        <w:ind w:firstLine="960" w:firstLineChars="400"/>
        <w:jc w:val="left"/>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pPr>
        <w:keepNext w:val="0"/>
        <w:keepLines w:val="0"/>
        <w:pageBreakBefore w:val="0"/>
        <w:kinsoku/>
        <w:wordWrap/>
        <w:overflowPunct/>
        <w:topLinePunct w:val="0"/>
        <w:autoSpaceDE/>
        <w:autoSpaceDN/>
        <w:bidi w:val="0"/>
        <w:snapToGrid/>
        <w:spacing w:line="360" w:lineRule="auto"/>
        <w:ind w:firstLine="960" w:firstLineChars="4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名 称：</w:t>
      </w:r>
      <w:r>
        <w:rPr>
          <w:rFonts w:hint="eastAsia" w:ascii="宋体" w:hAnsi="宋体" w:eastAsia="宋体" w:cs="宋体"/>
          <w:color w:val="auto"/>
          <w:sz w:val="24"/>
          <w:szCs w:val="24"/>
          <w:u w:val="single"/>
        </w:rPr>
        <w:t>曲靖市消防救援支队</w:t>
      </w:r>
    </w:p>
    <w:p>
      <w:pPr>
        <w:keepNext w:val="0"/>
        <w:keepLines w:val="0"/>
        <w:pageBreakBefore w:val="0"/>
        <w:kinsoku/>
        <w:wordWrap/>
        <w:overflowPunct/>
        <w:topLinePunct w:val="0"/>
        <w:autoSpaceDE/>
        <w:autoSpaceDN/>
        <w:bidi w:val="0"/>
        <w:snapToGrid/>
        <w:spacing w:line="360" w:lineRule="auto"/>
        <w:ind w:firstLine="960" w:firstLineChars="400"/>
        <w:jc w:val="left"/>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single"/>
        </w:rPr>
        <w:t>云南省曲靖市麒麟区紫云路118号</w:t>
      </w:r>
    </w:p>
    <w:p>
      <w:pPr>
        <w:keepNext w:val="0"/>
        <w:keepLines w:val="0"/>
        <w:pageBreakBefore w:val="0"/>
        <w:tabs>
          <w:tab w:val="left" w:pos="299"/>
        </w:tabs>
        <w:kinsoku/>
        <w:wordWrap/>
        <w:overflowPunct/>
        <w:topLinePunct w:val="0"/>
        <w:autoSpaceDE/>
        <w:autoSpaceDN/>
        <w:bidi w:val="0"/>
        <w:snapToGrid/>
        <w:spacing w:line="360" w:lineRule="auto"/>
        <w:ind w:firstLine="960" w:firstLineChars="4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u w:val="single"/>
          <w:lang w:eastAsia="zh-CN"/>
        </w:rPr>
        <w:t>潘师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0874-3103521</w:t>
      </w:r>
      <w:r>
        <w:rPr>
          <w:rFonts w:hint="eastAsia" w:ascii="宋体" w:hAnsi="宋体" w:eastAsia="宋体" w:cs="宋体"/>
          <w:color w:val="auto"/>
          <w:sz w:val="24"/>
          <w:szCs w:val="24"/>
          <w:highlight w:val="none"/>
          <w:u w:val="single"/>
        </w:rPr>
        <w:t xml:space="preserve"> </w:t>
      </w:r>
      <w:bookmarkStart w:id="85" w:name="_Toc28359086"/>
      <w:bookmarkStart w:id="86" w:name="_Toc28359009"/>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textAlignment w:val="auto"/>
        <w:rPr>
          <w:rFonts w:hint="eastAsia"/>
          <w:color w:val="auto"/>
        </w:rPr>
      </w:pPr>
    </w:p>
    <w:p>
      <w:pPr>
        <w:keepNext w:val="0"/>
        <w:keepLines w:val="0"/>
        <w:pageBreakBefore w:val="0"/>
        <w:tabs>
          <w:tab w:val="left" w:pos="239"/>
        </w:tabs>
        <w:kinsoku/>
        <w:wordWrap/>
        <w:overflowPunct/>
        <w:topLinePunct w:val="0"/>
        <w:autoSpaceDE/>
        <w:autoSpaceDN/>
        <w:bidi w:val="0"/>
        <w:snapToGrid/>
        <w:spacing w:line="360" w:lineRule="auto"/>
        <w:ind w:firstLine="960" w:firstLineChars="400"/>
        <w:jc w:val="left"/>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bookmarkEnd w:id="85"/>
      <w:bookmarkEnd w:id="86"/>
    </w:p>
    <w:p>
      <w:pPr>
        <w:keepNext w:val="0"/>
        <w:keepLines w:val="0"/>
        <w:pageBreakBefore w:val="0"/>
        <w:kinsoku/>
        <w:wordWrap/>
        <w:overflowPunct/>
        <w:topLinePunct w:val="0"/>
        <w:autoSpaceDE/>
        <w:autoSpaceDN/>
        <w:bidi w:val="0"/>
        <w:snapToGrid/>
        <w:spacing w:line="360" w:lineRule="auto"/>
        <w:ind w:firstLine="960" w:firstLineChars="4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名 称：</w:t>
      </w:r>
      <w:r>
        <w:rPr>
          <w:rFonts w:hint="eastAsia" w:ascii="宋体" w:hAnsi="宋体" w:eastAsia="宋体" w:cs="宋体"/>
          <w:color w:val="auto"/>
          <w:sz w:val="24"/>
          <w:szCs w:val="24"/>
          <w:u w:val="single"/>
          <w:lang w:eastAsia="zh-CN"/>
        </w:rPr>
        <w:t>云南福诚招标有限公司</w:t>
      </w:r>
    </w:p>
    <w:p>
      <w:pPr>
        <w:keepNext w:val="0"/>
        <w:keepLines w:val="0"/>
        <w:pageBreakBefore w:val="0"/>
        <w:kinsoku/>
        <w:wordWrap/>
        <w:overflowPunct/>
        <w:topLinePunct w:val="0"/>
        <w:autoSpaceDE/>
        <w:autoSpaceDN/>
        <w:bidi w:val="0"/>
        <w:snapToGrid/>
        <w:spacing w:line="360" w:lineRule="auto"/>
        <w:ind w:firstLine="960" w:firstLineChars="4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地　址：</w:t>
      </w:r>
      <w:r>
        <w:rPr>
          <w:rFonts w:hint="eastAsia" w:ascii="宋体" w:hAnsi="宋体" w:cs="宋体"/>
          <w:color w:val="auto"/>
          <w:sz w:val="24"/>
          <w:szCs w:val="24"/>
          <w:u w:val="single"/>
          <w:lang w:eastAsia="zh-CN"/>
        </w:rPr>
        <w:t>云南省曲靖市麒麟区珠江源大道科创路245号</w:t>
      </w:r>
    </w:p>
    <w:p>
      <w:pPr>
        <w:keepNext w:val="0"/>
        <w:keepLines w:val="0"/>
        <w:pageBreakBefore w:val="0"/>
        <w:kinsoku/>
        <w:wordWrap/>
        <w:overflowPunct/>
        <w:topLinePunct w:val="0"/>
        <w:autoSpaceDE/>
        <w:autoSpaceDN/>
        <w:bidi w:val="0"/>
        <w:snapToGrid/>
        <w:spacing w:line="360" w:lineRule="auto"/>
        <w:ind w:firstLine="960" w:firstLineChars="400"/>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联系方式：</w:t>
      </w:r>
      <w:bookmarkStart w:id="87" w:name="_Toc28359087"/>
      <w:bookmarkStart w:id="88" w:name="_Toc28359010"/>
      <w:r>
        <w:rPr>
          <w:rFonts w:hint="eastAsia" w:ascii="宋体" w:hAnsi="宋体" w:cs="宋体"/>
          <w:color w:val="auto"/>
          <w:sz w:val="24"/>
          <w:szCs w:val="24"/>
          <w:u w:val="single"/>
          <w:lang w:eastAsia="zh-CN"/>
        </w:rPr>
        <w:t>刘</w:t>
      </w:r>
      <w:r>
        <w:rPr>
          <w:rFonts w:hint="eastAsia" w:ascii="宋体" w:hAnsi="宋体" w:eastAsia="宋体" w:cs="宋体"/>
          <w:color w:val="auto"/>
          <w:sz w:val="24"/>
          <w:szCs w:val="24"/>
          <w:u w:val="single"/>
          <w:lang w:eastAsia="zh-CN"/>
        </w:rPr>
        <w:t>工</w:t>
      </w:r>
      <w:r>
        <w:rPr>
          <w:rFonts w:hint="eastAsia" w:ascii="宋体" w:hAnsi="宋体" w:cs="宋体"/>
          <w:color w:val="auto"/>
          <w:sz w:val="24"/>
          <w:szCs w:val="24"/>
          <w:u w:val="single"/>
          <w:lang w:val="en-US" w:eastAsia="zh-CN"/>
        </w:rPr>
        <w:t>13577352712</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textAlignment w:val="auto"/>
        <w:rPr>
          <w:rFonts w:hint="default"/>
          <w:color w:val="auto"/>
          <w:sz w:val="24"/>
          <w:szCs w:val="24"/>
          <w:lang w:val="en-US" w:eastAsia="zh-CN"/>
        </w:rPr>
      </w:pPr>
    </w:p>
    <w:p>
      <w:pPr>
        <w:keepNext w:val="0"/>
        <w:keepLines w:val="0"/>
        <w:pageBreakBefore w:val="0"/>
        <w:kinsoku/>
        <w:wordWrap/>
        <w:overflowPunct/>
        <w:topLinePunct w:val="0"/>
        <w:autoSpaceDE/>
        <w:autoSpaceDN/>
        <w:bidi w:val="0"/>
        <w:snapToGrid/>
        <w:spacing w:line="360" w:lineRule="auto"/>
        <w:ind w:firstLine="960" w:firstLineChars="400"/>
        <w:rPr>
          <w:rFonts w:hint="eastAsia" w:ascii="宋体" w:hAnsi="宋体" w:eastAsia="宋体" w:cs="宋体"/>
          <w:color w:val="auto"/>
          <w:sz w:val="24"/>
          <w:szCs w:val="24"/>
          <w:u w:val="single"/>
        </w:rPr>
      </w:pPr>
      <w:r>
        <w:rPr>
          <w:rFonts w:hint="eastAsia" w:ascii="宋体" w:hAnsi="宋体" w:eastAsia="宋体" w:cs="宋体"/>
          <w:color w:val="auto"/>
          <w:sz w:val="24"/>
          <w:szCs w:val="24"/>
        </w:rPr>
        <w:t>3.项目联系方式</w:t>
      </w:r>
      <w:bookmarkEnd w:id="87"/>
      <w:bookmarkEnd w:id="88"/>
    </w:p>
    <w:p>
      <w:pPr>
        <w:pStyle w:val="17"/>
        <w:keepNext w:val="0"/>
        <w:keepLines w:val="0"/>
        <w:pageBreakBefore w:val="0"/>
        <w:tabs>
          <w:tab w:val="left" w:pos="344"/>
        </w:tabs>
        <w:kinsoku/>
        <w:wordWrap/>
        <w:overflowPunct/>
        <w:topLinePunct w:val="0"/>
        <w:autoSpaceDE/>
        <w:autoSpaceDN/>
        <w:bidi w:val="0"/>
        <w:snapToGrid/>
        <w:spacing w:line="360" w:lineRule="auto"/>
        <w:ind w:firstLine="960" w:firstLineChars="4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项目联系人：</w:t>
      </w:r>
      <w:r>
        <w:rPr>
          <w:rFonts w:hint="eastAsia" w:hAnsi="宋体" w:cs="宋体"/>
          <w:color w:val="auto"/>
          <w:sz w:val="24"/>
          <w:szCs w:val="24"/>
          <w:u w:val="single"/>
          <w:lang w:eastAsia="zh-CN"/>
        </w:rPr>
        <w:t>刘</w:t>
      </w:r>
      <w:r>
        <w:rPr>
          <w:rFonts w:hint="eastAsia" w:ascii="宋体" w:hAnsi="宋体" w:eastAsia="宋体" w:cs="宋体"/>
          <w:color w:val="auto"/>
          <w:sz w:val="24"/>
          <w:szCs w:val="24"/>
          <w:u w:val="single"/>
          <w:lang w:eastAsia="zh-CN"/>
        </w:rPr>
        <w:t>工</w:t>
      </w:r>
    </w:p>
    <w:p>
      <w:pPr>
        <w:keepNext w:val="0"/>
        <w:keepLines w:val="0"/>
        <w:pageBreakBefore w:val="0"/>
        <w:kinsoku/>
        <w:wordWrap/>
        <w:overflowPunct/>
        <w:topLinePunct w:val="0"/>
        <w:autoSpaceDE/>
        <w:autoSpaceDN/>
        <w:bidi w:val="0"/>
        <w:snapToGrid/>
        <w:spacing w:line="360" w:lineRule="auto"/>
        <w:ind w:firstLine="960" w:firstLineChars="400"/>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电　话：</w:t>
      </w:r>
      <w:r>
        <w:rPr>
          <w:rFonts w:hint="eastAsia" w:ascii="宋体" w:hAnsi="宋体" w:cs="宋体"/>
          <w:color w:val="auto"/>
          <w:sz w:val="24"/>
          <w:szCs w:val="24"/>
          <w:u w:val="single"/>
          <w:lang w:val="en-US" w:eastAsia="zh-CN"/>
        </w:rPr>
        <w:t>13577352712</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方正小标宋_GBK" w:hAnsi="Times New Roman" w:eastAsia="方正小标宋_GBK" w:cs="Times New Roman"/>
          <w:color w:val="auto"/>
          <w:kern w:val="2"/>
          <w:sz w:val="44"/>
          <w:szCs w:val="44"/>
          <w:highlight w:val="none"/>
          <w:lang w:eastAsia="zh-CN"/>
        </w:rPr>
      </w:pPr>
      <w:r>
        <w:rPr>
          <w:rStyle w:val="48"/>
          <w:rFonts w:hint="eastAsia" w:ascii="宋体" w:hAnsi="宋体" w:eastAsia="宋体" w:cs="宋体"/>
          <w:b/>
          <w:color w:val="auto"/>
          <w:highlight w:val="none"/>
        </w:rPr>
        <w:br w:type="page"/>
      </w:r>
      <w:r>
        <w:rPr>
          <w:rFonts w:hint="eastAsia" w:ascii="方正小标宋_GBK" w:hAnsi="Times New Roman" w:eastAsia="方正小标宋_GBK" w:cs="Times New Roman"/>
          <w:color w:val="auto"/>
          <w:kern w:val="2"/>
          <w:sz w:val="44"/>
          <w:szCs w:val="44"/>
          <w:highlight w:val="none"/>
          <w:lang w:val="en-US" w:eastAsia="zh-CN"/>
        </w:rPr>
        <w:t>曲靖市消防救援支队</w:t>
      </w:r>
      <w:r>
        <w:rPr>
          <w:rFonts w:hint="eastAsia" w:ascii="方正小标宋_GBK" w:hAnsi="Times New Roman" w:eastAsia="方正小标宋_GBK" w:cs="Times New Roman"/>
          <w:color w:val="auto"/>
          <w:kern w:val="2"/>
          <w:sz w:val="44"/>
          <w:szCs w:val="44"/>
          <w:highlight w:val="none"/>
          <w:lang w:eastAsia="zh-CN"/>
        </w:rPr>
        <w:t>政府采购</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方正小标宋_GBK" w:hAnsi="Times New Roman" w:eastAsia="方正小标宋_GBK" w:cs="Times New Roman"/>
          <w:color w:val="auto"/>
          <w:kern w:val="2"/>
          <w:sz w:val="44"/>
          <w:szCs w:val="44"/>
          <w:highlight w:val="none"/>
          <w:lang w:eastAsia="zh-CN"/>
        </w:rPr>
      </w:pPr>
      <w:r>
        <w:rPr>
          <w:rFonts w:hint="eastAsia" w:ascii="方正小标宋_GBK" w:hAnsi="Times New Roman" w:eastAsia="方正小标宋_GBK" w:cs="Times New Roman"/>
          <w:color w:val="auto"/>
          <w:kern w:val="2"/>
          <w:sz w:val="44"/>
          <w:szCs w:val="44"/>
          <w:highlight w:val="none"/>
          <w:lang w:eastAsia="zh-CN"/>
        </w:rPr>
        <w:t>廉洁提示卡</w:t>
      </w:r>
    </w:p>
    <w:p>
      <w:pPr>
        <w:pStyle w:val="46"/>
        <w:keepNext w:val="0"/>
        <w:keepLines w:val="0"/>
        <w:pageBreakBefore w:val="0"/>
        <w:kinsoku/>
        <w:wordWrap/>
        <w:overflowPunct/>
        <w:topLinePunct w:val="0"/>
        <w:bidi w:val="0"/>
        <w:snapToGrid/>
        <w:spacing w:line="500" w:lineRule="exact"/>
        <w:textAlignment w:val="auto"/>
        <w:rPr>
          <w:rFonts w:hint="eastAsia"/>
          <w:color w:val="auto"/>
          <w:lang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1.不得与他人串通，泄露招标投标机密。</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2.不得与采购人、投标人串通投标。</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3.不得向评标专家支付合理报酬以外的费用，包括并不限于现金、购物卡、礼品、实物等，不得进行其他可能影响客观公正评审的活动。</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4.不得向招标投标监督人员或机构请客、送礼及组织其它有可能影响客观公正监督的活动。</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5.不得向采购人提供不正当利益，以谋求合作关系。</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6.不得采取恶性竞争等不正当手段竞争业务。</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7.禁止一切行贿行为。</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8.禁止一切索贿、受贿等行为。</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9.严格遵守国家、地方以及监管部门关于加强党风廉政建设的各项规定，杜绝违纪违法行为的发生。</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10.发现违纪违规行为，可通过电话、信件或扫描下方二维码进行举报。</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default"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电话：0874-3103549</w:t>
      </w:r>
    </w:p>
    <w:p>
      <w:pPr>
        <w:keepNext w:val="0"/>
        <w:keepLines w:val="0"/>
        <w:pageBreakBefore w:val="0"/>
        <w:widowControl/>
        <w:suppressLineNumbers w:val="0"/>
        <w:kinsoku/>
        <w:wordWrap/>
        <w:overflowPunct/>
        <w:topLinePunct w:val="0"/>
        <w:bidi w:val="0"/>
        <w:snapToGrid/>
        <w:spacing w:before="0" w:beforeAutospacing="0" w:after="0" w:afterAutospacing="0" w:line="500" w:lineRule="exact"/>
        <w:ind w:left="0" w:right="0"/>
        <w:jc w:val="left"/>
        <w:textAlignment w:val="auto"/>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drawing>
          <wp:anchor distT="0" distB="0" distL="0" distR="0" simplePos="0" relativeHeight="251661312" behindDoc="0" locked="0" layoutInCell="1" allowOverlap="1">
            <wp:simplePos x="0" y="0"/>
            <wp:positionH relativeFrom="column">
              <wp:posOffset>4505960</wp:posOffset>
            </wp:positionH>
            <wp:positionV relativeFrom="paragraph">
              <wp:posOffset>368300</wp:posOffset>
            </wp:positionV>
            <wp:extent cx="1237615" cy="1238250"/>
            <wp:effectExtent l="0" t="0" r="12065" b="11430"/>
            <wp:wrapSquare wrapText="bothSides"/>
            <wp:docPr id="25" name="图片 14" descr="C:\Users\admin\Desktop\采购违规举报.png采购违规举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4" descr="C:\Users\admin\Desktop\采购违规举报.png采购违规举报"/>
                    <pic:cNvPicPr>
                      <a:picLocks noChangeAspect="1"/>
                    </pic:cNvPicPr>
                  </pic:nvPicPr>
                  <pic:blipFill>
                    <a:blip r:embed="rId6"/>
                    <a:stretch>
                      <a:fillRect/>
                    </a:stretch>
                  </pic:blipFill>
                  <pic:spPr>
                    <a:xfrm>
                      <a:off x="0" y="0"/>
                      <a:ext cx="1237615" cy="1238250"/>
                    </a:xfrm>
                    <a:prstGeom prst="rect">
                      <a:avLst/>
                    </a:prstGeom>
                    <a:noFill/>
                    <a:ln>
                      <a:noFill/>
                    </a:ln>
                  </pic:spPr>
                </pic:pic>
              </a:graphicData>
            </a:graphic>
          </wp:anchor>
        </w:drawing>
      </w:r>
      <w:r>
        <w:rPr>
          <w:rFonts w:hint="default" w:ascii="Times New Roman" w:hAnsi="Times New Roman" w:eastAsia="方正仿宋_GBK" w:cs="Times New Roman"/>
          <w:color w:val="auto"/>
          <w:kern w:val="2"/>
          <w:sz w:val="32"/>
          <w:szCs w:val="32"/>
          <w:highlight w:val="none"/>
          <w:lang w:val="en-US" w:eastAsia="zh-CN"/>
        </w:rPr>
        <w:t>来信、来访地址：</w:t>
      </w:r>
      <w:r>
        <w:rPr>
          <w:rFonts w:hint="eastAsia" w:ascii="Times New Roman" w:hAnsi="Times New Roman" w:eastAsia="方正仿宋_GBK" w:cs="Times New Roman"/>
          <w:color w:val="auto"/>
          <w:kern w:val="2"/>
          <w:sz w:val="32"/>
          <w:szCs w:val="32"/>
          <w:highlight w:val="none"/>
          <w:lang w:val="en-US" w:eastAsia="zh-CN"/>
        </w:rPr>
        <w:t>曲靖市麒麟区紫云南路118号曲靖市消防救援支队纪委</w:t>
      </w:r>
    </w:p>
    <w:p>
      <w:pPr>
        <w:keepNext w:val="0"/>
        <w:keepLines w:val="0"/>
        <w:pageBreakBefore w:val="0"/>
        <w:widowControl/>
        <w:suppressLineNumbers w:val="0"/>
        <w:kinsoku/>
        <w:wordWrap/>
        <w:overflowPunct/>
        <w:topLinePunct w:val="0"/>
        <w:bidi w:val="0"/>
        <w:snapToGrid/>
        <w:spacing w:before="0" w:beforeAutospacing="0" w:after="0" w:afterAutospacing="0" w:line="500" w:lineRule="exact"/>
        <w:ind w:left="0" w:right="0"/>
        <w:jc w:val="left"/>
        <w:textAlignment w:val="auto"/>
        <w:rPr>
          <w:rFonts w:hint="default" w:ascii="Times New Roman" w:hAnsi="Times New Roman" w:eastAsia="方正仿宋_GBK" w:cs="Times New Roman"/>
          <w:color w:val="auto"/>
          <w:kern w:val="2"/>
          <w:sz w:val="32"/>
          <w:szCs w:val="32"/>
          <w:highlight w:val="yellow"/>
          <w:lang w:val="en-US" w:eastAsia="zh-CN"/>
        </w:rPr>
      </w:pPr>
      <w:r>
        <w:rPr>
          <w:rFonts w:hint="eastAsia" w:ascii="Times New Roman" w:hAnsi="Times New Roman" w:eastAsia="方正仿宋_GBK" w:cs="Times New Roman"/>
          <w:color w:val="auto"/>
          <w:kern w:val="2"/>
          <w:sz w:val="32"/>
          <w:szCs w:val="32"/>
          <w:highlight w:val="none"/>
          <w:lang w:val="en-US" w:eastAsia="zh-CN" w:bidi="ar-SA"/>
        </w:rPr>
        <w:t>邮政编码：</w:t>
      </w:r>
      <w:r>
        <w:rPr>
          <w:rFonts w:hint="default" w:ascii="Times New Roman" w:hAnsi="Times New Roman" w:eastAsia="方正仿宋_GBK" w:cs="Times New Roman"/>
          <w:color w:val="auto"/>
          <w:kern w:val="2"/>
          <w:sz w:val="32"/>
          <w:szCs w:val="32"/>
          <w:highlight w:val="none"/>
          <w:lang w:val="en-US" w:eastAsia="zh-CN"/>
        </w:rPr>
        <w:t>65</w:t>
      </w:r>
      <w:r>
        <w:rPr>
          <w:rFonts w:hint="eastAsia" w:ascii="Times New Roman" w:hAnsi="Times New Roman" w:eastAsia="方正仿宋_GBK" w:cs="Times New Roman"/>
          <w:color w:val="auto"/>
          <w:kern w:val="2"/>
          <w:sz w:val="32"/>
          <w:szCs w:val="32"/>
          <w:highlight w:val="none"/>
          <w:lang w:val="en-US" w:eastAsia="zh-CN"/>
        </w:rPr>
        <w:t>50</w:t>
      </w:r>
      <w:r>
        <w:rPr>
          <w:rFonts w:hint="default" w:ascii="Times New Roman" w:hAnsi="Times New Roman" w:eastAsia="方正仿宋_GBK" w:cs="Times New Roman"/>
          <w:color w:val="auto"/>
          <w:kern w:val="2"/>
          <w:sz w:val="32"/>
          <w:szCs w:val="32"/>
          <w:highlight w:val="none"/>
          <w:lang w:val="en-US" w:eastAsia="zh-CN"/>
        </w:rPr>
        <w:t>00</w:t>
      </w: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ascii="Times New Roman" w:hAnsi="Times New Roman" w:eastAsia="方正仿宋_GBK"/>
          <w:color w:val="auto"/>
          <w:kern w:val="0"/>
          <w:sz w:val="32"/>
          <w:szCs w:val="32"/>
          <w:highlight w:val="none"/>
        </w:rPr>
      </w:pP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sz w:val="32"/>
          <w:szCs w:val="32"/>
          <w:lang w:val="en-US" w:eastAsia="zh-CN"/>
        </w:rPr>
        <w:t xml:space="preserve">  </w:t>
      </w:r>
      <w:r>
        <w:rPr>
          <w:rFonts w:ascii="Times New Roman" w:hAnsi="Times New Roman" w:eastAsia="方正仿宋_GBK"/>
          <w:color w:val="auto"/>
          <w:kern w:val="0"/>
          <w:sz w:val="32"/>
          <w:szCs w:val="32"/>
          <w:highlight w:val="none"/>
        </w:rPr>
        <w:t>中共</w:t>
      </w:r>
      <w:r>
        <w:rPr>
          <w:rFonts w:hint="eastAsia" w:ascii="Times New Roman" w:hAnsi="Times New Roman" w:eastAsia="方正仿宋_GBK"/>
          <w:color w:val="auto"/>
          <w:kern w:val="0"/>
          <w:sz w:val="32"/>
          <w:szCs w:val="32"/>
          <w:highlight w:val="none"/>
          <w:lang w:val="en-US" w:eastAsia="zh-CN"/>
        </w:rPr>
        <w:t>曲靖市消防救援支队</w:t>
      </w:r>
      <w:r>
        <w:rPr>
          <w:rFonts w:ascii="Times New Roman" w:hAnsi="Times New Roman" w:eastAsia="方正仿宋_GBK"/>
          <w:color w:val="auto"/>
          <w:kern w:val="0"/>
          <w:sz w:val="32"/>
          <w:szCs w:val="32"/>
          <w:highlight w:val="none"/>
        </w:rPr>
        <w:t>纪律检查委员会</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 xml:space="preserve">                    </w:t>
      </w:r>
      <w:r>
        <w:rPr>
          <w:rFonts w:ascii="Times New Roman" w:hAnsi="Times New Roman" w:eastAsia="方正仿宋_GBK"/>
          <w:color w:val="auto"/>
          <w:kern w:val="0"/>
          <w:sz w:val="32"/>
          <w:szCs w:val="32"/>
          <w:highlight w:val="none"/>
        </w:rPr>
        <w:t>202</w:t>
      </w:r>
      <w:r>
        <w:rPr>
          <w:rFonts w:hint="eastAsia" w:eastAsia="方正仿宋_GBK"/>
          <w:color w:val="auto"/>
          <w:kern w:val="0"/>
          <w:sz w:val="32"/>
          <w:szCs w:val="32"/>
          <w:highlight w:val="none"/>
          <w:lang w:val="en-US" w:eastAsia="zh-CN"/>
        </w:rPr>
        <w:t>4</w:t>
      </w:r>
      <w:r>
        <w:rPr>
          <w:rFonts w:ascii="Times New Roman" w:hAnsi="Times New Roman" w:eastAsia="方正仿宋_GBK"/>
          <w:color w:val="auto"/>
          <w:kern w:val="0"/>
          <w:sz w:val="32"/>
          <w:szCs w:val="32"/>
          <w:highlight w:val="none"/>
        </w:rPr>
        <w:t>年</w:t>
      </w:r>
      <w:r>
        <w:rPr>
          <w:rFonts w:hint="eastAsia" w:eastAsia="方正仿宋_GBK"/>
          <w:color w:val="auto"/>
          <w:kern w:val="0"/>
          <w:sz w:val="32"/>
          <w:szCs w:val="32"/>
          <w:highlight w:val="none"/>
          <w:lang w:val="en-US" w:eastAsia="zh-CN"/>
        </w:rPr>
        <w:t>5</w:t>
      </w:r>
      <w:r>
        <w:rPr>
          <w:rFonts w:ascii="Times New Roman" w:hAnsi="Times New Roman" w:eastAsia="方正仿宋_GBK"/>
          <w:color w:val="auto"/>
          <w:kern w:val="0"/>
          <w:sz w:val="32"/>
          <w:szCs w:val="32"/>
          <w:highlight w:val="none"/>
        </w:rPr>
        <w:t>月</w:t>
      </w:r>
    </w:p>
    <w:p>
      <w:pPr>
        <w:rPr>
          <w:b/>
          <w:bCs/>
          <w:color w:val="auto"/>
        </w:rPr>
      </w:pPr>
      <w:r>
        <w:rPr>
          <w:b/>
          <w:bCs/>
          <w:color w:val="auto"/>
        </w:rPr>
        <w:br w:type="page"/>
      </w:r>
    </w:p>
    <w:p>
      <w:pPr>
        <w:rPr>
          <w:rFonts w:hint="eastAsia" w:ascii="宋体" w:hAnsi="宋体" w:eastAsia="宋体" w:cs="宋体"/>
          <w:b/>
          <w:bCs/>
          <w:color w:val="auto"/>
          <w:kern w:val="2"/>
          <w:sz w:val="40"/>
          <w:szCs w:val="40"/>
          <w:highlight w:val="none"/>
          <w:lang w:val="en-US" w:eastAsia="zh-CN" w:bidi="ar-SA"/>
        </w:rPr>
      </w:pPr>
      <w:r>
        <w:rPr>
          <w:color w:val="auto"/>
        </w:rPr>
        <w:drawing>
          <wp:anchor distT="0" distB="0" distL="114300" distR="114300" simplePos="0" relativeHeight="251663360" behindDoc="0" locked="0" layoutInCell="1" allowOverlap="1">
            <wp:simplePos x="0" y="0"/>
            <wp:positionH relativeFrom="column">
              <wp:posOffset>-668655</wp:posOffset>
            </wp:positionH>
            <wp:positionV relativeFrom="paragraph">
              <wp:posOffset>-897890</wp:posOffset>
            </wp:positionV>
            <wp:extent cx="7537450" cy="10632440"/>
            <wp:effectExtent l="0" t="0" r="6350" b="5080"/>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7"/>
                    <a:stretch>
                      <a:fillRect/>
                    </a:stretch>
                  </pic:blipFill>
                  <pic:spPr>
                    <a:xfrm>
                      <a:off x="0" y="0"/>
                      <a:ext cx="7537450" cy="10632440"/>
                    </a:xfrm>
                    <a:prstGeom prst="rect">
                      <a:avLst/>
                    </a:prstGeom>
                    <a:noFill/>
                    <a:ln>
                      <a:noFill/>
                    </a:ln>
                  </pic:spPr>
                </pic:pic>
              </a:graphicData>
            </a:graphic>
          </wp:anchor>
        </w:drawing>
      </w:r>
      <w:r>
        <w:rPr>
          <w:rFonts w:hint="eastAsia" w:ascii="宋体" w:hAnsi="宋体" w:eastAsia="宋体" w:cs="宋体"/>
          <w:b/>
          <w:bCs/>
          <w:color w:val="auto"/>
          <w:kern w:val="2"/>
          <w:sz w:val="40"/>
          <w:szCs w:val="40"/>
          <w:highlight w:val="none"/>
          <w:lang w:val="en-US" w:eastAsia="zh-CN" w:bidi="ar-SA"/>
        </w:rPr>
        <w:br w:type="page"/>
      </w:r>
    </w:p>
    <w:p>
      <w:pPr>
        <w:rPr>
          <w:rFonts w:hint="eastAsia" w:ascii="宋体" w:hAnsi="宋体" w:eastAsia="宋体" w:cs="宋体"/>
          <w:b/>
          <w:bCs/>
          <w:color w:val="auto"/>
          <w:kern w:val="2"/>
          <w:sz w:val="40"/>
          <w:szCs w:val="40"/>
          <w:highlight w:val="none"/>
          <w:lang w:val="en-US" w:eastAsia="zh-CN" w:bidi="ar-SA"/>
        </w:rPr>
      </w:pPr>
      <w:r>
        <w:rPr>
          <w:color w:val="auto"/>
        </w:rPr>
        <w:drawing>
          <wp:anchor distT="0" distB="0" distL="114300" distR="114300" simplePos="0" relativeHeight="251664384" behindDoc="0" locked="0" layoutInCell="1" allowOverlap="1">
            <wp:simplePos x="0" y="0"/>
            <wp:positionH relativeFrom="column">
              <wp:posOffset>-664210</wp:posOffset>
            </wp:positionH>
            <wp:positionV relativeFrom="paragraph">
              <wp:posOffset>-890905</wp:posOffset>
            </wp:positionV>
            <wp:extent cx="7520305" cy="10646410"/>
            <wp:effectExtent l="0" t="0" r="8255" b="635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7520305" cy="10646410"/>
                    </a:xfrm>
                    <a:prstGeom prst="rect">
                      <a:avLst/>
                    </a:prstGeom>
                    <a:noFill/>
                    <a:ln>
                      <a:noFill/>
                    </a:ln>
                  </pic:spPr>
                </pic:pic>
              </a:graphicData>
            </a:graphic>
          </wp:anchor>
        </w:drawing>
      </w:r>
      <w:r>
        <w:rPr>
          <w:rFonts w:hint="eastAsia" w:ascii="宋体" w:hAnsi="宋体" w:eastAsia="宋体" w:cs="宋体"/>
          <w:b/>
          <w:bCs/>
          <w:color w:val="auto"/>
          <w:kern w:val="2"/>
          <w:sz w:val="40"/>
          <w:szCs w:val="40"/>
          <w:highlight w:val="none"/>
          <w:lang w:val="en-US" w:eastAsia="zh-CN" w:bidi="ar-SA"/>
        </w:rPr>
        <w:br w:type="page"/>
      </w:r>
    </w:p>
    <w:p>
      <w:pPr>
        <w:spacing w:before="319" w:beforeLines="100" w:after="319" w:afterLines="100" w:line="312" w:lineRule="auto"/>
        <w:jc w:val="center"/>
        <w:outlineLvl w:val="1"/>
        <w:rPr>
          <w:rFonts w:hint="eastAsia" w:ascii="宋体" w:hAnsi="宋体" w:eastAsia="宋体" w:cs="宋体"/>
          <w:b/>
          <w:bCs/>
          <w:color w:val="auto"/>
          <w:kern w:val="2"/>
          <w:sz w:val="40"/>
          <w:szCs w:val="40"/>
          <w:highlight w:val="none"/>
          <w:lang w:val="en-US" w:eastAsia="zh-CN" w:bidi="ar-SA"/>
        </w:rPr>
      </w:pPr>
      <w:bookmarkStart w:id="89" w:name="_Toc32397"/>
      <w:r>
        <w:rPr>
          <w:rFonts w:hint="eastAsia" w:ascii="宋体" w:hAnsi="宋体" w:eastAsia="宋体" w:cs="宋体"/>
          <w:b/>
          <w:bCs/>
          <w:color w:val="auto"/>
          <w:kern w:val="2"/>
          <w:sz w:val="40"/>
          <w:szCs w:val="40"/>
          <w:highlight w:val="none"/>
          <w:lang w:val="en-US" w:eastAsia="zh-CN" w:bidi="ar-SA"/>
        </w:rPr>
        <w:t>云南省消防救援总队政府采购</w:t>
      </w:r>
      <w:bookmarkEnd w:id="89"/>
    </w:p>
    <w:p>
      <w:pPr>
        <w:spacing w:before="319" w:beforeLines="100" w:after="319" w:afterLines="100" w:line="312" w:lineRule="auto"/>
        <w:jc w:val="center"/>
        <w:outlineLvl w:val="1"/>
        <w:rPr>
          <w:rFonts w:hint="eastAsia" w:ascii="宋体" w:hAnsi="宋体" w:eastAsia="宋体" w:cs="宋体"/>
          <w:b/>
          <w:bCs/>
          <w:color w:val="auto"/>
          <w:kern w:val="2"/>
          <w:sz w:val="40"/>
          <w:szCs w:val="40"/>
          <w:highlight w:val="none"/>
          <w:lang w:val="en-US" w:eastAsia="zh-CN" w:bidi="ar-SA"/>
        </w:rPr>
      </w:pPr>
      <w:bookmarkStart w:id="90" w:name="_Toc16954"/>
      <w:r>
        <w:rPr>
          <w:rFonts w:hint="eastAsia" w:ascii="宋体" w:hAnsi="宋体" w:eastAsia="宋体" w:cs="宋体"/>
          <w:b/>
          <w:bCs/>
          <w:color w:val="auto"/>
          <w:kern w:val="2"/>
          <w:sz w:val="40"/>
          <w:szCs w:val="40"/>
          <w:highlight w:val="none"/>
          <w:lang w:val="en-US" w:eastAsia="zh-CN" w:bidi="ar-SA"/>
        </w:rPr>
        <w:t>供应商廉洁守法承诺书</w:t>
      </w:r>
      <w:bookmarkEnd w:id="90"/>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color w:val="auto"/>
          <w:sz w:val="24"/>
          <w:szCs w:val="24"/>
        </w:rPr>
      </w:pPr>
      <w:r>
        <w:rPr>
          <w:rFonts w:hint="eastAsia"/>
          <w:color w:val="auto"/>
          <w:sz w:val="24"/>
          <w:szCs w:val="24"/>
        </w:rPr>
        <w:t>为加强</w:t>
      </w:r>
      <w:r>
        <w:rPr>
          <w:rFonts w:hint="eastAsia"/>
          <w:color w:val="auto"/>
          <w:sz w:val="24"/>
          <w:szCs w:val="24"/>
          <w:lang w:eastAsia="zh-CN"/>
        </w:rPr>
        <w:t>政府采购</w:t>
      </w:r>
      <w:r>
        <w:rPr>
          <w:rFonts w:hint="eastAsia"/>
          <w:color w:val="auto"/>
          <w:sz w:val="24"/>
          <w:szCs w:val="24"/>
        </w:rPr>
        <w:t>中的廉政建设，坚决维护国家利益和社会公共利益，确保</w:t>
      </w:r>
      <w:r>
        <w:rPr>
          <w:rFonts w:hint="eastAsia"/>
          <w:color w:val="auto"/>
          <w:sz w:val="24"/>
          <w:szCs w:val="24"/>
          <w:lang w:eastAsia="zh-CN"/>
        </w:rPr>
        <w:t>采购</w:t>
      </w:r>
      <w:r>
        <w:rPr>
          <w:rFonts w:hint="eastAsia"/>
          <w:color w:val="auto"/>
          <w:sz w:val="24"/>
          <w:szCs w:val="24"/>
        </w:rPr>
        <w:t>活动的规范与廉洁，根据国家有关法律、法规和廉政建设责任制的规定，本公司作如下承诺：</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color w:val="auto"/>
          <w:sz w:val="24"/>
          <w:szCs w:val="24"/>
        </w:rPr>
      </w:pPr>
      <w:r>
        <w:rPr>
          <w:rFonts w:hint="eastAsia"/>
          <w:color w:val="auto"/>
          <w:sz w:val="24"/>
          <w:szCs w:val="24"/>
          <w:lang w:val="en-US" w:eastAsia="zh-CN"/>
        </w:rPr>
        <w:t>1.</w:t>
      </w:r>
      <w:r>
        <w:rPr>
          <w:rFonts w:hint="eastAsia"/>
          <w:color w:val="auto"/>
          <w:sz w:val="24"/>
          <w:szCs w:val="24"/>
        </w:rPr>
        <w:t>在业务往来中，严格遵守国家有关的法律法规和廉洁从业规定，坚持公平、公开、公正、诚实信用的原则，决不损害国家和</w:t>
      </w:r>
      <w:r>
        <w:rPr>
          <w:rFonts w:hint="eastAsia"/>
          <w:color w:val="auto"/>
          <w:sz w:val="24"/>
          <w:szCs w:val="24"/>
          <w:lang w:eastAsia="zh-CN"/>
        </w:rPr>
        <w:t>采购单位</w:t>
      </w:r>
      <w:r>
        <w:rPr>
          <w:rFonts w:hint="eastAsia"/>
          <w:color w:val="auto"/>
          <w:sz w:val="24"/>
          <w:szCs w:val="24"/>
        </w:rPr>
        <w:t>利益。</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color w:val="auto"/>
          <w:sz w:val="24"/>
          <w:szCs w:val="24"/>
        </w:rPr>
      </w:pPr>
      <w:r>
        <w:rPr>
          <w:rFonts w:hint="eastAsia"/>
          <w:color w:val="auto"/>
          <w:sz w:val="24"/>
          <w:szCs w:val="24"/>
          <w:lang w:val="en-US" w:eastAsia="zh-CN"/>
        </w:rPr>
        <w:t>2.</w:t>
      </w:r>
      <w:r>
        <w:rPr>
          <w:rFonts w:hint="eastAsia"/>
          <w:color w:val="auto"/>
          <w:sz w:val="24"/>
          <w:szCs w:val="24"/>
        </w:rPr>
        <w:t>本公司（含公司工作人员，下同）决不向贵</w:t>
      </w:r>
      <w:r>
        <w:rPr>
          <w:rFonts w:hint="eastAsia"/>
          <w:color w:val="auto"/>
          <w:sz w:val="24"/>
          <w:szCs w:val="24"/>
          <w:lang w:eastAsia="zh-CN"/>
        </w:rPr>
        <w:t>单位</w:t>
      </w:r>
      <w:r>
        <w:rPr>
          <w:rFonts w:hint="eastAsia"/>
          <w:color w:val="auto"/>
          <w:sz w:val="24"/>
          <w:szCs w:val="24"/>
        </w:rPr>
        <w:t>工作人员（含工作人员的配偶、子女及亲属，下同）馈赠礼品（包括但不限于现金、有价证券、支付凭证及贵重物品等）。</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color w:val="auto"/>
          <w:sz w:val="24"/>
          <w:szCs w:val="24"/>
        </w:rPr>
      </w:pPr>
      <w:r>
        <w:rPr>
          <w:rFonts w:hint="eastAsia"/>
          <w:color w:val="auto"/>
          <w:sz w:val="24"/>
          <w:szCs w:val="24"/>
          <w:lang w:val="en-US" w:eastAsia="zh-CN"/>
        </w:rPr>
        <w:t>3.</w:t>
      </w:r>
      <w:r>
        <w:rPr>
          <w:rFonts w:hint="eastAsia"/>
          <w:color w:val="auto"/>
          <w:sz w:val="24"/>
          <w:szCs w:val="24"/>
        </w:rPr>
        <w:t>本公司决不向贵</w:t>
      </w:r>
      <w:r>
        <w:rPr>
          <w:rFonts w:hint="eastAsia"/>
          <w:color w:val="auto"/>
          <w:sz w:val="24"/>
          <w:szCs w:val="24"/>
          <w:lang w:eastAsia="zh-CN"/>
        </w:rPr>
        <w:t>单位</w:t>
      </w:r>
      <w:r>
        <w:rPr>
          <w:rFonts w:hint="eastAsia"/>
          <w:color w:val="auto"/>
          <w:sz w:val="24"/>
          <w:szCs w:val="24"/>
        </w:rPr>
        <w:t>工作人员提供宴请、联谊活动、度假、旅游，以及到营业性娱乐场所（包括但不限于营业性的歌厅、舞厅、卡拉</w:t>
      </w:r>
      <w:r>
        <w:rPr>
          <w:color w:val="auto"/>
          <w:sz w:val="24"/>
          <w:szCs w:val="24"/>
        </w:rPr>
        <w:t>OK 厅、夜总会、桑拿、按摩和高尔夫球等）消费。</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color w:val="auto"/>
          <w:sz w:val="24"/>
          <w:szCs w:val="24"/>
        </w:rPr>
      </w:pPr>
      <w:r>
        <w:rPr>
          <w:rFonts w:hint="eastAsia"/>
          <w:color w:val="auto"/>
          <w:sz w:val="24"/>
          <w:szCs w:val="24"/>
          <w:lang w:val="en-US" w:eastAsia="zh-CN"/>
        </w:rPr>
        <w:t>4.</w:t>
      </w:r>
      <w:r>
        <w:rPr>
          <w:rFonts w:hint="eastAsia"/>
          <w:color w:val="auto"/>
          <w:sz w:val="24"/>
          <w:szCs w:val="24"/>
        </w:rPr>
        <w:t>本公司决不为贵</w:t>
      </w:r>
      <w:r>
        <w:rPr>
          <w:rFonts w:hint="eastAsia"/>
          <w:color w:val="auto"/>
          <w:sz w:val="24"/>
          <w:szCs w:val="24"/>
          <w:lang w:eastAsia="zh-CN"/>
        </w:rPr>
        <w:t>单位</w:t>
      </w:r>
      <w:r>
        <w:rPr>
          <w:rFonts w:hint="eastAsia"/>
          <w:color w:val="auto"/>
          <w:sz w:val="24"/>
          <w:szCs w:val="24"/>
        </w:rPr>
        <w:t>工作人员安排工作，以及支付应由其个人自付的各种费用（包括但不限于住宅装修、婚丧嫁娶、旅游、度假、食宿、购物、学费、子女出国留学等）。</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color w:val="auto"/>
          <w:sz w:val="24"/>
          <w:szCs w:val="24"/>
        </w:rPr>
      </w:pPr>
      <w:r>
        <w:rPr>
          <w:rFonts w:hint="eastAsia"/>
          <w:color w:val="auto"/>
          <w:sz w:val="24"/>
          <w:szCs w:val="24"/>
          <w:lang w:val="en-US" w:eastAsia="zh-CN"/>
        </w:rPr>
        <w:t>5.</w:t>
      </w:r>
      <w:r>
        <w:rPr>
          <w:rFonts w:hint="eastAsia"/>
          <w:color w:val="auto"/>
          <w:sz w:val="24"/>
          <w:szCs w:val="24"/>
        </w:rPr>
        <w:t>本公司发现贵</w:t>
      </w:r>
      <w:r>
        <w:rPr>
          <w:rFonts w:hint="eastAsia"/>
          <w:color w:val="auto"/>
          <w:sz w:val="24"/>
          <w:szCs w:val="24"/>
          <w:lang w:eastAsia="zh-CN"/>
        </w:rPr>
        <w:t>单位</w:t>
      </w:r>
      <w:r>
        <w:rPr>
          <w:rFonts w:hint="eastAsia"/>
          <w:color w:val="auto"/>
          <w:sz w:val="24"/>
          <w:szCs w:val="24"/>
        </w:rPr>
        <w:t>工作人员有违反本承诺书行为倾向的，应及时提醒纠正并向贵公司的监督管理部门举报。</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color w:val="auto"/>
          <w:sz w:val="24"/>
          <w:szCs w:val="24"/>
        </w:rPr>
      </w:pPr>
      <w:r>
        <w:rPr>
          <w:rFonts w:hint="eastAsia"/>
          <w:color w:val="auto"/>
          <w:sz w:val="24"/>
          <w:szCs w:val="24"/>
          <w:lang w:val="en-US" w:eastAsia="zh-CN"/>
        </w:rPr>
        <w:t>6.</w:t>
      </w:r>
      <w:r>
        <w:rPr>
          <w:rFonts w:hint="eastAsia"/>
          <w:color w:val="auto"/>
          <w:sz w:val="24"/>
          <w:szCs w:val="24"/>
        </w:rPr>
        <w:t>如发现本公司违反承诺，经贵</w:t>
      </w:r>
      <w:r>
        <w:rPr>
          <w:rFonts w:hint="eastAsia"/>
          <w:color w:val="auto"/>
          <w:sz w:val="24"/>
          <w:szCs w:val="24"/>
          <w:lang w:eastAsia="zh-CN"/>
        </w:rPr>
        <w:t>单位</w:t>
      </w:r>
      <w:r>
        <w:rPr>
          <w:rFonts w:hint="eastAsia"/>
          <w:color w:val="auto"/>
          <w:sz w:val="24"/>
          <w:szCs w:val="24"/>
        </w:rPr>
        <w:t>监督部门认定违规事实后，按照下列规定进行处罚。</w:t>
      </w:r>
    </w:p>
    <w:p>
      <w:pPr>
        <w:keepNext w:val="0"/>
        <w:keepLines w:val="0"/>
        <w:pageBreakBefore w:val="0"/>
        <w:widowControl w:val="0"/>
        <w:kinsoku/>
        <w:wordWrap/>
        <w:overflowPunct/>
        <w:topLinePunct w:val="0"/>
        <w:autoSpaceDE/>
        <w:autoSpaceDN/>
        <w:bidi w:val="0"/>
        <w:adjustRightInd/>
        <w:snapToGrid/>
        <w:spacing w:line="420" w:lineRule="exact"/>
        <w:textAlignment w:val="auto"/>
        <w:rPr>
          <w:color w:val="auto"/>
          <w:sz w:val="24"/>
          <w:szCs w:val="24"/>
        </w:rPr>
      </w:pPr>
      <w:r>
        <w:rPr>
          <w:rFonts w:hint="eastAsia"/>
          <w:color w:val="auto"/>
          <w:sz w:val="24"/>
          <w:szCs w:val="24"/>
        </w:rPr>
        <w:t>（一）本公司的行为致使贵</w:t>
      </w:r>
      <w:r>
        <w:rPr>
          <w:rFonts w:hint="eastAsia"/>
          <w:color w:val="auto"/>
          <w:sz w:val="24"/>
          <w:szCs w:val="24"/>
          <w:lang w:eastAsia="zh-CN"/>
        </w:rPr>
        <w:t>单位</w:t>
      </w:r>
      <w:r>
        <w:rPr>
          <w:rFonts w:hint="eastAsia"/>
          <w:color w:val="auto"/>
          <w:sz w:val="24"/>
          <w:szCs w:val="24"/>
        </w:rPr>
        <w:t>工作人员违规的，同意将本公司列入贵公司供应商黑名单，三年丧失贵公司供应商资格。</w:t>
      </w:r>
    </w:p>
    <w:p>
      <w:pPr>
        <w:keepNext w:val="0"/>
        <w:keepLines w:val="0"/>
        <w:pageBreakBefore w:val="0"/>
        <w:widowControl w:val="0"/>
        <w:kinsoku/>
        <w:wordWrap/>
        <w:overflowPunct/>
        <w:topLinePunct w:val="0"/>
        <w:autoSpaceDE/>
        <w:autoSpaceDN/>
        <w:bidi w:val="0"/>
        <w:adjustRightInd/>
        <w:snapToGrid/>
        <w:spacing w:line="420" w:lineRule="exact"/>
        <w:textAlignment w:val="auto"/>
        <w:rPr>
          <w:color w:val="auto"/>
          <w:sz w:val="24"/>
          <w:szCs w:val="24"/>
        </w:rPr>
      </w:pPr>
      <w:r>
        <w:rPr>
          <w:rFonts w:hint="eastAsia"/>
          <w:color w:val="auto"/>
          <w:sz w:val="24"/>
          <w:szCs w:val="24"/>
        </w:rPr>
        <w:t>（二）本公司的行为致使贵公司工作人员违法的，同意永远丧失贵公司供应商资格。</w:t>
      </w:r>
    </w:p>
    <w:p>
      <w:pPr>
        <w:keepNext w:val="0"/>
        <w:keepLines w:val="0"/>
        <w:pageBreakBefore w:val="0"/>
        <w:widowControl w:val="0"/>
        <w:kinsoku/>
        <w:wordWrap/>
        <w:overflowPunct/>
        <w:topLinePunct w:val="0"/>
        <w:autoSpaceDE/>
        <w:autoSpaceDN/>
        <w:bidi w:val="0"/>
        <w:adjustRightInd/>
        <w:snapToGrid/>
        <w:spacing w:line="420" w:lineRule="exact"/>
        <w:textAlignment w:val="auto"/>
        <w:rPr>
          <w:color w:val="auto"/>
          <w:sz w:val="24"/>
          <w:szCs w:val="24"/>
        </w:rPr>
      </w:pPr>
      <w:r>
        <w:rPr>
          <w:rFonts w:hint="eastAsia"/>
          <w:color w:val="auto"/>
          <w:sz w:val="24"/>
          <w:szCs w:val="24"/>
        </w:rPr>
        <w:t>此致</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color w:val="auto"/>
          <w:sz w:val="24"/>
          <w:szCs w:val="24"/>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color w:val="auto"/>
          <w:sz w:val="24"/>
          <w:szCs w:val="24"/>
        </w:rPr>
      </w:pPr>
      <w:r>
        <w:rPr>
          <w:rFonts w:hint="eastAsia"/>
          <w:color w:val="auto"/>
          <w:sz w:val="24"/>
          <w:szCs w:val="24"/>
        </w:rPr>
        <w:t>承诺方(加盖供应商电子公章)：</w:t>
      </w:r>
    </w:p>
    <w:p>
      <w:pPr>
        <w:pStyle w:val="30"/>
        <w:keepNext w:val="0"/>
        <w:keepLines w:val="0"/>
        <w:pageBreakBefore w:val="0"/>
        <w:widowControl w:val="0"/>
        <w:kinsoku/>
        <w:wordWrap/>
        <w:overflowPunct/>
        <w:topLinePunct w:val="0"/>
        <w:autoSpaceDE/>
        <w:autoSpaceDN/>
        <w:bidi w:val="0"/>
        <w:adjustRightInd/>
        <w:snapToGrid/>
        <w:spacing w:line="420" w:lineRule="exact"/>
        <w:textAlignment w:val="auto"/>
        <w:rPr>
          <w:color w:val="auto"/>
          <w:sz w:val="24"/>
          <w:szCs w:val="24"/>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color w:val="auto"/>
          <w:sz w:val="24"/>
          <w:szCs w:val="24"/>
        </w:rPr>
      </w:pPr>
      <w:r>
        <w:rPr>
          <w:rFonts w:hint="eastAsia"/>
          <w:color w:val="auto"/>
          <w:sz w:val="24"/>
          <w:szCs w:val="24"/>
        </w:rPr>
        <w:t>承诺方法人代表（或委托人）</w:t>
      </w:r>
      <w:r>
        <w:rPr>
          <w:rFonts w:hint="eastAsia"/>
          <w:color w:val="auto"/>
          <w:sz w:val="24"/>
          <w:szCs w:val="24"/>
          <w:lang w:val="en-US" w:eastAsia="zh-CN"/>
        </w:rPr>
        <w:t>签字</w:t>
      </w:r>
      <w:r>
        <w:rPr>
          <w:rFonts w:hint="eastAsia"/>
          <w:color w:val="auto"/>
          <w:sz w:val="24"/>
          <w:szCs w:val="24"/>
        </w:rPr>
        <w:t>：</w:t>
      </w:r>
    </w:p>
    <w:p>
      <w:pPr>
        <w:pStyle w:val="2"/>
        <w:rPr>
          <w:b w:val="0"/>
          <w:bCs/>
          <w:color w:val="auto"/>
        </w:rPr>
      </w:pPr>
      <w:bookmarkStart w:id="91" w:name="_Toc20473"/>
      <w:r>
        <w:rPr>
          <w:rFonts w:ascii="Times New Roman" w:hAnsi="Times New Roman" w:eastAsia="方正仿宋_GBK"/>
          <w:b w:val="0"/>
          <w:bCs/>
          <w:color w:val="auto"/>
          <w:kern w:val="0"/>
          <w:sz w:val="24"/>
          <w:szCs w:val="24"/>
        </w:rPr>
        <w:t>202</w:t>
      </w:r>
      <w:r>
        <w:rPr>
          <w:rFonts w:hint="eastAsia" w:ascii="Times New Roman" w:eastAsia="方正仿宋_GBK"/>
          <w:b w:val="0"/>
          <w:bCs/>
          <w:color w:val="auto"/>
          <w:kern w:val="0"/>
          <w:sz w:val="24"/>
          <w:szCs w:val="24"/>
          <w:lang w:val="en-US" w:eastAsia="zh-CN"/>
        </w:rPr>
        <w:t>4</w:t>
      </w:r>
      <w:r>
        <w:rPr>
          <w:rFonts w:hint="eastAsia"/>
          <w:b w:val="0"/>
          <w:bCs/>
          <w:color w:val="auto"/>
          <w:sz w:val="24"/>
          <w:szCs w:val="24"/>
        </w:rPr>
        <w:t>年</w:t>
      </w:r>
      <w:r>
        <w:rPr>
          <w:rFonts w:hint="eastAsia"/>
          <w:b w:val="0"/>
          <w:bCs/>
          <w:color w:val="auto"/>
          <w:sz w:val="24"/>
          <w:szCs w:val="24"/>
          <w:lang w:val="en-US" w:eastAsia="zh-CN"/>
        </w:rPr>
        <w:t xml:space="preserve">  </w:t>
      </w:r>
      <w:r>
        <w:rPr>
          <w:rFonts w:hint="eastAsia"/>
          <w:b w:val="0"/>
          <w:bCs/>
          <w:color w:val="auto"/>
          <w:sz w:val="24"/>
          <w:szCs w:val="24"/>
        </w:rPr>
        <w:t>月</w:t>
      </w:r>
      <w:r>
        <w:rPr>
          <w:rFonts w:hint="eastAsia"/>
          <w:b w:val="0"/>
          <w:bCs/>
          <w:color w:val="auto"/>
          <w:sz w:val="24"/>
          <w:szCs w:val="24"/>
          <w:lang w:val="en-US" w:eastAsia="zh-CN"/>
        </w:rPr>
        <w:t xml:space="preserve">  </w:t>
      </w:r>
      <w:r>
        <w:rPr>
          <w:rFonts w:hint="eastAsia"/>
          <w:b w:val="0"/>
          <w:bCs/>
          <w:color w:val="auto"/>
          <w:sz w:val="24"/>
          <w:szCs w:val="24"/>
        </w:rPr>
        <w:t>日</w:t>
      </w:r>
      <w:bookmarkEnd w:id="91"/>
    </w:p>
    <w:p>
      <w:pPr>
        <w:rPr>
          <w:rFonts w:hint="eastAsia"/>
          <w:color w:val="auto"/>
        </w:rPr>
      </w:pPr>
      <w:r>
        <w:rPr>
          <w:rFonts w:hint="eastAsia"/>
          <w:color w:val="auto"/>
        </w:rPr>
        <w:br w:type="page"/>
      </w:r>
    </w:p>
    <w:p>
      <w:pPr>
        <w:pStyle w:val="3"/>
        <w:spacing w:before="140" w:after="140" w:line="360" w:lineRule="auto"/>
        <w:rPr>
          <w:rStyle w:val="48"/>
          <w:rFonts w:hint="eastAsia" w:ascii="宋体" w:hAnsi="宋体" w:eastAsia="宋体" w:cs="宋体"/>
          <w:b w:val="0"/>
          <w:color w:val="auto"/>
          <w:highlight w:val="none"/>
        </w:rPr>
      </w:pPr>
      <w:bookmarkStart w:id="92" w:name="_Toc16790"/>
      <w:r>
        <w:rPr>
          <w:rStyle w:val="48"/>
          <w:rFonts w:hint="eastAsia" w:ascii="宋体" w:hAnsi="宋体" w:eastAsia="宋体" w:cs="宋体"/>
          <w:b/>
          <w:color w:val="auto"/>
          <w:szCs w:val="24"/>
          <w:highlight w:val="none"/>
          <w:lang w:val="en-US" w:eastAsia="zh-CN" w:bidi="ar-SA"/>
        </w:rPr>
        <w:t>第二章 供应商须知</w:t>
      </w:r>
      <w:bookmarkEnd w:id="9"/>
      <w:bookmarkEnd w:id="10"/>
      <w:bookmarkEnd w:id="11"/>
      <w:bookmarkEnd w:id="12"/>
      <w:bookmarkEnd w:id="13"/>
      <w:bookmarkEnd w:id="14"/>
      <w:bookmarkEnd w:id="92"/>
    </w:p>
    <w:p>
      <w:pPr>
        <w:pStyle w:val="4"/>
        <w:spacing w:line="360" w:lineRule="auto"/>
        <w:jc w:val="center"/>
        <w:rPr>
          <w:rFonts w:hint="eastAsia" w:ascii="宋体" w:hAnsi="宋体" w:eastAsia="宋体" w:cs="宋体"/>
          <w:color w:val="auto"/>
          <w:highlight w:val="none"/>
        </w:rPr>
      </w:pPr>
      <w:bookmarkStart w:id="93" w:name="_Toc27811"/>
      <w:bookmarkStart w:id="94" w:name="_Toc9827"/>
      <w:bookmarkStart w:id="95" w:name="_Toc5318"/>
      <w:bookmarkStart w:id="96" w:name="_Toc16546"/>
      <w:bookmarkStart w:id="97" w:name="_Toc783"/>
      <w:bookmarkStart w:id="98" w:name="_Toc27644"/>
      <w:bookmarkStart w:id="99" w:name="_Toc9394"/>
      <w:bookmarkStart w:id="100" w:name="_Toc12638"/>
      <w:bookmarkStart w:id="101" w:name="_Toc23541"/>
      <w:r>
        <w:rPr>
          <w:rFonts w:hint="eastAsia" w:ascii="宋体" w:hAnsi="宋体" w:eastAsia="宋体" w:cs="宋体"/>
          <w:color w:val="auto"/>
          <w:highlight w:val="none"/>
        </w:rPr>
        <w:t>一、供应商须知前附表</w:t>
      </w:r>
      <w:bookmarkEnd w:id="93"/>
      <w:bookmarkEnd w:id="94"/>
      <w:bookmarkEnd w:id="95"/>
      <w:bookmarkEnd w:id="96"/>
      <w:bookmarkEnd w:id="97"/>
      <w:bookmarkEnd w:id="98"/>
      <w:bookmarkEnd w:id="99"/>
      <w:bookmarkEnd w:id="100"/>
      <w:bookmarkEnd w:id="101"/>
    </w:p>
    <w:tbl>
      <w:tblPr>
        <w:tblStyle w:val="31"/>
        <w:tblW w:w="9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43"/>
        <w:gridCol w:w="1941"/>
        <w:gridCol w:w="6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bookmarkStart w:id="102" w:name="_Hlk491439397"/>
            <w:r>
              <w:rPr>
                <w:rFonts w:hint="eastAsia" w:ascii="宋体" w:hAnsi="宋体" w:eastAsia="宋体" w:cs="宋体"/>
                <w:color w:val="auto"/>
                <w:sz w:val="24"/>
                <w:szCs w:val="24"/>
                <w:highlight w:val="none"/>
              </w:rPr>
              <w:t>条款号</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  款  名  称</w:t>
            </w:r>
          </w:p>
        </w:tc>
        <w:tc>
          <w:tcPr>
            <w:tcW w:w="6908"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  列  内  容</w:t>
            </w:r>
          </w:p>
        </w:tc>
      </w:tr>
      <w:bookmarkEnd w:id="10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采购人信息</w:t>
            </w:r>
          </w:p>
        </w:tc>
        <w:tc>
          <w:tcPr>
            <w:tcW w:w="6908" w:type="dxa"/>
            <w:vAlign w:val="center"/>
          </w:tcPr>
          <w:p>
            <w:pPr>
              <w:spacing w:line="48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 称：</w:t>
            </w:r>
            <w:r>
              <w:rPr>
                <w:rFonts w:hint="eastAsia" w:ascii="宋体" w:hAnsi="宋体" w:cs="宋体"/>
                <w:color w:val="auto"/>
                <w:sz w:val="24"/>
                <w:szCs w:val="24"/>
                <w:highlight w:val="none"/>
                <w:lang w:eastAsia="zh-CN"/>
              </w:rPr>
              <w:t>曲靖市消防救援支队</w:t>
            </w:r>
          </w:p>
          <w:p>
            <w:pPr>
              <w:spacing w:line="48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 址：</w:t>
            </w:r>
            <w:r>
              <w:rPr>
                <w:rFonts w:hint="eastAsia" w:ascii="宋体" w:hAnsi="宋体" w:cs="宋体"/>
                <w:color w:val="auto"/>
                <w:sz w:val="24"/>
                <w:szCs w:val="24"/>
                <w:highlight w:val="none"/>
                <w:lang w:eastAsia="zh-CN"/>
              </w:rPr>
              <w:t>云南省曲靖市麒麟区紫云路118号</w:t>
            </w:r>
          </w:p>
          <w:p>
            <w:pPr>
              <w:spacing w:line="48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联系人方式：潘师 0874-3103521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采购代理机构信息</w:t>
            </w:r>
          </w:p>
        </w:tc>
        <w:tc>
          <w:tcPr>
            <w:tcW w:w="6908" w:type="dxa"/>
            <w:vAlign w:val="center"/>
          </w:tcPr>
          <w:p>
            <w:pPr>
              <w:spacing w:line="48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云南福诚招标有限公司</w:t>
            </w:r>
          </w:p>
          <w:p>
            <w:pPr>
              <w:spacing w:line="48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云南省曲靖市麒麟区珠江源大道科创路245号</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联系方式：13577352712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exac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曲靖市消防救援支队2024年度支队集中采购器材装备项目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exac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出资比例</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exac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资金落实情况</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采购内容</w:t>
            </w:r>
          </w:p>
        </w:tc>
        <w:tc>
          <w:tcPr>
            <w:tcW w:w="6908" w:type="dxa"/>
            <w:vAlign w:val="center"/>
          </w:tcPr>
          <w:p>
            <w:pPr>
              <w:keepLines w:val="0"/>
              <w:pageBreakBefore w:val="0"/>
              <w:kinsoku/>
              <w:wordWrap/>
              <w:overflowPunct/>
              <w:topLinePunct w:val="0"/>
              <w:bidi w:val="0"/>
              <w:snapToGrid/>
              <w:spacing w:line="360" w:lineRule="auto"/>
              <w:ind w:firstLine="480" w:firstLineChars="200"/>
              <w:rPr>
                <w:rFonts w:hint="eastAsia" w:ascii="宋体" w:hAnsi="宋体" w:cs="宋体"/>
                <w:color w:val="auto"/>
                <w:sz w:val="24"/>
                <w:szCs w:val="24"/>
                <w:highlight w:val="none"/>
                <w:u w:val="none"/>
                <w:lang w:eastAsia="zh-CN"/>
              </w:rPr>
            </w:pPr>
            <w:r>
              <w:rPr>
                <w:rFonts w:hint="eastAsia" w:ascii="宋体" w:hAnsi="宋体" w:cs="宋体"/>
                <w:color w:val="auto"/>
                <w:sz w:val="24"/>
                <w:szCs w:val="24"/>
                <w:highlight w:val="none"/>
                <w:u w:val="none"/>
                <w:lang w:val="en-US" w:eastAsia="zh-CN"/>
              </w:rPr>
              <w:t>1标包采购需求：</w:t>
            </w:r>
            <w:r>
              <w:rPr>
                <w:rFonts w:hint="eastAsia" w:ascii="宋体" w:hAnsi="宋体" w:eastAsia="宋体" w:cs="宋体"/>
                <w:color w:val="auto"/>
                <w:sz w:val="24"/>
                <w:szCs w:val="24"/>
                <w:highlight w:val="none"/>
                <w:u w:val="none"/>
              </w:rPr>
              <w:t>曲靖市消防救援支队2024年度</w:t>
            </w:r>
            <w:r>
              <w:rPr>
                <w:rFonts w:hint="eastAsia" w:ascii="宋体" w:hAnsi="宋体" w:cs="宋体"/>
                <w:color w:val="auto"/>
                <w:sz w:val="24"/>
                <w:szCs w:val="24"/>
                <w:highlight w:val="none"/>
                <w:u w:val="none"/>
                <w:lang w:eastAsia="zh-CN"/>
              </w:rPr>
              <w:t>特种防护装备、救生器材、侦检器材等采购，具体采购内容详见“第</w:t>
            </w:r>
            <w:r>
              <w:rPr>
                <w:rFonts w:hint="eastAsia" w:ascii="宋体" w:hAnsi="宋体" w:cs="宋体"/>
                <w:color w:val="auto"/>
                <w:sz w:val="24"/>
                <w:szCs w:val="24"/>
                <w:highlight w:val="none"/>
                <w:u w:val="none"/>
                <w:lang w:val="en-US" w:eastAsia="zh-CN"/>
              </w:rPr>
              <w:t>六</w:t>
            </w:r>
            <w:r>
              <w:rPr>
                <w:rFonts w:hint="eastAsia" w:ascii="宋体" w:hAnsi="宋体" w:cs="宋体"/>
                <w:color w:val="auto"/>
                <w:sz w:val="24"/>
                <w:szCs w:val="24"/>
                <w:highlight w:val="none"/>
                <w:u w:val="none"/>
                <w:lang w:eastAsia="zh-CN"/>
              </w:rPr>
              <w:t>章</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eastAsia="zh-CN"/>
              </w:rPr>
              <w:t>采购需求</w:t>
            </w:r>
            <w:r>
              <w:rPr>
                <w:rFonts w:hint="eastAsia" w:ascii="宋体" w:hAnsi="宋体" w:cs="宋体"/>
                <w:color w:val="auto"/>
                <w:sz w:val="24"/>
                <w:szCs w:val="24"/>
                <w:highlight w:val="none"/>
                <w:u w:val="none"/>
                <w:lang w:val="en-US" w:eastAsia="zh-CN"/>
              </w:rPr>
              <w:t>1标包</w:t>
            </w:r>
            <w:r>
              <w:rPr>
                <w:rFonts w:hint="eastAsia" w:ascii="宋体" w:hAnsi="宋体" w:cs="宋体"/>
                <w:color w:val="auto"/>
                <w:sz w:val="24"/>
                <w:szCs w:val="24"/>
                <w:highlight w:val="none"/>
                <w:u w:val="none"/>
                <w:lang w:eastAsia="zh-CN"/>
              </w:rPr>
              <w:t>项目明细表”。</w:t>
            </w:r>
          </w:p>
          <w:p>
            <w:pPr>
              <w:keepLines w:val="0"/>
              <w:pageBreakBefore w:val="0"/>
              <w:kinsoku/>
              <w:wordWrap/>
              <w:overflowPunct/>
              <w:topLinePunct w:val="0"/>
              <w:bidi w:val="0"/>
              <w:snapToGrid/>
              <w:spacing w:line="360" w:lineRule="auto"/>
              <w:ind w:firstLine="480" w:firstLineChars="200"/>
              <w:rPr>
                <w:rFonts w:hint="eastAsia" w:ascii="宋体" w:hAnsi="宋体" w:cs="宋体"/>
                <w:color w:val="auto"/>
                <w:sz w:val="24"/>
                <w:szCs w:val="24"/>
                <w:highlight w:val="none"/>
                <w:u w:val="none"/>
                <w:lang w:eastAsia="zh-CN"/>
              </w:rPr>
            </w:pPr>
            <w:r>
              <w:rPr>
                <w:rFonts w:hint="eastAsia" w:ascii="宋体" w:hAnsi="宋体" w:cs="宋体"/>
                <w:color w:val="auto"/>
                <w:sz w:val="24"/>
                <w:szCs w:val="24"/>
                <w:highlight w:val="none"/>
                <w:u w:val="none"/>
                <w:lang w:val="en-US" w:eastAsia="zh-CN"/>
              </w:rPr>
              <w:t>2标包采购需求：</w:t>
            </w:r>
            <w:r>
              <w:rPr>
                <w:rFonts w:hint="eastAsia" w:ascii="宋体" w:hAnsi="宋体" w:eastAsia="宋体" w:cs="宋体"/>
                <w:color w:val="auto"/>
                <w:sz w:val="24"/>
                <w:szCs w:val="24"/>
                <w:highlight w:val="none"/>
                <w:u w:val="none"/>
              </w:rPr>
              <w:t>曲靖市消防救援支队2024年度</w:t>
            </w:r>
            <w:r>
              <w:rPr>
                <w:rFonts w:hint="eastAsia" w:ascii="宋体" w:hAnsi="宋体" w:cs="宋体"/>
                <w:color w:val="auto"/>
                <w:sz w:val="24"/>
                <w:szCs w:val="24"/>
                <w:highlight w:val="none"/>
                <w:u w:val="none"/>
                <w:lang w:eastAsia="zh-CN"/>
              </w:rPr>
              <w:t>灭火药剂采购，具体采购内容详见“第</w:t>
            </w:r>
            <w:r>
              <w:rPr>
                <w:rFonts w:hint="eastAsia" w:ascii="宋体" w:hAnsi="宋体" w:cs="宋体"/>
                <w:color w:val="auto"/>
                <w:sz w:val="24"/>
                <w:szCs w:val="24"/>
                <w:highlight w:val="none"/>
                <w:u w:val="none"/>
                <w:lang w:val="en-US" w:eastAsia="zh-CN"/>
              </w:rPr>
              <w:t>六</w:t>
            </w:r>
            <w:r>
              <w:rPr>
                <w:rFonts w:hint="eastAsia" w:ascii="宋体" w:hAnsi="宋体" w:cs="宋体"/>
                <w:color w:val="auto"/>
                <w:sz w:val="24"/>
                <w:szCs w:val="24"/>
                <w:highlight w:val="none"/>
                <w:u w:val="none"/>
                <w:lang w:eastAsia="zh-CN"/>
              </w:rPr>
              <w:t>章</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eastAsia="zh-CN"/>
              </w:rPr>
              <w:t>采购需求</w:t>
            </w:r>
            <w:r>
              <w:rPr>
                <w:rFonts w:hint="eastAsia" w:ascii="宋体" w:hAnsi="宋体" w:cs="宋体"/>
                <w:color w:val="auto"/>
                <w:sz w:val="24"/>
                <w:szCs w:val="24"/>
                <w:highlight w:val="none"/>
                <w:u w:val="none"/>
                <w:lang w:val="en-US" w:eastAsia="zh-CN"/>
              </w:rPr>
              <w:t>2标包</w:t>
            </w:r>
            <w:r>
              <w:rPr>
                <w:rFonts w:hint="eastAsia" w:ascii="宋体" w:hAnsi="宋体" w:cs="宋体"/>
                <w:color w:val="auto"/>
                <w:sz w:val="24"/>
                <w:szCs w:val="24"/>
                <w:highlight w:val="none"/>
                <w:u w:val="none"/>
                <w:lang w:eastAsia="zh-CN"/>
              </w:rPr>
              <w:t>项目明细表”。</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none"/>
                <w:lang w:val="en-US" w:eastAsia="zh-CN"/>
              </w:rPr>
              <w:t>3标包采购需求：</w:t>
            </w:r>
            <w:r>
              <w:rPr>
                <w:rFonts w:hint="eastAsia" w:ascii="宋体" w:hAnsi="宋体" w:cs="宋体"/>
                <w:color w:val="auto"/>
                <w:sz w:val="24"/>
                <w:szCs w:val="24"/>
                <w:highlight w:val="none"/>
                <w:u w:val="none"/>
                <w:lang w:eastAsia="zh-CN"/>
              </w:rPr>
              <w:t>曲靖市消防救援支队2024年度破拆器材、堵漏器材、输转器材、洗消器材、照明排烟器材、其他器材、自选器材等采购，具体采购内容详见“第</w:t>
            </w:r>
            <w:r>
              <w:rPr>
                <w:rFonts w:hint="eastAsia" w:ascii="宋体" w:hAnsi="宋体" w:cs="宋体"/>
                <w:color w:val="auto"/>
                <w:sz w:val="24"/>
                <w:szCs w:val="24"/>
                <w:highlight w:val="none"/>
                <w:u w:val="none"/>
                <w:lang w:val="en-US" w:eastAsia="zh-CN"/>
              </w:rPr>
              <w:t>六</w:t>
            </w:r>
            <w:r>
              <w:rPr>
                <w:rFonts w:hint="eastAsia" w:ascii="宋体" w:hAnsi="宋体" w:cs="宋体"/>
                <w:color w:val="auto"/>
                <w:sz w:val="24"/>
                <w:szCs w:val="24"/>
                <w:highlight w:val="none"/>
                <w:u w:val="none"/>
                <w:lang w:eastAsia="zh-CN"/>
              </w:rPr>
              <w:t>章</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eastAsia="zh-CN"/>
              </w:rPr>
              <w:t>采购需求</w:t>
            </w:r>
            <w:r>
              <w:rPr>
                <w:rFonts w:hint="eastAsia" w:ascii="宋体" w:hAnsi="宋体" w:cs="宋体"/>
                <w:color w:val="auto"/>
                <w:sz w:val="24"/>
                <w:szCs w:val="24"/>
                <w:highlight w:val="none"/>
                <w:u w:val="none"/>
                <w:lang w:val="en-US" w:eastAsia="zh-CN"/>
              </w:rPr>
              <w:t>3标包</w:t>
            </w:r>
            <w:r>
              <w:rPr>
                <w:rFonts w:hint="eastAsia" w:ascii="宋体" w:hAnsi="宋体" w:cs="宋体"/>
                <w:color w:val="auto"/>
                <w:sz w:val="24"/>
                <w:szCs w:val="24"/>
                <w:highlight w:val="none"/>
                <w:u w:val="none"/>
                <w:lang w:eastAsia="zh-CN"/>
              </w:rPr>
              <w:t>项目明细表”。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w:t>
            </w:r>
          </w:p>
        </w:tc>
        <w:tc>
          <w:tcPr>
            <w:tcW w:w="1941" w:type="dxa"/>
            <w:vAlign w:val="center"/>
          </w:tcPr>
          <w:p>
            <w:pPr>
              <w:spacing w:line="48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合同履行期限</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合同履行期限：合同签订后</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rPr>
              <w:t>天内完成供货以及与之配套的辅助工作，交付采购人使用。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w:t>
            </w:r>
          </w:p>
        </w:tc>
        <w:tc>
          <w:tcPr>
            <w:tcW w:w="1941" w:type="dxa"/>
            <w:vAlign w:val="center"/>
          </w:tcPr>
          <w:p>
            <w:pPr>
              <w:spacing w:line="48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地点</w:t>
            </w:r>
          </w:p>
        </w:tc>
        <w:tc>
          <w:tcPr>
            <w:tcW w:w="6908" w:type="dxa"/>
            <w:vAlign w:val="center"/>
          </w:tcPr>
          <w:p>
            <w:pPr>
              <w:spacing w:line="48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lang w:val="en-US" w:eastAsia="zh-CN"/>
              </w:rPr>
              <w:t>4</w:t>
            </w:r>
          </w:p>
        </w:tc>
        <w:tc>
          <w:tcPr>
            <w:tcW w:w="1941" w:type="dxa"/>
            <w:vAlign w:val="center"/>
          </w:tcPr>
          <w:p>
            <w:pPr>
              <w:spacing w:line="48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质量要求</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符合国家行业相关标准和合同约定的相关要求，满足招标文件及采购人技术</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1" w:hRule="atLeast"/>
          <w:jc w:val="center"/>
        </w:trPr>
        <w:tc>
          <w:tcPr>
            <w:tcW w:w="1036"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1.4.1（1）</w:t>
            </w:r>
          </w:p>
        </w:tc>
        <w:tc>
          <w:tcPr>
            <w:tcW w:w="1941"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供应商资格条件</w:t>
            </w:r>
          </w:p>
        </w:tc>
        <w:tc>
          <w:tcPr>
            <w:tcW w:w="6908" w:type="dxa"/>
            <w:tcBorders>
              <w:top w:val="single" w:color="auto" w:sz="4" w:space="0"/>
              <w:left w:val="single" w:color="auto" w:sz="4" w:space="0"/>
              <w:bottom w:val="single" w:color="auto" w:sz="4" w:space="0"/>
              <w:right w:val="single" w:color="auto" w:sz="4" w:space="0"/>
            </w:tcBorders>
            <w:vAlign w:val="center"/>
          </w:tcPr>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1.满足《中华人民共和国政府采购法》第二十二条规定；</w:t>
            </w:r>
          </w:p>
          <w:p>
            <w:pPr>
              <w:widowControl w:val="0"/>
              <w:spacing w:line="360" w:lineRule="auto"/>
              <w:ind w:firstLine="720" w:firstLineChars="3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1.1具有独立承担民事责任的能力；</w:t>
            </w:r>
          </w:p>
          <w:p>
            <w:pPr>
              <w:widowControl w:val="0"/>
              <w:spacing w:line="360" w:lineRule="auto"/>
              <w:ind w:firstLine="720" w:firstLineChars="3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1.2具有良好的商业信誉和健全的财务会计制度；</w:t>
            </w:r>
          </w:p>
          <w:p>
            <w:pPr>
              <w:spacing w:line="360" w:lineRule="auto"/>
              <w:ind w:firstLine="720" w:firstLineChars="3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1.3具有履行合同所必需的设备和专业技术能力；</w:t>
            </w:r>
          </w:p>
          <w:p>
            <w:pPr>
              <w:spacing w:line="360" w:lineRule="auto"/>
              <w:ind w:firstLine="720" w:firstLineChars="300"/>
              <w:jc w:val="both"/>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1.4有依法缴纳税收和社会保障资金的良好记录；</w:t>
            </w:r>
          </w:p>
          <w:p>
            <w:pPr>
              <w:spacing w:line="360" w:lineRule="auto"/>
              <w:ind w:firstLine="720" w:firstLineChars="30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1.5参加政府采购活动前三年内，在经营活动中没有重大违法记录；</w:t>
            </w:r>
          </w:p>
          <w:p>
            <w:pPr>
              <w:pStyle w:val="46"/>
              <w:ind w:firstLine="708" w:firstLineChars="295"/>
              <w:rPr>
                <w:rFonts w:hint="eastAsia"/>
                <w:color w:val="auto"/>
              </w:rPr>
            </w:pPr>
            <w:r>
              <w:rPr>
                <w:rFonts w:hint="eastAsia" w:ascii="宋体" w:hAnsi="宋体" w:cs="宋体"/>
                <w:color w:val="auto"/>
                <w:sz w:val="24"/>
                <w:szCs w:val="24"/>
                <w:highlight w:val="none"/>
              </w:rPr>
              <w:t>1.6法律、行政法规规定的其他条件</w:t>
            </w:r>
            <w:r>
              <w:rPr>
                <w:rFonts w:hint="eastAsia" w:ascii="宋体" w:hAnsi="宋体" w:cs="宋体"/>
                <w:color w:val="auto"/>
                <w:sz w:val="24"/>
                <w:highlight w:val="none"/>
              </w:rPr>
              <w:t>。</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2.落实政府采购政策需满足的资格要求：</w:t>
            </w:r>
          </w:p>
          <w:p>
            <w:pPr>
              <w:keepLines w:val="0"/>
              <w:pageBreakBefore w:val="0"/>
              <w:kinsoku/>
              <w:wordWrap/>
              <w:overflowPunct/>
              <w:topLinePunct w:val="0"/>
              <w:bidi w:val="0"/>
              <w:snapToGrid/>
              <w:spacing w:line="360" w:lineRule="auto"/>
              <w:ind w:firstLine="720" w:firstLineChars="300"/>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2.1</w:t>
            </w:r>
            <w:r>
              <w:rPr>
                <w:rFonts w:hint="eastAsia" w:ascii="宋体" w:hAnsi="宋体" w:eastAsia="宋体" w:cs="宋体"/>
                <w:color w:val="auto"/>
                <w:sz w:val="24"/>
                <w:szCs w:val="24"/>
                <w:u w:val="none"/>
                <w:lang w:eastAsia="zh-CN"/>
              </w:rPr>
              <w:t>根据《政府采购促进中小企业发展管理办法》（财库〔2020〕46号）和《关于进一步加大政府采购支持中小企业力度的通知》财库〔2022〕19号的规定，对小型和微型企业产品的价格给予</w:t>
            </w:r>
            <w:r>
              <w:rPr>
                <w:rFonts w:hint="eastAsia" w:ascii="宋体" w:hAnsi="宋体" w:eastAsia="宋体" w:cs="宋体"/>
                <w:color w:val="auto"/>
                <w:sz w:val="24"/>
                <w:szCs w:val="24"/>
                <w:u w:val="none"/>
                <w:lang w:val="en-US" w:eastAsia="zh-CN"/>
              </w:rPr>
              <w:t>10</w:t>
            </w:r>
            <w:r>
              <w:rPr>
                <w:rFonts w:hint="eastAsia" w:ascii="宋体" w:hAnsi="宋体" w:eastAsia="宋体" w:cs="宋体"/>
                <w:color w:val="auto"/>
                <w:sz w:val="24"/>
                <w:szCs w:val="24"/>
                <w:u w:val="none"/>
                <w:lang w:eastAsia="zh-CN"/>
              </w:rPr>
              <w:t>%的扣除；监狱企业、残疾人福利性单位视同小型、 微型企业享受价格扣除优惠政策</w:t>
            </w:r>
            <w:r>
              <w:rPr>
                <w:rFonts w:hint="eastAsia" w:ascii="宋体" w:hAnsi="宋体" w:eastAsia="宋体" w:cs="宋体"/>
                <w:color w:val="auto"/>
                <w:sz w:val="24"/>
                <w:szCs w:val="24"/>
                <w:u w:val="none"/>
              </w:rPr>
              <w:t>。</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注：在货物采购项目中，供应商提供的货物既有中小企业制造货物，也有大型企业制造货物的，不享受本办法规定的中小企业扶持政策</w:t>
            </w:r>
            <w:r>
              <w:rPr>
                <w:rFonts w:hint="eastAsia" w:ascii="宋体" w:hAnsi="宋体" w:eastAsia="宋体" w:cs="宋体"/>
                <w:color w:val="auto"/>
                <w:sz w:val="24"/>
                <w:szCs w:val="24"/>
                <w:u w:val="none"/>
              </w:rPr>
              <w:t>。</w:t>
            </w:r>
          </w:p>
          <w:p>
            <w:pPr>
              <w:keepLines w:val="0"/>
              <w:pageBreakBefore w:val="0"/>
              <w:kinsoku/>
              <w:wordWrap/>
              <w:overflowPunct/>
              <w:topLinePunct w:val="0"/>
              <w:bidi w:val="0"/>
              <w:snapToGrid/>
              <w:spacing w:line="360" w:lineRule="auto"/>
              <w:ind w:firstLine="720" w:firstLineChars="300"/>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2.2</w:t>
            </w:r>
            <w:r>
              <w:rPr>
                <w:rFonts w:hint="eastAsia" w:ascii="宋体" w:hAnsi="宋体" w:eastAsia="宋体" w:cs="宋体"/>
                <w:color w:val="auto"/>
                <w:sz w:val="24"/>
                <w:szCs w:val="24"/>
                <w:u w:val="none"/>
                <w:lang w:eastAsia="zh-CN"/>
              </w:rPr>
              <w:t>政府采购属于节能（环保标志）清单中产品时，在技术、服务等指标同等条件下，应当优先采购节能（环保标志）清单所列的节能（环保标志）产品。</w:t>
            </w:r>
          </w:p>
          <w:p>
            <w:pPr>
              <w:keepLines w:val="0"/>
              <w:pageBreakBefore w:val="0"/>
              <w:kinsoku/>
              <w:wordWrap/>
              <w:overflowPunct/>
              <w:topLinePunct w:val="0"/>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u w:val="none"/>
              </w:rPr>
              <w:t>3.本项目的特定资格要求：</w:t>
            </w:r>
            <w:r>
              <w:rPr>
                <w:rFonts w:hint="eastAsia" w:ascii="宋体" w:hAnsi="宋体" w:eastAsia="宋体" w:cs="宋体"/>
                <w:color w:val="auto"/>
                <w:sz w:val="24"/>
                <w:szCs w:val="24"/>
                <w:u w:val="none"/>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036"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1.4.1（2）</w:t>
            </w:r>
          </w:p>
        </w:tc>
        <w:tc>
          <w:tcPr>
            <w:tcW w:w="1941"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资格审查方式</w:t>
            </w:r>
          </w:p>
        </w:tc>
        <w:tc>
          <w:tcPr>
            <w:tcW w:w="6908" w:type="dxa"/>
            <w:tcBorders>
              <w:top w:val="single" w:color="auto" w:sz="4" w:space="0"/>
              <w:left w:val="single" w:color="auto" w:sz="4" w:space="0"/>
              <w:bottom w:val="single" w:color="auto" w:sz="4" w:space="0"/>
              <w:right w:val="single" w:color="auto" w:sz="4" w:space="0"/>
            </w:tcBorders>
            <w:vAlign w:val="center"/>
          </w:tcPr>
          <w:p>
            <w:pP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资格后审，按《政府采购货物和服务招标投标管理办法（财政部令第87号）》第四十四条“公开招标采购项目开标结束后，采购人或者采购代理机构应当依法对供应商的资格进行审查”，</w:t>
            </w:r>
            <w:r>
              <w:rPr>
                <w:rFonts w:hint="eastAsia" w:ascii="宋体" w:hAnsi="宋体" w:eastAsia="宋体" w:cs="宋体"/>
                <w:b/>
                <w:color w:val="auto"/>
                <w:sz w:val="24"/>
                <w:szCs w:val="24"/>
                <w:highlight w:val="none"/>
                <w:lang w:eastAsia="zh-CN"/>
              </w:rPr>
              <w:t>本项目开标结束后由采购代理机构依法对供应商的资格进行审查</w:t>
            </w:r>
            <w:r>
              <w:rPr>
                <w:rFonts w:hint="eastAsia" w:ascii="宋体" w:hAnsi="宋体" w:eastAsia="宋体" w:cs="宋体"/>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是否接受联合体投标</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■不接受</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踏勘现场</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组织，……。</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■不组织，供应商自行踏勘，除采购人另行通知，供应商自行按采购文件规定的地点踏勘。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投标预备会</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1.10.2</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供应商提出问题的截止时间</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（1）供应商已</w:t>
            </w:r>
            <w:r>
              <w:rPr>
                <w:rFonts w:hint="eastAsia" w:ascii="宋体" w:hAnsi="宋体" w:eastAsia="宋体" w:cs="宋体"/>
                <w:color w:val="auto"/>
                <w:sz w:val="24"/>
                <w:szCs w:val="24"/>
                <w:highlight w:val="none"/>
                <w:lang w:val="en-US" w:eastAsia="zh-CN"/>
              </w:rPr>
              <w:t>依法获取采购文件的，可对可质疑的采购文件提出质疑</w:t>
            </w:r>
            <w:r>
              <w:rPr>
                <w:rFonts w:hint="eastAsia" w:ascii="宋体" w:hAnsi="宋体" w:eastAsia="宋体" w:cs="宋体"/>
                <w:color w:val="auto"/>
                <w:sz w:val="24"/>
                <w:szCs w:val="24"/>
                <w:highlight w:val="none"/>
              </w:rPr>
              <w:t>。对采购文件提出质疑的，可以在知道或者应知其权益受到损害之日起7个工作日内提出。</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（2）供应商认为采购过程、中标或者成交结果使自己的权益受到损害的，可以在知道或者应知其权益受到损害之日起（中标公告期限届满之日起）7个工作日内，以书面形式向采购人、采购代理机构提出质疑。</w:t>
            </w:r>
          </w:p>
          <w:p>
            <w:pPr>
              <w:spacing w:line="48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（3）供应商应在法定质疑期内一次性提出针对同一采购程序环节的质疑。</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（4）提出质疑的供应商应当是参与本项目采购活动的供应商。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1.10.3</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招标人书面澄清的时间</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投标截止时间至少15日前。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  包</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 xml:space="preserve"> 07 </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 xml:space="preserve"> 08 </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时</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供应商确认收到采购文件澄清的时间</w:t>
            </w:r>
          </w:p>
        </w:tc>
        <w:tc>
          <w:tcPr>
            <w:tcW w:w="6908" w:type="dxa"/>
            <w:vAlign w:val="center"/>
          </w:tcPr>
          <w:p>
            <w:pPr>
              <w:keepNext w:val="0"/>
              <w:keepLines w:val="0"/>
              <w:pageBreakBefore w:val="0"/>
              <w:widowControl w:val="0"/>
              <w:kinsoku/>
              <w:wordWrap w:val="0"/>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登录（</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"http://www.yngp.com）、云南省公共资源交易信息平台（www.ynggzyxx.gov.cn）和曲靖市公共资源交易电子服务系统（jyxt.qjggzyxx.gov.cn）上发布"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云南省公共资源交易信息网（网址：http://ggzy.yn.gov.cn/#/homePage）选择“曲靖市”进入公共资源交易平台及时查看，不需要另行回复确认。</w:t>
            </w:r>
            <w:r>
              <w:rPr>
                <w:rFonts w:hint="eastAsia" w:ascii="宋体" w:hAnsi="宋体" w:eastAsia="宋体" w:cs="宋体"/>
                <w:color w:val="auto"/>
                <w:sz w:val="24"/>
                <w:szCs w:val="24"/>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供应商确认收到采购文件修改的时间</w:t>
            </w:r>
          </w:p>
        </w:tc>
        <w:tc>
          <w:tcPr>
            <w:tcW w:w="6908" w:type="dxa"/>
            <w:vAlign w:val="center"/>
          </w:tcPr>
          <w:p>
            <w:pPr>
              <w:keepNext w:val="0"/>
              <w:keepLines w:val="0"/>
              <w:pageBreakBefore w:val="0"/>
              <w:widowControl w:val="0"/>
              <w:kinsoku/>
              <w:wordWrap w:val="0"/>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登录（</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"http://www.yngp.com）、云南省公共资源交易信息平台（www.ynggzyxx.gov.cn）和曲靖市公共资源交易电子服务系统（jyxt.qjggzyxx.gov.cn）上发布"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云南省公共资源交易信息网（网址：http://ggzy.yn.gov.cn/#/homePage）选择“曲靖市”进入公共资源交易平台及时查看，不需要另行回复确认。</w:t>
            </w:r>
            <w:r>
              <w:rPr>
                <w:rFonts w:hint="eastAsia" w:ascii="宋体" w:hAnsi="宋体" w:eastAsia="宋体" w:cs="宋体"/>
                <w:color w:val="auto"/>
                <w:sz w:val="24"/>
                <w:szCs w:val="24"/>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构成投标文件的其他材料</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投标截止时间前供应商按规定递交的书面修改、补充文件；按评标委员会要求递交的合格的书面澄清、补正文件；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w:t>
            </w:r>
          </w:p>
        </w:tc>
        <w:tc>
          <w:tcPr>
            <w:tcW w:w="6908" w:type="dxa"/>
            <w:vAlign w:val="center"/>
          </w:tcPr>
          <w:p>
            <w:pPr>
              <w:numPr>
                <w:ilvl w:val="0"/>
                <w:numId w:val="0"/>
              </w:numPr>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根据云发改交易管理（2023）397号文“云南省发展和改革委员会等部门关于鼓励减免政府投资项目投标保证金的通知”</w:t>
            </w:r>
            <w:r>
              <w:rPr>
                <w:rFonts w:hint="eastAsia" w:ascii="宋体" w:hAnsi="宋体" w:eastAsia="宋体" w:cs="宋体"/>
                <w:color w:val="auto"/>
                <w:sz w:val="24"/>
                <w:szCs w:val="24"/>
                <w:highlight w:val="none"/>
                <w:lang w:val="en-US" w:eastAsia="zh-CN"/>
              </w:rPr>
              <w:t>及《曲靖市财政局关于明确政府采购保证金管理工作的通知》</w:t>
            </w:r>
            <w:r>
              <w:rPr>
                <w:rFonts w:hint="eastAsia" w:ascii="宋体" w:hAnsi="宋体" w:eastAsia="宋体" w:cs="宋体"/>
                <w:color w:val="auto"/>
                <w:sz w:val="24"/>
                <w:szCs w:val="24"/>
                <w:highlight w:val="none"/>
              </w:rPr>
              <w:t>，本次招标</w:t>
            </w:r>
            <w:r>
              <w:rPr>
                <w:rFonts w:hint="eastAsia" w:ascii="宋体" w:hAnsi="宋体" w:eastAsia="宋体" w:cs="宋体"/>
                <w:color w:val="auto"/>
                <w:sz w:val="24"/>
                <w:szCs w:val="24"/>
                <w:highlight w:val="none"/>
                <w:lang w:val="en-US" w:eastAsia="zh-CN"/>
              </w:rPr>
              <w:t>不收取</w:t>
            </w:r>
            <w:r>
              <w:rPr>
                <w:rFonts w:hint="eastAsia" w:ascii="宋体" w:hAnsi="宋体" w:eastAsia="宋体" w:cs="宋体"/>
                <w:color w:val="auto"/>
                <w:sz w:val="24"/>
                <w:szCs w:val="24"/>
                <w:highlight w:val="none"/>
              </w:rPr>
              <w:t>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是否允许递交备选投标方案</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p>
            <w:pPr>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3.7.3</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签字和（或）盖章要求</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按照投标文件格式，采用企业、法定代表人</w:t>
            </w:r>
            <w:r>
              <w:rPr>
                <w:rFonts w:hint="eastAsia" w:ascii="宋体" w:hAnsi="宋体" w:eastAsia="宋体" w:cs="宋体"/>
                <w:color w:val="auto"/>
                <w:sz w:val="24"/>
                <w:szCs w:val="24"/>
                <w:highlight w:val="none"/>
                <w:lang w:eastAsia="zh-CN"/>
              </w:rPr>
              <w:t>电子签章签名</w:t>
            </w:r>
            <w:r>
              <w:rPr>
                <w:rFonts w:hint="eastAsia" w:ascii="宋体" w:hAnsi="宋体" w:eastAsia="宋体" w:cs="宋体"/>
                <w:color w:val="auto"/>
                <w:sz w:val="24"/>
                <w:szCs w:val="24"/>
                <w:highlight w:val="none"/>
              </w:rPr>
              <w:t>。</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注：在需要电子签章的地方进行电子签章，无需逐页电子签章。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036" w:type="dxa"/>
            <w:gridSpan w:val="2"/>
            <w:vMerge w:val="restart"/>
            <w:vAlign w:val="center"/>
          </w:tcPr>
          <w:p>
            <w:pPr>
              <w:spacing w:line="48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4.1</w:t>
            </w:r>
          </w:p>
        </w:tc>
        <w:tc>
          <w:tcPr>
            <w:tcW w:w="1941" w:type="dxa"/>
            <w:vMerge w:val="restart"/>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电子</w:t>
            </w:r>
            <w:r>
              <w:rPr>
                <w:rFonts w:hint="eastAsia" w:ascii="宋体" w:hAnsi="宋体" w:eastAsia="宋体" w:cs="宋体"/>
                <w:color w:val="auto"/>
                <w:sz w:val="24"/>
                <w:szCs w:val="24"/>
                <w:highlight w:val="none"/>
              </w:rPr>
              <w:t>投标文件的递交</w:t>
            </w:r>
          </w:p>
        </w:tc>
        <w:tc>
          <w:tcPr>
            <w:tcW w:w="6908" w:type="dxa"/>
            <w:vAlign w:val="center"/>
          </w:tcPr>
          <w:p>
            <w:pPr>
              <w:spacing w:line="48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电子投标文件递交网站：</w:t>
            </w:r>
            <w:r>
              <w:rPr>
                <w:rFonts w:hint="eastAsia" w:ascii="宋体" w:hAnsi="宋体" w:eastAsia="宋体" w:cs="宋体"/>
                <w:color w:val="auto"/>
                <w:sz w:val="24"/>
                <w:szCs w:val="24"/>
                <w:highlight w:val="none"/>
              </w:rPr>
              <w:t>云南省公共资源交易信息网（网址：http://ggzy.yn.gov.cn/#/homePage）选择“曲靖市”进入公共资源交易平台</w:t>
            </w:r>
            <w:r>
              <w:rPr>
                <w:rFonts w:hint="eastAsia" w:ascii="宋体" w:hAnsi="宋体" w:eastAsia="宋体" w:cs="宋体"/>
                <w:color w:val="auto"/>
                <w:sz w:val="24"/>
                <w:szCs w:val="24"/>
                <w:highlight w:val="none"/>
                <w:lang w:eastAsia="zh-CN"/>
              </w:rPr>
              <w:t>。</w:t>
            </w:r>
          </w:p>
          <w:p>
            <w:pPr>
              <w:pStyle w:val="11"/>
              <w:spacing w:line="480" w:lineRule="auto"/>
              <w:ind w:right="63"/>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温馨提示：按电子投标文件编制及报送要求递交成功后供应商应</w:t>
            </w:r>
            <w:r>
              <w:rPr>
                <w:rFonts w:hint="eastAsia" w:ascii="宋体" w:hAnsi="宋体" w:eastAsia="宋体" w:cs="宋体"/>
                <w:color w:val="auto"/>
                <w:sz w:val="24"/>
                <w:szCs w:val="24"/>
                <w:highlight w:val="none"/>
              </w:rPr>
              <w:t>打印“上传投标文件回执”，以表明上传成功。同时，应自行核验下载上传成功的投标文件，并进行查看和解密以确保上传投标文件的正确性</w:t>
            </w:r>
            <w:r>
              <w:rPr>
                <w:rFonts w:hint="eastAsia" w:ascii="宋体" w:hAnsi="宋体" w:eastAsia="宋体" w:cs="宋体"/>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036" w:type="dxa"/>
            <w:gridSpan w:val="2"/>
            <w:vMerge w:val="continue"/>
            <w:vAlign w:val="center"/>
          </w:tcPr>
          <w:p>
            <w:pPr>
              <w:spacing w:line="480" w:lineRule="auto"/>
              <w:jc w:val="center"/>
              <w:rPr>
                <w:rFonts w:hint="eastAsia" w:ascii="宋体" w:hAnsi="宋体" w:eastAsia="宋体" w:cs="宋体"/>
                <w:color w:val="auto"/>
                <w:sz w:val="24"/>
                <w:szCs w:val="24"/>
                <w:highlight w:val="none"/>
              </w:rPr>
            </w:pPr>
          </w:p>
        </w:tc>
        <w:tc>
          <w:tcPr>
            <w:tcW w:w="1941" w:type="dxa"/>
            <w:vMerge w:val="continue"/>
            <w:vAlign w:val="center"/>
          </w:tcPr>
          <w:p>
            <w:pPr>
              <w:spacing w:line="480" w:lineRule="auto"/>
              <w:jc w:val="center"/>
              <w:rPr>
                <w:rFonts w:hint="eastAsia" w:ascii="宋体" w:hAnsi="宋体" w:eastAsia="宋体" w:cs="宋体"/>
                <w:color w:val="auto"/>
                <w:sz w:val="24"/>
                <w:szCs w:val="24"/>
                <w:highlight w:val="none"/>
              </w:rPr>
            </w:pPr>
          </w:p>
        </w:tc>
        <w:tc>
          <w:tcPr>
            <w:tcW w:w="6908" w:type="dxa"/>
            <w:vAlign w:val="center"/>
          </w:tcPr>
          <w:p>
            <w:pPr>
              <w:pStyle w:val="11"/>
              <w:spacing w:line="480" w:lineRule="auto"/>
              <w:ind w:left="63" w:right="63"/>
              <w:jc w:val="both"/>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sz w:val="24"/>
                <w:szCs w:val="24"/>
                <w:highlight w:val="none"/>
              </w:rPr>
              <w:t>电子投标文件提交截止时间：</w:t>
            </w:r>
            <w:r>
              <w:rPr>
                <w:rFonts w:hint="eastAsia" w:ascii="宋体" w:hAnsi="宋体" w:eastAsia="宋体" w:cs="宋体"/>
                <w:color w:val="auto"/>
                <w:sz w:val="24"/>
                <w:szCs w:val="24"/>
                <w:highlight w:val="none"/>
                <w:lang w:eastAsia="zh-CN"/>
              </w:rPr>
              <w:t>20</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 xml:space="preserve"> 07 </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 xml:space="preserve"> 08 </w:t>
            </w:r>
            <w:r>
              <w:rPr>
                <w:rFonts w:hint="eastAsia" w:ascii="宋体" w:hAnsi="宋体" w:eastAsia="宋体" w:cs="宋体"/>
                <w:color w:val="auto"/>
                <w:sz w:val="24"/>
                <w:szCs w:val="24"/>
                <w:highlight w:val="none"/>
                <w:lang w:eastAsia="zh-CN"/>
              </w:rPr>
              <w:t>日</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lang w:eastAsia="zh-CN"/>
              </w:rPr>
              <w:t>时</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rPr>
              <w:t>前</w:t>
            </w:r>
            <w:r>
              <w:rPr>
                <w:rFonts w:hint="eastAsia" w:ascii="宋体" w:hAnsi="宋体" w:eastAsia="宋体" w:cs="宋体"/>
                <w:color w:val="auto"/>
                <w:sz w:val="24"/>
                <w:szCs w:val="24"/>
                <w:highlight w:val="none"/>
                <w:lang w:eastAsia="zh-CN"/>
              </w:rPr>
              <w:t>，投标截止时间前未完成投标文件传输的，视为撤回投标文件。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w:t>
            </w:r>
          </w:p>
        </w:tc>
        <w:tc>
          <w:tcPr>
            <w:tcW w:w="1941" w:type="dxa"/>
            <w:vAlign w:val="center"/>
          </w:tcPr>
          <w:p>
            <w:pPr>
              <w:spacing w:line="48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地点和</w:t>
            </w:r>
            <w:r>
              <w:rPr>
                <w:rFonts w:hint="eastAsia" w:ascii="宋体" w:hAnsi="宋体" w:eastAsia="宋体" w:cs="宋体"/>
                <w:color w:val="auto"/>
                <w:sz w:val="24"/>
                <w:szCs w:val="24"/>
                <w:highlight w:val="none"/>
                <w:lang w:val="en-US" w:eastAsia="zh-CN"/>
              </w:rPr>
              <w:t>方式</w:t>
            </w:r>
          </w:p>
        </w:tc>
        <w:tc>
          <w:tcPr>
            <w:tcW w:w="6908" w:type="dxa"/>
            <w:vAlign w:val="center"/>
          </w:tcPr>
          <w:p>
            <w:pPr>
              <w:spacing w:line="360" w:lineRule="auto"/>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Pr>
              <w:t>开标时间：</w:t>
            </w:r>
            <w:r>
              <w:rPr>
                <w:rFonts w:hint="eastAsia" w:asciiTheme="minorEastAsia" w:hAnsiTheme="minorEastAsia" w:eastAsiaTheme="minorEastAsia"/>
                <w:color w:val="auto"/>
                <w:sz w:val="24"/>
                <w:szCs w:val="24"/>
                <w:highlight w:val="none"/>
                <w:u w:val="single"/>
                <w:lang w:val="en-US" w:eastAsia="zh-CN"/>
              </w:rPr>
              <w:t>2024</w:t>
            </w:r>
            <w:r>
              <w:rPr>
                <w:rFonts w:hint="eastAsia" w:asciiTheme="minorEastAsia" w:hAnsiTheme="minorEastAsia" w:eastAsiaTheme="minorEastAsia"/>
                <w:color w:val="auto"/>
                <w:sz w:val="24"/>
                <w:szCs w:val="24"/>
                <w:highlight w:val="none"/>
                <w:lang w:val="en-US" w:eastAsia="zh-CN"/>
              </w:rPr>
              <w:t>年</w:t>
            </w:r>
            <w:r>
              <w:rPr>
                <w:rFonts w:hint="eastAsia" w:asciiTheme="minorEastAsia" w:hAnsiTheme="minorEastAsia" w:eastAsiaTheme="minorEastAsia"/>
                <w:color w:val="auto"/>
                <w:sz w:val="24"/>
                <w:szCs w:val="24"/>
                <w:highlight w:val="none"/>
                <w:u w:val="single"/>
                <w:lang w:val="en-US" w:eastAsia="zh-CN"/>
              </w:rPr>
              <w:t xml:space="preserve"> 07 </w:t>
            </w:r>
            <w:r>
              <w:rPr>
                <w:rFonts w:hint="eastAsia" w:asciiTheme="minorEastAsia" w:hAnsiTheme="minorEastAsia" w:eastAsiaTheme="minorEastAsia"/>
                <w:color w:val="auto"/>
                <w:sz w:val="24"/>
                <w:szCs w:val="24"/>
                <w:highlight w:val="none"/>
                <w:lang w:val="en-US" w:eastAsia="zh-CN"/>
              </w:rPr>
              <w:t>月</w:t>
            </w:r>
            <w:r>
              <w:rPr>
                <w:rFonts w:hint="eastAsia" w:asciiTheme="minorEastAsia" w:hAnsiTheme="minorEastAsia" w:eastAsiaTheme="minorEastAsia"/>
                <w:color w:val="auto"/>
                <w:sz w:val="24"/>
                <w:szCs w:val="24"/>
                <w:highlight w:val="none"/>
                <w:u w:val="single"/>
                <w:lang w:val="en-US" w:eastAsia="zh-CN"/>
              </w:rPr>
              <w:t xml:space="preserve"> 08 </w:t>
            </w:r>
            <w:r>
              <w:rPr>
                <w:rFonts w:hint="eastAsia" w:asciiTheme="minorEastAsia" w:hAnsiTheme="minorEastAsia" w:eastAsiaTheme="minorEastAsia"/>
                <w:color w:val="auto"/>
                <w:sz w:val="24"/>
                <w:szCs w:val="24"/>
                <w:highlight w:val="none"/>
                <w:lang w:val="en-US" w:eastAsia="zh-CN"/>
              </w:rPr>
              <w:t>日</w:t>
            </w:r>
            <w:r>
              <w:rPr>
                <w:rFonts w:hint="eastAsia" w:asciiTheme="minorEastAsia" w:hAnsiTheme="minorEastAsia" w:eastAsiaTheme="minorEastAsia"/>
                <w:color w:val="auto"/>
                <w:sz w:val="24"/>
                <w:szCs w:val="24"/>
                <w:highlight w:val="none"/>
                <w:u w:val="single"/>
                <w:lang w:val="en-US" w:eastAsia="zh-CN"/>
              </w:rPr>
              <w:t>09</w:t>
            </w:r>
            <w:r>
              <w:rPr>
                <w:rFonts w:hint="eastAsia" w:asciiTheme="minorEastAsia" w:hAnsiTheme="minorEastAsia" w:eastAsiaTheme="minorEastAsia"/>
                <w:color w:val="auto"/>
                <w:sz w:val="24"/>
                <w:szCs w:val="24"/>
                <w:highlight w:val="none"/>
                <w:lang w:val="en-US" w:eastAsia="zh-CN"/>
              </w:rPr>
              <w:t>时</w:t>
            </w:r>
            <w:r>
              <w:rPr>
                <w:rFonts w:hint="eastAsia" w:asciiTheme="minorEastAsia" w:hAnsiTheme="minorEastAsia" w:eastAsiaTheme="minorEastAsia"/>
                <w:color w:val="auto"/>
                <w:sz w:val="24"/>
                <w:szCs w:val="24"/>
                <w:highlight w:val="none"/>
                <w:u w:val="single"/>
                <w:lang w:val="en-US" w:eastAsia="zh-CN"/>
              </w:rPr>
              <w:t xml:space="preserve"> 00</w:t>
            </w:r>
            <w:r>
              <w:rPr>
                <w:rFonts w:hint="eastAsia" w:asciiTheme="minorEastAsia" w:hAnsiTheme="minorEastAsia" w:eastAsiaTheme="minorEastAsia"/>
                <w:color w:val="auto"/>
                <w:sz w:val="24"/>
                <w:szCs w:val="24"/>
                <w:highlight w:val="none"/>
                <w:lang w:val="en-US" w:eastAsia="zh-CN"/>
              </w:rPr>
              <w:t>分（北京时间）</w:t>
            </w:r>
          </w:p>
          <w:p>
            <w:pPr>
              <w:spacing w:line="480" w:lineRule="auto"/>
              <w:rPr>
                <w:rFonts w:hint="eastAsia"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u w:val="none"/>
              </w:rPr>
              <w:t>地点：曲靖市公共资源交易电子服务系统，投标人须在网上参与远程开标解密。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1036" w:type="dxa"/>
            <w:gridSpan w:val="2"/>
            <w:vAlign w:val="center"/>
          </w:tcPr>
          <w:p>
            <w:pPr>
              <w:spacing w:line="48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5.2</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开标程序</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1、投标人进行网上解密；</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2、交易平台自动提取所有投标人的投标文件生成开标结果记录，并公示开标结果记录；</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3、投标人进行网上确认开标结果记录，在规定时间不予确定的，视为放弃提出异议；</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4、开标结果确认时间结束，开标会议结束。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评标委员会的组建</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人数：按照《政府采购货物和服务招标投标管理办法》（财政部令第87号）第四十七条规定，本项目评标委员会由采购人代表和评审专家组成，成员人数应当为5人及以上单数，其中评审专家不得少于成员总数的三分之二。</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评审专家确定方式：随机抽取。</w:t>
            </w:r>
          </w:p>
          <w:p>
            <w:pPr>
              <w:spacing w:line="480" w:lineRule="auto"/>
              <w:rPr>
                <w:rFonts w:hint="eastAsia" w:eastAsiaTheme="minorEastAsia"/>
                <w:lang w:eastAsia="zh-CN"/>
              </w:rPr>
            </w:pPr>
            <w:r>
              <w:rPr>
                <w:rFonts w:hint="eastAsia" w:ascii="宋体" w:hAnsi="宋体" w:eastAsia="宋体" w:cs="宋体"/>
                <w:color w:val="auto"/>
                <w:sz w:val="24"/>
                <w:szCs w:val="24"/>
                <w:highlight w:val="none"/>
                <w:lang w:eastAsia="zh-CN"/>
              </w:rPr>
              <w:t>评审地点：</w:t>
            </w:r>
            <w:r>
              <w:rPr>
                <w:rFonts w:hint="eastAsia" w:ascii="宋体" w:hAnsi="宋体" w:eastAsia="宋体" w:cs="宋体"/>
                <w:color w:val="auto"/>
                <w:sz w:val="24"/>
                <w:szCs w:val="24"/>
                <w:highlight w:val="none"/>
              </w:rPr>
              <w:t>曲靖市公共资源交易</w:t>
            </w:r>
            <w:r>
              <w:rPr>
                <w:rFonts w:hint="eastAsia" w:ascii="宋体" w:hAnsi="宋体" w:eastAsia="宋体" w:cs="宋体"/>
                <w:color w:val="auto"/>
                <w:sz w:val="24"/>
                <w:szCs w:val="24"/>
                <w:highlight w:val="none"/>
                <w:lang w:eastAsia="zh-CN"/>
              </w:rPr>
              <w:t>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p>
        </w:tc>
        <w:tc>
          <w:tcPr>
            <w:tcW w:w="1941"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是否授权评标委员会确定中标人</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■否，评标委员会根据评标办法推荐3名候选人。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036" w:type="dxa"/>
            <w:gridSpan w:val="2"/>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w:t>
            </w:r>
          </w:p>
        </w:tc>
        <w:tc>
          <w:tcPr>
            <w:tcW w:w="1941" w:type="dxa"/>
            <w:vAlign w:val="center"/>
          </w:tcPr>
          <w:p>
            <w:pPr>
              <w:pStyle w:val="17"/>
              <w:keepNext w:val="0"/>
              <w:keepLines w:val="0"/>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hAnsi="宋体"/>
                <w:color w:val="auto"/>
                <w:kern w:val="0"/>
                <w:sz w:val="24"/>
                <w:szCs w:val="24"/>
                <w:highlight w:val="none"/>
              </w:rPr>
              <w:t>履约保证金</w:t>
            </w:r>
          </w:p>
        </w:tc>
        <w:tc>
          <w:tcPr>
            <w:tcW w:w="6908" w:type="dxa"/>
            <w:vAlign w:val="center"/>
          </w:tcPr>
          <w:p>
            <w:pPr>
              <w:pStyle w:val="17"/>
              <w:keepNext w:val="0"/>
              <w:keepLines w:val="0"/>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是否要求成交人提交履约保证金：</w:t>
            </w:r>
          </w:p>
          <w:p>
            <w:pPr>
              <w:pStyle w:val="17"/>
              <w:keepNext w:val="0"/>
              <w:keepLines w:val="0"/>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□不要求</w:t>
            </w:r>
          </w:p>
          <w:p>
            <w:pPr>
              <w:pStyle w:val="17"/>
              <w:keepNext w:val="0"/>
              <w:keepLines w:val="0"/>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■要求，履约保证金的形式：支票、汇票、本票或者金融机构、担保机构出具的保函等非现金形式提交。</w:t>
            </w:r>
          </w:p>
          <w:p>
            <w:pPr>
              <w:pStyle w:val="17"/>
              <w:keepNext w:val="0"/>
              <w:keepLines w:val="0"/>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履约保证金的金额：</w:t>
            </w:r>
            <w:r>
              <w:rPr>
                <w:rFonts w:hint="eastAsia" w:ascii="宋体" w:hAnsi="宋体" w:eastAsia="宋体" w:cs="宋体"/>
                <w:color w:val="auto"/>
                <w:sz w:val="24"/>
                <w:szCs w:val="24"/>
                <w:highlight w:val="none"/>
                <w:lang w:val="en-US" w:eastAsia="zh-CN"/>
              </w:rPr>
              <w:t>根据《曲靖市财政局关于明确政府采购保证金管理工作的通知》，降低后收取履约保证金金额为：</w:t>
            </w:r>
            <w:r>
              <w:rPr>
                <w:rFonts w:hint="eastAsia" w:ascii="宋体" w:hAnsi="宋体" w:eastAsia="宋体" w:cs="宋体"/>
                <w:color w:val="auto"/>
                <w:sz w:val="24"/>
                <w:szCs w:val="24"/>
                <w:highlight w:val="none"/>
              </w:rPr>
              <w:t>合同总价的</w:t>
            </w:r>
            <w:r>
              <w:rPr>
                <w:rFonts w:hint="eastAsia" w:hAnsi="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履约保证金在验收合格之日起1年后无息退还。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词语定义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993" w:type="dxa"/>
            <w:vAlign w:val="center"/>
          </w:tcPr>
          <w:p>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10.1.2</w:t>
            </w:r>
          </w:p>
        </w:tc>
        <w:tc>
          <w:tcPr>
            <w:tcW w:w="1984" w:type="dxa"/>
            <w:gridSpan w:val="2"/>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重大违法记录</w:t>
            </w:r>
          </w:p>
        </w:tc>
        <w:tc>
          <w:tcPr>
            <w:tcW w:w="6908" w:type="dxa"/>
            <w:vAlign w:val="center"/>
          </w:tcPr>
          <w:p>
            <w:pPr>
              <w:spacing w:line="48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是指供应商因违法经营受到刑事处罚或者责令停产停业、吊销许可证或者执照、较大数额罚款等行政处罚。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2977" w:type="dxa"/>
            <w:gridSpan w:val="3"/>
            <w:vAlign w:val="center"/>
          </w:tcPr>
          <w:p>
            <w:pPr>
              <w:spacing w:line="48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最高限价</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不设最高限价</w:t>
            </w:r>
          </w:p>
          <w:p>
            <w:pPr>
              <w:pStyle w:val="11"/>
              <w:spacing w:line="480" w:lineRule="auto"/>
              <w:ind w:left="63" w:right="63"/>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en-US" w:eastAsia="zh-CN" w:bidi="ar-SA"/>
              </w:rPr>
              <w:t>设最高限价</w:t>
            </w:r>
          </w:p>
          <w:p>
            <w:pPr>
              <w:pStyle w:val="11"/>
              <w:spacing w:line="480" w:lineRule="auto"/>
              <w:ind w:left="63" w:right="63"/>
              <w:jc w:val="left"/>
              <w:rPr>
                <w:rFonts w:hint="eastAsia" w:ascii="宋体" w:hAnsi="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1标包最高限价：2067470.00元</w:t>
            </w:r>
          </w:p>
          <w:p>
            <w:pPr>
              <w:pStyle w:val="11"/>
              <w:spacing w:line="480" w:lineRule="auto"/>
              <w:ind w:left="63" w:right="63"/>
              <w:jc w:val="left"/>
              <w:rPr>
                <w:rFonts w:hint="eastAsia" w:ascii="宋体" w:hAnsi="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3标包最高限价：2593397.00元</w:t>
            </w:r>
          </w:p>
          <w:p>
            <w:pPr>
              <w:pStyle w:val="11"/>
              <w:spacing w:line="480" w:lineRule="auto"/>
              <w:ind w:left="63" w:right="63"/>
              <w:jc w:val="left"/>
              <w:rPr>
                <w:rFonts w:hint="eastAsia"/>
                <w:color w:val="auto"/>
                <w:sz w:val="24"/>
                <w:szCs w:val="24"/>
                <w:highlight w:val="none"/>
                <w:lang w:val="en-US"/>
              </w:rPr>
            </w:pPr>
            <w:r>
              <w:rPr>
                <w:rFonts w:hint="eastAsia" w:ascii="宋体" w:hAnsi="宋体" w:cs="宋体"/>
                <w:b/>
                <w:bCs/>
                <w:color w:val="auto"/>
                <w:kern w:val="2"/>
                <w:sz w:val="24"/>
                <w:szCs w:val="24"/>
                <w:highlight w:val="none"/>
                <w:lang w:val="en-US" w:eastAsia="zh-CN" w:bidi="ar-SA"/>
              </w:rPr>
              <w:t>注：供应商的投标报价总价不得高于采购最高限价，若高于采购最高限价的，作废标处理。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“暗标”评审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77" w:type="dxa"/>
            <w:gridSpan w:val="3"/>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技术方案是否采用“暗标”评审方式</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■不采用</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9885" w:type="dxa"/>
            <w:gridSpan w:val="4"/>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77" w:type="dxa"/>
            <w:gridSpan w:val="3"/>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是否要求提交样品</w:t>
            </w:r>
          </w:p>
        </w:tc>
        <w:tc>
          <w:tcPr>
            <w:tcW w:w="6908" w:type="dxa"/>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不要求</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1、样品制作的标准和要求：按照产品技术要求进行制作。</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2、样品名称及数量：</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color w:val="auto"/>
                <w:lang w:val="zh-CN" w:eastAsia="zh-CN"/>
              </w:rPr>
            </w:pPr>
            <w:bookmarkStart w:id="103" w:name="_Toc14976"/>
            <w:r>
              <w:rPr>
                <w:rFonts w:hint="eastAsia" w:ascii="宋体" w:hAnsi="宋体" w:cs="宋体"/>
                <w:color w:val="auto"/>
                <w:sz w:val="24"/>
                <w:szCs w:val="24"/>
                <w:highlight w:val="none"/>
                <w:lang w:val="en-US" w:eastAsia="zh-CN"/>
              </w:rPr>
              <w:t>1标包提交样品</w:t>
            </w:r>
            <w:r>
              <w:rPr>
                <w:rFonts w:hint="eastAsia" w:cs="宋体"/>
                <w:color w:val="auto"/>
                <w:sz w:val="24"/>
                <w:szCs w:val="24"/>
                <w:highlight w:val="none"/>
                <w:lang w:val="en-US" w:eastAsia="zh-CN"/>
              </w:rPr>
              <w:t>：</w:t>
            </w:r>
            <w:bookmarkEnd w:id="103"/>
          </w:p>
          <w:tbl>
            <w:tblPr>
              <w:tblStyle w:val="32"/>
              <w:tblW w:w="5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460"/>
              <w:gridCol w:w="860"/>
              <w:gridCol w:w="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序号</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产品名称</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单位</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样品数量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消防员隔热防护服</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套</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二级化学防护服</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套</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一级化学防护服</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套</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消防全身式安全吊带</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套</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消防轻型安全绳</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根</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消防通用安全绳</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根</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消防防坠落辅助部件</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套</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水域救援漂浮救生绳（100米）</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根</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气动起重气垫</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套</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救援支架</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副</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机动橡皮舟</w:t>
                  </w:r>
                  <w:r>
                    <w:rPr>
                      <w:rFonts w:hint="eastAsia" w:ascii="宋体" w:hAnsi="宋体" w:cs="宋体"/>
                      <w:b/>
                      <w:bCs/>
                      <w:color w:val="auto"/>
                      <w:sz w:val="24"/>
                      <w:szCs w:val="24"/>
                      <w:highlight w:val="none"/>
                      <w:lang w:val="en-US" w:eastAsia="zh-CN"/>
                    </w:rPr>
                    <w:t>（仅需提供舷外机）</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艘</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有毒气体探测仪</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可燃气体检测仪</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14</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无线复合气体探测仪</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套</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消防用红外热像仪</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21"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16</w:t>
                  </w:r>
                </w:p>
              </w:tc>
              <w:tc>
                <w:tcPr>
                  <w:tcW w:w="34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手持式声纳探测仪</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闻</w:t>
                  </w:r>
                </w:p>
              </w:tc>
              <w:tc>
                <w:tcPr>
                  <w:tcW w:w="86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bl>
          <w:p>
            <w:pPr>
              <w:pStyle w:val="2"/>
              <w:ind w:firstLine="482" w:firstLineChars="200"/>
              <w:rPr>
                <w:rFonts w:hint="eastAsia"/>
                <w:color w:val="auto"/>
                <w:lang w:val="zh-CN" w:eastAsia="zh-CN"/>
              </w:rPr>
            </w:pPr>
            <w:bookmarkStart w:id="104" w:name="_Toc14285"/>
            <w:r>
              <w:rPr>
                <w:rFonts w:hint="eastAsia" w:ascii="宋体" w:hAnsi="宋体" w:cs="宋体"/>
                <w:color w:val="auto"/>
                <w:sz w:val="24"/>
                <w:szCs w:val="24"/>
                <w:highlight w:val="none"/>
                <w:lang w:val="en-US" w:eastAsia="zh-CN"/>
              </w:rPr>
              <w:t>3标包提交样品</w:t>
            </w:r>
            <w:r>
              <w:rPr>
                <w:rFonts w:hint="eastAsia" w:cs="宋体"/>
                <w:color w:val="auto"/>
                <w:sz w:val="24"/>
                <w:szCs w:val="24"/>
                <w:highlight w:val="none"/>
                <w:lang w:val="en-US" w:eastAsia="zh-CN"/>
              </w:rPr>
              <w:t>：</w:t>
            </w:r>
            <w:bookmarkEnd w:id="104"/>
          </w:p>
          <w:tbl>
            <w:tblPr>
              <w:tblStyle w:val="32"/>
              <w:tblW w:w="5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3313"/>
              <w:gridCol w:w="1087"/>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序号</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产品名称</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单位</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样品数量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液压破拆工具组</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套</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无齿锯</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液压开门器</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套</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大流量移动消防炮</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消防机动泵</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单兵图像传输设备</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套</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消防用小型飞行器</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套</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浮艇泵</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森林消防泵</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轻型消防水炮</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水带挂钩</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个</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安全钩</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个</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100米静力绳</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根</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14</w:t>
                  </w:r>
                </w:p>
              </w:tc>
              <w:tc>
                <w:tcPr>
                  <w:tcW w:w="3313"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滑轮组救援提拉套装</w:t>
                  </w:r>
                </w:p>
              </w:tc>
              <w:tc>
                <w:tcPr>
                  <w:tcW w:w="108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套</w:t>
                  </w:r>
                </w:p>
              </w:tc>
              <w:tc>
                <w:tcPr>
                  <w:tcW w:w="757" w:type="dxa"/>
                  <w:vAlign w:val="top"/>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r>
          </w:tbl>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3、样品递交时间和地点：</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样品递交时间：</w:t>
            </w:r>
            <w:r>
              <w:rPr>
                <w:rFonts w:hint="eastAsia" w:ascii="宋体" w:hAnsi="宋体" w:cs="宋体"/>
                <w:color w:val="auto"/>
                <w:sz w:val="24"/>
                <w:szCs w:val="24"/>
                <w:highlight w:val="none"/>
                <w:lang w:val="en-US" w:eastAsia="zh-CN"/>
              </w:rPr>
              <w:t>2024年 07 月 08 日</w:t>
            </w:r>
            <w:r>
              <w:rPr>
                <w:rFonts w:hint="eastAsia" w:ascii="宋体" w:hAnsi="宋体" w:cs="宋体"/>
                <w:color w:val="auto"/>
                <w:sz w:val="24"/>
                <w:szCs w:val="24"/>
                <w:highlight w:val="none"/>
                <w:lang w:val="zh-CN" w:eastAsia="zh-CN"/>
              </w:rPr>
              <w:t>08:30至09:00时（北京时间）超时将不再接收。</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样品递交地点：曲靖市公共资源交易中心一号开标室；</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4、样品评审要求：</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供应商的样品必须单独密封提交，样品上应注明产品名称、配件等相关信息，但</w:t>
            </w:r>
            <w:r>
              <w:rPr>
                <w:rFonts w:hint="eastAsia" w:ascii="宋体" w:hAnsi="宋体" w:cs="宋体"/>
                <w:color w:val="auto"/>
                <w:sz w:val="24"/>
                <w:szCs w:val="24"/>
                <w:highlight w:val="none"/>
                <w:lang w:val="en-US" w:eastAsia="zh-CN"/>
              </w:rPr>
              <w:t>不得标明投标人名称及特定的标识，且</w:t>
            </w:r>
            <w:r>
              <w:rPr>
                <w:rFonts w:hint="eastAsia" w:ascii="宋体" w:hAnsi="宋体" w:cs="宋体"/>
                <w:color w:val="auto"/>
                <w:sz w:val="24"/>
                <w:szCs w:val="24"/>
                <w:highlight w:val="none"/>
                <w:lang w:val="zh-CN" w:eastAsia="zh-CN"/>
              </w:rPr>
              <w:t>不接受未密封的样品。</w:t>
            </w:r>
            <w:r>
              <w:rPr>
                <w:rFonts w:hint="eastAsia" w:ascii="宋体" w:hAnsi="宋体" w:cs="宋体"/>
                <w:color w:val="auto"/>
                <w:sz w:val="24"/>
                <w:szCs w:val="24"/>
                <w:highlight w:val="none"/>
                <w:lang w:val="en-US" w:eastAsia="zh-CN"/>
              </w:rPr>
              <w:t>未按要求提供样品，采购人及代理机构有权不接受样品。</w:t>
            </w:r>
            <w:r>
              <w:rPr>
                <w:rFonts w:hint="eastAsia" w:ascii="宋体" w:hAnsi="宋体" w:cs="宋体"/>
                <w:color w:val="auto"/>
                <w:sz w:val="24"/>
                <w:szCs w:val="24"/>
                <w:highlight w:val="none"/>
                <w:lang w:val="zh-CN" w:eastAsia="zh-CN"/>
              </w:rPr>
              <w:t>由代理机构工作人员对投标人递交的样品进行编号，交由评标委员会进行盲样测试打分，该项打分完结后由代理机构工作人员宣布各盲样对应投标人。</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5、在评审过程中可能对样品产生的损坏，采购人及采购代理机构不负责赔偿，由此产生的风险由供应商承担。</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6、样品的退还：非成交商递交的实物样品将在评审结束后退回，当供应商接到采购人或采购代理机构退还样品的通知后，请及时办理相关退还手续。为防止冒领，领取人应出示供应商法人授权委托书及身份证原件。因供应商自身原因导致不能及时办理退还手续的，采购人、采购代理机构将不负责样品的保管，由此造成的损失供应商自行承担。成交人递交的实物样品将被采购人封存，作为验收及合同履约的依据。</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7、供应商递交及退回实物样品所产生的一切费用由供应商自理。</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val="zh-CN" w:eastAsia="zh-CN"/>
              </w:rPr>
              <w:t>注：样品递交时供应商应提交核验的证照：</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val="zh-CN" w:eastAsia="zh-CN"/>
              </w:rPr>
              <w:t>（1）具有统一社会信用代码的企业营业执照副本（原件或加盖公章的复印件）</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val="zh-CN" w:eastAsia="zh-CN"/>
              </w:rPr>
              <w:t>（2）法定代表人证明书原件</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val="zh-CN" w:eastAsia="zh-CN"/>
              </w:rPr>
              <w:t>（3）法定代表人授权委托书原件（指法定代表人授权时出示）</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color w:val="auto"/>
              </w:rPr>
            </w:pPr>
            <w:r>
              <w:rPr>
                <w:rFonts w:hint="eastAsia" w:ascii="宋体" w:hAnsi="宋体" w:cs="宋体"/>
                <w:b/>
                <w:bCs/>
                <w:color w:val="auto"/>
                <w:sz w:val="24"/>
                <w:szCs w:val="24"/>
                <w:highlight w:val="none"/>
                <w:lang w:val="zh-CN" w:eastAsia="zh-CN"/>
              </w:rPr>
              <w:t>（4）法定代表人或其授权委托人的身份证原件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10.4述标或演示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77" w:type="dxa"/>
            <w:gridSpan w:val="3"/>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是否要求述标或演示</w:t>
            </w:r>
          </w:p>
        </w:tc>
        <w:tc>
          <w:tcPr>
            <w:tcW w:w="6908" w:type="dxa"/>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■不要求</w:t>
            </w:r>
          </w:p>
          <w:p>
            <w:pPr>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9885" w:type="dxa"/>
            <w:gridSpan w:val="4"/>
            <w:vAlign w:val="center"/>
          </w:tcPr>
          <w:p>
            <w:pPr>
              <w:spacing w:line="48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10.5供应商代表出席开标会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9885" w:type="dxa"/>
            <w:gridSpan w:val="4"/>
            <w:vAlign w:val="center"/>
          </w:tcPr>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按照本须知第5.1款的规定，采购人邀请所有供应商的法定代表人或其委托代理人参加</w:t>
            </w:r>
            <w:r>
              <w:rPr>
                <w:rFonts w:hint="eastAsia" w:ascii="宋体" w:hAnsi="宋体" w:cs="宋体"/>
                <w:color w:val="auto"/>
                <w:sz w:val="24"/>
                <w:szCs w:val="24"/>
                <w:highlight w:val="none"/>
                <w:lang w:val="en-US" w:eastAsia="zh-CN"/>
              </w:rPr>
              <w:t>网上</w:t>
            </w:r>
            <w:r>
              <w:rPr>
                <w:rFonts w:hint="eastAsia" w:ascii="宋体" w:hAnsi="宋体" w:eastAsia="宋体" w:cs="宋体"/>
                <w:color w:val="auto"/>
                <w:sz w:val="24"/>
                <w:szCs w:val="24"/>
                <w:highlight w:val="none"/>
              </w:rPr>
              <w:t>开标会</w:t>
            </w:r>
            <w:r>
              <w:rPr>
                <w:rFonts w:hint="eastAsia" w:ascii="宋体" w:hAnsi="宋体" w:cs="宋体"/>
                <w:color w:val="auto"/>
                <w:sz w:val="24"/>
                <w:szCs w:val="24"/>
                <w:highlight w:val="none"/>
                <w:lang w:val="en-US" w:eastAsia="zh-CN"/>
              </w:rPr>
              <w:t>或现场开标会</w:t>
            </w:r>
            <w:r>
              <w:rPr>
                <w:rFonts w:hint="eastAsia" w:ascii="宋体" w:hAnsi="宋体" w:eastAsia="宋体" w:cs="宋体"/>
                <w:color w:val="auto"/>
                <w:sz w:val="24"/>
                <w:szCs w:val="24"/>
                <w:highlight w:val="none"/>
              </w:rPr>
              <w:t>。供应商的法定代表人或其委托代理人应当按时参加开标会，否则导致投标文件不能按时</w:t>
            </w:r>
            <w:r>
              <w:rPr>
                <w:rFonts w:hint="eastAsia" w:ascii="宋体" w:hAnsi="宋体" w:cs="宋体"/>
                <w:color w:val="auto"/>
                <w:sz w:val="24"/>
                <w:szCs w:val="24"/>
                <w:highlight w:val="none"/>
                <w:lang w:eastAsia="zh-CN"/>
              </w:rPr>
              <w:t>递交</w:t>
            </w:r>
            <w:r>
              <w:rPr>
                <w:rFonts w:hint="eastAsia" w:ascii="宋体" w:hAnsi="宋体" w:eastAsia="宋体" w:cs="宋体"/>
                <w:color w:val="auto"/>
                <w:sz w:val="24"/>
                <w:szCs w:val="24"/>
                <w:highlight w:val="none"/>
              </w:rPr>
              <w:t>的，其投标文件将被</w:t>
            </w:r>
            <w:r>
              <w:rPr>
                <w:rFonts w:hint="eastAsia" w:ascii="宋体" w:hAnsi="宋体" w:eastAsia="宋体" w:cs="宋体"/>
                <w:color w:val="auto"/>
                <w:sz w:val="24"/>
                <w:szCs w:val="24"/>
                <w:highlight w:val="none"/>
                <w:lang w:val="en-US" w:eastAsia="zh-CN"/>
              </w:rPr>
              <w:t>视为</w:t>
            </w:r>
            <w:r>
              <w:rPr>
                <w:rFonts w:hint="eastAsia" w:ascii="宋体" w:hAnsi="宋体" w:eastAsia="宋体" w:cs="宋体"/>
                <w:color w:val="auto"/>
                <w:sz w:val="24"/>
                <w:szCs w:val="24"/>
                <w:highlight w:val="none"/>
              </w:rPr>
              <w:t>撤回。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10.6中标公告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9885" w:type="dxa"/>
            <w:gridSpan w:val="4"/>
            <w:vAlign w:val="center"/>
          </w:tcPr>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采购人将中标情况在本采购项目采购公告发布的同一媒介予以公告，公告期1个工作日，同时发出中标通知书。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9885" w:type="dxa"/>
            <w:gridSpan w:val="4"/>
            <w:vAlign w:val="center"/>
          </w:tcPr>
          <w:p>
            <w:pPr>
              <w:spacing w:line="48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10.7知识产权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jc w:val="center"/>
        </w:trPr>
        <w:tc>
          <w:tcPr>
            <w:tcW w:w="9885" w:type="dxa"/>
            <w:gridSpan w:val="4"/>
            <w:vAlign w:val="center"/>
          </w:tcPr>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本采购文件各个组成部分的文件，未经采购人书面同意，供应商不得擅自复印和用于非本采购项目所需的其他目的。采购人全部或者部分使用未中标人投标文件中的技术成果或技术方案时，需征得其书面同意，并不得擅自复印或提供给第三人。</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供应商在投标文件中采用的第三方知识产权，由供应商自行办理知识产权的使用权</w:t>
            </w:r>
            <w:r>
              <w:rPr>
                <w:rFonts w:hint="eastAsia" w:ascii="宋体" w:hAnsi="宋体" w:eastAsia="宋体" w:cs="宋体"/>
                <w:color w:val="auto"/>
                <w:sz w:val="24"/>
                <w:szCs w:val="24"/>
                <w:highlight w:val="none"/>
                <w:lang w:val="en-US" w:eastAsia="zh-CN"/>
              </w:rPr>
              <w:t>手续</w:t>
            </w:r>
            <w:r>
              <w:rPr>
                <w:rFonts w:hint="eastAsia" w:ascii="宋体" w:hAnsi="宋体" w:eastAsia="宋体" w:cs="宋体"/>
                <w:color w:val="auto"/>
                <w:sz w:val="24"/>
                <w:szCs w:val="24"/>
                <w:highlight w:val="none"/>
              </w:rPr>
              <w:t>，任何涉及知识产权的争议与纠纷，采购人不承担责任。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10.8重新采购和变更采购方式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9885" w:type="dxa"/>
            <w:gridSpan w:val="4"/>
            <w:vAlign w:val="center"/>
          </w:tcPr>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后的供应商不足三家或通过资格审查或符合性审查的供应商不足三家的，除采购任务取消外，采购文件存在不合理条款或采购程序不符合规定的，改正后依法重新采购；采购文件没有不合理条款、采购程序符合规定的，采购人管理部门批准后变更采购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885" w:type="dxa"/>
            <w:gridSpan w:val="4"/>
            <w:vAlign w:val="center"/>
          </w:tcPr>
          <w:p>
            <w:pPr>
              <w:spacing w:line="48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10.9同义词语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885" w:type="dxa"/>
            <w:gridSpan w:val="4"/>
            <w:vAlign w:val="center"/>
          </w:tcPr>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构成采购文件组成部分的“合同条款”和“采购需求”等章节中出现的措辞“发包人”和“承包人”，在采购投标阶段应当分别按“采购人”和“供应商”进行理解。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9885" w:type="dxa"/>
            <w:gridSpan w:val="4"/>
            <w:vAlign w:val="center"/>
          </w:tcPr>
          <w:p>
            <w:pPr>
              <w:spacing w:line="48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10.10监  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885" w:type="dxa"/>
            <w:gridSpan w:val="4"/>
            <w:vAlign w:val="center"/>
          </w:tcPr>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本项目的采购投标活动及其相关当事人应当接受</w:t>
            </w:r>
            <w:r>
              <w:rPr>
                <w:rFonts w:hint="eastAsia" w:ascii="宋体" w:hAnsi="宋体" w:cs="宋体"/>
                <w:color w:val="auto"/>
                <w:sz w:val="24"/>
                <w:szCs w:val="24"/>
                <w:highlight w:val="none"/>
                <w:u w:val="single"/>
                <w:lang w:eastAsia="zh-CN"/>
              </w:rPr>
              <w:t>相关管理部门</w:t>
            </w:r>
            <w:r>
              <w:rPr>
                <w:rFonts w:hint="eastAsia" w:ascii="宋体" w:hAnsi="宋体" w:eastAsia="宋体" w:cs="宋体"/>
                <w:color w:val="auto"/>
                <w:sz w:val="24"/>
                <w:szCs w:val="24"/>
                <w:highlight w:val="none"/>
              </w:rPr>
              <w:t>依法实施的监督。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9885" w:type="dxa"/>
            <w:gridSpan w:val="4"/>
            <w:vAlign w:val="center"/>
          </w:tcPr>
          <w:p>
            <w:pPr>
              <w:spacing w:line="480" w:lineRule="auto"/>
              <w:ind w:left="210" w:hanging="240" w:hanging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10.11解释权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9885" w:type="dxa"/>
            <w:gridSpan w:val="4"/>
            <w:vAlign w:val="center"/>
          </w:tcPr>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采购投标阶段的规定，按采购公告（投标邀请书）、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10.12 采购人补充的其他内容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5" w:type="dxa"/>
            <w:gridSpan w:val="4"/>
            <w:vAlign w:val="center"/>
          </w:tcPr>
          <w:p>
            <w:pP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1、关于政府采购政策的规定：</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支持中小微企业发展，对小微（小型、微型）企业产品给予</w:t>
            </w:r>
            <w:r>
              <w:rPr>
                <w:rFonts w:hint="eastAsia" w:ascii="宋体" w:hAnsi="宋体" w:eastAsia="宋体" w:cs="宋体"/>
                <w:color w:val="auto"/>
                <w:sz w:val="24"/>
                <w:szCs w:val="24"/>
                <w:highlight w:val="none"/>
                <w:lang w:eastAsia="zh-CN"/>
              </w:rPr>
              <w:t>10%</w:t>
            </w:r>
            <w:r>
              <w:rPr>
                <w:rFonts w:hint="eastAsia" w:ascii="宋体" w:hAnsi="宋体" w:eastAsia="宋体" w:cs="宋体"/>
                <w:color w:val="auto"/>
                <w:sz w:val="24"/>
                <w:szCs w:val="24"/>
                <w:highlight w:val="none"/>
              </w:rPr>
              <w:t>的价格扣除，监狱企业、残疾人福利性单位视同小型、微型企业，用扣除后的价格参与评审。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9885" w:type="dxa"/>
            <w:gridSpan w:val="4"/>
            <w:vAlign w:val="center"/>
          </w:tcPr>
          <w:p>
            <w:pP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2、关于证明材料要求的说明</w:t>
            </w:r>
          </w:p>
          <w:p>
            <w:pPr>
              <w:pStyle w:val="1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证明材料须保证真实、有效、清晰、完整，否则不能被认定或不能被完全认定，如有虚假按相关法律法规</w:t>
            </w:r>
            <w:r>
              <w:rPr>
                <w:rFonts w:hint="eastAsia" w:ascii="宋体" w:hAnsi="宋体" w:eastAsia="宋体" w:cs="宋体"/>
                <w:color w:val="auto"/>
                <w:sz w:val="24"/>
                <w:szCs w:val="24"/>
                <w:highlight w:val="none"/>
                <w:lang w:val="en-US" w:eastAsia="zh-CN"/>
              </w:rPr>
              <w:t>报采购监督部门</w:t>
            </w:r>
            <w:r>
              <w:rPr>
                <w:rFonts w:hint="eastAsia" w:ascii="宋体" w:hAnsi="宋体" w:eastAsia="宋体" w:cs="宋体"/>
                <w:color w:val="auto"/>
                <w:sz w:val="24"/>
                <w:szCs w:val="24"/>
                <w:highlight w:val="none"/>
              </w:rPr>
              <w:t>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85" w:type="dxa"/>
            <w:gridSpan w:val="4"/>
            <w:vAlign w:val="center"/>
          </w:tcPr>
          <w:p>
            <w:pPr>
              <w:spacing w:line="480" w:lineRule="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3</w:t>
            </w:r>
            <w:r>
              <w:rPr>
                <w:rFonts w:hint="eastAsia" w:ascii="宋体" w:hAnsi="宋体" w:eastAsia="宋体" w:cs="宋体"/>
                <w:b/>
                <w:color w:val="auto"/>
                <w:sz w:val="24"/>
                <w:szCs w:val="24"/>
                <w:highlight w:val="none"/>
                <w:lang w:val="en-US" w:eastAsia="zh-CN"/>
              </w:rPr>
              <w:t>、供应商质疑说明（财政部94号令）</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（1）供应商认为采购文件、采购过程、中标或者成交结果使自己的权益受到损害的，可以在知道或者应知其权益受到损害之日起7个工作日内，以书面形式向采购人、采购代理机构提出质疑。</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（2）供应商应在法定质疑期内一次性提出针对同一采购程序环节的质疑。</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（3）提出质疑的供应商应当是参与本项目采购活动的供应商。</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（4）潜在供应商已依法获取其可质疑的采购文件的，可以对该文件提出质疑。对采购文件提出质疑的，应当在获取采购文件或者采购文件公告期限届满之日起7个工作日内提出。</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（5）供应商提出质疑应当按财政部94号令提交质疑函和必要的证明材料（供应商可登录“中国政府采购网http://www.ccgp.gov.cn/”下载专区下载“</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"http://download.ccgp.gov.cn/2018/tousushufanben.zip" \t "http://www.ccgp.gov.cn/_blank"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政府采购供应商投诉书范本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"http://download.ccgp.gov.cn/2018/zhiyihanfanben.zip" \t "http://www.ccgp.gov.cn/_blank"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pPr>
              <w:spacing w:line="48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6" w:hRule="atLeast"/>
          <w:jc w:val="center"/>
        </w:trPr>
        <w:tc>
          <w:tcPr>
            <w:tcW w:w="9885" w:type="dxa"/>
            <w:gridSpan w:val="4"/>
            <w:vAlign w:val="center"/>
          </w:tcPr>
          <w:p>
            <w:pPr>
              <w:spacing w:line="480" w:lineRule="auto"/>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4</w:t>
            </w:r>
            <w:r>
              <w:rPr>
                <w:rFonts w:hint="eastAsia" w:ascii="宋体" w:hAnsi="宋体" w:eastAsia="宋体" w:cs="宋体"/>
                <w:b/>
                <w:color w:val="auto"/>
                <w:sz w:val="24"/>
                <w:szCs w:val="24"/>
                <w:highlight w:val="none"/>
                <w:lang w:val="en-US" w:eastAsia="zh-CN"/>
              </w:rPr>
              <w:t>、接收质疑函的方式</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接收质疑函的方式：现场递交</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eastAsia="zh-CN"/>
              </w:rPr>
              <w:t>刘</w:t>
            </w:r>
            <w:r>
              <w:rPr>
                <w:rFonts w:hint="eastAsia" w:ascii="宋体" w:hAnsi="宋体" w:cs="宋体"/>
                <w:color w:val="auto"/>
                <w:sz w:val="24"/>
                <w:szCs w:val="24"/>
                <w:highlight w:val="none"/>
                <w:lang w:val="en-US" w:eastAsia="zh-CN"/>
              </w:rPr>
              <w:t>工</w:t>
            </w:r>
          </w:p>
          <w:p>
            <w:pPr>
              <w:spacing w:line="480" w:lineRule="auto"/>
              <w:ind w:firstLine="480" w:firstLineChars="20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13577352712</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r>
              <w:rPr>
                <w:rFonts w:hint="eastAsia" w:ascii="宋体" w:hAnsi="宋体" w:cs="宋体"/>
                <w:color w:val="auto"/>
                <w:sz w:val="24"/>
                <w:szCs w:val="24"/>
                <w:highlight w:val="none"/>
                <w:lang w:eastAsia="zh-CN"/>
              </w:rPr>
              <w:t>云南福诚招标有限公司</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云南省曲靖市麒麟区珠江源大道科创路245号</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6" w:hRule="atLeast"/>
          <w:jc w:val="center"/>
        </w:trPr>
        <w:tc>
          <w:tcPr>
            <w:tcW w:w="9885" w:type="dxa"/>
            <w:gridSpan w:val="4"/>
            <w:vAlign w:val="center"/>
          </w:tcPr>
          <w:p>
            <w:pPr>
              <w:pStyle w:val="17"/>
              <w:tabs>
                <w:tab w:val="left" w:pos="2472"/>
              </w:tabs>
              <w:spacing w:line="360" w:lineRule="auto"/>
              <w:rPr>
                <w:b/>
                <w:bCs/>
                <w:color w:val="auto"/>
                <w:sz w:val="24"/>
              </w:rPr>
            </w:pPr>
            <w:r>
              <w:rPr>
                <w:rFonts w:hint="eastAsia"/>
                <w:b/>
                <w:bCs/>
                <w:color w:val="auto"/>
                <w:sz w:val="24"/>
                <w:lang w:val="en-US" w:eastAsia="zh-CN"/>
              </w:rPr>
              <w:t>5、</w:t>
            </w:r>
            <w:r>
              <w:rPr>
                <w:rFonts w:hint="eastAsia"/>
                <w:b/>
                <w:bCs/>
                <w:color w:val="auto"/>
                <w:sz w:val="24"/>
              </w:rPr>
              <w:t>政府采购政策：</w:t>
            </w:r>
          </w:p>
          <w:p>
            <w:pPr>
              <w:adjustRightInd w:val="0"/>
              <w:spacing w:line="480" w:lineRule="exact"/>
              <w:ind w:firstLine="482" w:firstLineChars="200"/>
              <w:rPr>
                <w:rFonts w:ascii="宋体"/>
                <w:b/>
                <w:color w:val="auto"/>
                <w:sz w:val="24"/>
              </w:rPr>
            </w:pPr>
            <w:r>
              <w:rPr>
                <w:rFonts w:hint="eastAsia" w:ascii="宋体"/>
                <w:b/>
                <w:color w:val="auto"/>
                <w:sz w:val="24"/>
                <w:lang w:val="en-US" w:eastAsia="zh-CN"/>
              </w:rPr>
              <w:t>1.</w:t>
            </w:r>
            <w:r>
              <w:rPr>
                <w:rFonts w:hint="eastAsia" w:ascii="宋体"/>
                <w:b/>
                <w:color w:val="auto"/>
                <w:sz w:val="24"/>
              </w:rPr>
              <w:t>中小企业</w:t>
            </w:r>
          </w:p>
          <w:p>
            <w:pPr>
              <w:adjustRightInd w:val="0"/>
              <w:spacing w:line="480" w:lineRule="exact"/>
              <w:ind w:firstLine="480" w:firstLineChars="200"/>
              <w:rPr>
                <w:rFonts w:ascii="宋体"/>
                <w:bCs/>
                <w:color w:val="auto"/>
                <w:sz w:val="24"/>
              </w:rPr>
            </w:pPr>
            <w:r>
              <w:rPr>
                <w:rFonts w:hint="eastAsia" w:ascii="宋体"/>
                <w:bCs/>
                <w:color w:val="auto"/>
                <w:sz w:val="24"/>
              </w:rPr>
              <w:t>1.1 根据《关于印发《政府采购促进中小企业发展管理办法》的通知》（财库〔2020〕46 号）和《关于进一步加大政府采购支持中小企业力度的通知》（财库〔2022〕19 号）的规定，在政府采购活动中，投标单位提供的货物、工程或者服务符合下列情形的，享受本办法规定的中小企业扶持政策：</w:t>
            </w:r>
          </w:p>
          <w:p>
            <w:pPr>
              <w:adjustRightInd w:val="0"/>
              <w:spacing w:line="480" w:lineRule="exact"/>
              <w:ind w:firstLine="480" w:firstLineChars="200"/>
              <w:rPr>
                <w:rFonts w:ascii="宋体"/>
                <w:bCs/>
                <w:color w:val="auto"/>
                <w:sz w:val="24"/>
              </w:rPr>
            </w:pPr>
            <w:r>
              <w:rPr>
                <w:rFonts w:hint="eastAsia" w:ascii="宋体"/>
                <w:bCs/>
                <w:color w:val="auto"/>
                <w:sz w:val="24"/>
              </w:rPr>
              <w:t>（一）在货物采购项目中，货物由中小企业制造，即货物由中小企业生产且使用该中小企业商号或者注册商标；</w:t>
            </w:r>
          </w:p>
          <w:p>
            <w:pPr>
              <w:adjustRightInd w:val="0"/>
              <w:spacing w:line="480" w:lineRule="exact"/>
              <w:ind w:firstLine="480" w:firstLineChars="200"/>
              <w:rPr>
                <w:rFonts w:ascii="宋体"/>
                <w:bCs/>
                <w:color w:val="auto"/>
                <w:sz w:val="24"/>
              </w:rPr>
            </w:pPr>
            <w:r>
              <w:rPr>
                <w:rFonts w:hint="eastAsia" w:ascii="宋体"/>
                <w:bCs/>
                <w:color w:val="auto"/>
                <w:sz w:val="24"/>
              </w:rPr>
              <w:t>（二）在工程采购项目中，工程由中小企业承建，即工程施工单位为中小企业；</w:t>
            </w:r>
          </w:p>
          <w:p>
            <w:pPr>
              <w:adjustRightInd w:val="0"/>
              <w:spacing w:line="480" w:lineRule="exact"/>
              <w:ind w:firstLine="480" w:firstLineChars="200"/>
              <w:rPr>
                <w:rFonts w:ascii="宋体"/>
                <w:bCs/>
                <w:color w:val="auto"/>
                <w:sz w:val="24"/>
              </w:rPr>
            </w:pPr>
            <w:r>
              <w:rPr>
                <w:rFonts w:hint="eastAsia" w:ascii="宋体"/>
                <w:bCs/>
                <w:color w:val="auto"/>
                <w:sz w:val="24"/>
              </w:rPr>
              <w:t>（三）在服务采购项目中，服务由中小企业承接，即提供服务的人员为中小企业依照《中华人民共和国劳动合同法》订立劳动合同的从业人员。</w:t>
            </w:r>
          </w:p>
          <w:p>
            <w:pPr>
              <w:adjustRightInd w:val="0"/>
              <w:spacing w:line="480" w:lineRule="exact"/>
              <w:ind w:firstLine="480" w:firstLineChars="200"/>
              <w:rPr>
                <w:rFonts w:ascii="宋体"/>
                <w:bCs/>
                <w:color w:val="auto"/>
                <w:sz w:val="24"/>
              </w:rPr>
            </w:pPr>
            <w:r>
              <w:rPr>
                <w:rFonts w:hint="eastAsia" w:ascii="宋体"/>
                <w:bCs/>
                <w:color w:val="auto"/>
                <w:sz w:val="24"/>
              </w:rPr>
              <w:t>在货物采购项目中，投标单位提供的货物既有中小企业制造货物，也有大型企业制造货物的，不享受本办法规定的中小企业扶持政策。</w:t>
            </w:r>
          </w:p>
          <w:p>
            <w:pPr>
              <w:adjustRightInd w:val="0"/>
              <w:spacing w:line="480" w:lineRule="exact"/>
              <w:ind w:firstLine="480" w:firstLineChars="200"/>
              <w:rPr>
                <w:rFonts w:ascii="宋体"/>
                <w:bCs/>
                <w:color w:val="auto"/>
                <w:sz w:val="24"/>
              </w:rPr>
            </w:pPr>
            <w:r>
              <w:rPr>
                <w:rFonts w:hint="eastAsia" w:ascii="宋体"/>
                <w:bCs/>
                <w:color w:val="auto"/>
                <w:sz w:val="24"/>
              </w:rPr>
              <w:t>以联合体形式参加政府采购活动，联合体各方均为中小企业的，联合体视同中小企业。其中，联合体各方均为小微企业的，联合体视同小微企业。</w:t>
            </w:r>
          </w:p>
          <w:p>
            <w:pPr>
              <w:adjustRightInd w:val="0"/>
              <w:spacing w:line="480" w:lineRule="exact"/>
              <w:ind w:firstLine="480" w:firstLineChars="200"/>
              <w:rPr>
                <w:rFonts w:ascii="宋体"/>
                <w:bCs/>
                <w:color w:val="auto"/>
                <w:sz w:val="24"/>
              </w:rPr>
            </w:pPr>
            <w:r>
              <w:rPr>
                <w:rFonts w:hint="eastAsia" w:ascii="宋体"/>
                <w:bCs/>
                <w:color w:val="auto"/>
                <w:sz w:val="24"/>
              </w:rPr>
              <w:t>1.2 本规定所称中小企业，是指在中华人民共和国境内依法设立，依据工信部联企业〔2011〕300号</w:t>
            </w:r>
            <w:r>
              <w:rPr>
                <w:rFonts w:hint="eastAsia" w:ascii="宋体" w:hAnsi="宋体" w:cs="宋体"/>
                <w:color w:val="auto"/>
                <w:sz w:val="24"/>
                <w:shd w:val="clear" w:color="auto" w:fill="FFFFFF"/>
              </w:rPr>
              <w:t>《中小企业划型标准规定》确定</w:t>
            </w:r>
            <w:r>
              <w:rPr>
                <w:rFonts w:hint="eastAsia" w:ascii="宋体"/>
                <w:bCs/>
                <w:color w:val="auto"/>
                <w:sz w:val="24"/>
              </w:rPr>
              <w:t xml:space="preserve">的中型企业、小型企业和微型企业，但与大企业的负责人为同一人，或者与大企业存在直接控股、管理关系的除外。符合中小企业划分标准的个体工商户，在政府采购活动中视同中小企业。 </w:t>
            </w:r>
          </w:p>
          <w:p>
            <w:pPr>
              <w:adjustRightInd w:val="0"/>
              <w:spacing w:line="480" w:lineRule="exact"/>
              <w:ind w:firstLine="480" w:firstLineChars="200"/>
              <w:rPr>
                <w:rFonts w:ascii="宋体"/>
                <w:bCs/>
                <w:color w:val="auto"/>
                <w:sz w:val="24"/>
              </w:rPr>
            </w:pPr>
            <w:r>
              <w:rPr>
                <w:rFonts w:hint="eastAsia" w:ascii="宋体"/>
                <w:bCs/>
                <w:color w:val="auto"/>
                <w:sz w:val="24"/>
              </w:rPr>
              <w:t>1.2.1中小企业划分为中型、小型、微型三种类型，具体标准根据企业从业人员、营业收入、资产总额等指标，结合行业特点制定。</w:t>
            </w:r>
          </w:p>
          <w:p>
            <w:pPr>
              <w:adjustRightInd w:val="0"/>
              <w:spacing w:line="480" w:lineRule="exact"/>
              <w:ind w:firstLine="480" w:firstLineChars="200"/>
              <w:rPr>
                <w:rFonts w:ascii="宋体"/>
                <w:bCs/>
                <w:color w:val="auto"/>
                <w:sz w:val="24"/>
              </w:rPr>
            </w:pPr>
            <w:r>
              <w:rPr>
                <w:rFonts w:hint="eastAsia" w:ascii="宋体"/>
                <w:bCs/>
                <w:color w:val="auto"/>
                <w:sz w:val="24"/>
              </w:rPr>
              <w:t>1.2.2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adjustRightInd w:val="0"/>
              <w:spacing w:line="480" w:lineRule="exact"/>
              <w:ind w:firstLine="480" w:firstLineChars="200"/>
              <w:rPr>
                <w:rFonts w:ascii="宋体"/>
                <w:bCs/>
                <w:color w:val="auto"/>
                <w:sz w:val="24"/>
              </w:rPr>
            </w:pPr>
            <w:r>
              <w:rPr>
                <w:rFonts w:hint="eastAsia" w:ascii="宋体"/>
                <w:bCs/>
                <w:color w:val="auto"/>
                <w:sz w:val="24"/>
              </w:rPr>
              <w:t>1.2.3各行业划型标准为：</w:t>
            </w:r>
          </w:p>
          <w:p>
            <w:pPr>
              <w:adjustRightInd w:val="0"/>
              <w:spacing w:line="480" w:lineRule="exact"/>
              <w:ind w:firstLine="480" w:firstLineChars="200"/>
              <w:rPr>
                <w:rFonts w:ascii="宋体"/>
                <w:bCs/>
                <w:color w:val="auto"/>
                <w:sz w:val="24"/>
              </w:rPr>
            </w:pPr>
            <w:r>
              <w:rPr>
                <w:rFonts w:hint="eastAsia" w:ascii="宋体"/>
                <w:bCs/>
                <w:color w:val="auto"/>
                <w:sz w:val="24"/>
              </w:rPr>
              <w:t>（一）农、林、牧、渔业。营业收入20000万元以下的为中小微型企业。其中，营业收入500万元及以上的为中型企业，营业收入50万元及以上的为小型企业，营业收入50万元以下的为微型企业。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adjustRightInd w:val="0"/>
              <w:spacing w:line="480" w:lineRule="exact"/>
              <w:ind w:firstLine="480" w:firstLineChars="200"/>
              <w:rPr>
                <w:rFonts w:ascii="宋体"/>
                <w:bCs/>
                <w:color w:val="auto"/>
                <w:sz w:val="24"/>
              </w:rPr>
            </w:pPr>
            <w:r>
              <w:rPr>
                <w:rFonts w:hint="eastAsia" w:ascii="宋体"/>
                <w:bCs/>
                <w:color w:val="auto"/>
                <w:sz w:val="24"/>
              </w:rPr>
              <w:t>（十六）其他未列明行业。从业人员300人以下的为中小微型企业。其中，从业人员100人及以上的为中型企业；从业人员10人及以上的为小型企业；从业人员10人以下的为微型企业。</w:t>
            </w:r>
          </w:p>
          <w:p>
            <w:pPr>
              <w:adjustRightInd w:val="0"/>
              <w:spacing w:line="480" w:lineRule="exact"/>
              <w:ind w:firstLine="480" w:firstLineChars="200"/>
              <w:rPr>
                <w:rFonts w:hint="eastAsia"/>
                <w:color w:val="auto"/>
              </w:rPr>
            </w:pPr>
            <w:r>
              <w:rPr>
                <w:rFonts w:hint="eastAsia" w:ascii="宋体"/>
                <w:bCs/>
                <w:color w:val="auto"/>
                <w:sz w:val="24"/>
              </w:rPr>
              <w:t>1.3 小型、微型企业提供</w:t>
            </w:r>
            <w:r>
              <w:rPr>
                <w:rFonts w:hint="eastAsia" w:ascii="宋体"/>
                <w:bCs/>
                <w:color w:val="auto"/>
                <w:sz w:val="24"/>
                <w:lang w:val="en-US" w:eastAsia="zh-CN"/>
              </w:rPr>
              <w:t>大</w:t>
            </w:r>
            <w:r>
              <w:rPr>
                <w:rFonts w:hint="eastAsia" w:ascii="宋体"/>
                <w:bCs/>
                <w:color w:val="auto"/>
                <w:sz w:val="24"/>
              </w:rPr>
              <w:t>中型企业制造的货物的，视同为</w:t>
            </w:r>
            <w:r>
              <w:rPr>
                <w:rFonts w:hint="eastAsia" w:ascii="宋体"/>
                <w:bCs/>
                <w:color w:val="auto"/>
                <w:sz w:val="24"/>
                <w:lang w:val="en-US" w:eastAsia="zh-CN"/>
              </w:rPr>
              <w:t>大</w:t>
            </w:r>
            <w:r>
              <w:rPr>
                <w:rFonts w:hint="eastAsia" w:ascii="宋体"/>
                <w:bCs/>
                <w:color w:val="auto"/>
                <w:sz w:val="24"/>
              </w:rPr>
              <w:t>中型企业。</w:t>
            </w:r>
          </w:p>
          <w:p>
            <w:pPr>
              <w:pStyle w:val="2"/>
              <w:ind w:firstLine="482" w:firstLineChars="200"/>
              <w:rPr>
                <w:rFonts w:hint="default" w:eastAsiaTheme="minorEastAsia"/>
                <w:color w:val="auto"/>
                <w:lang w:val="en-US" w:eastAsia="zh-CN"/>
              </w:rPr>
            </w:pPr>
            <w:bookmarkStart w:id="105" w:name="_Toc20333"/>
            <w:r>
              <w:rPr>
                <w:rFonts w:hint="eastAsia" w:ascii="宋体"/>
                <w:bCs/>
                <w:color w:val="auto"/>
                <w:sz w:val="24"/>
                <w:lang w:val="en-US" w:eastAsia="zh-CN"/>
              </w:rPr>
              <w:t>1.4</w:t>
            </w:r>
            <w:r>
              <w:rPr>
                <w:rFonts w:hint="eastAsia" w:asciiTheme="minorEastAsia" w:hAnsiTheme="minorEastAsia" w:eastAsiaTheme="minorEastAsia" w:cstheme="minorEastAsia"/>
                <w:color w:val="auto"/>
                <w:sz w:val="24"/>
              </w:rPr>
              <w:t>本项目所属行业</w:t>
            </w:r>
            <w:r>
              <w:rPr>
                <w:rFonts w:hint="eastAsia" w:asciiTheme="minorEastAsia" w:hAnsiTheme="minorEastAsia" w:eastAsiaTheme="minorEastAsia" w:cstheme="minorEastAsia"/>
                <w:color w:val="auto"/>
                <w:sz w:val="24"/>
                <w:lang w:val="en-US" w:eastAsia="zh-CN"/>
              </w:rPr>
              <w:t>为：工业</w:t>
            </w:r>
            <w:bookmarkEnd w:id="105"/>
          </w:p>
          <w:p>
            <w:pPr>
              <w:adjustRightInd w:val="0"/>
              <w:spacing w:line="360" w:lineRule="auto"/>
              <w:ind w:firstLine="482" w:firstLineChars="200"/>
              <w:rPr>
                <w:rFonts w:ascii="宋体"/>
                <w:b/>
                <w:color w:val="auto"/>
                <w:sz w:val="24"/>
              </w:rPr>
            </w:pPr>
            <w:r>
              <w:rPr>
                <w:rFonts w:ascii="宋体"/>
                <w:b/>
                <w:color w:val="auto"/>
                <w:sz w:val="24"/>
              </w:rPr>
              <w:t>2</w:t>
            </w:r>
            <w:r>
              <w:rPr>
                <w:rFonts w:hint="eastAsia" w:ascii="宋体"/>
                <w:b/>
                <w:color w:val="auto"/>
                <w:sz w:val="24"/>
              </w:rPr>
              <w:t>.监狱企业</w:t>
            </w:r>
          </w:p>
          <w:p>
            <w:pPr>
              <w:adjustRightInd w:val="0"/>
              <w:spacing w:line="360" w:lineRule="auto"/>
              <w:ind w:firstLine="480" w:firstLineChars="200"/>
              <w:rPr>
                <w:rFonts w:ascii="宋体"/>
                <w:color w:val="auto"/>
                <w:sz w:val="24"/>
              </w:rPr>
            </w:pPr>
            <w:r>
              <w:rPr>
                <w:rFonts w:ascii="宋体"/>
                <w:color w:val="auto"/>
                <w:sz w:val="24"/>
              </w:rPr>
              <w:t>2</w:t>
            </w:r>
            <w:r>
              <w:rPr>
                <w:rFonts w:hint="eastAsia" w:ascii="宋体"/>
                <w:color w:val="auto"/>
                <w:sz w:val="24"/>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adjustRightInd w:val="0"/>
              <w:spacing w:line="360" w:lineRule="auto"/>
              <w:ind w:firstLine="482" w:firstLineChars="200"/>
              <w:rPr>
                <w:rFonts w:ascii="宋体"/>
                <w:b/>
                <w:color w:val="auto"/>
                <w:sz w:val="24"/>
              </w:rPr>
            </w:pPr>
            <w:r>
              <w:rPr>
                <w:rFonts w:hint="eastAsia" w:ascii="宋体"/>
                <w:b/>
                <w:color w:val="auto"/>
                <w:sz w:val="24"/>
              </w:rPr>
              <w:t>3</w:t>
            </w:r>
            <w:r>
              <w:rPr>
                <w:rFonts w:hint="eastAsia" w:ascii="宋体"/>
                <w:b/>
                <w:color w:val="auto"/>
                <w:sz w:val="24"/>
                <w:lang w:val="en-US" w:eastAsia="zh-CN"/>
              </w:rPr>
              <w:t>.</w:t>
            </w:r>
            <w:r>
              <w:rPr>
                <w:rFonts w:hint="eastAsia" w:ascii="宋体"/>
                <w:b/>
                <w:color w:val="auto"/>
                <w:sz w:val="24"/>
              </w:rPr>
              <w:t>残疾人福利性单位</w:t>
            </w:r>
          </w:p>
          <w:p>
            <w:pPr>
              <w:adjustRightInd w:val="0"/>
              <w:spacing w:line="360" w:lineRule="auto"/>
              <w:ind w:firstLine="480" w:firstLineChars="200"/>
              <w:rPr>
                <w:rFonts w:ascii="宋体"/>
                <w:color w:val="auto"/>
                <w:sz w:val="24"/>
              </w:rPr>
            </w:pPr>
            <w:r>
              <w:rPr>
                <w:rFonts w:hint="eastAsia" w:ascii="宋体"/>
                <w:color w:val="auto"/>
                <w:sz w:val="24"/>
              </w:rPr>
              <w:t>3</w:t>
            </w:r>
            <w:r>
              <w:rPr>
                <w:rFonts w:ascii="宋体"/>
                <w:color w:val="auto"/>
                <w:sz w:val="24"/>
              </w:rPr>
              <w:t>.1根据</w:t>
            </w:r>
            <w:r>
              <w:rPr>
                <w:rFonts w:hint="eastAsia" w:ascii="宋体"/>
                <w:color w:val="auto"/>
                <w:sz w:val="24"/>
              </w:rPr>
              <w:t>《财政部 民政部 中国残疾人联合会关于促进残疾人就业政府采购政策的通知》，享受政府采购支持政策的残疾人福利性单位应当同时满足以下条件：</w:t>
            </w:r>
          </w:p>
          <w:p>
            <w:pPr>
              <w:adjustRightInd w:val="0"/>
              <w:spacing w:line="360" w:lineRule="auto"/>
              <w:ind w:firstLine="480" w:firstLineChars="200"/>
              <w:rPr>
                <w:rFonts w:ascii="宋体"/>
                <w:color w:val="auto"/>
                <w:sz w:val="24"/>
              </w:rPr>
            </w:pPr>
            <w:r>
              <w:rPr>
                <w:rFonts w:hint="eastAsia" w:ascii="宋体"/>
                <w:color w:val="auto"/>
                <w:sz w:val="24"/>
              </w:rPr>
              <w:t>（1）安置的残疾人占本单位在职职工人数的比例不低于25%（含25%），并且安置的残疾人人数不少于10人（含10人）；</w:t>
            </w:r>
          </w:p>
          <w:p>
            <w:pPr>
              <w:adjustRightInd w:val="0"/>
              <w:spacing w:line="360" w:lineRule="auto"/>
              <w:ind w:firstLine="480" w:firstLineChars="200"/>
              <w:rPr>
                <w:rFonts w:ascii="宋体"/>
                <w:color w:val="auto"/>
                <w:sz w:val="24"/>
              </w:rPr>
            </w:pPr>
            <w:r>
              <w:rPr>
                <w:rFonts w:hint="eastAsia" w:ascii="宋体"/>
                <w:color w:val="auto"/>
                <w:sz w:val="24"/>
              </w:rPr>
              <w:t>（2）依法与安置的每位残疾人签订了一年以上（含一年）的劳动合同或服务协议；</w:t>
            </w:r>
          </w:p>
          <w:p>
            <w:pPr>
              <w:adjustRightInd w:val="0"/>
              <w:spacing w:line="360" w:lineRule="auto"/>
              <w:ind w:firstLine="480" w:firstLineChars="200"/>
              <w:rPr>
                <w:rFonts w:ascii="宋体"/>
                <w:color w:val="auto"/>
                <w:sz w:val="24"/>
              </w:rPr>
            </w:pPr>
            <w:r>
              <w:rPr>
                <w:rFonts w:hint="eastAsia" w:ascii="宋体"/>
                <w:color w:val="auto"/>
                <w:sz w:val="24"/>
              </w:rPr>
              <w:t>（3）为安置的每位残疾人按月足额缴纳了基本养老保险、基本医疗保险、失业保险、工伤保险和生育保险等社会保险费；</w:t>
            </w:r>
          </w:p>
          <w:p>
            <w:pPr>
              <w:adjustRightInd w:val="0"/>
              <w:spacing w:line="360" w:lineRule="auto"/>
              <w:ind w:firstLine="480" w:firstLineChars="200"/>
              <w:rPr>
                <w:rFonts w:ascii="宋体"/>
                <w:color w:val="auto"/>
                <w:sz w:val="24"/>
              </w:rPr>
            </w:pPr>
            <w:r>
              <w:rPr>
                <w:rFonts w:hint="eastAsia" w:ascii="宋体"/>
                <w:color w:val="auto"/>
                <w:sz w:val="24"/>
              </w:rPr>
              <w:t>（4）通过银行等金融机构向安置的每位残疾人，按月支付了不低于单位所在区县适用的经省级人民政府批准的月最低工资标准的工资；</w:t>
            </w:r>
          </w:p>
          <w:p>
            <w:pPr>
              <w:adjustRightInd w:val="0"/>
              <w:spacing w:line="360" w:lineRule="auto"/>
              <w:ind w:firstLine="480" w:firstLineChars="200"/>
              <w:rPr>
                <w:rFonts w:ascii="宋体"/>
                <w:color w:val="auto"/>
                <w:sz w:val="24"/>
              </w:rPr>
            </w:pPr>
            <w:r>
              <w:rPr>
                <w:rFonts w:hint="eastAsia" w:ascii="宋体"/>
                <w:color w:val="auto"/>
                <w:sz w:val="24"/>
              </w:rPr>
              <w:t>（5）提供本单位制造的货物、承担的工程或者服务（以下简称产品），或者提供其他残疾人福利性单位制造的货物（不包括使用非残疾人福利性单位注册商标的货物）。</w:t>
            </w:r>
          </w:p>
          <w:p>
            <w:pPr>
              <w:adjustRightInd w:val="0"/>
              <w:spacing w:line="360" w:lineRule="auto"/>
              <w:ind w:firstLine="480" w:firstLineChars="200"/>
              <w:rPr>
                <w:rFonts w:ascii="宋体"/>
                <w:color w:val="auto"/>
                <w:sz w:val="24"/>
              </w:rPr>
            </w:pPr>
            <w:r>
              <w:rPr>
                <w:rFonts w:hint="eastAsia" w:ascii="宋体"/>
                <w:color w:val="auto"/>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adjustRightInd w:val="0"/>
              <w:spacing w:line="360" w:lineRule="auto"/>
              <w:ind w:firstLine="480" w:firstLineChars="200"/>
              <w:rPr>
                <w:rFonts w:ascii="宋体"/>
                <w:color w:val="auto"/>
                <w:sz w:val="24"/>
              </w:rPr>
            </w:pPr>
            <w:r>
              <w:rPr>
                <w:rFonts w:hint="eastAsia" w:ascii="宋体"/>
                <w:color w:val="auto"/>
                <w:sz w:val="24"/>
              </w:rPr>
              <w:t>2.3.2符合条件的残疾人福利性单位在参加政府采购活动时，应当提供《残疾人福利性单位声明函》，并对声明的真实性负责。</w:t>
            </w:r>
          </w:p>
          <w:p>
            <w:pPr>
              <w:adjustRightInd w:val="0"/>
              <w:spacing w:line="360" w:lineRule="auto"/>
              <w:ind w:firstLine="482" w:firstLineChars="200"/>
              <w:rPr>
                <w:rFonts w:ascii="宋体" w:hAnsi="宋体" w:cs="宋体"/>
                <w:b/>
                <w:color w:val="auto"/>
                <w:sz w:val="24"/>
              </w:rPr>
            </w:pPr>
            <w:r>
              <w:rPr>
                <w:rFonts w:hint="eastAsia" w:ascii="宋体" w:hAnsi="宋体" w:cs="宋体"/>
                <w:b/>
                <w:color w:val="auto"/>
                <w:sz w:val="24"/>
              </w:rPr>
              <w:t>4</w:t>
            </w:r>
            <w:r>
              <w:rPr>
                <w:rFonts w:hint="eastAsia" w:ascii="宋体" w:hAnsi="宋体" w:cs="宋体"/>
                <w:b/>
                <w:color w:val="auto"/>
                <w:sz w:val="24"/>
                <w:lang w:val="en-US" w:eastAsia="zh-CN"/>
              </w:rPr>
              <w:t>.</w:t>
            </w:r>
            <w:r>
              <w:rPr>
                <w:rFonts w:hint="eastAsia" w:ascii="宋体" w:hAnsi="宋体" w:cs="宋体"/>
                <w:b/>
                <w:color w:val="auto"/>
                <w:sz w:val="24"/>
              </w:rPr>
              <w:t>节能、环境标志产品</w:t>
            </w:r>
          </w:p>
          <w:p>
            <w:pPr>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bCs/>
                <w:color w:val="auto"/>
                <w:sz w:val="24"/>
              </w:rPr>
              <w:t>4.1 按最新规定执行。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9885" w:type="dxa"/>
            <w:gridSpan w:val="4"/>
            <w:vAlign w:val="center"/>
          </w:tcPr>
          <w:p>
            <w:pPr>
              <w:keepNext w:val="0"/>
              <w:keepLines w:val="0"/>
              <w:pageBreakBefore w:val="0"/>
              <w:widowControl w:val="0"/>
              <w:kinsoku/>
              <w:wordWrap/>
              <w:overflowPunct/>
              <w:topLinePunct w:val="0"/>
              <w:autoSpaceDE/>
              <w:autoSpaceDN/>
              <w:bidi w:val="0"/>
              <w:adjustRightInd w:val="0"/>
              <w:snapToGrid/>
              <w:spacing w:line="360" w:lineRule="auto"/>
              <w:ind w:firstLine="0" w:firstLineChars="0"/>
              <w:jc w:val="left"/>
              <w:textAlignment w:val="auto"/>
              <w:rPr>
                <w:rFonts w:hint="eastAsia" w:ascii="宋体" w:hAnsi="宋体" w:cs="宋体"/>
                <w:bCs/>
                <w:color w:val="auto"/>
                <w:sz w:val="24"/>
              </w:rPr>
            </w:pPr>
            <w:r>
              <w:rPr>
                <w:rFonts w:hint="eastAsia" w:ascii="宋体" w:hAnsi="宋体" w:cs="宋体"/>
                <w:b/>
                <w:sz w:val="24"/>
                <w:highlight w:val="none"/>
                <w:lang w:val="en-US" w:eastAsia="zh-CN"/>
              </w:rPr>
              <w:t>6.采购代理服务费：</w:t>
            </w:r>
            <w:r>
              <w:rPr>
                <w:rFonts w:hint="eastAsia" w:ascii="宋体" w:hAnsi="宋体" w:cs="宋体"/>
                <w:b w:val="0"/>
                <w:bCs/>
                <w:sz w:val="24"/>
                <w:highlight w:val="none"/>
                <w:lang w:val="en-US" w:eastAsia="zh-CN"/>
              </w:rPr>
              <w:t>按《招标代理服务收费管理暂行办法》计价格[2002]1980号文和发改价格[2011]534号计算后价格的45%收取。</w:t>
            </w:r>
          </w:p>
        </w:tc>
      </w:tr>
    </w:tbl>
    <w:p>
      <w:pPr>
        <w:pStyle w:val="4"/>
        <w:jc w:val="center"/>
        <w:rPr>
          <w:rStyle w:val="53"/>
          <w:rFonts w:hint="eastAsia" w:ascii="宋体" w:hAnsi="宋体" w:eastAsia="宋体" w:cs="宋体"/>
          <w:b w:val="0"/>
          <w:bCs w:val="0"/>
          <w:color w:val="auto"/>
          <w:highlight w:val="none"/>
        </w:rPr>
      </w:pPr>
      <w:r>
        <w:rPr>
          <w:rFonts w:hint="eastAsia" w:ascii="宋体" w:hAnsi="宋体" w:eastAsia="宋体" w:cs="宋体"/>
          <w:color w:val="auto"/>
          <w:sz w:val="28"/>
          <w:szCs w:val="28"/>
          <w:highlight w:val="none"/>
        </w:rPr>
        <w:br w:type="page"/>
      </w:r>
      <w:bookmarkStart w:id="106" w:name="_Toc13823"/>
      <w:bookmarkStart w:id="107" w:name="_Toc30408"/>
      <w:bookmarkStart w:id="108" w:name="_Toc6101"/>
      <w:bookmarkStart w:id="109" w:name="_Toc2903"/>
      <w:bookmarkStart w:id="110" w:name="_Toc7385"/>
      <w:bookmarkStart w:id="111" w:name="_Toc24942"/>
      <w:bookmarkStart w:id="112" w:name="_Toc25804"/>
      <w:bookmarkStart w:id="113" w:name="_Toc12724"/>
      <w:bookmarkStart w:id="114" w:name="_Toc19817"/>
      <w:bookmarkStart w:id="115" w:name="_Toc1076"/>
      <w:bookmarkStart w:id="116" w:name="_Toc20802"/>
      <w:bookmarkStart w:id="117" w:name="_Toc29551"/>
      <w:bookmarkStart w:id="118" w:name="_Toc12215"/>
      <w:bookmarkStart w:id="119" w:name="_Toc17619"/>
      <w:bookmarkStart w:id="120" w:name="_Toc8230"/>
      <w:r>
        <w:rPr>
          <w:rStyle w:val="53"/>
          <w:rFonts w:hint="eastAsia" w:ascii="宋体" w:hAnsi="宋体" w:eastAsia="宋体" w:cs="宋体"/>
          <w:b/>
          <w:bCs/>
          <w:color w:val="auto"/>
          <w:highlight w:val="none"/>
        </w:rPr>
        <w:t>二、供应商须知正文部分</w:t>
      </w:r>
      <w:bookmarkEnd w:id="106"/>
      <w:bookmarkEnd w:id="107"/>
      <w:bookmarkEnd w:id="108"/>
      <w:bookmarkEnd w:id="109"/>
      <w:bookmarkEnd w:id="110"/>
      <w:bookmarkEnd w:id="111"/>
      <w:bookmarkEnd w:id="112"/>
      <w:bookmarkEnd w:id="113"/>
      <w:bookmarkEnd w:id="114"/>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121" w:name="_Toc859"/>
      <w:bookmarkStart w:id="122" w:name="_Toc20222"/>
      <w:bookmarkStart w:id="123" w:name="_Toc13768"/>
      <w:bookmarkStart w:id="124" w:name="_Toc27275"/>
      <w:bookmarkStart w:id="125" w:name="_Toc695"/>
      <w:bookmarkStart w:id="126" w:name="_Toc8051"/>
      <w:bookmarkStart w:id="127" w:name="_Toc26524"/>
      <w:bookmarkStart w:id="128" w:name="_Toc10285"/>
      <w:bookmarkStart w:id="129" w:name="_Toc19346"/>
      <w:bookmarkStart w:id="130" w:name="_Toc187226617"/>
      <w:bookmarkStart w:id="131" w:name="_Toc26849"/>
      <w:r>
        <w:rPr>
          <w:rFonts w:hint="eastAsia" w:ascii="宋体" w:hAnsi="宋体" w:eastAsia="宋体" w:cs="宋体"/>
          <w:color w:val="auto"/>
          <w:sz w:val="24"/>
          <w:szCs w:val="24"/>
          <w:highlight w:val="none"/>
        </w:rPr>
        <w:t>1. 总则</w:t>
      </w:r>
      <w:bookmarkEnd w:id="121"/>
      <w:bookmarkEnd w:id="122"/>
      <w:bookmarkEnd w:id="123"/>
      <w:bookmarkEnd w:id="124"/>
      <w:bookmarkEnd w:id="125"/>
      <w:bookmarkEnd w:id="126"/>
      <w:bookmarkEnd w:id="127"/>
      <w:bookmarkEnd w:id="128"/>
      <w:bookmarkEnd w:id="129"/>
      <w:bookmarkEnd w:id="130"/>
      <w:bookmarkEnd w:id="131"/>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项目概况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1.1.1根据《中华人民共和国政府采购法》等有关法律、法规和规章的规定，本采购项目已具备采购条件，现对本采购项目服务进行公开采购。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1.1.2 本</w:t>
      </w:r>
      <w:bookmarkStart w:id="132" w:name="_Hlk493779507"/>
      <w:r>
        <w:rPr>
          <w:rFonts w:hint="eastAsia" w:ascii="宋体" w:hAnsi="宋体" w:eastAsia="宋体" w:cs="宋体"/>
          <w:color w:val="auto"/>
          <w:sz w:val="24"/>
          <w:highlight w:val="none"/>
        </w:rPr>
        <w:t>采购项目</w:t>
      </w:r>
      <w:bookmarkEnd w:id="132"/>
      <w:r>
        <w:rPr>
          <w:rFonts w:hint="eastAsia" w:ascii="宋体" w:hAnsi="宋体" w:eastAsia="宋体" w:cs="宋体"/>
          <w:color w:val="auto"/>
          <w:sz w:val="24"/>
          <w:highlight w:val="none"/>
        </w:rPr>
        <w:t xml:space="preserve">采购人信息：见供应商须知前附表。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本次采购项目采购代理机构信息：见供应商须知前附表。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 本次采购项目名称：见供应商须知前附表。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资金来源和落实情况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本采购项目的资金来源：见供应商须知前附表。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本采购项目的出资比例：见供应商须知前附表。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本采购项目的资金落实情况：见供应商须知前附表。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 采购内容、</w:t>
      </w:r>
      <w:r>
        <w:rPr>
          <w:rFonts w:hint="eastAsia" w:ascii="宋体" w:hAnsi="宋体" w:eastAsia="宋体" w:cs="宋体"/>
          <w:color w:val="auto"/>
          <w:sz w:val="24"/>
          <w:highlight w:val="none"/>
          <w:lang w:eastAsia="zh-CN"/>
        </w:rPr>
        <w:t>合同履行期限（供货时间）</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质量要求</w:t>
      </w:r>
      <w:r>
        <w:rPr>
          <w:rFonts w:hint="eastAsia" w:ascii="宋体" w:hAnsi="宋体" w:eastAsia="宋体" w:cs="宋体"/>
          <w:color w:val="auto"/>
          <w:sz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本次采购内容：见供应商须知前附表。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 本次采购项目的</w:t>
      </w:r>
      <w:r>
        <w:rPr>
          <w:rFonts w:hint="eastAsia" w:ascii="宋体" w:hAnsi="宋体" w:eastAsia="宋体" w:cs="宋体"/>
          <w:color w:val="auto"/>
          <w:sz w:val="24"/>
          <w:highlight w:val="none"/>
          <w:lang w:eastAsia="zh-CN"/>
        </w:rPr>
        <w:t>合同履行期限</w:t>
      </w:r>
      <w:r>
        <w:rPr>
          <w:rFonts w:hint="eastAsia" w:ascii="宋体" w:hAnsi="宋体" w:eastAsia="宋体" w:cs="宋体"/>
          <w:color w:val="auto"/>
          <w:sz w:val="24"/>
          <w:highlight w:val="none"/>
        </w:rPr>
        <w:t xml:space="preserve">：见供应商须知前附表。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1.3.3 本次采购项目的</w:t>
      </w:r>
      <w:r>
        <w:rPr>
          <w:rFonts w:hint="eastAsia" w:ascii="宋体" w:hAnsi="宋体" w:eastAsia="宋体" w:cs="宋体"/>
          <w:color w:val="auto"/>
          <w:sz w:val="24"/>
          <w:highlight w:val="none"/>
          <w:lang w:val="en-US" w:eastAsia="zh-CN"/>
        </w:rPr>
        <w:t>供货地点</w:t>
      </w:r>
      <w:r>
        <w:rPr>
          <w:rFonts w:hint="eastAsia" w:ascii="宋体" w:hAnsi="宋体" w:eastAsia="宋体" w:cs="宋体"/>
          <w:color w:val="auto"/>
          <w:sz w:val="24"/>
          <w:highlight w:val="none"/>
        </w:rPr>
        <w:t>：见供应商须知前附表。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1.3.3 本次采购项目的</w:t>
      </w:r>
      <w:r>
        <w:rPr>
          <w:rFonts w:hint="eastAsia" w:ascii="宋体" w:hAnsi="宋体" w:eastAsia="宋体" w:cs="宋体"/>
          <w:color w:val="auto"/>
          <w:sz w:val="24"/>
          <w:highlight w:val="none"/>
          <w:lang w:eastAsia="zh-CN"/>
        </w:rPr>
        <w:t>质量要求</w:t>
      </w:r>
      <w:r>
        <w:rPr>
          <w:rFonts w:hint="eastAsia" w:ascii="宋体" w:hAnsi="宋体" w:eastAsia="宋体" w:cs="宋体"/>
          <w:color w:val="auto"/>
          <w:sz w:val="24"/>
          <w:highlight w:val="none"/>
        </w:rPr>
        <w:t>：见供应商须知前附表。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供应商资格要求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1.4.1供应商应具备履行本项目合同的资格条件。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（1）满足《中华人民共和国政府采购法》第二十二条规定：见供应商须知前附表。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（2）落实政府采购政策需满足的资格要求：见供应商须知前附表。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（3）本项目的特定资格要求：见供应商须知前附表。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1.4.2 供应商须知前附表规定接受联合体投标的，除应符合本章第1.4.1项和供应商须知前附表的要求外，还应遵守以下规定：</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（1）联合体各方应按采购文件提供的格式签订联合体协议书，明确联合体牵头人和各方权利义务；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（2）联合体中有同类资质的供应商按照联合体分工承担相同工作的，应当按照资质等级较低的供应商确定资质等级。</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（3）以联合体形式参加本次政府采购活动的，联合体各方不得再单独参加或者与其他供应商另外组成联合体参加本次政府采购活动。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1.4.3 供应商不得存在下列情形之一：</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（1）单位负责人为同一人或者存在直接控股、管理关系的不同供应商，不得参加本次政府采购活动。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（2）为本项目提供整体设计、规范编制或者项目管理、监理、检测等服务的供应商，不得再参加本次采购活动。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（3）在本次政府采购活动前3年内因违法经营被禁止在一定期限内参加政府采购活动，期限未满的，不得参加本次政府采购活动；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 费用承担</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供应商准备和参加投标活动发生的费用自理。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 保密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参与采购投标活动的各方应对采购文件和投标文件中的商业和技术等秘密保密，违者应对由此造成的后果承担法律责任。</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 语言文字</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除专用术语外，与采购投标有关的语言均使用中文。必要时专用术语应附有中文注释。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 计量单位</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所有计量均采用中华人民共和国法定计量单位。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 踏勘现场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1.9.1 供应商须知前附表规定组织踏勘现场的，采购人按供应商须知前附表规定的时间、地点组织供应商踏勘项目现场。</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供应商踏勘现场发生的费用自理。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 除采购人的原因外，供应商自行负责在踏勘现场中所发生的人员伤亡和财产损失。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 采购人在踏勘现场中介绍的场地和相关的周边环境情况，供供应商在编制投标文件时参考，采购人不对供应商据此作出的判断和决策负责。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 投标预备会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1.10.1供应商须知前附表规定召开投标预备会的，采购人按供应商须知前附表规定的时间和地点召开投标预备会，澄清供应商提出的问题。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1.10.2供应商应在供应商须知前附表规定的时间前，以书面形式将提出的问题送达采购人，以便采购人在会议期间澄清。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1.10.3投标预备会后，采购人在供应商须知前附表规定的时间内，将对供应商所提问题的澄清，以书面方式通知所有购买采购文件的供应商。该澄清内容为采购文件的组成部分。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1.11 分包</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供应商拟在中标后将中标项目的部分非主体、非关键性工作进行分包的，应符合供应商须知前附表规定的分包内容、分包金额和接受分包的第三人资质要求等限制性条件。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1.12 偏离</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供应商须知前附表允许投标文件偏离采购文件某些要求的，偏离应当符合采购文件规定的偏离范围和幅度。 </w: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133" w:name="_Toc13182"/>
      <w:bookmarkStart w:id="134" w:name="_Toc23762"/>
      <w:bookmarkStart w:id="135" w:name="_Toc30810"/>
      <w:bookmarkStart w:id="136" w:name="_Toc22915"/>
      <w:bookmarkStart w:id="137" w:name="_Toc17724"/>
      <w:bookmarkStart w:id="138" w:name="_Toc2890"/>
      <w:bookmarkStart w:id="139" w:name="_Toc4023"/>
      <w:bookmarkStart w:id="140" w:name="_Toc21596"/>
      <w:bookmarkStart w:id="141" w:name="_Toc12512"/>
      <w:bookmarkStart w:id="142" w:name="_Toc3624"/>
      <w:bookmarkStart w:id="143" w:name="_Toc187226618"/>
      <w:r>
        <w:rPr>
          <w:rFonts w:hint="eastAsia" w:ascii="宋体" w:hAnsi="宋体" w:eastAsia="宋体" w:cs="宋体"/>
          <w:color w:val="auto"/>
          <w:sz w:val="24"/>
          <w:szCs w:val="24"/>
          <w:highlight w:val="none"/>
        </w:rPr>
        <w:t>2. 采购文件</w:t>
      </w:r>
      <w:bookmarkEnd w:id="133"/>
      <w:bookmarkEnd w:id="134"/>
      <w:bookmarkEnd w:id="135"/>
      <w:bookmarkEnd w:id="136"/>
      <w:bookmarkEnd w:id="137"/>
      <w:bookmarkEnd w:id="138"/>
      <w:bookmarkEnd w:id="139"/>
      <w:bookmarkEnd w:id="140"/>
      <w:bookmarkEnd w:id="141"/>
      <w:bookmarkEnd w:id="142"/>
      <w:bookmarkEnd w:id="143"/>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采购文件的组成</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本采购文件包括：</w:t>
      </w:r>
    </w:p>
    <w:p>
      <w:pPr>
        <w:spacing w:line="360" w:lineRule="auto"/>
        <w:ind w:firstLine="480" w:firstLineChars="200"/>
        <w:rPr>
          <w:rFonts w:hint="eastAsia" w:ascii="宋体" w:hAnsi="宋体" w:eastAsia="宋体" w:cs="宋体"/>
          <w:color w:val="auto"/>
          <w:sz w:val="24"/>
          <w:highlight w:val="none"/>
        </w:rPr>
      </w:pPr>
      <w:bookmarkStart w:id="144" w:name="_Hlk491871038"/>
      <w:r>
        <w:rPr>
          <w:rFonts w:hint="eastAsia" w:ascii="宋体" w:hAnsi="宋体" w:eastAsia="宋体" w:cs="宋体"/>
          <w:color w:val="auto"/>
          <w:sz w:val="24"/>
          <w:highlight w:val="none"/>
        </w:rPr>
        <w:t>第一章</w:t>
      </w:r>
      <w:bookmarkEnd w:id="144"/>
      <w:r>
        <w:rPr>
          <w:rFonts w:hint="eastAsia" w:ascii="宋体" w:hAnsi="宋体" w:eastAsia="宋体" w:cs="宋体"/>
          <w:color w:val="auto"/>
          <w:sz w:val="24"/>
          <w:highlight w:val="none"/>
        </w:rPr>
        <w:t xml:space="preserve"> 招标公告；</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第二章 供应商须知；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第三章 评标办法及标准；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第四章 合同条款及格式；</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第五章 投标文件格式；</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第六章</w:t>
      </w:r>
      <w:r>
        <w:rPr>
          <w:rFonts w:hint="eastAsia" w:ascii="宋体" w:hAnsi="宋体" w:eastAsia="宋体" w:cs="宋体"/>
          <w:color w:val="auto"/>
          <w:sz w:val="24"/>
          <w:highlight w:val="none"/>
          <w:lang w:val="en-US" w:eastAsia="zh-CN"/>
        </w:rPr>
        <w:t xml:space="preserve"> 采购需求</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第七章 电子投标注意事项</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根据本章第 1.10款、第 2.2款和第 2.3款对采购文件所作的澄清、修改，构成采购文件的组成部分。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采购文件的澄清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供应商应仔细阅读和检查采购文件的全部内容。如发现缺页或附件不全，应及时向采购人提出，以便补齐。如有疑问，应在供应商须知前附表规定的时间前以供应商须知前附表规定的形式，要求采购人对采购文件予以澄清。</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 </w:t>
      </w:r>
      <w:r>
        <w:rPr>
          <w:rFonts w:hint="eastAsia" w:ascii="宋体" w:hAnsi="宋体" w:eastAsia="宋体" w:cs="宋体"/>
          <w:color w:val="auto"/>
          <w:kern w:val="0"/>
          <w:sz w:val="24"/>
          <w:highlight w:val="none"/>
        </w:rPr>
        <w:t>澄清或者修改的内容可能影响投标文件编制的，</w:t>
      </w:r>
      <w:r>
        <w:rPr>
          <w:rFonts w:hint="eastAsia" w:ascii="宋体" w:hAnsi="宋体" w:eastAsia="宋体" w:cs="宋体"/>
          <w:color w:val="auto"/>
          <w:sz w:val="24"/>
          <w:highlight w:val="none"/>
        </w:rPr>
        <w:t>采购文件的澄清将在</w:t>
      </w:r>
      <w:bookmarkStart w:id="145" w:name="_Hlk491876010"/>
      <w:r>
        <w:rPr>
          <w:rFonts w:hint="eastAsia" w:ascii="宋体" w:hAnsi="宋体" w:eastAsia="宋体" w:cs="宋体"/>
          <w:color w:val="auto"/>
          <w:sz w:val="24"/>
          <w:highlight w:val="none"/>
        </w:rPr>
        <w:t>供应商须知前附表规定</w:t>
      </w:r>
      <w:bookmarkEnd w:id="145"/>
      <w:r>
        <w:rPr>
          <w:rFonts w:hint="eastAsia" w:ascii="宋体" w:hAnsi="宋体" w:eastAsia="宋体" w:cs="宋体"/>
          <w:color w:val="auto"/>
          <w:sz w:val="24"/>
          <w:highlight w:val="none"/>
        </w:rPr>
        <w:t>的投标截止时间15天前以供应商须知前附表规定的形式发给所有供应商，但不指明澄清问题的来源。如果澄清发出的时间距投标截止时间不足15天，相应延长投标截止时间。</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2.2.3 供应商应按供应商须知前附表规定的形式及时查看澄清内容。</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 采购文件的修改</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 xml:space="preserve">2.3.1 </w:t>
      </w:r>
      <w:r>
        <w:rPr>
          <w:rFonts w:hint="eastAsia" w:ascii="宋体" w:hAnsi="宋体" w:eastAsia="宋体" w:cs="宋体"/>
          <w:color w:val="auto"/>
          <w:kern w:val="0"/>
          <w:sz w:val="24"/>
          <w:highlight w:val="none"/>
        </w:rPr>
        <w:t>采购人可以对已发出的采购文件进行必要的澄清或者修改，但不得改变采购标的和资格条件。澄清或者修改应当在原公告发布媒体上发布澄清公告。澄清或者修改的内容为采购文件的组成部分。</w:t>
      </w:r>
    </w:p>
    <w:p>
      <w:pPr>
        <w:spacing w:line="360" w:lineRule="auto"/>
        <w:ind w:firstLine="480" w:firstLineChars="200"/>
        <w:rPr>
          <w:rFonts w:hint="eastAsia" w:ascii="宋体" w:hAnsi="宋体" w:eastAsia="宋体" w:cs="宋体"/>
          <w:color w:val="auto"/>
          <w:sz w:val="24"/>
          <w:highlight w:val="none"/>
        </w:rPr>
      </w:pPr>
      <w:bookmarkStart w:id="146" w:name="_Hlk494377390"/>
      <w:r>
        <w:rPr>
          <w:rFonts w:hint="eastAsia" w:ascii="宋体" w:hAnsi="宋体" w:eastAsia="宋体" w:cs="宋体"/>
          <w:color w:val="auto"/>
          <w:kern w:val="0"/>
          <w:sz w:val="24"/>
          <w:highlight w:val="none"/>
        </w:rPr>
        <w:t>澄清或者修改的内容可能影响投标文件编制的，</w:t>
      </w:r>
      <w:bookmarkEnd w:id="146"/>
      <w:r>
        <w:rPr>
          <w:rFonts w:hint="eastAsia" w:ascii="宋体" w:hAnsi="宋体" w:eastAsia="宋体" w:cs="宋体"/>
          <w:color w:val="auto"/>
          <w:kern w:val="0"/>
          <w:sz w:val="24"/>
          <w:highlight w:val="none"/>
        </w:rPr>
        <w:t>采购人应当在</w:t>
      </w:r>
      <w:r>
        <w:rPr>
          <w:rFonts w:hint="eastAsia" w:ascii="宋体" w:hAnsi="宋体" w:eastAsia="宋体" w:cs="宋体"/>
          <w:color w:val="auto"/>
          <w:sz w:val="24"/>
          <w:highlight w:val="none"/>
        </w:rPr>
        <w:t>供应商须知前附表规定的</w:t>
      </w:r>
      <w:r>
        <w:rPr>
          <w:rFonts w:hint="eastAsia" w:ascii="宋体" w:hAnsi="宋体" w:eastAsia="宋体" w:cs="宋体"/>
          <w:color w:val="auto"/>
          <w:kern w:val="0"/>
          <w:sz w:val="24"/>
          <w:highlight w:val="none"/>
        </w:rPr>
        <w:t>投标截止时间至少15日前，以书面形式通知所有获取采购文件的供应商；不足15日的，采购人应当顺延提交投标文件的截止时间。</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 供应商应按供应商须知前附表规定的形式及时查看修改内容。 </w: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147" w:name="_Toc20311"/>
      <w:bookmarkStart w:id="148" w:name="_Toc18683"/>
      <w:bookmarkStart w:id="149" w:name="_Toc8004"/>
      <w:bookmarkStart w:id="150" w:name="_Toc15404"/>
      <w:bookmarkStart w:id="151" w:name="_Toc13727"/>
      <w:bookmarkStart w:id="152" w:name="_Toc3107"/>
      <w:bookmarkStart w:id="153" w:name="_Toc2421"/>
      <w:bookmarkStart w:id="154" w:name="_Toc19032"/>
      <w:bookmarkStart w:id="155" w:name="_Toc26453"/>
      <w:bookmarkStart w:id="156" w:name="_Toc5451"/>
      <w:bookmarkStart w:id="157" w:name="_Toc187226620"/>
      <w:bookmarkStart w:id="158" w:name="_Toc15384"/>
      <w:bookmarkStart w:id="159" w:name="_Toc31967"/>
      <w:bookmarkStart w:id="160" w:name="_Toc29663"/>
      <w:bookmarkStart w:id="161" w:name="_Toc20169"/>
      <w:bookmarkStart w:id="162" w:name="_Toc24950"/>
      <w:bookmarkStart w:id="163" w:name="_Toc17698"/>
      <w:bookmarkStart w:id="164" w:name="_Toc21231"/>
      <w:bookmarkStart w:id="165" w:name="_Toc187226619"/>
      <w:r>
        <w:rPr>
          <w:rFonts w:hint="eastAsia" w:ascii="宋体" w:hAnsi="宋体" w:eastAsia="宋体" w:cs="宋体"/>
          <w:color w:val="auto"/>
          <w:sz w:val="24"/>
          <w:szCs w:val="24"/>
          <w:highlight w:val="none"/>
        </w:rPr>
        <w:t>4. 投标</w:t>
      </w:r>
      <w:bookmarkEnd w:id="147"/>
      <w:bookmarkEnd w:id="148"/>
      <w:bookmarkEnd w:id="149"/>
      <w:bookmarkEnd w:id="150"/>
      <w:bookmarkEnd w:id="151"/>
      <w:bookmarkEnd w:id="152"/>
      <w:bookmarkEnd w:id="153"/>
      <w:bookmarkEnd w:id="154"/>
      <w:bookmarkEnd w:id="155"/>
      <w:bookmarkEnd w:id="156"/>
      <w:bookmarkEnd w:id="157"/>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4.1 投标文件的递交</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 供应商应在本章第2.2.2项规定的投标截止时间前递交投标文件。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4.1.2 供应商递交投标文件的地点：见供应商须知前附表。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4.1.3 除供应商须知前附表另有规定外，供应商所递交的投标文件不予退还。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4.1.4 逾期未完成上传的或者开标时无法读取导入或解密的投标文件，采购人不予受理。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投标文件的修改与撤回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4.2.1 在本章供应商须知前附表第2.2.2项规定的投标截止时间前，供应商可以修改或撤回已递交的投标文件。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4.3电子投标文件报送要求：详见采购文件第七章。 </w: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166" w:name="_Toc511"/>
      <w:bookmarkStart w:id="167" w:name="_Toc24575"/>
      <w:bookmarkStart w:id="168" w:name="_Toc10409"/>
      <w:r>
        <w:rPr>
          <w:rFonts w:hint="eastAsia" w:ascii="宋体" w:hAnsi="宋体" w:eastAsia="宋体" w:cs="宋体"/>
          <w:color w:val="auto"/>
          <w:sz w:val="24"/>
          <w:szCs w:val="24"/>
          <w:highlight w:val="none"/>
        </w:rPr>
        <w:t>3. 投标文件</w:t>
      </w:r>
      <w:bookmarkEnd w:id="158"/>
      <w:bookmarkEnd w:id="159"/>
      <w:bookmarkEnd w:id="160"/>
      <w:bookmarkEnd w:id="161"/>
      <w:bookmarkEnd w:id="162"/>
      <w:bookmarkEnd w:id="163"/>
      <w:bookmarkEnd w:id="164"/>
      <w:bookmarkEnd w:id="165"/>
      <w:bookmarkEnd w:id="166"/>
      <w:bookmarkEnd w:id="167"/>
      <w:bookmarkEnd w:id="168"/>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投标文件的组成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3.1.1投标文件应包括下列内容：</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一、投标报价一览表</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二、投标函及投标函附录</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lang w:eastAsia="zh-CN"/>
        </w:rPr>
        <w:t>、投标人信息表</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lang w:eastAsia="zh-CN"/>
        </w:rPr>
        <w:t>、法定代表人身份证明和授权委托书</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lang w:eastAsia="zh-CN"/>
        </w:rPr>
        <w:t>、投标报价明细表</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六</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技术商务部分</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七</w:t>
      </w:r>
      <w:r>
        <w:rPr>
          <w:rFonts w:hint="eastAsia" w:ascii="宋体" w:hAnsi="宋体" w:eastAsia="宋体" w:cs="宋体"/>
          <w:color w:val="auto"/>
          <w:sz w:val="24"/>
          <w:highlight w:val="none"/>
          <w:lang w:eastAsia="zh-CN"/>
        </w:rPr>
        <w:t>、资格审查资料</w:t>
      </w:r>
    </w:p>
    <w:p>
      <w:pPr>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八</w:t>
      </w:r>
      <w:r>
        <w:rPr>
          <w:rFonts w:hint="eastAsia" w:ascii="宋体" w:hAnsi="宋体" w:eastAsia="宋体" w:cs="宋体"/>
          <w:color w:val="auto"/>
          <w:sz w:val="24"/>
          <w:highlight w:val="none"/>
          <w:lang w:eastAsia="zh-CN"/>
        </w:rPr>
        <w:t>、采购文件要求或供应商认为需要的其他材料</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供应商须知前附表规定不接受联合体投标的，或供应商没有组成联合体的，投标文件不包括本章第1.4.2款所指的联合体协议书。 </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投标报价 </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3.2.1 供应商应按第五章“投标文件格式”的要求填写</w:t>
      </w:r>
      <w:r>
        <w:rPr>
          <w:rFonts w:hint="eastAsia" w:ascii="宋体" w:hAnsi="宋体" w:cs="宋体"/>
          <w:color w:val="auto"/>
          <w:sz w:val="24"/>
          <w:highlight w:val="none"/>
          <w:lang w:val="en-US" w:eastAsia="zh-CN"/>
        </w:rPr>
        <w:t>报价</w:t>
      </w:r>
      <w:r>
        <w:rPr>
          <w:rFonts w:hint="eastAsia" w:ascii="宋体" w:hAnsi="宋体" w:eastAsia="宋体" w:cs="宋体"/>
          <w:color w:val="auto"/>
          <w:sz w:val="24"/>
          <w:highlight w:val="none"/>
        </w:rPr>
        <w:t>相应表格</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报价保留两位小数点</w:t>
      </w:r>
      <w:r>
        <w:rPr>
          <w:rFonts w:hint="eastAsia" w:ascii="宋体" w:hAnsi="宋体" w:eastAsia="宋体" w:cs="宋体"/>
          <w:color w:val="auto"/>
          <w:sz w:val="24"/>
          <w:highlight w:val="none"/>
        </w:rPr>
        <w:t>。</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3.2.2 供应商在投标截止时间前修改投标函中的投标总报价，应同时修改第五章“投标文件格式”中的相应报价。此修改须符合本章第 4.3款的有关要求。</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3.2.3供应商的投标报价包括项目实施过程中</w:t>
      </w:r>
      <w:r>
        <w:rPr>
          <w:rFonts w:hint="eastAsia" w:ascii="宋体" w:hAnsi="宋体" w:eastAsia="宋体" w:cs="宋体"/>
          <w:color w:val="auto"/>
          <w:sz w:val="24"/>
          <w:highlight w:val="none"/>
          <w:lang w:eastAsia="zh-CN"/>
        </w:rPr>
        <w:t>材料、设备、运输、服务费用、税金、管理费、合理利润、服务人员</w:t>
      </w:r>
      <w:r>
        <w:rPr>
          <w:rFonts w:hint="eastAsia" w:ascii="宋体" w:hAnsi="宋体" w:eastAsia="宋体" w:cs="宋体"/>
          <w:color w:val="auto"/>
          <w:sz w:val="24"/>
          <w:highlight w:val="none"/>
        </w:rPr>
        <w:t>等所有费用。</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 投标有效期</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3.3.1 在供应商须知前附表规定的投标有效期内，供应商不得要求撤销或修改其投标文件。</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3.3.2出现特殊情况需要延长投标有效期的，采购人以书面形式通知所有供应商延长投标有效期。</w:t>
      </w:r>
    </w:p>
    <w:p>
      <w:pPr>
        <w:spacing w:line="336"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3.4 投标保证金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本项目不要求缴纳投标保证金。</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 资格审查资料：具体要求见第三章评标办法（综合评分法）资格性评审标准。</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3.6 备选投标方案</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除供应商须知前附表另有规定外，供应商不得递交备选投标方案。 </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 投标文件的编制 </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3.7.1投标文件应按第五章“投标文件格式”进行编写，如有必要，可以增加附页，作为投标文件的组成部分。其中，投标函附录在满足采购文件实质性要求的基础上，可以提出比采购文件要求更有利于采购人的承诺</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未按要求编写投标文件，可能导致符合性评审不通过</w:t>
      </w:r>
      <w:r>
        <w:rPr>
          <w:rFonts w:hint="eastAsia" w:ascii="宋体" w:hAnsi="宋体" w:eastAsia="宋体" w:cs="宋体"/>
          <w:color w:val="auto"/>
          <w:sz w:val="24"/>
          <w:highlight w:val="none"/>
        </w:rPr>
        <w:t>。</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3.7.2 投标文件应当对采购文件有关</w:t>
      </w:r>
      <w:r>
        <w:rPr>
          <w:rFonts w:hint="eastAsia" w:ascii="宋体" w:hAnsi="宋体" w:eastAsia="宋体" w:cs="宋体"/>
          <w:color w:val="auto"/>
          <w:sz w:val="24"/>
          <w:highlight w:val="none"/>
          <w:lang w:eastAsia="zh-CN"/>
        </w:rPr>
        <w:t>合同履行期限（供货时间）</w:t>
      </w:r>
      <w:r>
        <w:rPr>
          <w:rFonts w:hint="eastAsia" w:ascii="宋体" w:hAnsi="宋体" w:eastAsia="宋体" w:cs="宋体"/>
          <w:color w:val="auto"/>
          <w:sz w:val="24"/>
          <w:highlight w:val="none"/>
        </w:rPr>
        <w:t>、投标有效期、质量要求、技术标准和要求、采购范围等实质性内容作出响应。</w:t>
      </w:r>
    </w:p>
    <w:p>
      <w:pPr>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3.7.3电子投标文件编制：详见采购文件第七章。</w: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169" w:name="_Toc16962"/>
      <w:bookmarkStart w:id="170" w:name="_Toc4849"/>
      <w:bookmarkStart w:id="171" w:name="_Toc32323"/>
      <w:bookmarkStart w:id="172" w:name="_Toc21712"/>
      <w:bookmarkStart w:id="173" w:name="_Toc12685"/>
      <w:bookmarkStart w:id="174" w:name="_Toc417"/>
      <w:bookmarkStart w:id="175" w:name="_Toc22303"/>
      <w:bookmarkStart w:id="176" w:name="_Toc2865"/>
      <w:bookmarkStart w:id="177" w:name="_Toc2915"/>
      <w:bookmarkStart w:id="178" w:name="_Toc187226621"/>
      <w:bookmarkStart w:id="179" w:name="_Toc17434"/>
      <w:r>
        <w:rPr>
          <w:rFonts w:hint="eastAsia" w:ascii="宋体" w:hAnsi="宋体" w:eastAsia="宋体" w:cs="宋体"/>
          <w:color w:val="auto"/>
          <w:sz w:val="24"/>
          <w:szCs w:val="24"/>
          <w:highlight w:val="none"/>
        </w:rPr>
        <w:t>5. 开标</w:t>
      </w:r>
      <w:bookmarkEnd w:id="169"/>
      <w:bookmarkEnd w:id="170"/>
      <w:bookmarkEnd w:id="171"/>
      <w:bookmarkEnd w:id="172"/>
      <w:bookmarkEnd w:id="173"/>
      <w:bookmarkEnd w:id="174"/>
      <w:bookmarkEnd w:id="175"/>
      <w:bookmarkEnd w:id="176"/>
      <w:bookmarkEnd w:id="177"/>
      <w:bookmarkEnd w:id="178"/>
      <w:bookmarkEnd w:id="179"/>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5.1 开标时间</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地点和</w:t>
      </w:r>
      <w:r>
        <w:rPr>
          <w:rFonts w:hint="eastAsia" w:ascii="宋体" w:hAnsi="宋体" w:eastAsia="宋体" w:cs="宋体"/>
          <w:color w:val="auto"/>
          <w:sz w:val="24"/>
          <w:highlight w:val="none"/>
          <w:lang w:val="en-US" w:eastAsia="zh-CN"/>
        </w:rPr>
        <w:t>方式</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采购人在本章第2.2.2项规定的投标截止时间（开标时间）和供应商须知前附表规定的地点</w:t>
      </w:r>
      <w:r>
        <w:rPr>
          <w:rFonts w:hint="eastAsia" w:ascii="宋体" w:hAnsi="宋体" w:eastAsia="宋体" w:cs="宋体"/>
          <w:color w:val="auto"/>
          <w:sz w:val="24"/>
          <w:highlight w:val="none"/>
          <w:lang w:val="en-US" w:eastAsia="zh-CN"/>
        </w:rPr>
        <w:t>和方式</w:t>
      </w:r>
      <w:r>
        <w:rPr>
          <w:rFonts w:hint="eastAsia" w:ascii="宋体" w:hAnsi="宋体" w:eastAsia="宋体" w:cs="宋体"/>
          <w:color w:val="auto"/>
          <w:sz w:val="24"/>
          <w:highlight w:val="none"/>
        </w:rPr>
        <w:t>公开开标，并邀请所有供应商的</w:t>
      </w:r>
      <w:r>
        <w:rPr>
          <w:rFonts w:hint="eastAsia" w:ascii="宋体" w:hAnsi="宋体" w:eastAsia="宋体" w:cs="宋体"/>
          <w:color w:val="auto"/>
          <w:sz w:val="24"/>
          <w:highlight w:val="none"/>
          <w:lang w:val="en-US" w:eastAsia="zh-CN"/>
        </w:rPr>
        <w:t>代表</w:t>
      </w:r>
      <w:r>
        <w:rPr>
          <w:rFonts w:hint="eastAsia" w:ascii="宋体" w:hAnsi="宋体" w:eastAsia="宋体" w:cs="宋体"/>
          <w:color w:val="auto"/>
          <w:sz w:val="24"/>
          <w:highlight w:val="none"/>
        </w:rPr>
        <w:t>准时</w:t>
      </w:r>
      <w:r>
        <w:rPr>
          <w:rFonts w:hint="eastAsia" w:ascii="宋体" w:hAnsi="宋体" w:eastAsia="宋体" w:cs="宋体"/>
          <w:color w:val="auto"/>
          <w:sz w:val="24"/>
          <w:highlight w:val="none"/>
          <w:lang w:val="en-US" w:eastAsia="zh-CN"/>
        </w:rPr>
        <w:t>网上</w:t>
      </w:r>
      <w:r>
        <w:rPr>
          <w:rFonts w:hint="eastAsia" w:ascii="宋体" w:hAnsi="宋体" w:eastAsia="宋体" w:cs="宋体"/>
          <w:color w:val="auto"/>
          <w:sz w:val="24"/>
          <w:highlight w:val="none"/>
        </w:rPr>
        <w:t>参加</w:t>
      </w:r>
      <w:r>
        <w:rPr>
          <w:rFonts w:hint="eastAsia" w:ascii="宋体" w:hAnsi="宋体" w:eastAsia="宋体" w:cs="宋体"/>
          <w:color w:val="auto"/>
          <w:highlight w:val="none"/>
        </w:rPr>
        <w:t>开标</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5.2 开标程序</w:t>
      </w:r>
    </w:p>
    <w:p>
      <w:pPr>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object>
          <v:shape id="_x0000_i1025" o:spt="75" type="#_x0000_t75" style="height:402pt;width:412.6pt;" o:ole="t" filled="f" o:preferrelative="t" stroked="f" coordsize="21600,21600">
            <v:path/>
            <v:fill on="f" focussize="0,0"/>
            <v:stroke on="f"/>
            <v:imagedata r:id="rId10" o:title=""/>
            <o:lock v:ext="edit" aspectratio="t"/>
            <w10:wrap type="none"/>
            <w10:anchorlock/>
          </v:shape>
          <o:OLEObject Type="Embed" ProgID="Visio.Drawing.15" ShapeID="_x0000_i1025" DrawAspect="Content" ObjectID="_1468075725" r:id="rId9">
            <o:LockedField>false</o:LockedField>
          </o:OLEObject>
        </w:objec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180" w:name="_Toc5319"/>
      <w:bookmarkStart w:id="181" w:name="_Toc16059"/>
      <w:bookmarkStart w:id="182" w:name="_Toc10427"/>
      <w:bookmarkStart w:id="183" w:name="_Toc22979"/>
      <w:bookmarkStart w:id="184" w:name="_Toc30950"/>
      <w:bookmarkStart w:id="185" w:name="_Toc27284"/>
      <w:bookmarkStart w:id="186" w:name="_Toc2040"/>
      <w:bookmarkStart w:id="187" w:name="_Toc30262"/>
      <w:bookmarkStart w:id="188" w:name="_Toc31502"/>
      <w:bookmarkStart w:id="189" w:name="_Toc14769"/>
      <w:r>
        <w:rPr>
          <w:rFonts w:hint="eastAsia" w:ascii="宋体" w:hAnsi="宋体" w:eastAsia="宋体" w:cs="宋体"/>
          <w:color w:val="auto"/>
          <w:sz w:val="24"/>
          <w:szCs w:val="24"/>
          <w:highlight w:val="none"/>
        </w:rPr>
        <w:t>6. 评标</w:t>
      </w:r>
      <w:bookmarkEnd w:id="180"/>
      <w:bookmarkEnd w:id="181"/>
      <w:bookmarkEnd w:id="182"/>
      <w:bookmarkEnd w:id="183"/>
      <w:bookmarkEnd w:id="184"/>
      <w:bookmarkEnd w:id="185"/>
      <w:bookmarkEnd w:id="186"/>
      <w:bookmarkEnd w:id="187"/>
      <w:bookmarkEnd w:id="188"/>
      <w:bookmarkEnd w:id="189"/>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评标委员会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6.1.1 </w:t>
      </w:r>
      <w:r>
        <w:rPr>
          <w:rFonts w:hint="eastAsia"/>
          <w:color w:val="auto"/>
          <w:sz w:val="24"/>
          <w:szCs w:val="21"/>
          <w:highlight w:val="none"/>
        </w:rPr>
        <w:t>评标由采购人依法组建的评标委员会负责。</w:t>
      </w:r>
      <w:r>
        <w:rPr>
          <w:rFonts w:hint="eastAsia"/>
          <w:color w:val="auto"/>
          <w:sz w:val="24"/>
          <w:szCs w:val="21"/>
          <w:highlight w:val="none"/>
          <w:lang w:eastAsia="zh-CN"/>
        </w:rPr>
        <w:t>评审</w:t>
      </w:r>
      <w:r>
        <w:rPr>
          <w:rFonts w:hint="eastAsia"/>
          <w:color w:val="auto"/>
          <w:sz w:val="24"/>
          <w:szCs w:val="21"/>
          <w:highlight w:val="none"/>
        </w:rPr>
        <w:t xml:space="preserve">小组由采购人的代表和有关技术、经济等方面的专家组成，成员人数应当为 </w:t>
      </w:r>
      <w:r>
        <w:rPr>
          <w:rFonts w:hint="eastAsia"/>
          <w:color w:val="auto"/>
          <w:sz w:val="24"/>
          <w:szCs w:val="21"/>
          <w:highlight w:val="none"/>
          <w:lang w:val="en-US" w:eastAsia="zh-CN"/>
        </w:rPr>
        <w:t>5</w:t>
      </w:r>
      <w:r>
        <w:rPr>
          <w:rFonts w:hint="eastAsia"/>
          <w:color w:val="auto"/>
          <w:sz w:val="24"/>
          <w:szCs w:val="21"/>
          <w:highlight w:val="none"/>
        </w:rPr>
        <w:t xml:space="preserve"> 人以上单数。其中，技术、经济等方面的专家不得少于成员总数的三分之二。</w:t>
      </w:r>
      <w:r>
        <w:rPr>
          <w:rFonts w:hint="eastAsia"/>
          <w:color w:val="auto"/>
          <w:sz w:val="24"/>
          <w:szCs w:val="21"/>
          <w:highlight w:val="none"/>
          <w:lang w:eastAsia="zh-CN"/>
        </w:rPr>
        <w:t>评审</w:t>
      </w:r>
      <w:r>
        <w:rPr>
          <w:rFonts w:hint="eastAsia"/>
          <w:color w:val="auto"/>
          <w:sz w:val="24"/>
          <w:szCs w:val="21"/>
          <w:highlight w:val="none"/>
        </w:rPr>
        <w:t>小组应当推选组长，但采购人代表不得担任组长。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6.1.2 评标委员会成员有下列情形之一的，应当回避：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（1）采购人或供应商的主要负责人的近亲属；</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（2）项目主管部门或者行政监督部门的人员；</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（3）与供应商有经济利益关系，可能影响对投标公正评审的；</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（4）曾因在采购、评标以及其他与采购投标有关活动中从事违法行为而受过行政处罚或刑事处罚的。</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 评标原则</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评标活动遵循客观、公正、审慎的原则。</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6.3 评标</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评标委员会按照第三章“评标办法”规定的方法、评审因素、标准和程序对投标文件进行评审。第三章“评标办法”没有规定的方法、评审因素和标准，不作为评标依据。  </w: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190" w:name="_Toc168"/>
      <w:bookmarkStart w:id="191" w:name="_Toc28227"/>
      <w:bookmarkStart w:id="192" w:name="_Toc27683"/>
      <w:bookmarkStart w:id="193" w:name="_Toc187226623"/>
      <w:bookmarkStart w:id="194" w:name="_Toc27591"/>
      <w:bookmarkStart w:id="195" w:name="_Toc16570"/>
      <w:bookmarkStart w:id="196" w:name="_Toc28239"/>
      <w:bookmarkStart w:id="197" w:name="_Toc20149"/>
      <w:bookmarkStart w:id="198" w:name="_Toc8555"/>
      <w:bookmarkStart w:id="199" w:name="_Toc1044"/>
      <w:bookmarkStart w:id="200" w:name="_Toc3620"/>
      <w:bookmarkStart w:id="201" w:name="_Toc187226622"/>
      <w:r>
        <w:rPr>
          <w:rFonts w:hint="eastAsia" w:ascii="宋体" w:hAnsi="宋体" w:eastAsia="宋体" w:cs="宋体"/>
          <w:color w:val="auto"/>
          <w:sz w:val="24"/>
          <w:szCs w:val="24"/>
          <w:highlight w:val="none"/>
        </w:rPr>
        <w:t>7. 合同授予</w:t>
      </w:r>
      <w:bookmarkEnd w:id="190"/>
      <w:bookmarkEnd w:id="191"/>
      <w:bookmarkEnd w:id="192"/>
      <w:bookmarkEnd w:id="193"/>
      <w:bookmarkEnd w:id="194"/>
      <w:bookmarkEnd w:id="195"/>
      <w:bookmarkEnd w:id="196"/>
      <w:bookmarkEnd w:id="197"/>
      <w:bookmarkEnd w:id="198"/>
      <w:bookmarkEnd w:id="199"/>
      <w:bookmarkEnd w:id="200"/>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7.1 定标方式</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除供应商须知前附表规定评标委员会直接确定中标人外，采购人依据评标委员会推荐的中标候选人确定中标人，评标委员会推荐中标候选人的人数见供应商须知前附表。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原则上选择第一中标候选人为中标供应商。第一中标候选人放弃供应资格的，按照排名选择第二名，第二中标候选人放弃供应资格的，按照排名选择第三名，第三中标候选人放弃供应资格的，招标人重新组织招标。出现某一中标候选人提出放弃供应资格的，采购单位也可直接重新组织招标。</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7.2 中标通知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在本章第3.3款规定的投标有效期内，采购人以书面形式向中标人发出中标通知书，同时将中标结果通知未中标的供应商。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履约担保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7.3.1在签订合同前，中标人应按供应商须知前附表规定的金额、形式和采购文件第四章“合同条款及格式”规定的履约担保格式向采购人提交履约担保。联合体中标的，其履约担保由牵头人递交，并应符合供应商须知前附表规定的金额、担保形式和采购文件第四章“合同条款及格式”规定的履约担保格式要求。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7.3.2 中标人不能按本章第7.3.1项要求提交履约担保的，视为放弃中标，给采购人造成的损失中标人应当予以赔偿。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签订合同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7.4.1采购人和中标人应当自中标通知书发出之日起30天内，根据采购文件和中标人的投标文件订立书面合同。中标人无正当理由拒签合同的，采购人取消其中标资格；给采购人造成的损失中标人应当予以赔偿。</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7.4.2 发出中标通知书后，采购人无正当理由拒签合同，给中标人造成损失的，还应当赔偿损失。 </w:t>
      </w:r>
    </w:p>
    <w:bookmarkEnd w:id="201"/>
    <w:p>
      <w:pPr>
        <w:pStyle w:val="4"/>
        <w:spacing w:before="0" w:after="0" w:line="360" w:lineRule="auto"/>
        <w:ind w:firstLine="482" w:firstLineChars="200"/>
        <w:rPr>
          <w:rFonts w:hint="eastAsia" w:ascii="宋体" w:hAnsi="宋体" w:eastAsia="宋体" w:cs="宋体"/>
          <w:color w:val="auto"/>
          <w:sz w:val="24"/>
          <w:szCs w:val="24"/>
          <w:highlight w:val="none"/>
        </w:rPr>
      </w:pPr>
      <w:bookmarkStart w:id="202" w:name="_Toc187226624"/>
      <w:bookmarkStart w:id="203" w:name="_Toc28925"/>
      <w:bookmarkStart w:id="204" w:name="_Toc15743"/>
      <w:bookmarkStart w:id="205" w:name="_Toc5927"/>
      <w:bookmarkStart w:id="206" w:name="_Toc28576"/>
      <w:bookmarkStart w:id="207" w:name="_Toc24259"/>
      <w:bookmarkStart w:id="208" w:name="_Toc20783"/>
      <w:bookmarkStart w:id="209" w:name="_Toc11445"/>
      <w:bookmarkStart w:id="210" w:name="_Toc23634"/>
      <w:bookmarkStart w:id="211" w:name="_Toc12435"/>
      <w:bookmarkStart w:id="212" w:name="_Toc20894"/>
      <w:r>
        <w:rPr>
          <w:rFonts w:hint="eastAsia" w:ascii="宋体" w:hAnsi="宋体" w:eastAsia="宋体" w:cs="宋体"/>
          <w:color w:val="auto"/>
          <w:sz w:val="24"/>
          <w:szCs w:val="24"/>
          <w:highlight w:val="none"/>
        </w:rPr>
        <w:t>8. 重新采购和</w:t>
      </w:r>
      <w:bookmarkEnd w:id="202"/>
      <w:r>
        <w:rPr>
          <w:rFonts w:hint="eastAsia" w:ascii="宋体" w:hAnsi="宋体" w:eastAsia="宋体" w:cs="宋体"/>
          <w:color w:val="auto"/>
          <w:sz w:val="24"/>
          <w:szCs w:val="24"/>
          <w:highlight w:val="none"/>
        </w:rPr>
        <w:t>变更采购方式</w:t>
      </w:r>
      <w:bookmarkEnd w:id="203"/>
      <w:bookmarkEnd w:id="204"/>
      <w:bookmarkEnd w:id="205"/>
      <w:bookmarkEnd w:id="206"/>
      <w:bookmarkEnd w:id="207"/>
      <w:bookmarkEnd w:id="208"/>
      <w:bookmarkEnd w:id="209"/>
      <w:bookmarkEnd w:id="210"/>
      <w:bookmarkEnd w:id="211"/>
      <w:bookmarkEnd w:id="212"/>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公开采购数额标准以上的采购项目，投标截止后供应商不足3家或者通过资格审查或符合性审查的供应商不足3家的，除采购任务取消情形外，按照以下方式处理：</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（一）采购文件存在不合理条款或者采购程序不符合规定的，采购人、采购代理机构改正后依法重新采购；</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（二）采购文件没有不合理条款、采购程序符合规定，需要采用其他采购方式采购的，采购人应当依法报</w:t>
      </w:r>
      <w:r>
        <w:rPr>
          <w:rFonts w:hint="eastAsia" w:ascii="宋体" w:hAnsi="宋体" w:cs="宋体"/>
          <w:color w:val="auto"/>
          <w:kern w:val="0"/>
          <w:sz w:val="24"/>
          <w:highlight w:val="none"/>
          <w:lang w:eastAsia="zh-CN"/>
        </w:rPr>
        <w:t>监督</w:t>
      </w:r>
      <w:r>
        <w:rPr>
          <w:rFonts w:hint="eastAsia" w:ascii="宋体" w:hAnsi="宋体" w:eastAsia="宋体" w:cs="宋体"/>
          <w:color w:val="auto"/>
          <w:kern w:val="0"/>
          <w:sz w:val="24"/>
          <w:highlight w:val="none"/>
        </w:rPr>
        <w:t>部门批准。</w: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213" w:name="_Toc29525"/>
      <w:bookmarkStart w:id="214" w:name="_Toc27785"/>
      <w:bookmarkStart w:id="215" w:name="_Toc27170"/>
      <w:bookmarkStart w:id="216" w:name="_Toc28340"/>
      <w:bookmarkStart w:id="217" w:name="_Toc16737"/>
      <w:bookmarkStart w:id="218" w:name="_Toc10953"/>
      <w:bookmarkStart w:id="219" w:name="_Toc31779"/>
      <w:bookmarkStart w:id="220" w:name="_Toc21119"/>
      <w:bookmarkStart w:id="221" w:name="_Toc27786"/>
      <w:bookmarkStart w:id="222" w:name="_Toc3763"/>
      <w:bookmarkStart w:id="223" w:name="_Toc187226625"/>
      <w:r>
        <w:rPr>
          <w:rFonts w:hint="eastAsia" w:ascii="宋体" w:hAnsi="宋体" w:eastAsia="宋体" w:cs="宋体"/>
          <w:color w:val="auto"/>
          <w:sz w:val="24"/>
          <w:szCs w:val="24"/>
          <w:highlight w:val="none"/>
        </w:rPr>
        <w:t>9. 纪律和监督</w:t>
      </w:r>
      <w:bookmarkEnd w:id="213"/>
      <w:bookmarkEnd w:id="214"/>
      <w:bookmarkEnd w:id="215"/>
      <w:bookmarkEnd w:id="216"/>
      <w:bookmarkEnd w:id="217"/>
      <w:bookmarkEnd w:id="218"/>
      <w:bookmarkEnd w:id="219"/>
      <w:bookmarkEnd w:id="220"/>
      <w:bookmarkEnd w:id="221"/>
      <w:bookmarkEnd w:id="222"/>
      <w:bookmarkEnd w:id="223"/>
      <w:r>
        <w:rPr>
          <w:rFonts w:hint="eastAsia" w:ascii="宋体" w:hAnsi="宋体" w:eastAsia="宋体" w:cs="宋体"/>
          <w:color w:val="auto"/>
          <w:sz w:val="24"/>
          <w:szCs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9.1 对采购人的纪律要求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采购人不得泄漏采购投标活动中应当保密的情况和资料，不得与供应商串通损害国家利益、社会公共利益或者他人合法权益。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9.2 对供应商的纪律要求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9.3 对评标委员会成员的纪律要求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9.4 对与评标活动有关的工作人员的纪律要求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9.5 投诉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供应商和其他利害关系人认为本次采购活动违反法律、法规和规章规定的，有权向有关行政监督部门投诉。</w:t>
      </w:r>
    </w:p>
    <w:p>
      <w:pPr>
        <w:pStyle w:val="4"/>
        <w:spacing w:before="0" w:after="0" w:line="360" w:lineRule="auto"/>
        <w:ind w:firstLine="482" w:firstLineChars="200"/>
        <w:rPr>
          <w:rFonts w:hint="eastAsia" w:ascii="宋体" w:hAnsi="宋体" w:eastAsia="宋体" w:cs="宋体"/>
          <w:color w:val="auto"/>
          <w:sz w:val="24"/>
          <w:szCs w:val="24"/>
          <w:highlight w:val="none"/>
        </w:rPr>
      </w:pPr>
      <w:bookmarkStart w:id="224" w:name="_Toc187226626"/>
      <w:bookmarkStart w:id="225" w:name="_Toc2768"/>
      <w:bookmarkStart w:id="226" w:name="_Toc17629"/>
      <w:bookmarkStart w:id="227" w:name="_Toc26851"/>
      <w:bookmarkStart w:id="228" w:name="_Toc23266"/>
      <w:bookmarkStart w:id="229" w:name="_Toc22066"/>
      <w:bookmarkStart w:id="230" w:name="_Toc22373"/>
      <w:bookmarkStart w:id="231" w:name="_Toc17492"/>
      <w:bookmarkStart w:id="232" w:name="_Toc17951"/>
      <w:bookmarkStart w:id="233" w:name="_Toc25414"/>
      <w:bookmarkStart w:id="234" w:name="_Toc25232"/>
      <w:r>
        <w:rPr>
          <w:rFonts w:hint="eastAsia" w:ascii="宋体" w:hAnsi="宋体" w:eastAsia="宋体" w:cs="宋体"/>
          <w:color w:val="auto"/>
          <w:sz w:val="24"/>
          <w:szCs w:val="24"/>
          <w:highlight w:val="none"/>
        </w:rPr>
        <w:t>10. 需要补充的其他内容</w:t>
      </w:r>
      <w:bookmarkEnd w:id="224"/>
      <w:bookmarkEnd w:id="225"/>
      <w:bookmarkEnd w:id="226"/>
      <w:bookmarkEnd w:id="227"/>
      <w:bookmarkEnd w:id="228"/>
      <w:bookmarkEnd w:id="229"/>
      <w:bookmarkEnd w:id="230"/>
      <w:bookmarkEnd w:id="231"/>
      <w:bookmarkEnd w:id="232"/>
      <w:bookmarkEnd w:id="233"/>
      <w:bookmarkEnd w:id="234"/>
    </w:p>
    <w:p>
      <w:pPr>
        <w:spacing w:line="360" w:lineRule="auto"/>
        <w:ind w:firstLine="480" w:firstLineChars="200"/>
        <w:jc w:val="center"/>
        <w:rPr>
          <w:rFonts w:hint="eastAsia" w:ascii="宋体" w:hAnsi="宋体" w:eastAsia="宋体" w:cs="宋体"/>
          <w:color w:val="auto"/>
          <w:highlight w:val="none"/>
        </w:rPr>
      </w:pPr>
      <w:r>
        <w:rPr>
          <w:rFonts w:hint="eastAsia" w:ascii="宋体" w:hAnsi="宋体" w:eastAsia="宋体" w:cs="宋体"/>
          <w:color w:val="auto"/>
          <w:sz w:val="24"/>
          <w:highlight w:val="none"/>
        </w:rPr>
        <w:t>需要补充的其他内容：见供应商须知前附表。</w:t>
      </w:r>
      <w:r>
        <w:rPr>
          <w:rFonts w:hint="eastAsia" w:ascii="宋体" w:hAnsi="宋体" w:eastAsia="宋体" w:cs="宋体"/>
          <w:color w:val="auto"/>
          <w:highlight w:val="none"/>
        </w:rPr>
        <w:br w:type="page"/>
      </w:r>
      <w:r>
        <w:rPr>
          <w:rStyle w:val="48"/>
          <w:rFonts w:hint="eastAsia" w:ascii="宋体" w:hAnsi="宋体" w:eastAsia="宋体" w:cs="宋体"/>
          <w:color w:val="auto"/>
          <w:szCs w:val="24"/>
          <w:highlight w:val="none"/>
          <w:lang w:val="en-US" w:eastAsia="zh-CN" w:bidi="ar-SA"/>
        </w:rPr>
        <w:t>第三章 评标办法（综合评分法）</w:t>
      </w:r>
      <w:bookmarkEnd w:id="115"/>
      <w:bookmarkEnd w:id="116"/>
      <w:bookmarkEnd w:id="117"/>
      <w:bookmarkEnd w:id="118"/>
      <w:bookmarkEnd w:id="119"/>
      <w:bookmarkEnd w:id="120"/>
    </w:p>
    <w:p>
      <w:pPr>
        <w:pStyle w:val="4"/>
        <w:spacing w:before="0" w:after="0"/>
        <w:jc w:val="center"/>
        <w:rPr>
          <w:rFonts w:hint="eastAsia" w:ascii="宋体" w:hAnsi="宋体" w:eastAsia="宋体" w:cs="宋体"/>
          <w:color w:val="auto"/>
          <w:highlight w:val="none"/>
        </w:rPr>
      </w:pPr>
      <w:bookmarkStart w:id="235" w:name="_Toc21301"/>
      <w:bookmarkStart w:id="236" w:name="_Toc9291"/>
      <w:bookmarkStart w:id="237" w:name="_Toc8394"/>
      <w:bookmarkStart w:id="238" w:name="_Toc21906"/>
      <w:bookmarkStart w:id="239" w:name="_Toc27717"/>
      <w:bookmarkStart w:id="240" w:name="_Toc8063"/>
      <w:bookmarkStart w:id="241" w:name="_Toc20603"/>
      <w:bookmarkStart w:id="242" w:name="_Toc14585"/>
      <w:bookmarkStart w:id="243" w:name="_Toc23260"/>
      <w:r>
        <w:rPr>
          <w:rFonts w:hint="eastAsia" w:ascii="宋体" w:hAnsi="宋体" w:eastAsia="宋体" w:cs="宋体"/>
          <w:color w:val="auto"/>
          <w:highlight w:val="none"/>
        </w:rPr>
        <w:t>一、评标办法前附表</w:t>
      </w:r>
      <w:bookmarkEnd w:id="235"/>
      <w:bookmarkEnd w:id="236"/>
      <w:bookmarkEnd w:id="237"/>
      <w:bookmarkEnd w:id="238"/>
      <w:bookmarkEnd w:id="239"/>
      <w:bookmarkEnd w:id="240"/>
      <w:bookmarkEnd w:id="241"/>
      <w:bookmarkEnd w:id="242"/>
      <w:bookmarkEnd w:id="243"/>
    </w:p>
    <w:tbl>
      <w:tblPr>
        <w:tblStyle w:val="31"/>
        <w:tblpPr w:leftFromText="180" w:rightFromText="180" w:vertAnchor="text" w:horzAnchor="page" w:tblpXSpec="center" w:tblpY="33"/>
        <w:tblOverlap w:val="never"/>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0"/>
        <w:gridCol w:w="1845"/>
        <w:gridCol w:w="64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exact"/>
          <w:jc w:val="center"/>
        </w:trPr>
        <w:tc>
          <w:tcPr>
            <w:tcW w:w="1220" w:type="dxa"/>
            <w:noWrap/>
            <w:tcMar>
              <w:left w:w="57" w:type="dxa"/>
              <w:right w:w="57" w:type="dxa"/>
            </w:tcMar>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w:t>
            </w:r>
          </w:p>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w:t>
            </w:r>
          </w:p>
        </w:tc>
        <w:tc>
          <w:tcPr>
            <w:tcW w:w="1845" w:type="dxa"/>
            <w:noWrap/>
            <w:tcMar>
              <w:left w:w="57" w:type="dxa"/>
              <w:right w:w="57" w:type="dxa"/>
            </w:tcMar>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6454" w:type="dxa"/>
            <w:noWrap/>
            <w:tcMar>
              <w:left w:w="57" w:type="dxa"/>
              <w:right w:w="57" w:type="dxa"/>
            </w:tcMar>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2" w:hRule="atLeast"/>
          <w:jc w:val="center"/>
        </w:trPr>
        <w:tc>
          <w:tcPr>
            <w:tcW w:w="1220" w:type="dxa"/>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评标方法</w:t>
            </w:r>
          </w:p>
        </w:tc>
        <w:tc>
          <w:tcPr>
            <w:tcW w:w="1845" w:type="dxa"/>
            <w:noWrap/>
            <w:tcMar>
              <w:left w:w="57" w:type="dxa"/>
              <w:right w:w="57" w:type="dxa"/>
            </w:tcMar>
            <w:vAlign w:val="center"/>
          </w:tcPr>
          <w:p>
            <w:pPr>
              <w:spacing w:line="360" w:lineRule="auto"/>
              <w:jc w:val="center"/>
              <w:rPr>
                <w:rFonts w:hint="eastAsia" w:ascii="宋体" w:hAnsi="宋体" w:eastAsia="宋体" w:cs="宋体"/>
                <w:iCs/>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综合评分</w:t>
            </w:r>
            <w:r>
              <w:rPr>
                <w:rFonts w:hint="eastAsia" w:asciiTheme="minorEastAsia" w:hAnsiTheme="minorEastAsia" w:eastAsiaTheme="minorEastAsia" w:cstheme="minorEastAsia"/>
                <w:color w:val="auto"/>
                <w:sz w:val="24"/>
                <w:szCs w:val="24"/>
                <w:highlight w:val="none"/>
              </w:rPr>
              <w:t>法</w:t>
            </w:r>
          </w:p>
        </w:tc>
        <w:tc>
          <w:tcPr>
            <w:tcW w:w="6454" w:type="dxa"/>
            <w:noWrap/>
            <w:vAlign w:val="center"/>
          </w:tcPr>
          <w:p>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按各投标人得分由高到低顺序推荐中标候选人。综合评分相等时，以投标报价低的优先；投标报价也相等的，以</w:t>
            </w:r>
            <w:r>
              <w:rPr>
                <w:rFonts w:hint="eastAsia" w:asciiTheme="minorEastAsia" w:hAnsiTheme="minorEastAsia" w:eastAsiaTheme="minorEastAsia" w:cstheme="minorEastAsia"/>
                <w:color w:val="auto"/>
                <w:sz w:val="24"/>
                <w:szCs w:val="24"/>
                <w:highlight w:val="none"/>
                <w:lang w:eastAsia="zh-CN"/>
              </w:rPr>
              <w:t>供货</w:t>
            </w:r>
            <w:r>
              <w:rPr>
                <w:rFonts w:hint="eastAsia" w:asciiTheme="minorEastAsia" w:hAnsiTheme="minorEastAsia" w:eastAsiaTheme="minorEastAsia" w:cstheme="minorEastAsia"/>
                <w:color w:val="auto"/>
                <w:sz w:val="24"/>
                <w:szCs w:val="24"/>
                <w:highlight w:val="none"/>
              </w:rPr>
              <w:t>方案得分高的优先。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5" w:hRule="exact"/>
          <w:jc w:val="center"/>
        </w:trPr>
        <w:tc>
          <w:tcPr>
            <w:tcW w:w="1220" w:type="dxa"/>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资格审查标准（根据财政部令第87号第四十四条规定：公开招标采购项目开标结束后，采购人或采购代理机构应当依法对投标人的资格进行审查。）</w:t>
            </w:r>
          </w:p>
        </w:tc>
        <w:tc>
          <w:tcPr>
            <w:tcW w:w="1845" w:type="dxa"/>
            <w:noWrap/>
            <w:tcMar>
              <w:left w:w="57" w:type="dxa"/>
              <w:right w:w="57" w:type="dxa"/>
            </w:tcMar>
            <w:vAlign w:val="center"/>
          </w:tcPr>
          <w:p>
            <w:pPr>
              <w:spacing w:line="360" w:lineRule="auto"/>
              <w:jc w:val="center"/>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满足《中华人民共和国政府采购法》第二十二条规定</w:t>
            </w:r>
          </w:p>
        </w:tc>
        <w:tc>
          <w:tcPr>
            <w:tcW w:w="6454" w:type="dxa"/>
            <w:noWrap/>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符合《中华人民共和国政府采购法》第二十二条规定条件，具体包括：</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3.有依法缴纳税收和社会保障资金的良好记录；</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4.具有履行合同所必需的设备和专业技术能力；</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5.参加本次政府采购活动前三年内，在经营活动中没有重大违法记录；</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7.在投标（响应）截止日期前未被列入失信被执行人名单、重大税收违法案件当事人名单、政府采购严重违法失信行为记录名单。</w:t>
            </w:r>
          </w:p>
          <w:p>
            <w:pPr>
              <w:pStyle w:val="8"/>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供应商按要求提供加盖公章的资格条件承诺函。</w:t>
            </w:r>
          </w:p>
          <w:p>
            <w:pPr>
              <w:pStyle w:val="8"/>
              <w:spacing w:line="360" w:lineRule="auto"/>
              <w:rPr>
                <w:rFonts w:hint="eastAsia" w:ascii="宋体" w:hAnsi="宋体" w:eastAsia="宋体" w:cs="宋体"/>
                <w:iCs/>
                <w:color w:val="auto"/>
                <w:sz w:val="24"/>
                <w:szCs w:val="24"/>
                <w:highlight w:val="none"/>
              </w:rPr>
            </w:pPr>
            <w:r>
              <w:rPr>
                <w:rFonts w:hint="eastAsia" w:ascii="宋体" w:hAnsi="宋体" w:eastAsia="宋体" w:cs="宋体"/>
                <w:color w:val="auto"/>
                <w:kern w:val="2"/>
                <w:sz w:val="24"/>
                <w:szCs w:val="24"/>
                <w:highlight w:val="none"/>
                <w:lang w:val="en-US" w:eastAsia="zh-CN" w:bidi="ar-SA"/>
              </w:rPr>
              <w:t>注：供应商篡改采购文件中提供的标准格式或未按要求盖章的资格审查不通过。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9519" w:type="dxa"/>
            <w:gridSpan w:val="3"/>
            <w:noWrap/>
            <w:tcMar>
              <w:left w:w="57" w:type="dxa"/>
              <w:right w:w="57" w:type="dxa"/>
            </w:tcMar>
            <w:vAlign w:val="center"/>
          </w:tcPr>
          <w:p>
            <w:pPr>
              <w:pStyle w:val="8"/>
              <w:spacing w:line="360" w:lineRule="auto"/>
              <w:jc w:val="center"/>
              <w:rPr>
                <w:rFonts w:hint="eastAsia" w:ascii="宋体" w:hAnsi="宋体" w:eastAsia="宋体" w:cs="宋体"/>
                <w:color w:val="auto"/>
                <w:kern w:val="2"/>
                <w:sz w:val="24"/>
                <w:szCs w:val="24"/>
                <w:highlight w:val="none"/>
                <w:lang w:val="en-US" w:eastAsia="zh-CN" w:bidi="ar-SA"/>
              </w:rPr>
            </w:pPr>
            <w:r>
              <w:rPr>
                <w:rFonts w:hint="eastAsia" w:hAnsi="宋体" w:cs="宋体"/>
                <w:b/>
                <w:bCs/>
                <w:color w:val="auto"/>
                <w:kern w:val="2"/>
                <w:sz w:val="24"/>
                <w:szCs w:val="24"/>
                <w:highlight w:val="none"/>
                <w:lang w:val="en-US" w:eastAsia="zh-CN" w:bidi="ar-SA"/>
              </w:rPr>
              <w:t>初步评审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restart"/>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w:t>
            </w:r>
          </w:p>
          <w:p>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评审标准</w:t>
            </w:r>
          </w:p>
        </w:tc>
        <w:tc>
          <w:tcPr>
            <w:tcW w:w="1845" w:type="dxa"/>
            <w:noWrap/>
            <w:tcMar>
              <w:left w:w="57" w:type="dxa"/>
              <w:right w:w="57" w:type="dxa"/>
            </w:tcMar>
            <w:vAlign w:val="center"/>
          </w:tcPr>
          <w:p>
            <w:pPr>
              <w:spacing w:line="48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Cs/>
                <w:color w:val="auto"/>
                <w:sz w:val="24"/>
                <w:szCs w:val="24"/>
                <w:highlight w:val="none"/>
              </w:rPr>
              <w:t>签字盖章</w:t>
            </w:r>
          </w:p>
        </w:tc>
        <w:tc>
          <w:tcPr>
            <w:tcW w:w="6454" w:type="dxa"/>
            <w:noWrap/>
            <w:vAlign w:val="center"/>
          </w:tcPr>
          <w:p>
            <w:pPr>
              <w:pStyle w:val="8"/>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投标文件</w:t>
            </w:r>
            <w:r>
              <w:rPr>
                <w:rFonts w:hint="eastAsia" w:hAnsi="宋体" w:cs="宋体"/>
                <w:color w:val="auto"/>
                <w:kern w:val="2"/>
                <w:sz w:val="24"/>
                <w:szCs w:val="24"/>
                <w:highlight w:val="none"/>
                <w:lang w:val="en-US" w:eastAsia="zh-CN" w:bidi="ar-SA"/>
              </w:rPr>
              <w:t>未按要求盖</w:t>
            </w:r>
            <w:r>
              <w:rPr>
                <w:rFonts w:hint="eastAsia" w:ascii="宋体" w:hAnsi="宋体" w:eastAsia="宋体" w:cs="宋体"/>
                <w:color w:val="auto"/>
                <w:kern w:val="2"/>
                <w:sz w:val="24"/>
                <w:szCs w:val="24"/>
                <w:highlight w:val="none"/>
                <w:lang w:val="en-US" w:eastAsia="zh-CN" w:bidi="ar-SA"/>
              </w:rPr>
              <w:t>单位电子签章，</w:t>
            </w:r>
            <w:r>
              <w:rPr>
                <w:rFonts w:hint="eastAsia" w:hAnsi="宋体" w:cs="宋体"/>
                <w:color w:val="auto"/>
                <w:kern w:val="2"/>
                <w:sz w:val="24"/>
                <w:szCs w:val="24"/>
                <w:highlight w:val="none"/>
                <w:lang w:val="en-US" w:eastAsia="zh-CN" w:bidi="ar-SA"/>
              </w:rPr>
              <w:t>未按要求盖</w:t>
            </w:r>
            <w:r>
              <w:rPr>
                <w:rFonts w:hint="eastAsia" w:ascii="宋体" w:hAnsi="宋体" w:eastAsia="宋体" w:cs="宋体"/>
                <w:color w:val="auto"/>
                <w:kern w:val="2"/>
                <w:sz w:val="24"/>
                <w:szCs w:val="24"/>
                <w:highlight w:val="none"/>
                <w:lang w:val="en-US" w:eastAsia="zh-CN" w:bidi="ar-SA"/>
              </w:rPr>
              <w:t>法人代表或委托代理人电子</w:t>
            </w:r>
            <w:r>
              <w:rPr>
                <w:rFonts w:hint="eastAsia" w:hAnsi="宋体" w:cs="宋体"/>
                <w:color w:val="auto"/>
                <w:kern w:val="2"/>
                <w:sz w:val="24"/>
                <w:szCs w:val="24"/>
                <w:highlight w:val="none"/>
                <w:lang w:val="en-US" w:eastAsia="zh-CN" w:bidi="ar-SA"/>
              </w:rPr>
              <w:t>签名</w:t>
            </w:r>
            <w:r>
              <w:rPr>
                <w:rFonts w:hint="eastAsia" w:ascii="宋体" w:hAnsi="宋体" w:eastAsia="宋体" w:cs="宋体"/>
                <w:color w:val="auto"/>
                <w:kern w:val="2"/>
                <w:sz w:val="24"/>
                <w:szCs w:val="24"/>
                <w:highlight w:val="none"/>
                <w:lang w:val="en-US" w:eastAsia="zh-CN" w:bidi="ar-SA"/>
              </w:rPr>
              <w:t>签章的；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spacing w:line="48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投标文件格式</w:t>
            </w:r>
          </w:p>
        </w:tc>
        <w:tc>
          <w:tcPr>
            <w:tcW w:w="6454" w:type="dxa"/>
            <w:noWrap/>
            <w:vAlign w:val="center"/>
          </w:tcPr>
          <w:p>
            <w:pPr>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Cs/>
                <w:color w:val="auto"/>
                <w:sz w:val="24"/>
                <w:szCs w:val="24"/>
                <w:highlight w:val="none"/>
              </w:rPr>
              <w:t>投标文件不符合采购文件规定的格式，或关键字迹模糊不清，不能辨认的；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spacing w:line="48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报价唯一</w:t>
            </w:r>
          </w:p>
        </w:tc>
        <w:tc>
          <w:tcPr>
            <w:tcW w:w="6454" w:type="dxa"/>
            <w:noWrap/>
            <w:vAlign w:val="center"/>
          </w:tcPr>
          <w:p>
            <w:pPr>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Cs/>
                <w:color w:val="auto"/>
                <w:sz w:val="24"/>
                <w:szCs w:val="24"/>
                <w:highlight w:val="none"/>
              </w:rPr>
              <w:t>同一供应商提交两个以上不同的投标文件或者投标报价的；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spacing w:line="48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投标报价</w:t>
            </w:r>
          </w:p>
        </w:tc>
        <w:tc>
          <w:tcPr>
            <w:tcW w:w="6454" w:type="dxa"/>
            <w:noWrap/>
            <w:vAlign w:val="center"/>
          </w:tcPr>
          <w:p>
            <w:pPr>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cs="宋体"/>
                <w:iCs/>
                <w:color w:val="auto"/>
                <w:sz w:val="24"/>
                <w:szCs w:val="24"/>
                <w:highlight w:val="none"/>
                <w:lang w:val="en-US" w:eastAsia="zh-CN"/>
              </w:rPr>
              <w:t>未按要求填写投标报价，</w:t>
            </w:r>
            <w:r>
              <w:rPr>
                <w:rFonts w:hint="eastAsia" w:ascii="宋体" w:hAnsi="宋体" w:eastAsia="宋体" w:cs="宋体"/>
                <w:iCs/>
                <w:color w:val="auto"/>
                <w:sz w:val="24"/>
                <w:szCs w:val="24"/>
                <w:highlight w:val="none"/>
              </w:rPr>
              <w:t>投标报价高于采购文件设定的最高投标限价的；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spacing w:line="48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合同履行期限</w:t>
            </w:r>
          </w:p>
        </w:tc>
        <w:tc>
          <w:tcPr>
            <w:tcW w:w="6454" w:type="dxa"/>
            <w:noWrap/>
            <w:vAlign w:val="center"/>
          </w:tcPr>
          <w:p>
            <w:pPr>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投标文件载明的招标项目</w:t>
            </w: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rPr>
              <w:t>不符合采购文件规定的；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spacing w:line="48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其他实质性要求</w:t>
            </w:r>
          </w:p>
        </w:tc>
        <w:tc>
          <w:tcPr>
            <w:tcW w:w="6454" w:type="dxa"/>
            <w:noWrap/>
            <w:vAlign w:val="center"/>
          </w:tcPr>
          <w:p>
            <w:pPr>
              <w:pStyle w:val="8"/>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1、投标文件载明的投标有效期不符合采购文件的要求的；</w:t>
            </w:r>
          </w:p>
          <w:p>
            <w:pPr>
              <w:pStyle w:val="8"/>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2、供应商不确认评标委员会对其投标报价算数错误的修正的；</w:t>
            </w:r>
          </w:p>
          <w:p>
            <w:pPr>
              <w:pStyle w:val="8"/>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3、供应商不确认评标委员会要求澄清补正的内容的；</w:t>
            </w:r>
          </w:p>
          <w:p>
            <w:pPr>
              <w:pStyle w:val="8"/>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4、投标文件中标明的供应商与资格审查时在名称和组织结构上存在实质性差别而无正当理由说明的；</w:t>
            </w:r>
          </w:p>
          <w:p>
            <w:pPr>
              <w:pStyle w:val="8"/>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5、未按要求提供</w:t>
            </w:r>
            <w:r>
              <w:rPr>
                <w:rFonts w:hint="eastAsia" w:hAnsi="宋体" w:cs="宋体"/>
                <w:color w:val="auto"/>
                <w:kern w:val="2"/>
                <w:sz w:val="24"/>
                <w:szCs w:val="24"/>
                <w:highlight w:val="none"/>
                <w:lang w:val="en-US" w:eastAsia="zh-CN" w:bidi="ar-SA"/>
              </w:rPr>
              <w:t>廉洁</w:t>
            </w:r>
            <w:r>
              <w:rPr>
                <w:rFonts w:hint="eastAsia" w:ascii="宋体" w:hAnsi="宋体" w:eastAsia="宋体" w:cs="宋体"/>
                <w:color w:val="auto"/>
                <w:kern w:val="2"/>
                <w:sz w:val="24"/>
                <w:szCs w:val="24"/>
                <w:highlight w:val="none"/>
                <w:lang w:val="en-US" w:eastAsia="zh-CN" w:bidi="ar-SA"/>
              </w:rPr>
              <w:t>承诺书的；</w:t>
            </w:r>
          </w:p>
          <w:p>
            <w:pPr>
              <w:pStyle w:val="8"/>
              <w:spacing w:line="48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6、未按招标清单报价，存有缺项漏项或擅自变更单位、数量的。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权利义务</w:t>
            </w:r>
          </w:p>
        </w:tc>
        <w:tc>
          <w:tcPr>
            <w:tcW w:w="6454" w:type="dxa"/>
            <w:noWrap/>
            <w:vAlign w:val="center"/>
          </w:tcPr>
          <w:p>
            <w:p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投标文件附有采购人不能接受的条件的（增加采购人或减少供应商责任和义务，增加供应商或减少采购人权利的内容）。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19" w:type="dxa"/>
            <w:gridSpan w:val="3"/>
            <w:noWrap/>
            <w:tcMar>
              <w:left w:w="57" w:type="dxa"/>
              <w:right w:w="57" w:type="dxa"/>
            </w:tcMar>
            <w:vAlign w:val="center"/>
          </w:tcPr>
          <w:p>
            <w:pPr>
              <w:numPr>
                <w:ilvl w:val="0"/>
                <w:numId w:val="0"/>
              </w:numPr>
              <w:spacing w:line="360" w:lineRule="auto"/>
              <w:jc w:val="center"/>
              <w:rPr>
                <w:rFonts w:hint="eastAsia" w:ascii="宋体" w:hAnsi="宋体" w:eastAsia="宋体" w:cs="宋体"/>
                <w:i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详细评审（投标报价 F1：满分 100 分，权重 A1 为 0.3； 技术商务部分 F2：满分 100 分，权重 A2 为 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7" w:hRule="atLeast"/>
          <w:jc w:val="center"/>
        </w:trPr>
        <w:tc>
          <w:tcPr>
            <w:tcW w:w="1220" w:type="dxa"/>
            <w:noWrap/>
            <w:tcMar>
              <w:left w:w="57" w:type="dxa"/>
              <w:right w:w="57" w:type="dxa"/>
            </w:tcMar>
            <w:vAlign w:val="center"/>
          </w:tcPr>
          <w:p>
            <w:pPr>
              <w:spacing w:line="360" w:lineRule="auto"/>
              <w:jc w:val="center"/>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投标报价</w:t>
            </w:r>
            <w:r>
              <w:rPr>
                <w:rFonts w:hint="eastAsia" w:asciiTheme="minorEastAsia" w:hAnsiTheme="minorEastAsia" w:eastAsiaTheme="minorEastAsia" w:cstheme="minorEastAsia"/>
                <w:b/>
                <w:bCs/>
                <w:color w:val="auto"/>
                <w:sz w:val="24"/>
                <w:szCs w:val="24"/>
                <w:highlight w:val="none"/>
                <w:lang w:eastAsia="zh-CN"/>
              </w:rPr>
              <w:t>部分</w:t>
            </w:r>
          </w:p>
          <w:p>
            <w:pPr>
              <w:spacing w:line="360" w:lineRule="auto"/>
              <w:jc w:val="center"/>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val="en-US" w:eastAsia="zh-CN"/>
              </w:rPr>
              <w:t>100</w:t>
            </w:r>
            <w:r>
              <w:rPr>
                <w:rFonts w:hint="eastAsia" w:asciiTheme="minorEastAsia" w:hAnsiTheme="minorEastAsia" w:eastAsiaTheme="minorEastAsia" w:cstheme="minorEastAsia"/>
                <w:b/>
                <w:bCs/>
                <w:color w:val="auto"/>
                <w:sz w:val="24"/>
                <w:szCs w:val="24"/>
                <w:highlight w:val="none"/>
              </w:rPr>
              <w:t>分）</w:t>
            </w:r>
          </w:p>
        </w:tc>
        <w:tc>
          <w:tcPr>
            <w:tcW w:w="8299" w:type="dxa"/>
            <w:gridSpan w:val="2"/>
            <w:noWrap/>
            <w:tcMar>
              <w:left w:w="57" w:type="dxa"/>
              <w:right w:w="57" w:type="dxa"/>
            </w:tcMar>
            <w:vAlign w:val="center"/>
          </w:tcPr>
          <w:p>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投标报价计算公式=评标基准价/投标报价×</w:t>
            </w:r>
            <w:r>
              <w:rPr>
                <w:rFonts w:hint="eastAsia" w:ascii="宋体" w:hAnsi="宋体" w:cs="宋体"/>
                <w:color w:val="auto"/>
                <w:sz w:val="24"/>
                <w:szCs w:val="24"/>
                <w:highlight w:val="none"/>
                <w:lang w:val="en-US" w:eastAsia="zh-CN"/>
              </w:rPr>
              <w:t>100</w:t>
            </w:r>
          </w:p>
          <w:p>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即：F1=[C/（B1，B2，…，Bn）]×</w:t>
            </w:r>
            <w:r>
              <w:rPr>
                <w:rFonts w:hint="eastAsia" w:ascii="宋体" w:hAnsi="宋体" w:cs="宋体"/>
                <w:color w:val="auto"/>
                <w:sz w:val="24"/>
                <w:szCs w:val="24"/>
                <w:highlight w:val="none"/>
                <w:lang w:val="en-US" w:eastAsia="zh-CN"/>
              </w:rPr>
              <w:t>100</w:t>
            </w:r>
          </w:p>
          <w:p>
            <w:pPr>
              <w:spacing w:line="360" w:lineRule="auto"/>
              <w:ind w:firstLine="480" w:firstLineChars="200"/>
              <w:rPr>
                <w:rFonts w:ascii="宋体" w:hAnsi="宋体" w:cs="宋体"/>
                <w:color w:val="auto"/>
                <w:sz w:val="24"/>
                <w:szCs w:val="24"/>
                <w:highlight w:val="none"/>
              </w:rPr>
            </w:pPr>
            <w:r>
              <w:rPr>
                <w:rFonts w:hint="eastAsia" w:ascii="宋体" w:hAnsi="宋体" w:eastAsia="宋体" w:cs="宋体"/>
                <w:color w:val="auto"/>
                <w:sz w:val="24"/>
                <w:szCs w:val="24"/>
                <w:highlight w:val="none"/>
              </w:rPr>
              <w:t>注：C为评标基准价，即实质性要求审查合格且投标价格最低的有效投标报价；</w:t>
            </w:r>
          </w:p>
          <w:p>
            <w:pPr>
              <w:spacing w:line="360" w:lineRule="auto"/>
              <w:ind w:firstLine="480" w:firstLineChars="200"/>
              <w:rPr>
                <w:rFonts w:ascii="宋体" w:hAnsi="宋体" w:cs="宋体"/>
                <w:color w:val="auto"/>
                <w:sz w:val="24"/>
                <w:szCs w:val="24"/>
                <w:highlight w:val="none"/>
              </w:rPr>
            </w:pPr>
            <w:r>
              <w:rPr>
                <w:rFonts w:hint="eastAsia" w:ascii="宋体" w:hAnsi="宋体" w:eastAsia="宋体" w:cs="宋体"/>
                <w:color w:val="auto"/>
                <w:sz w:val="24"/>
                <w:szCs w:val="24"/>
                <w:highlight w:val="none"/>
              </w:rPr>
              <w:t>B1，B2，…，Bn为第n个经初步审查合格的有效投标报价。</w:t>
            </w:r>
          </w:p>
          <w:p>
            <w:pPr>
              <w:keepNext w:val="0"/>
              <w:keepLines w:val="0"/>
              <w:widowControl/>
              <w:suppressLineNumbers w:val="0"/>
              <w:spacing w:line="360" w:lineRule="auto"/>
              <w:jc w:val="left"/>
              <w:rPr>
                <w:rFonts w:hint="eastAsia" w:ascii="宋体" w:hAnsi="宋体" w:eastAsia="宋体" w:cs="宋体"/>
                <w:iCs/>
                <w:color w:val="auto"/>
                <w:sz w:val="24"/>
                <w:szCs w:val="24"/>
                <w:highlight w:val="none"/>
              </w:rPr>
            </w:pPr>
            <w:r>
              <w:rPr>
                <w:rFonts w:hint="eastAsia" w:ascii="宋体" w:hAnsi="宋体" w:eastAsia="宋体" w:cs="宋体"/>
                <w:b/>
                <w:color w:val="auto"/>
                <w:sz w:val="24"/>
                <w:szCs w:val="24"/>
                <w:highlight w:val="none"/>
              </w:rPr>
              <w:t>注：本项目针对小型和微型企业产品或残疾人福利性单位产品或监狱企业的价格给予</w:t>
            </w:r>
            <w:r>
              <w:rPr>
                <w:rFonts w:ascii="宋体" w:hAnsi="宋体" w:eastAsia="宋体" w:cs="宋体"/>
                <w:b/>
                <w:color w:val="auto"/>
                <w:sz w:val="24"/>
                <w:szCs w:val="24"/>
                <w:highlight w:val="none"/>
              </w:rPr>
              <w:t>10</w:t>
            </w:r>
            <w:r>
              <w:rPr>
                <w:rFonts w:hint="eastAsia" w:ascii="宋体" w:hAnsi="宋体" w:eastAsia="宋体" w:cs="宋体"/>
                <w:b/>
                <w:color w:val="auto"/>
                <w:sz w:val="24"/>
                <w:szCs w:val="24"/>
                <w:highlight w:val="none"/>
              </w:rPr>
              <w:t>%的扣除，用扣除后的价格参与评审，残疾人福利性单位属于小型、微型企业的，不重复享受政策。</w:t>
            </w:r>
            <w:r>
              <w:rPr>
                <w:rFonts w:hint="eastAsia" w:ascii="宋体" w:hAnsi="宋体" w:eastAsia="宋体" w:cs="宋体"/>
                <w:b/>
                <w:color w:val="auto"/>
                <w:sz w:val="24"/>
                <w:szCs w:val="24"/>
                <w:highlight w:val="none"/>
                <w:lang w:val="en-US" w:eastAsia="zh-CN"/>
              </w:rPr>
              <w:t>供应商提供的货物既有中小企业制造货物，也有大型企业制造货物的，不享受本办法规定的中小企业扶持政策</w:t>
            </w:r>
            <w:r>
              <w:rPr>
                <w:rFonts w:hint="eastAsia" w:ascii="宋体" w:hAnsi="宋体" w:eastAsia="宋体" w:cs="宋体"/>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restart"/>
            <w:noWrap/>
            <w:tcMar>
              <w:left w:w="57" w:type="dxa"/>
              <w:right w:w="57" w:type="dxa"/>
            </w:tcMar>
            <w:vAlign w:val="center"/>
          </w:tcPr>
          <w:p>
            <w:pPr>
              <w:spacing w:line="360" w:lineRule="auto"/>
              <w:jc w:val="center"/>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技术商务部分</w:t>
            </w:r>
          </w:p>
          <w:p>
            <w:pPr>
              <w:spacing w:line="360" w:lineRule="auto"/>
              <w:jc w:val="center"/>
              <w:rPr>
                <w:rFonts w:hint="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val="en-US" w:eastAsia="zh-CN"/>
              </w:rPr>
              <w:t>100</w:t>
            </w:r>
            <w:r>
              <w:rPr>
                <w:rFonts w:hint="eastAsia" w:asciiTheme="minorEastAsia" w:hAnsiTheme="minorEastAsia" w:eastAsiaTheme="minorEastAsia" w:cstheme="minorEastAsia"/>
                <w:b/>
                <w:bCs/>
                <w:color w:val="auto"/>
                <w:sz w:val="24"/>
                <w:szCs w:val="24"/>
                <w:highlight w:val="none"/>
              </w:rPr>
              <w:t>分）</w:t>
            </w:r>
          </w:p>
        </w:tc>
        <w:tc>
          <w:tcPr>
            <w:tcW w:w="1845" w:type="dxa"/>
            <w:noWrap/>
            <w:tcMar>
              <w:left w:w="57" w:type="dxa"/>
              <w:right w:w="57" w:type="dxa"/>
            </w:tcMar>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技术参数的响应(</w:t>
            </w:r>
            <w:r>
              <w:rPr>
                <w:rFonts w:hint="eastAsia" w:ascii="宋体" w:hAnsi="宋体" w:cs="宋体"/>
                <w:color w:val="auto"/>
                <w:kern w:val="0"/>
                <w:sz w:val="24"/>
                <w:szCs w:val="24"/>
                <w:highlight w:val="none"/>
                <w:lang w:val="en-US" w:eastAsia="zh-CN"/>
              </w:rPr>
              <w:t>25</w:t>
            </w:r>
            <w:r>
              <w:rPr>
                <w:rFonts w:hint="eastAsia" w:ascii="宋体" w:hAnsi="宋体" w:eastAsia="宋体" w:cs="宋体"/>
                <w:color w:val="auto"/>
                <w:kern w:val="0"/>
                <w:sz w:val="24"/>
                <w:szCs w:val="24"/>
                <w:highlight w:val="none"/>
                <w:lang w:val="en-US" w:eastAsia="zh-CN"/>
              </w:rPr>
              <w:t>分)</w:t>
            </w:r>
          </w:p>
        </w:tc>
        <w:tc>
          <w:tcPr>
            <w:tcW w:w="6454" w:type="dxa"/>
            <w:noWrap/>
            <w:vAlign w:val="center"/>
          </w:tcPr>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val="en-US" w:eastAsia="zh-CN" w:bidi="ar-SA"/>
              </w:rPr>
              <w:t>对货物参数进行评审，参数及要求完全满足采购文件要求并提供技术支撑材料的得满分</w:t>
            </w:r>
            <w:r>
              <w:rPr>
                <w:rFonts w:hint="eastAsia" w:ascii="宋体" w:hAnsi="宋体" w:cs="宋体"/>
                <w:color w:val="auto"/>
                <w:kern w:val="0"/>
                <w:sz w:val="24"/>
                <w:szCs w:val="24"/>
                <w:highlight w:val="none"/>
                <w:lang w:val="en-US" w:eastAsia="zh-CN" w:bidi="ar-SA"/>
              </w:rPr>
              <w:t>25</w:t>
            </w:r>
            <w:r>
              <w:rPr>
                <w:rFonts w:hint="eastAsia" w:ascii="宋体" w:hAnsi="宋体" w:eastAsia="宋体" w:cs="宋体"/>
                <w:color w:val="auto"/>
                <w:kern w:val="0"/>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对其中任意一项</w:t>
            </w:r>
            <w:r>
              <w:rPr>
                <w:rFonts w:hint="eastAsia" w:ascii="宋体" w:hAnsi="宋体" w:cs="宋体"/>
                <w:color w:val="auto"/>
                <w:kern w:val="0"/>
                <w:sz w:val="24"/>
                <w:szCs w:val="24"/>
                <w:highlight w:val="none"/>
                <w:lang w:val="en-US" w:eastAsia="zh-CN" w:bidi="ar-SA"/>
              </w:rPr>
              <w:t>产品参数</w:t>
            </w:r>
            <w:r>
              <w:rPr>
                <w:rFonts w:hint="eastAsia" w:ascii="宋体" w:hAnsi="宋体" w:eastAsia="宋体" w:cs="宋体"/>
                <w:color w:val="auto"/>
                <w:kern w:val="0"/>
                <w:sz w:val="24"/>
                <w:szCs w:val="24"/>
                <w:highlight w:val="none"/>
                <w:lang w:val="en-US" w:eastAsia="zh-CN" w:bidi="ar-SA"/>
              </w:rPr>
              <w:t>具有负偏离或不符合或缺失的，每有一项</w:t>
            </w:r>
            <w:r>
              <w:rPr>
                <w:rFonts w:hint="eastAsia" w:ascii="宋体" w:hAnsi="宋体" w:cs="宋体"/>
                <w:color w:val="auto"/>
                <w:kern w:val="0"/>
                <w:sz w:val="24"/>
                <w:szCs w:val="24"/>
                <w:highlight w:val="none"/>
                <w:lang w:val="en-US" w:eastAsia="zh-CN" w:bidi="ar-SA"/>
              </w:rPr>
              <w:t>产品</w:t>
            </w:r>
            <w:r>
              <w:rPr>
                <w:rFonts w:hint="eastAsia" w:ascii="宋体" w:hAnsi="宋体" w:eastAsia="宋体" w:cs="宋体"/>
                <w:color w:val="auto"/>
                <w:kern w:val="0"/>
                <w:sz w:val="24"/>
                <w:szCs w:val="24"/>
                <w:highlight w:val="none"/>
                <w:lang w:val="en-US" w:eastAsia="zh-CN" w:bidi="ar-SA"/>
              </w:rPr>
              <w:t>不满足扣</w:t>
            </w:r>
            <w:r>
              <w:rPr>
                <w:rFonts w:hint="eastAsia" w:ascii="宋体" w:hAnsi="宋体" w:cs="宋体"/>
                <w:color w:val="auto"/>
                <w:kern w:val="0"/>
                <w:sz w:val="24"/>
                <w:szCs w:val="24"/>
                <w:highlight w:val="none"/>
                <w:lang w:val="en-US" w:eastAsia="zh-CN" w:bidi="ar-SA"/>
              </w:rPr>
              <w:t>0.5</w:t>
            </w:r>
            <w:r>
              <w:rPr>
                <w:rFonts w:hint="eastAsia" w:ascii="宋体" w:hAnsi="宋体" w:eastAsia="宋体" w:cs="宋体"/>
                <w:color w:val="auto"/>
                <w:kern w:val="0"/>
                <w:sz w:val="24"/>
                <w:szCs w:val="24"/>
                <w:highlight w:val="none"/>
                <w:lang w:val="en-US" w:eastAsia="zh-CN" w:bidi="ar-SA"/>
              </w:rPr>
              <w:t>分，超过</w:t>
            </w:r>
            <w:r>
              <w:rPr>
                <w:rFonts w:hint="eastAsia" w:ascii="宋体" w:hAnsi="宋体" w:cs="宋体"/>
                <w:color w:val="auto"/>
                <w:kern w:val="0"/>
                <w:sz w:val="24"/>
                <w:szCs w:val="24"/>
                <w:highlight w:val="none"/>
                <w:lang w:val="en-US" w:eastAsia="zh-CN" w:bidi="ar-SA"/>
              </w:rPr>
              <w:t>40</w:t>
            </w:r>
            <w:r>
              <w:rPr>
                <w:rFonts w:hint="eastAsia" w:ascii="宋体" w:hAnsi="宋体" w:eastAsia="宋体" w:cs="宋体"/>
                <w:color w:val="auto"/>
                <w:kern w:val="0"/>
                <w:sz w:val="24"/>
                <w:szCs w:val="24"/>
                <w:highlight w:val="none"/>
                <w:lang w:val="en-US" w:eastAsia="zh-CN" w:bidi="ar-SA"/>
              </w:rPr>
              <w:t>项</w:t>
            </w:r>
            <w:r>
              <w:rPr>
                <w:rFonts w:hint="eastAsia" w:ascii="宋体" w:hAnsi="宋体" w:cs="宋体"/>
                <w:color w:val="auto"/>
                <w:kern w:val="0"/>
                <w:sz w:val="24"/>
                <w:szCs w:val="24"/>
                <w:highlight w:val="none"/>
                <w:lang w:val="en-US" w:eastAsia="zh-CN" w:bidi="ar-SA"/>
              </w:rPr>
              <w:t>产品</w:t>
            </w:r>
            <w:r>
              <w:rPr>
                <w:rFonts w:hint="eastAsia" w:ascii="宋体" w:hAnsi="宋体" w:eastAsia="宋体" w:cs="宋体"/>
                <w:color w:val="auto"/>
                <w:kern w:val="0"/>
                <w:sz w:val="24"/>
                <w:szCs w:val="24"/>
                <w:highlight w:val="none"/>
                <w:lang w:val="en-US" w:eastAsia="zh-CN" w:bidi="ar-SA"/>
              </w:rPr>
              <w:t>（含）及以上负偏离或不符合或缺失的，该评审项不得分。</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若技术参数中带有“★”的参数要求不满足招标文件要求，有负偏离或不符合或缺失的，每有一项带“★”参数不满足扣</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分，超过</w:t>
            </w:r>
            <w:r>
              <w:rPr>
                <w:rFonts w:hint="eastAsia" w:ascii="宋体" w:hAnsi="宋体" w:cs="宋体"/>
                <w:color w:val="auto"/>
                <w:kern w:val="0"/>
                <w:sz w:val="24"/>
                <w:szCs w:val="24"/>
                <w:highlight w:val="none"/>
                <w:lang w:val="en-US" w:eastAsia="zh-CN" w:bidi="ar-SA"/>
              </w:rPr>
              <w:t>12</w:t>
            </w:r>
            <w:r>
              <w:rPr>
                <w:rFonts w:hint="eastAsia" w:ascii="宋体" w:hAnsi="宋体" w:eastAsia="宋体" w:cs="宋体"/>
                <w:color w:val="auto"/>
                <w:kern w:val="0"/>
                <w:sz w:val="24"/>
                <w:szCs w:val="24"/>
                <w:highlight w:val="none"/>
                <w:lang w:val="en-US" w:eastAsia="zh-CN" w:bidi="ar-SA"/>
              </w:rPr>
              <w:t>项带“★”参数（含）及以上负偏离或不符合或缺失的，该评审项不得分。</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（专家对投标文件标注的正负偏离不认可应当在评分表中备注说明，投标人需提供检验报</w:t>
            </w:r>
            <w:bookmarkStart w:id="472" w:name="_GoBack"/>
            <w:bookmarkEnd w:id="472"/>
            <w:r>
              <w:rPr>
                <w:rFonts w:hint="eastAsia" w:ascii="宋体" w:hAnsi="宋体" w:eastAsia="宋体" w:cs="宋体"/>
                <w:color w:val="auto"/>
                <w:kern w:val="0"/>
                <w:sz w:val="24"/>
                <w:szCs w:val="24"/>
                <w:highlight w:val="none"/>
                <w:lang w:val="en-US" w:eastAsia="zh-CN" w:bidi="ar-SA"/>
              </w:rPr>
              <w:t>告、认证证书、证明文件、制造厂商发布的最新技术资料彩页、产品图片等作为技术支撑材料。）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产品实物样品</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（满分 1</w:t>
            </w:r>
            <w:r>
              <w:rPr>
                <w:rFonts w:hint="eastAsia" w:ascii="宋体" w:hAnsi="宋体" w:cs="宋体"/>
                <w:color w:val="auto"/>
                <w:kern w:val="0"/>
                <w:sz w:val="24"/>
                <w:szCs w:val="24"/>
                <w:highlight w:val="none"/>
                <w:lang w:val="en-US" w:eastAsia="zh-CN" w:bidi="ar-SA"/>
              </w:rPr>
              <w:t>0</w:t>
            </w:r>
            <w:r>
              <w:rPr>
                <w:rFonts w:hint="eastAsia" w:ascii="宋体" w:hAnsi="宋体" w:eastAsia="宋体" w:cs="宋体"/>
                <w:color w:val="auto"/>
                <w:kern w:val="0"/>
                <w:sz w:val="24"/>
                <w:szCs w:val="24"/>
                <w:highlight w:val="none"/>
                <w:lang w:val="en-US" w:eastAsia="zh-CN" w:bidi="ar-SA"/>
              </w:rPr>
              <w:t xml:space="preserve"> 分）</w:t>
            </w:r>
          </w:p>
        </w:tc>
        <w:tc>
          <w:tcPr>
            <w:tcW w:w="6454" w:type="dxa"/>
            <w:noWrap/>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整体结构（满分 3 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投标人提供的实物样品整体结构设计科学合理，各部件完整且匹配度高，完全优于本标包招标文件要求及采购人需求</w:t>
            </w:r>
            <w:r>
              <w:rPr>
                <w:rFonts w:hint="eastAsia" w:ascii="宋体" w:hAnsi="宋体" w:cs="宋体"/>
                <w:color w:val="auto"/>
                <w:kern w:val="2"/>
                <w:sz w:val="24"/>
                <w:szCs w:val="24"/>
                <w:highlight w:val="none"/>
                <w:lang w:val="en-US" w:eastAsia="zh-CN" w:bidi="ar-SA"/>
              </w:rPr>
              <w:t>，得3分。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投标人提供的实物样品整体结构设计基本合理，各部件完整且基本匹配，满足本标包招标文件要求及采购人需求</w:t>
            </w:r>
            <w:r>
              <w:rPr>
                <w:rFonts w:hint="eastAsia" w:ascii="宋体" w:hAnsi="宋体" w:cs="宋体"/>
                <w:color w:val="auto"/>
                <w:kern w:val="2"/>
                <w:sz w:val="24"/>
                <w:szCs w:val="24"/>
                <w:highlight w:val="none"/>
                <w:lang w:val="en-US" w:eastAsia="zh-CN" w:bidi="ar-SA"/>
              </w:rPr>
              <w:t>，得2分。</w:t>
            </w:r>
          </w:p>
          <w:p>
            <w:pPr>
              <w:pStyle w:val="46"/>
              <w:ind w:left="0" w:leftChars="0" w:firstLine="0" w:firstLineChars="0"/>
              <w:rPr>
                <w:rFonts w:hint="eastAsia"/>
                <w:color w:val="auto"/>
                <w:highlight w:val="none"/>
                <w:lang w:val="en-US" w:eastAsia="zh-CN"/>
              </w:rPr>
            </w:pPr>
            <w:r>
              <w:rPr>
                <w:rFonts w:hint="eastAsia"/>
                <w:color w:val="auto"/>
                <w:highlight w:val="none"/>
                <w:lang w:val="en-US" w:eastAsia="zh-CN"/>
              </w:rPr>
              <w:t>（3）投标人提供的实物样品整体结构设计基本合理，但有部件缺失或部分组件配套性差，部分不满足本标包招标文件要求及采购人需求</w:t>
            </w:r>
            <w:r>
              <w:rPr>
                <w:rFonts w:hint="eastAsia" w:ascii="宋体" w:hAnsi="宋体" w:cs="宋体"/>
                <w:color w:val="auto"/>
                <w:kern w:val="2"/>
                <w:sz w:val="24"/>
                <w:szCs w:val="24"/>
                <w:highlight w:val="none"/>
                <w:lang w:val="en-US" w:eastAsia="zh-CN" w:bidi="ar-SA"/>
              </w:rPr>
              <w:t>，得</w:t>
            </w:r>
            <w:r>
              <w:rPr>
                <w:rFonts w:hint="eastAsia" w:hAnsi="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分。</w:t>
            </w:r>
          </w:p>
          <w:p>
            <w:pPr>
              <w:pStyle w:val="46"/>
              <w:ind w:left="0" w:leftChars="0" w:firstLine="0" w:firstLineChars="0"/>
              <w:rPr>
                <w:rFonts w:hint="eastAsia"/>
                <w:color w:val="auto"/>
                <w:highlight w:val="none"/>
                <w:lang w:val="en-US" w:eastAsia="zh-CN"/>
              </w:rPr>
            </w:pPr>
            <w:r>
              <w:rPr>
                <w:rFonts w:hint="eastAsia"/>
                <w:color w:val="auto"/>
                <w:highlight w:val="none"/>
                <w:lang w:val="en-US" w:eastAsia="zh-CN"/>
              </w:rPr>
              <w:t>（4）投标人提供的实物样品整体结构设计不合理，有部件缺失或部分组件配套性差，难以满足本标包招标文件要求及采购人需求</w:t>
            </w:r>
            <w:r>
              <w:rPr>
                <w:rFonts w:hint="eastAsia" w:ascii="宋体" w:hAnsi="宋体" w:cs="宋体"/>
                <w:color w:val="auto"/>
                <w:kern w:val="2"/>
                <w:sz w:val="24"/>
                <w:szCs w:val="24"/>
                <w:highlight w:val="none"/>
                <w:lang w:val="en-US" w:eastAsia="zh-CN" w:bidi="ar-SA"/>
              </w:rPr>
              <w:t>，得</w:t>
            </w:r>
            <w:r>
              <w:rPr>
                <w:rFonts w:hint="eastAsia" w:hAnsi="宋体" w:cs="宋体"/>
                <w:color w:val="auto"/>
                <w:kern w:val="2"/>
                <w:sz w:val="24"/>
                <w:szCs w:val="24"/>
                <w:highlight w:val="none"/>
                <w:lang w:val="en-US" w:eastAsia="zh-CN" w:bidi="ar-SA"/>
              </w:rPr>
              <w:t>0.5</w:t>
            </w:r>
            <w:r>
              <w:rPr>
                <w:rFonts w:hint="eastAsia" w:ascii="宋体" w:hAnsi="宋体" w:cs="宋体"/>
                <w:color w:val="auto"/>
                <w:kern w:val="2"/>
                <w:sz w:val="24"/>
                <w:szCs w:val="24"/>
                <w:highlight w:val="none"/>
                <w:lang w:val="en-US" w:eastAsia="zh-CN" w:bidi="ar-SA"/>
              </w:rPr>
              <w:t>分。</w:t>
            </w:r>
          </w:p>
          <w:p>
            <w:pPr>
              <w:pStyle w:val="46"/>
              <w:ind w:left="0" w:leftChars="0" w:firstLine="0" w:firstLineChars="0"/>
              <w:rPr>
                <w:rFonts w:hint="eastAsia"/>
                <w:color w:val="auto"/>
                <w:highlight w:val="none"/>
                <w:lang w:val="en-US" w:eastAsia="zh-CN"/>
              </w:rPr>
            </w:pPr>
            <w:r>
              <w:rPr>
                <w:rFonts w:hint="eastAsia"/>
                <w:color w:val="auto"/>
                <w:highlight w:val="none"/>
                <w:lang w:val="en-US" w:eastAsia="zh-CN"/>
              </w:rPr>
              <w:t>注：未按要求提供样品得 0 分</w:t>
            </w:r>
          </w:p>
          <w:p>
            <w:pPr>
              <w:pStyle w:val="46"/>
              <w:ind w:left="0" w:leftChars="0" w:firstLine="0" w:firstLineChars="0"/>
              <w:rPr>
                <w:rFonts w:hint="eastAsia"/>
                <w:color w:val="auto"/>
                <w:highlight w:val="none"/>
                <w:lang w:val="en-US" w:eastAsia="zh-CN"/>
              </w:rPr>
            </w:pPr>
            <w:r>
              <w:rPr>
                <w:rFonts w:hint="eastAsia"/>
                <w:color w:val="auto"/>
                <w:highlight w:val="none"/>
                <w:lang w:val="en-US" w:eastAsia="zh-CN"/>
              </w:rPr>
              <w:t>2、样品外观（满分 2 分）</w:t>
            </w:r>
          </w:p>
          <w:p>
            <w:pPr>
              <w:pStyle w:val="46"/>
              <w:ind w:left="0" w:leftChars="0" w:firstLine="0" w:firstLineChars="0"/>
              <w:rPr>
                <w:rFonts w:hint="eastAsia"/>
                <w:color w:val="auto"/>
                <w:highlight w:val="none"/>
                <w:lang w:val="en-US" w:eastAsia="zh-CN"/>
              </w:rPr>
            </w:pPr>
            <w:r>
              <w:rPr>
                <w:rFonts w:hint="eastAsia"/>
                <w:color w:val="auto"/>
                <w:highlight w:val="none"/>
                <w:lang w:val="en-US" w:eastAsia="zh-CN"/>
              </w:rPr>
              <w:t>（1）投标人提供的实物样品造型美观、制作工艺精良，优于本标包招标文件要求及采购人需求</w:t>
            </w:r>
            <w:r>
              <w:rPr>
                <w:rFonts w:hint="eastAsia" w:ascii="宋体" w:hAnsi="宋体" w:cs="宋体"/>
                <w:color w:val="auto"/>
                <w:kern w:val="2"/>
                <w:sz w:val="24"/>
                <w:szCs w:val="24"/>
                <w:highlight w:val="none"/>
                <w:lang w:val="en-US" w:eastAsia="zh-CN" w:bidi="ar-SA"/>
              </w:rPr>
              <w:t>，得</w:t>
            </w:r>
            <w:r>
              <w:rPr>
                <w:rFonts w:hint="eastAsia" w:hAnsi="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分。</w:t>
            </w:r>
          </w:p>
          <w:p>
            <w:pPr>
              <w:pStyle w:val="46"/>
              <w:ind w:left="0" w:leftChars="0" w:firstLine="0" w:firstLineChars="0"/>
              <w:rPr>
                <w:rFonts w:hint="eastAsia"/>
                <w:color w:val="auto"/>
                <w:highlight w:val="none"/>
                <w:lang w:val="en-US" w:eastAsia="zh-CN"/>
              </w:rPr>
            </w:pPr>
            <w:r>
              <w:rPr>
                <w:rFonts w:hint="eastAsia"/>
                <w:color w:val="auto"/>
                <w:highlight w:val="none"/>
                <w:lang w:val="en-US" w:eastAsia="zh-CN"/>
              </w:rPr>
              <w:t>（3）投标人提供的实物样品造型较为美观、制作工艺较为精良，满足本标包招标文件要求及采购人需求</w:t>
            </w:r>
            <w:r>
              <w:rPr>
                <w:rFonts w:hint="eastAsia" w:ascii="宋体" w:hAnsi="宋体" w:cs="宋体"/>
                <w:color w:val="auto"/>
                <w:kern w:val="2"/>
                <w:sz w:val="24"/>
                <w:szCs w:val="24"/>
                <w:highlight w:val="none"/>
                <w:lang w:val="en-US" w:eastAsia="zh-CN" w:bidi="ar-SA"/>
              </w:rPr>
              <w:t>，得</w:t>
            </w:r>
            <w:r>
              <w:rPr>
                <w:rFonts w:hint="eastAsia" w:hAnsi="宋体" w:cs="宋体"/>
                <w:color w:val="auto"/>
                <w:kern w:val="2"/>
                <w:sz w:val="24"/>
                <w:szCs w:val="24"/>
                <w:highlight w:val="none"/>
                <w:lang w:val="en-US" w:eastAsia="zh-CN" w:bidi="ar-SA"/>
              </w:rPr>
              <w:t>1.5</w:t>
            </w:r>
            <w:r>
              <w:rPr>
                <w:rFonts w:hint="eastAsia" w:ascii="宋体" w:hAnsi="宋体" w:cs="宋体"/>
                <w:color w:val="auto"/>
                <w:kern w:val="2"/>
                <w:sz w:val="24"/>
                <w:szCs w:val="24"/>
                <w:highlight w:val="none"/>
                <w:lang w:val="en-US" w:eastAsia="zh-CN" w:bidi="ar-SA"/>
              </w:rPr>
              <w:t>分。</w:t>
            </w:r>
          </w:p>
          <w:p>
            <w:pPr>
              <w:pStyle w:val="46"/>
              <w:ind w:left="0" w:leftChars="0" w:firstLine="0" w:firstLineChars="0"/>
              <w:rPr>
                <w:rFonts w:hint="eastAsia"/>
                <w:color w:val="auto"/>
                <w:highlight w:val="none"/>
                <w:lang w:val="en-US" w:eastAsia="zh-CN"/>
              </w:rPr>
            </w:pPr>
            <w:r>
              <w:rPr>
                <w:rFonts w:hint="eastAsia"/>
                <w:color w:val="auto"/>
                <w:highlight w:val="none"/>
                <w:lang w:val="en-US" w:eastAsia="zh-CN"/>
              </w:rPr>
              <w:t>（3）投标人提供的实物样品造型一般、制作精良程度一般，基本满足本标包招标文件要求及采购人需求</w:t>
            </w:r>
            <w:r>
              <w:rPr>
                <w:rFonts w:hint="eastAsia" w:ascii="宋体" w:hAnsi="宋体" w:cs="宋体"/>
                <w:color w:val="auto"/>
                <w:kern w:val="2"/>
                <w:sz w:val="24"/>
                <w:szCs w:val="24"/>
                <w:highlight w:val="none"/>
                <w:lang w:val="en-US" w:eastAsia="zh-CN" w:bidi="ar-SA"/>
              </w:rPr>
              <w:t>，得</w:t>
            </w:r>
            <w:r>
              <w:rPr>
                <w:rFonts w:hint="eastAsia" w:hAnsi="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分。</w:t>
            </w:r>
          </w:p>
          <w:p>
            <w:pPr>
              <w:pStyle w:val="46"/>
              <w:ind w:left="0" w:leftChars="0" w:firstLine="0" w:firstLineChars="0"/>
              <w:rPr>
                <w:rFonts w:hint="eastAsia"/>
                <w:color w:val="auto"/>
                <w:highlight w:val="none"/>
                <w:lang w:val="en-US" w:eastAsia="zh-CN"/>
              </w:rPr>
            </w:pPr>
            <w:r>
              <w:rPr>
                <w:rFonts w:hint="eastAsia"/>
                <w:color w:val="auto"/>
                <w:highlight w:val="none"/>
                <w:lang w:val="en-US" w:eastAsia="zh-CN"/>
              </w:rPr>
              <w:t>（4）投标人提供的实物样品造型差、制作工艺差，难以满足本标包招标文件要求及采购人需求</w:t>
            </w:r>
            <w:r>
              <w:rPr>
                <w:rFonts w:hint="eastAsia" w:ascii="宋体" w:hAnsi="宋体" w:cs="宋体"/>
                <w:color w:val="auto"/>
                <w:kern w:val="2"/>
                <w:sz w:val="24"/>
                <w:szCs w:val="24"/>
                <w:highlight w:val="none"/>
                <w:lang w:val="en-US" w:eastAsia="zh-CN" w:bidi="ar-SA"/>
              </w:rPr>
              <w:t>，得</w:t>
            </w:r>
            <w:r>
              <w:rPr>
                <w:rFonts w:hint="eastAsia" w:hAnsi="宋体" w:cs="宋体"/>
                <w:color w:val="auto"/>
                <w:kern w:val="2"/>
                <w:sz w:val="24"/>
                <w:szCs w:val="24"/>
                <w:highlight w:val="none"/>
                <w:lang w:val="en-US" w:eastAsia="zh-CN" w:bidi="ar-SA"/>
              </w:rPr>
              <w:t>0.5</w:t>
            </w:r>
            <w:r>
              <w:rPr>
                <w:rFonts w:hint="eastAsia" w:ascii="宋体" w:hAnsi="宋体" w:cs="宋体"/>
                <w:color w:val="auto"/>
                <w:kern w:val="2"/>
                <w:sz w:val="24"/>
                <w:szCs w:val="24"/>
                <w:highlight w:val="none"/>
                <w:lang w:val="en-US" w:eastAsia="zh-CN" w:bidi="ar-SA"/>
              </w:rPr>
              <w:t>分。</w:t>
            </w:r>
          </w:p>
          <w:p>
            <w:pPr>
              <w:pStyle w:val="46"/>
              <w:rPr>
                <w:rFonts w:hint="eastAsia"/>
                <w:color w:val="auto"/>
                <w:highlight w:val="none"/>
                <w:lang w:val="en-US" w:eastAsia="zh-CN"/>
              </w:rPr>
            </w:pPr>
            <w:r>
              <w:rPr>
                <w:rFonts w:hint="eastAsia"/>
                <w:color w:val="auto"/>
                <w:highlight w:val="none"/>
                <w:lang w:val="en-US" w:eastAsia="zh-CN"/>
              </w:rPr>
              <w:t>注：未按要求提供样品得 0 分。</w:t>
            </w:r>
          </w:p>
          <w:p>
            <w:pPr>
              <w:pStyle w:val="46"/>
              <w:ind w:left="0" w:leftChars="0" w:firstLine="0" w:firstLineChars="0"/>
              <w:rPr>
                <w:rFonts w:hint="eastAsia"/>
                <w:color w:val="auto"/>
                <w:highlight w:val="none"/>
                <w:lang w:val="en-US" w:eastAsia="zh-CN"/>
              </w:rPr>
            </w:pPr>
            <w:r>
              <w:rPr>
                <w:rFonts w:hint="eastAsia"/>
                <w:color w:val="auto"/>
                <w:highlight w:val="none"/>
                <w:lang w:val="en-US" w:eastAsia="zh-CN"/>
              </w:rPr>
              <w:t>3、整体材质评审评分（满分 3 分）</w:t>
            </w:r>
          </w:p>
          <w:p>
            <w:pPr>
              <w:pStyle w:val="46"/>
              <w:rPr>
                <w:rFonts w:hint="eastAsia"/>
                <w:color w:val="auto"/>
                <w:highlight w:val="none"/>
                <w:lang w:val="en-US" w:eastAsia="zh-CN"/>
              </w:rPr>
            </w:pPr>
            <w:r>
              <w:rPr>
                <w:rFonts w:hint="eastAsia"/>
                <w:color w:val="auto"/>
                <w:highlight w:val="none"/>
                <w:lang w:val="en-US" w:eastAsia="zh-CN"/>
              </w:rPr>
              <w:t>（1）投标人提供的实物样品整体材质选材优、质量可靠，优于本标包招标文件要求及采购人需求</w:t>
            </w:r>
            <w:r>
              <w:rPr>
                <w:rFonts w:hint="eastAsia" w:ascii="宋体" w:hAnsi="宋体" w:cs="宋体"/>
                <w:color w:val="auto"/>
                <w:kern w:val="2"/>
                <w:sz w:val="24"/>
                <w:szCs w:val="24"/>
                <w:highlight w:val="none"/>
                <w:lang w:val="en-US" w:eastAsia="zh-CN" w:bidi="ar-SA"/>
              </w:rPr>
              <w:t>，得3分。</w:t>
            </w:r>
          </w:p>
          <w:p>
            <w:pPr>
              <w:pStyle w:val="46"/>
              <w:rPr>
                <w:rFonts w:hint="eastAsia"/>
                <w:color w:val="auto"/>
                <w:highlight w:val="none"/>
                <w:lang w:val="en-US" w:eastAsia="zh-CN"/>
              </w:rPr>
            </w:pPr>
            <w:r>
              <w:rPr>
                <w:rFonts w:hint="eastAsia"/>
                <w:color w:val="auto"/>
                <w:highlight w:val="none"/>
                <w:lang w:val="en-US" w:eastAsia="zh-CN"/>
              </w:rPr>
              <w:t>（2）投标人提供的样品整体材质选材良好、质量较为可靠，满足本标包招标文件要求及采购人需求</w:t>
            </w:r>
            <w:r>
              <w:rPr>
                <w:rFonts w:hint="eastAsia" w:ascii="宋体" w:hAnsi="宋体" w:cs="宋体"/>
                <w:color w:val="auto"/>
                <w:kern w:val="2"/>
                <w:sz w:val="24"/>
                <w:szCs w:val="24"/>
                <w:highlight w:val="none"/>
                <w:lang w:val="en-US" w:eastAsia="zh-CN" w:bidi="ar-SA"/>
              </w:rPr>
              <w:t>，得</w:t>
            </w:r>
            <w:r>
              <w:rPr>
                <w:rFonts w:hint="eastAsia" w:hAnsi="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分。</w:t>
            </w:r>
          </w:p>
          <w:p>
            <w:pPr>
              <w:pStyle w:val="46"/>
              <w:rPr>
                <w:rFonts w:hint="eastAsia"/>
                <w:color w:val="auto"/>
                <w:highlight w:val="none"/>
                <w:lang w:val="en-US" w:eastAsia="zh-CN"/>
              </w:rPr>
            </w:pPr>
            <w:r>
              <w:rPr>
                <w:rFonts w:hint="eastAsia"/>
                <w:color w:val="auto"/>
                <w:highlight w:val="none"/>
                <w:lang w:val="en-US" w:eastAsia="zh-CN"/>
              </w:rPr>
              <w:t>（3）投标人提供的样品整体材质选材一般、质量一般，基本满足本标包招标文件要求及采购人需求</w:t>
            </w:r>
            <w:r>
              <w:rPr>
                <w:rFonts w:hint="eastAsia" w:ascii="宋体" w:hAnsi="宋体" w:cs="宋体"/>
                <w:color w:val="auto"/>
                <w:kern w:val="2"/>
                <w:sz w:val="24"/>
                <w:szCs w:val="24"/>
                <w:highlight w:val="none"/>
                <w:lang w:val="en-US" w:eastAsia="zh-CN" w:bidi="ar-SA"/>
              </w:rPr>
              <w:t>，得</w:t>
            </w:r>
            <w:r>
              <w:rPr>
                <w:rFonts w:hint="eastAsia" w:hAnsi="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分。</w:t>
            </w:r>
          </w:p>
          <w:p>
            <w:pPr>
              <w:pStyle w:val="46"/>
              <w:rPr>
                <w:rFonts w:hint="eastAsia"/>
                <w:color w:val="auto"/>
                <w:highlight w:val="none"/>
                <w:lang w:val="en-US" w:eastAsia="zh-CN"/>
              </w:rPr>
            </w:pPr>
            <w:r>
              <w:rPr>
                <w:rFonts w:hint="eastAsia"/>
                <w:color w:val="auto"/>
                <w:highlight w:val="none"/>
                <w:lang w:val="en-US" w:eastAsia="zh-CN"/>
              </w:rPr>
              <w:t>（4）投标人提供的样品整体材质选材差、质量差，不能满足本标包招标文件要求及采购人需求</w:t>
            </w:r>
            <w:r>
              <w:rPr>
                <w:rFonts w:hint="eastAsia" w:ascii="宋体" w:hAnsi="宋体" w:cs="宋体"/>
                <w:color w:val="auto"/>
                <w:kern w:val="2"/>
                <w:sz w:val="24"/>
                <w:szCs w:val="24"/>
                <w:highlight w:val="none"/>
                <w:lang w:val="en-US" w:eastAsia="zh-CN" w:bidi="ar-SA"/>
              </w:rPr>
              <w:t>，得</w:t>
            </w:r>
            <w:r>
              <w:rPr>
                <w:rFonts w:hint="eastAsia" w:hAnsi="宋体" w:cs="宋体"/>
                <w:color w:val="auto"/>
                <w:kern w:val="2"/>
                <w:sz w:val="24"/>
                <w:szCs w:val="24"/>
                <w:highlight w:val="none"/>
                <w:lang w:val="en-US" w:eastAsia="zh-CN" w:bidi="ar-SA"/>
              </w:rPr>
              <w:t>0.5</w:t>
            </w:r>
            <w:r>
              <w:rPr>
                <w:rFonts w:hint="eastAsia" w:ascii="宋体" w:hAnsi="宋体" w:cs="宋体"/>
                <w:color w:val="auto"/>
                <w:kern w:val="2"/>
                <w:sz w:val="24"/>
                <w:szCs w:val="24"/>
                <w:highlight w:val="none"/>
                <w:lang w:val="en-US" w:eastAsia="zh-CN" w:bidi="ar-SA"/>
              </w:rPr>
              <w:t>分。</w:t>
            </w:r>
          </w:p>
          <w:p>
            <w:pPr>
              <w:pStyle w:val="46"/>
              <w:rPr>
                <w:rFonts w:hint="eastAsia"/>
                <w:color w:val="auto"/>
                <w:highlight w:val="none"/>
                <w:lang w:val="en-US" w:eastAsia="zh-CN"/>
              </w:rPr>
            </w:pPr>
            <w:r>
              <w:rPr>
                <w:rFonts w:hint="eastAsia"/>
                <w:color w:val="auto"/>
                <w:highlight w:val="none"/>
                <w:lang w:val="en-US" w:eastAsia="zh-CN"/>
              </w:rPr>
              <w:t>注：未按要求提供样品得 0 分。</w:t>
            </w:r>
          </w:p>
          <w:p>
            <w:pPr>
              <w:pStyle w:val="46"/>
              <w:ind w:left="0" w:leftChars="0" w:firstLine="0" w:firstLineChars="0"/>
              <w:rPr>
                <w:rFonts w:hint="eastAsia"/>
                <w:color w:val="auto"/>
                <w:highlight w:val="none"/>
                <w:lang w:val="en-US" w:eastAsia="zh-CN"/>
              </w:rPr>
            </w:pPr>
            <w:r>
              <w:rPr>
                <w:rFonts w:hint="eastAsia"/>
                <w:color w:val="auto"/>
                <w:highlight w:val="none"/>
                <w:lang w:val="en-US" w:eastAsia="zh-CN"/>
              </w:rPr>
              <w:t>4、使用便利性评审评分（满分 2 分）</w:t>
            </w:r>
          </w:p>
          <w:p>
            <w:pPr>
              <w:pStyle w:val="46"/>
              <w:ind w:left="0" w:leftChars="0" w:firstLine="0" w:firstLineChars="0"/>
              <w:rPr>
                <w:rFonts w:hint="eastAsia"/>
                <w:color w:val="auto"/>
                <w:highlight w:val="none"/>
                <w:lang w:val="en-US" w:eastAsia="zh-CN"/>
              </w:rPr>
            </w:pPr>
            <w:r>
              <w:rPr>
                <w:rFonts w:hint="eastAsia"/>
                <w:color w:val="auto"/>
                <w:highlight w:val="none"/>
                <w:lang w:val="en-US" w:eastAsia="zh-CN"/>
              </w:rPr>
              <w:t>（1）投标人提供的实物样品很轻便、很利于投送，各部件操作方便、使用安全，优于本标包招标文件要求及采购人需求</w:t>
            </w:r>
            <w:r>
              <w:rPr>
                <w:rFonts w:hint="eastAsia" w:ascii="宋体" w:hAnsi="宋体" w:cs="宋体"/>
                <w:color w:val="auto"/>
                <w:kern w:val="2"/>
                <w:sz w:val="24"/>
                <w:szCs w:val="24"/>
                <w:highlight w:val="none"/>
                <w:lang w:val="en-US" w:eastAsia="zh-CN" w:bidi="ar-SA"/>
              </w:rPr>
              <w:t>，得</w:t>
            </w:r>
            <w:r>
              <w:rPr>
                <w:rFonts w:hint="eastAsia" w:hAnsi="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分。</w:t>
            </w:r>
          </w:p>
          <w:p>
            <w:pPr>
              <w:pStyle w:val="46"/>
              <w:ind w:left="0" w:leftChars="0" w:firstLine="0" w:firstLineChars="0"/>
              <w:rPr>
                <w:rFonts w:hint="eastAsia"/>
                <w:color w:val="auto"/>
                <w:highlight w:val="none"/>
                <w:lang w:val="en-US" w:eastAsia="zh-CN"/>
              </w:rPr>
            </w:pPr>
            <w:r>
              <w:rPr>
                <w:rFonts w:hint="eastAsia"/>
                <w:color w:val="auto"/>
                <w:highlight w:val="none"/>
                <w:lang w:val="en-US" w:eastAsia="zh-CN"/>
              </w:rPr>
              <w:t>（2）投标人提供的实物样品较为轻便、利于投送，各部件操作较为方便、使用较为安全，基本满足本标包招标文件要求及采购人需求</w:t>
            </w:r>
            <w:r>
              <w:rPr>
                <w:rFonts w:hint="eastAsia" w:ascii="宋体" w:hAnsi="宋体" w:cs="宋体"/>
                <w:color w:val="auto"/>
                <w:kern w:val="2"/>
                <w:sz w:val="24"/>
                <w:szCs w:val="24"/>
                <w:highlight w:val="none"/>
                <w:lang w:val="en-US" w:eastAsia="zh-CN" w:bidi="ar-SA"/>
              </w:rPr>
              <w:t>，得</w:t>
            </w:r>
            <w:r>
              <w:rPr>
                <w:rFonts w:hint="eastAsia" w:hAnsi="宋体" w:cs="宋体"/>
                <w:color w:val="auto"/>
                <w:kern w:val="2"/>
                <w:sz w:val="24"/>
                <w:szCs w:val="24"/>
                <w:highlight w:val="none"/>
                <w:lang w:val="en-US" w:eastAsia="zh-CN" w:bidi="ar-SA"/>
              </w:rPr>
              <w:t>1.5</w:t>
            </w:r>
            <w:r>
              <w:rPr>
                <w:rFonts w:hint="eastAsia" w:ascii="宋体" w:hAnsi="宋体" w:cs="宋体"/>
                <w:color w:val="auto"/>
                <w:kern w:val="2"/>
                <w:sz w:val="24"/>
                <w:szCs w:val="24"/>
                <w:highlight w:val="none"/>
                <w:lang w:val="en-US" w:eastAsia="zh-CN" w:bidi="ar-SA"/>
              </w:rPr>
              <w:t>分。</w:t>
            </w:r>
          </w:p>
          <w:p>
            <w:pPr>
              <w:pStyle w:val="46"/>
              <w:ind w:left="0" w:leftChars="0" w:firstLine="0" w:firstLineChars="0"/>
              <w:rPr>
                <w:rFonts w:hint="eastAsia"/>
                <w:color w:val="auto"/>
                <w:highlight w:val="none"/>
                <w:lang w:val="en-US" w:eastAsia="zh-CN"/>
              </w:rPr>
            </w:pPr>
            <w:r>
              <w:rPr>
                <w:rFonts w:hint="eastAsia"/>
                <w:color w:val="auto"/>
                <w:highlight w:val="none"/>
                <w:lang w:val="en-US" w:eastAsia="zh-CN"/>
              </w:rPr>
              <w:t>（3）投标人提供的实物样品轻便性、投送性一般，各部件操作方便性一般、使用安全性一般，难以满足本标包招标文件要求及采购人需求</w:t>
            </w:r>
            <w:r>
              <w:rPr>
                <w:rFonts w:hint="eastAsia" w:ascii="宋体" w:hAnsi="宋体" w:cs="宋体"/>
                <w:color w:val="auto"/>
                <w:kern w:val="2"/>
                <w:sz w:val="24"/>
                <w:szCs w:val="24"/>
                <w:highlight w:val="none"/>
                <w:lang w:val="en-US" w:eastAsia="zh-CN" w:bidi="ar-SA"/>
              </w:rPr>
              <w:t>，得</w:t>
            </w:r>
            <w:r>
              <w:rPr>
                <w:rFonts w:hint="eastAsia" w:hAnsi="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分。</w:t>
            </w:r>
          </w:p>
          <w:p>
            <w:pPr>
              <w:pStyle w:val="46"/>
              <w:ind w:left="0" w:leftChars="0" w:firstLine="0" w:firstLineChars="0"/>
              <w:rPr>
                <w:rFonts w:hint="eastAsia"/>
                <w:color w:val="auto"/>
                <w:highlight w:val="none"/>
                <w:lang w:val="en-US" w:eastAsia="zh-CN"/>
              </w:rPr>
            </w:pPr>
            <w:r>
              <w:rPr>
                <w:rFonts w:hint="eastAsia"/>
                <w:color w:val="auto"/>
                <w:highlight w:val="none"/>
                <w:lang w:val="en-US" w:eastAsia="zh-CN"/>
              </w:rPr>
              <w:t>（4）投标人提供的实物样品不轻便、不便于投送，各部件操作方便性差、使用安全性差；不能满足本标包招标文件要求及采购人需求，得0.5分。</w:t>
            </w:r>
          </w:p>
          <w:p>
            <w:pPr>
              <w:pStyle w:val="46"/>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color w:val="auto"/>
                <w:highlight w:val="none"/>
                <w:lang w:val="en-US" w:eastAsia="zh-CN"/>
              </w:rPr>
              <w:t>注：未按要求提供样品得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rPr>
              <w:t>供货方案</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eastAsia="zh-CN"/>
              </w:rPr>
              <w:t>分）</w:t>
            </w:r>
          </w:p>
        </w:tc>
        <w:tc>
          <w:tcPr>
            <w:tcW w:w="6454" w:type="dxa"/>
            <w:noWrap/>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1、项目总体实施方案（</w:t>
            </w:r>
            <w:r>
              <w:rPr>
                <w:rFonts w:hint="eastAsia" w:ascii="宋体" w:hAnsi="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（1）方案有项目需求理解分析的得</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投标供应商提供的</w:t>
            </w:r>
            <w:r>
              <w:rPr>
                <w:rFonts w:hint="eastAsia" w:ascii="宋体" w:hAnsi="宋体" w:eastAsia="宋体" w:cs="宋体"/>
                <w:color w:val="auto"/>
                <w:kern w:val="2"/>
                <w:sz w:val="24"/>
                <w:szCs w:val="24"/>
                <w:highlight w:val="none"/>
                <w:lang w:val="en-US" w:eastAsia="zh-CN" w:bidi="ar-SA"/>
              </w:rPr>
              <w:t>项目需求理解清晰、全面的得</w:t>
            </w:r>
            <w:r>
              <w:rPr>
                <w:rFonts w:hint="eastAsia" w:ascii="宋体" w:hAnsi="宋体" w:cs="宋体"/>
                <w:color w:val="auto"/>
                <w:kern w:val="2"/>
                <w:sz w:val="24"/>
                <w:szCs w:val="24"/>
                <w:highlight w:val="none"/>
                <w:lang w:val="en-US" w:eastAsia="zh-CN" w:bidi="ar-SA"/>
              </w:rPr>
              <w:t>8</w:t>
            </w:r>
            <w:r>
              <w:rPr>
                <w:rFonts w:hint="eastAsia" w:ascii="宋体" w:hAnsi="宋体" w:eastAsia="宋体" w:cs="宋体"/>
                <w:color w:val="auto"/>
                <w:kern w:val="2"/>
                <w:sz w:val="24"/>
                <w:szCs w:val="24"/>
                <w:highlight w:val="none"/>
                <w:lang w:val="en-US" w:eastAsia="zh-CN" w:bidi="ar-SA"/>
              </w:rPr>
              <w:t>分；需求理解清晰、但不全面的得</w:t>
            </w: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分；需求理解含糊、不全面的，得</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2、总体进度计划安排（</w:t>
            </w:r>
            <w:r>
              <w:rPr>
                <w:rFonts w:hint="eastAsia" w:ascii="宋体" w:hAnsi="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（1）方案有总体进度计划安排</w:t>
            </w:r>
            <w:r>
              <w:rPr>
                <w:rFonts w:hint="eastAsia" w:ascii="宋体" w:hAnsi="宋体" w:cs="宋体"/>
                <w:color w:val="auto"/>
                <w:kern w:val="2"/>
                <w:sz w:val="24"/>
                <w:szCs w:val="24"/>
                <w:highlight w:val="none"/>
                <w:lang w:val="en-US" w:eastAsia="zh-CN" w:bidi="ar-SA"/>
              </w:rPr>
              <w:t>的</w:t>
            </w:r>
            <w:r>
              <w:rPr>
                <w:rFonts w:hint="eastAsia" w:ascii="宋体" w:hAnsi="宋体" w:eastAsia="宋体" w:cs="宋体"/>
                <w:color w:val="auto"/>
                <w:kern w:val="2"/>
                <w:sz w:val="24"/>
                <w:szCs w:val="24"/>
                <w:highlight w:val="none"/>
                <w:lang w:val="en-US" w:eastAsia="zh-CN" w:bidi="ar-SA"/>
              </w:rPr>
              <w:t>得</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投标供应商提供的</w:t>
            </w:r>
            <w:r>
              <w:rPr>
                <w:rFonts w:hint="eastAsia" w:ascii="宋体" w:hAnsi="宋体" w:eastAsia="宋体" w:cs="宋体"/>
                <w:color w:val="auto"/>
                <w:kern w:val="2"/>
                <w:sz w:val="24"/>
                <w:szCs w:val="24"/>
                <w:highlight w:val="none"/>
                <w:lang w:val="en-US" w:eastAsia="zh-CN" w:bidi="ar-SA"/>
              </w:rPr>
              <w:t>整个项目实施进度计划清晰明确，紧扣项目情况的，得</w:t>
            </w:r>
            <w:r>
              <w:rPr>
                <w:rFonts w:hint="eastAsia" w:ascii="宋体" w:hAnsi="宋体" w:cs="宋体"/>
                <w:color w:val="auto"/>
                <w:kern w:val="2"/>
                <w:sz w:val="24"/>
                <w:szCs w:val="24"/>
                <w:highlight w:val="none"/>
                <w:lang w:val="en-US" w:eastAsia="zh-CN" w:bidi="ar-SA"/>
              </w:rPr>
              <w:t>8</w:t>
            </w:r>
            <w:r>
              <w:rPr>
                <w:rFonts w:hint="eastAsia" w:ascii="宋体" w:hAnsi="宋体" w:eastAsia="宋体" w:cs="宋体"/>
                <w:color w:val="auto"/>
                <w:kern w:val="2"/>
                <w:sz w:val="24"/>
                <w:szCs w:val="24"/>
                <w:highlight w:val="none"/>
                <w:lang w:val="en-US" w:eastAsia="zh-CN" w:bidi="ar-SA"/>
              </w:rPr>
              <w:t>分；整个项目实施进度计划不明确，符合项目情况的，得</w:t>
            </w: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分；总体进度计划尚缺考虑，与其总体方案不能呼应或进度计划安排有遗漏的，得</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3、进度计划保证措施（</w:t>
            </w:r>
            <w:r>
              <w:rPr>
                <w:rFonts w:hint="eastAsia" w:ascii="宋体" w:hAnsi="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（1）方案有进度计划保证措施，得</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投标供应商提供的</w:t>
            </w:r>
            <w:r>
              <w:rPr>
                <w:rFonts w:hint="eastAsia" w:ascii="宋体" w:hAnsi="宋体" w:eastAsia="宋体" w:cs="宋体"/>
                <w:color w:val="auto"/>
                <w:kern w:val="2"/>
                <w:sz w:val="24"/>
                <w:szCs w:val="24"/>
                <w:highlight w:val="none"/>
                <w:lang w:val="en-US" w:eastAsia="zh-CN" w:bidi="ar-SA"/>
              </w:rPr>
              <w:t>进度计划保证措施满足项目进度要求，措施高效且契合实际，有一系列考虑突发情况的应对措施，及对应的违约处罚措施的得</w:t>
            </w:r>
            <w:r>
              <w:rPr>
                <w:rFonts w:hint="eastAsia" w:ascii="宋体" w:hAnsi="宋体" w:cs="宋体"/>
                <w:color w:val="auto"/>
                <w:kern w:val="2"/>
                <w:sz w:val="24"/>
                <w:szCs w:val="24"/>
                <w:highlight w:val="none"/>
                <w:lang w:val="en-US" w:eastAsia="zh-CN" w:bidi="ar-SA"/>
              </w:rPr>
              <w:t>8</w:t>
            </w:r>
            <w:r>
              <w:rPr>
                <w:rFonts w:hint="eastAsia" w:ascii="宋体" w:hAnsi="宋体" w:eastAsia="宋体" w:cs="宋体"/>
                <w:color w:val="auto"/>
                <w:kern w:val="2"/>
                <w:sz w:val="24"/>
                <w:szCs w:val="24"/>
                <w:highlight w:val="none"/>
                <w:lang w:val="en-US" w:eastAsia="zh-CN" w:bidi="ar-SA"/>
              </w:rPr>
              <w:t>分；进度计划保证措施能够满足项目进度要求，措施契合实际，有违约处罚措施的得</w:t>
            </w: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分；进度计划保证措施满足项目进度要求，措施不契合实际，欠缺可行性，得</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sz w:val="24"/>
                <w:szCs w:val="24"/>
                <w:highlight w:val="none"/>
                <w:lang w:eastAsia="zh-CN"/>
              </w:rPr>
              <w:t>质量保障措施</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满分</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eastAsia="zh-CN"/>
              </w:rPr>
              <w:t>分）</w:t>
            </w:r>
          </w:p>
        </w:tc>
        <w:tc>
          <w:tcPr>
            <w:tcW w:w="6454" w:type="dxa"/>
            <w:noWrap/>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根据投标人提供的</w:t>
            </w:r>
            <w:r>
              <w:rPr>
                <w:rFonts w:hint="eastAsia" w:ascii="宋体" w:hAnsi="宋体" w:cs="宋体"/>
                <w:color w:val="auto"/>
                <w:kern w:val="2"/>
                <w:sz w:val="24"/>
                <w:szCs w:val="24"/>
                <w:highlight w:val="none"/>
                <w:lang w:val="en-US" w:eastAsia="zh-CN" w:bidi="ar-SA"/>
              </w:rPr>
              <w:t>质量保障措施</w:t>
            </w:r>
            <w:r>
              <w:rPr>
                <w:rFonts w:hint="eastAsia" w:ascii="宋体" w:hAnsi="宋体" w:eastAsia="宋体" w:cs="宋体"/>
                <w:color w:val="auto"/>
                <w:kern w:val="2"/>
                <w:sz w:val="24"/>
                <w:szCs w:val="24"/>
                <w:highlight w:val="none"/>
                <w:lang w:val="en-US" w:eastAsia="zh-CN" w:bidi="ar-SA"/>
              </w:rPr>
              <w:t>进行评审，包括但不限于：质量责任、质量管控、质量保证措施、设备质保期、违约责任等。</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color w:val="auto"/>
                <w:lang w:val="en-US" w:eastAsia="zh-CN"/>
              </w:rPr>
            </w:pPr>
            <w:r>
              <w:rPr>
                <w:rFonts w:hint="eastAsia" w:ascii="宋体" w:hAnsi="宋体" w:cs="宋体"/>
                <w:color w:val="auto"/>
                <w:kern w:val="2"/>
                <w:sz w:val="24"/>
                <w:szCs w:val="24"/>
                <w:highlight w:val="none"/>
                <w:lang w:val="en-US" w:eastAsia="zh-CN" w:bidi="ar-SA"/>
              </w:rPr>
              <w:t>质量保障措施</w:t>
            </w:r>
            <w:r>
              <w:rPr>
                <w:rFonts w:hint="eastAsia" w:ascii="宋体" w:hAnsi="宋体" w:eastAsia="宋体" w:cs="宋体"/>
                <w:color w:val="auto"/>
                <w:kern w:val="2"/>
                <w:sz w:val="24"/>
                <w:szCs w:val="24"/>
                <w:highlight w:val="none"/>
                <w:lang w:val="en-US" w:eastAsia="zh-CN" w:bidi="ar-SA"/>
              </w:rPr>
              <w:t>中完全包含以上内容且详细可行的得</w:t>
            </w:r>
            <w:r>
              <w:rPr>
                <w:rFonts w:hint="eastAsia" w:ascii="宋体" w:hAnsi="宋体" w:cs="宋体"/>
                <w:color w:val="auto"/>
                <w:kern w:val="2"/>
                <w:sz w:val="24"/>
                <w:szCs w:val="24"/>
                <w:highlight w:val="none"/>
                <w:lang w:val="en-US" w:eastAsia="zh-CN" w:bidi="ar-SA"/>
              </w:rPr>
              <w:t>20</w:t>
            </w:r>
            <w:r>
              <w:rPr>
                <w:rFonts w:hint="eastAsia" w:ascii="宋体" w:hAnsi="宋体" w:eastAsia="宋体" w:cs="宋体"/>
                <w:color w:val="auto"/>
                <w:kern w:val="2"/>
                <w:sz w:val="24"/>
                <w:szCs w:val="24"/>
                <w:highlight w:val="none"/>
                <w:lang w:val="en-US" w:eastAsia="zh-CN" w:bidi="ar-SA"/>
              </w:rPr>
              <w:t>分，每缺少1项内容扣</w:t>
            </w: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分，内容存在不实、缺漏、错误</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含糊、不全面、不符合</w:t>
            </w:r>
            <w:r>
              <w:rPr>
                <w:rFonts w:hint="eastAsia" w:ascii="宋体" w:hAnsi="宋体" w:cs="宋体"/>
                <w:color w:val="auto"/>
                <w:kern w:val="2"/>
                <w:sz w:val="24"/>
                <w:szCs w:val="24"/>
                <w:highlight w:val="none"/>
                <w:lang w:val="en-US" w:eastAsia="zh-CN" w:bidi="ar-SA"/>
              </w:rPr>
              <w:t>、不满足</w:t>
            </w:r>
            <w:r>
              <w:rPr>
                <w:rFonts w:hint="eastAsia" w:ascii="宋体" w:hAnsi="宋体" w:eastAsia="宋体" w:cs="宋体"/>
                <w:color w:val="auto"/>
                <w:kern w:val="2"/>
                <w:sz w:val="24"/>
                <w:szCs w:val="24"/>
                <w:highlight w:val="none"/>
                <w:lang w:val="en-US" w:eastAsia="zh-CN" w:bidi="ar-SA"/>
              </w:rPr>
              <w:t>需求等情况的每有一处扣</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分</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分值扣完为止。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20" w:type="dxa"/>
            <w:vMerge w:val="continue"/>
            <w:noWrap/>
            <w:tcMar>
              <w:left w:w="57" w:type="dxa"/>
              <w:right w:w="57" w:type="dxa"/>
            </w:tcMar>
            <w:vAlign w:val="center"/>
          </w:tcPr>
          <w:p>
            <w:pPr>
              <w:spacing w:line="360" w:lineRule="auto"/>
              <w:jc w:val="center"/>
              <w:rPr>
                <w:rFonts w:hint="eastAsia" w:ascii="宋体" w:hAnsi="宋体" w:eastAsia="宋体" w:cs="宋体"/>
                <w:color w:val="auto"/>
                <w:sz w:val="24"/>
                <w:szCs w:val="24"/>
                <w:highlight w:val="none"/>
              </w:rPr>
            </w:pPr>
          </w:p>
        </w:tc>
        <w:tc>
          <w:tcPr>
            <w:tcW w:w="1845" w:type="dxa"/>
            <w:noWrap/>
            <w:tcMar>
              <w:left w:w="57" w:type="dxa"/>
              <w:right w:w="57" w:type="dxa"/>
            </w:tcMar>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eastAsia="zh-CN"/>
              </w:rPr>
              <w:t>售后服务及保障措施（</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分）</w:t>
            </w:r>
          </w:p>
        </w:tc>
        <w:tc>
          <w:tcPr>
            <w:tcW w:w="6454" w:type="dxa"/>
            <w:noWrap/>
            <w:vAlign w:val="top"/>
          </w:tcPr>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根据投标人提供的售后服务及保障措施进行评审，内容包括但不限于：售后服务内容、售后服务机制、保修期内的保修内容与措施及违约责任、售后服务保障措施及违约责任等。</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售后服务及保障措施中完全包含以上内容且详细可行的得</w:t>
            </w:r>
            <w:r>
              <w:rPr>
                <w:rFonts w:hint="eastAsia" w:ascii="宋体" w:hAnsi="宋体" w:cs="宋体"/>
                <w:color w:val="auto"/>
                <w:kern w:val="0"/>
                <w:sz w:val="24"/>
                <w:szCs w:val="24"/>
                <w:highlight w:val="none"/>
                <w:lang w:val="en-US" w:eastAsia="zh-CN" w:bidi="ar-SA"/>
              </w:rPr>
              <w:t>15</w:t>
            </w:r>
            <w:r>
              <w:rPr>
                <w:rFonts w:hint="eastAsia" w:ascii="宋体" w:hAnsi="宋体" w:eastAsia="宋体" w:cs="宋体"/>
                <w:color w:val="auto"/>
                <w:kern w:val="0"/>
                <w:sz w:val="24"/>
                <w:szCs w:val="24"/>
                <w:highlight w:val="none"/>
                <w:lang w:val="en-US" w:eastAsia="zh-CN" w:bidi="ar-SA"/>
              </w:rPr>
              <w:t>分，</w:t>
            </w:r>
            <w:r>
              <w:rPr>
                <w:rFonts w:hint="eastAsia" w:ascii="宋体" w:hAnsi="宋体" w:eastAsia="宋体" w:cs="宋体"/>
                <w:color w:val="auto"/>
                <w:kern w:val="2"/>
                <w:sz w:val="24"/>
                <w:szCs w:val="24"/>
                <w:highlight w:val="none"/>
                <w:lang w:val="en-US" w:eastAsia="zh-CN" w:bidi="ar-SA"/>
              </w:rPr>
              <w:t>每缺少1项内容扣</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分，内容存在不实、缺漏、错误</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含糊、不全面、不符合</w:t>
            </w:r>
            <w:r>
              <w:rPr>
                <w:rFonts w:hint="eastAsia" w:ascii="宋体" w:hAnsi="宋体" w:cs="宋体"/>
                <w:color w:val="auto"/>
                <w:kern w:val="2"/>
                <w:sz w:val="24"/>
                <w:szCs w:val="24"/>
                <w:highlight w:val="none"/>
                <w:lang w:val="en-US" w:eastAsia="zh-CN" w:bidi="ar-SA"/>
              </w:rPr>
              <w:t>、不满足</w:t>
            </w:r>
            <w:r>
              <w:rPr>
                <w:rFonts w:hint="eastAsia" w:ascii="宋体" w:hAnsi="宋体" w:eastAsia="宋体" w:cs="宋体"/>
                <w:color w:val="auto"/>
                <w:kern w:val="2"/>
                <w:sz w:val="24"/>
                <w:szCs w:val="24"/>
                <w:highlight w:val="none"/>
                <w:lang w:val="en-US" w:eastAsia="zh-CN" w:bidi="ar-SA"/>
              </w:rPr>
              <w:t>需求等情况的每有一处扣</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分值扣完为止</w:t>
            </w:r>
            <w:r>
              <w:rPr>
                <w:rFonts w:hint="eastAsia" w:ascii="宋体" w:hAnsi="宋体" w:eastAsia="宋体" w:cs="宋体"/>
                <w:color w:val="auto"/>
                <w:kern w:val="0"/>
                <w:sz w:val="24"/>
                <w:szCs w:val="24"/>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519" w:type="dxa"/>
            <w:gridSpan w:val="3"/>
            <w:noWrap/>
            <w:tcMar>
              <w:left w:w="57" w:type="dxa"/>
              <w:right w:w="57" w:type="dxa"/>
            </w:tcMar>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投标人的评标总得分＝F1×A1＋F2×A2 </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其中： </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①F1、F2 分别为投标报价、技术商务部分2 项评分因素的汇总得分； </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②A1、A2分别为2项评分因素所占的权重（A1＋A2＝1）。 </w:t>
            </w:r>
          </w:p>
        </w:tc>
      </w:tr>
    </w:tbl>
    <w:p>
      <w:pPr>
        <w:rPr>
          <w:rFonts w:hint="eastAsia" w:ascii="宋体" w:hAnsi="宋体" w:eastAsia="宋体" w:cs="宋体"/>
          <w:color w:val="auto"/>
          <w:sz w:val="24"/>
          <w:highlight w:val="none"/>
        </w:rPr>
      </w:pPr>
    </w:p>
    <w:p>
      <w:pPr>
        <w:rPr>
          <w:rFonts w:hint="eastAsia" w:ascii="宋体" w:hAnsi="宋体" w:eastAsia="宋体" w:cs="宋体"/>
          <w:color w:val="auto"/>
          <w:highlight w:val="none"/>
        </w:rPr>
      </w:pPr>
      <w:bookmarkStart w:id="244" w:name="_Toc27023"/>
      <w:bookmarkStart w:id="245" w:name="_Toc30086"/>
      <w:bookmarkStart w:id="246" w:name="_Toc12442"/>
      <w:bookmarkStart w:id="247" w:name="_Toc3881"/>
      <w:bookmarkStart w:id="248" w:name="_Toc24110"/>
      <w:bookmarkStart w:id="249" w:name="_Toc20095"/>
      <w:bookmarkStart w:id="250" w:name="_Toc25722"/>
      <w:bookmarkStart w:id="251" w:name="_Toc23959"/>
      <w:r>
        <w:rPr>
          <w:rFonts w:hint="eastAsia" w:ascii="宋体" w:hAnsi="宋体" w:eastAsia="宋体" w:cs="宋体"/>
          <w:color w:val="auto"/>
          <w:highlight w:val="none"/>
        </w:rPr>
        <w:br w:type="page"/>
      </w:r>
    </w:p>
    <w:p>
      <w:pPr>
        <w:pStyle w:val="4"/>
        <w:jc w:val="center"/>
        <w:rPr>
          <w:rFonts w:hint="eastAsia" w:ascii="宋体" w:hAnsi="宋体" w:eastAsia="宋体" w:cs="宋体"/>
          <w:color w:val="auto"/>
          <w:sz w:val="24"/>
          <w:highlight w:val="none"/>
        </w:rPr>
      </w:pPr>
      <w:bookmarkStart w:id="252" w:name="_Toc23846"/>
      <w:r>
        <w:rPr>
          <w:rFonts w:hint="eastAsia" w:ascii="宋体" w:hAnsi="宋体" w:eastAsia="宋体" w:cs="宋体"/>
          <w:color w:val="auto"/>
          <w:highlight w:val="none"/>
        </w:rPr>
        <w:t>二、评标办法（综合评分法）正文部分</w:t>
      </w:r>
      <w:bookmarkEnd w:id="244"/>
      <w:bookmarkEnd w:id="245"/>
      <w:bookmarkEnd w:id="246"/>
      <w:bookmarkEnd w:id="247"/>
      <w:bookmarkEnd w:id="248"/>
      <w:bookmarkEnd w:id="249"/>
      <w:bookmarkEnd w:id="250"/>
      <w:bookmarkEnd w:id="251"/>
      <w:bookmarkEnd w:id="252"/>
    </w:p>
    <w:p>
      <w:pPr>
        <w:ind w:firstLine="482" w:firstLineChars="200"/>
        <w:rPr>
          <w:rFonts w:hint="eastAsia" w:ascii="宋体" w:hAnsi="宋体" w:eastAsia="宋体" w:cs="宋体"/>
          <w:b/>
          <w:bCs/>
          <w:color w:val="auto"/>
          <w:sz w:val="24"/>
          <w:szCs w:val="32"/>
          <w:highlight w:val="none"/>
        </w:rPr>
      </w:pPr>
      <w:bookmarkStart w:id="253" w:name="_Toc23567"/>
      <w:bookmarkStart w:id="254" w:name="_Toc31244"/>
      <w:r>
        <w:rPr>
          <w:rFonts w:hint="eastAsia" w:ascii="宋体" w:hAnsi="宋体" w:eastAsia="宋体" w:cs="宋体"/>
          <w:b/>
          <w:bCs/>
          <w:color w:val="auto"/>
          <w:sz w:val="24"/>
          <w:szCs w:val="32"/>
          <w:highlight w:val="none"/>
        </w:rPr>
        <w:t>1、总则</w:t>
      </w:r>
      <w:bookmarkEnd w:id="253"/>
      <w:bookmarkEnd w:id="254"/>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1.1资格审查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按《政府采购货物和服务招标投标管理办法（财政部令第87号）》第四十四条“公开招标采购项目开标结束后，采购人或者采购代理机构应当依法对供应商的资格进行审查”，本项目开标结束后</w:t>
      </w:r>
      <w:r>
        <w:rPr>
          <w:rFonts w:hint="eastAsia" w:ascii="宋体" w:hAnsi="宋体" w:eastAsia="宋体" w:cs="宋体"/>
          <w:color w:val="auto"/>
          <w:sz w:val="24"/>
          <w:highlight w:val="none"/>
          <w:lang w:eastAsia="zh-CN"/>
        </w:rPr>
        <w:t>由采购代理机构依法对供应商的资格进行审查</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资格性审查</w:t>
      </w:r>
      <w:r>
        <w:rPr>
          <w:rFonts w:hint="eastAsia" w:ascii="宋体" w:hAnsi="宋体" w:eastAsia="宋体" w:cs="宋体"/>
          <w:color w:val="auto"/>
          <w:sz w:val="24"/>
          <w:highlight w:val="none"/>
        </w:rPr>
        <w:t>标准详见评标办法前附表。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1.2工作人员将通过资格性审查的投标文件送评标委员会评审。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1.3评标办法及制定依据</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了规范本项目招投标活动，保证评标的公平、公正，维护招标投标活动各方当事人合法权益，依照《中华人民共和国政府采购法》、《中华人民共和国政府采购法实施条例》、财政部令87号《政府采购货物和服务招标投标管理办法》、财库[2007]第2号《关于加强政府采购货物和服务项目价格评审的通知》、财库[2012]第69号《关于进一步规范政府采购评审工作有关问题的通知》等规定，结合</w:t>
      </w:r>
      <w:r>
        <w:rPr>
          <w:rFonts w:hint="eastAsia" w:ascii="宋体" w:hAnsi="宋体" w:eastAsia="宋体" w:cs="宋体"/>
          <w:bCs/>
          <w:color w:val="auto"/>
          <w:sz w:val="24"/>
          <w:highlight w:val="none"/>
        </w:rPr>
        <w:t>本项目的</w:t>
      </w:r>
      <w:r>
        <w:rPr>
          <w:rFonts w:hint="eastAsia" w:ascii="宋体" w:hAnsi="宋体" w:eastAsia="宋体" w:cs="宋体"/>
          <w:color w:val="auto"/>
          <w:sz w:val="24"/>
          <w:highlight w:val="none"/>
        </w:rPr>
        <w:t>特点和实际情况，制定本办法。</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本次评标采用</w:t>
      </w:r>
      <w:bookmarkStart w:id="255" w:name="_Hlk494384859"/>
      <w:r>
        <w:rPr>
          <w:rFonts w:hint="eastAsia" w:ascii="宋体" w:hAnsi="宋体" w:eastAsia="宋体" w:cs="宋体"/>
          <w:color w:val="auto"/>
          <w:kern w:val="0"/>
          <w:sz w:val="24"/>
          <w:highlight w:val="none"/>
        </w:rPr>
        <w:t>综合评分法</w:t>
      </w:r>
      <w:bookmarkEnd w:id="255"/>
      <w:r>
        <w:rPr>
          <w:rFonts w:hint="eastAsia" w:ascii="宋体" w:hAnsi="宋体" w:eastAsia="宋体" w:cs="宋体"/>
          <w:color w:val="auto"/>
          <w:sz w:val="24"/>
          <w:highlight w:val="none"/>
        </w:rPr>
        <w:t>。</w:t>
      </w:r>
      <w:bookmarkStart w:id="256" w:name="_Hlk494384552"/>
      <w:r>
        <w:rPr>
          <w:rFonts w:hint="eastAsia" w:ascii="宋体" w:hAnsi="宋体" w:eastAsia="宋体" w:cs="宋体"/>
          <w:color w:val="auto"/>
          <w:kern w:val="0"/>
          <w:sz w:val="24"/>
          <w:highlight w:val="none"/>
        </w:rPr>
        <w:t>综合评分法</w:t>
      </w:r>
      <w:bookmarkEnd w:id="256"/>
      <w:r>
        <w:rPr>
          <w:rFonts w:hint="eastAsia" w:ascii="宋体" w:hAnsi="宋体" w:eastAsia="宋体" w:cs="宋体"/>
          <w:color w:val="auto"/>
          <w:kern w:val="0"/>
          <w:sz w:val="24"/>
          <w:highlight w:val="none"/>
        </w:rPr>
        <w:t>，是指投标文件满足采购文件全部实质性要求，且按照评审因素的量化指标评审得分最高的供应商为中标候选人的评标方法。</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1.3.1评标原则</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评标委员会成员应当按照客观、公正、审慎的原则，根据采购文件规定的评审程序、评审方法和评审标准进行独立评审。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1.3.2统计计算原则</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1.3.2.1</w:t>
      </w:r>
      <w:r>
        <w:rPr>
          <w:rFonts w:hint="eastAsia" w:ascii="宋体" w:hAnsi="宋体" w:eastAsia="宋体" w:cs="宋体"/>
          <w:color w:val="auto"/>
          <w:kern w:val="0"/>
          <w:sz w:val="24"/>
          <w:highlight w:val="none"/>
        </w:rPr>
        <w:t>评标过程中，不得去掉报价中的最高报价和最低报价。</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因落实政府采购政策进行价格调整的，以调整后的价格计算评标基准价和评标价</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因价格修正进行的价格调整，供应商确认后，</w:t>
      </w:r>
      <w:r>
        <w:rPr>
          <w:rFonts w:hint="eastAsia" w:ascii="宋体" w:hAnsi="宋体" w:eastAsia="宋体" w:cs="宋体"/>
          <w:color w:val="auto"/>
          <w:kern w:val="0"/>
          <w:sz w:val="24"/>
          <w:highlight w:val="none"/>
        </w:rPr>
        <w:t>以调整后的价格计算评标基准价和投标报价。因投标报价单位不一致，按照采购文件规定的价格单位统一修正，可按照价格修正的原则和方法进行。</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除了算术修正和落实政府采购政策需进行的价格扣除外，不能对供应商的投标价格进行任何调整。</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1.3.2.2评审委员会成员要依法独立评审，并对评审意见承担个人责任。评审委员会成员对需要共同认定的事项存在争议的，按照少数服从多数的原则做出结论。持不同意见的评审委员会成员应当在评审报告上签署不同意见并说明理由，否则视为同意。</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1.3.2.3评审打分统计计算结果，保留小数点后两位，第三位四舍五入。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1.4特殊情况的处理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1.4.1评标中因评标委员会成员缺席、回避或者健康等特殊原因导致评标委员会组成不符合本办法规定的，采购人或者采购代理机构应当依法补足后继续评标。被更换的评标委员会成员所作出的评标意见无效。</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无法及时补足评标委员会成员的，采购人或者采购代理机构应当停止评标活动，封存所有投标文件和开标、评标资料，依法重新组建评标委员会进行评标。原评标委员会所作出的评标意见无效。</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1.4.2</w:t>
      </w:r>
      <w:r>
        <w:rPr>
          <w:rFonts w:hint="eastAsia" w:ascii="宋体" w:hAnsi="宋体" w:eastAsia="宋体" w:cs="宋体"/>
          <w:color w:val="auto"/>
          <w:kern w:val="0"/>
          <w:sz w:val="24"/>
          <w:highlight w:val="none"/>
        </w:rPr>
        <w:t>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1.4.3评标委员会发现投标文件</w:t>
      </w:r>
      <w:r>
        <w:rPr>
          <w:rFonts w:hint="eastAsia" w:ascii="宋体" w:hAnsi="宋体" w:eastAsia="宋体" w:cs="宋体"/>
          <w:color w:val="auto"/>
          <w:kern w:val="0"/>
          <w:sz w:val="24"/>
          <w:highlight w:val="none"/>
        </w:rPr>
        <w:t>有下列情形之一的，可认定为供应商串通投标，其投标无效：</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（一）不同供应商的投标文件由同一单位或者个人编制；</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（二）不同供应商委托同一单位或者个人办理投标事宜；</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（三）不同供应商的投标文件载明的项目管理成员或者联系人员为同一人；</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（四）不同供应商的投标文件异常一致或者投标报价呈规律性差异；</w:t>
      </w:r>
    </w:p>
    <w:p>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（五）不同供应商的投标文件相互混装。</w:t>
      </w:r>
    </w:p>
    <w:p>
      <w:pPr>
        <w:widowControl/>
        <w:spacing w:line="360" w:lineRule="auto"/>
        <w:ind w:firstLine="480" w:firstLineChars="200"/>
        <w:rPr>
          <w:rFonts w:hint="eastAsia" w:ascii="宋体" w:hAnsi="宋体" w:eastAsia="宋体" w:cs="宋体"/>
          <w:color w:val="auto"/>
          <w:kern w:val="0"/>
          <w:sz w:val="24"/>
          <w:highlight w:val="none"/>
        </w:rPr>
      </w:pPr>
      <w:bookmarkStart w:id="257" w:name="_Toc24235"/>
      <w:bookmarkStart w:id="258" w:name="_Toc23995"/>
      <w:r>
        <w:rPr>
          <w:rFonts w:hint="eastAsia" w:ascii="宋体" w:hAnsi="宋体" w:eastAsia="宋体" w:cs="宋体"/>
          <w:color w:val="auto"/>
          <w:kern w:val="0"/>
          <w:sz w:val="24"/>
          <w:highlight w:val="none"/>
        </w:rPr>
        <w:t>1.4.4投标截止后供应商不足3家或者通过响应性审查或符合性审查的供应商不足3家的，评标委员会应对采购文件是否存在不合理条款或者招标程序是否符合规定的情况进行审查，并提出书面意见。</w:t>
      </w:r>
      <w:bookmarkEnd w:id="257"/>
      <w:bookmarkEnd w:id="258"/>
    </w:p>
    <w:p>
      <w:pPr>
        <w:ind w:firstLine="482" w:firstLineChars="200"/>
        <w:rPr>
          <w:rFonts w:hint="eastAsia" w:ascii="宋体" w:hAnsi="宋体" w:eastAsia="宋体" w:cs="宋体"/>
          <w:b/>
          <w:bCs/>
          <w:color w:val="auto"/>
          <w:sz w:val="24"/>
          <w:szCs w:val="32"/>
          <w:highlight w:val="none"/>
        </w:rPr>
      </w:pPr>
      <w:bookmarkStart w:id="259" w:name="_Toc24417"/>
      <w:bookmarkStart w:id="260" w:name="_Toc30254"/>
      <w:r>
        <w:rPr>
          <w:rFonts w:hint="eastAsia" w:ascii="宋体" w:hAnsi="宋体" w:eastAsia="宋体" w:cs="宋体"/>
          <w:b/>
          <w:bCs/>
          <w:color w:val="auto"/>
          <w:sz w:val="24"/>
          <w:szCs w:val="32"/>
          <w:highlight w:val="none"/>
        </w:rPr>
        <w:t>2、评标程序</w:t>
      </w:r>
      <w:bookmarkEnd w:id="259"/>
      <w:bookmarkEnd w:id="260"/>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2.1组建评标委员会</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2.1.1</w:t>
      </w:r>
      <w:r>
        <w:rPr>
          <w:rFonts w:hint="eastAsia" w:ascii="宋体" w:hAnsi="宋体" w:eastAsia="宋体" w:cs="宋体"/>
          <w:color w:val="auto"/>
          <w:kern w:val="0"/>
          <w:sz w:val="24"/>
          <w:highlight w:val="none"/>
        </w:rPr>
        <w:t>评标委员会由采购人代表和评审专家组成，成员人数为5人以上单数，其中评审专家不得少于成员总数的三分之二。</w:t>
      </w:r>
    </w:p>
    <w:p>
      <w:pPr>
        <w:spacing w:line="360" w:lineRule="auto"/>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2.2熟悉采购文件和评标办法与标准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2.2.1评标委员会组长组织评标委员会全体成员熟悉采购文件和评标办法与标准，评</w:t>
      </w:r>
      <w:r>
        <w:rPr>
          <w:rFonts w:hint="eastAsia" w:ascii="宋体" w:hAnsi="宋体" w:eastAsia="宋体" w:cs="宋体"/>
          <w:color w:val="auto"/>
          <w:kern w:val="0"/>
          <w:sz w:val="24"/>
          <w:highlight w:val="none"/>
        </w:rPr>
        <w:t>标委员会发现采购文件存在歧义、重大缺陷导致评标工作无法进行，或者采购文件内容违反国家有关强制性规定的，应当停止评标工作，与采购人或者采购代理机构沟通并作书面记录。</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2.2.2评标委员会确定采购文件及评标办法与标准合法有效的，确定评审因素中的主观因素和客观因素，统一评审因素的认定标准。</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2.3评标准备</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2.3.1评标委员会审查所有开标合格的投标文件，列出投标文件中的所有偏差，列出涉及价格折算、优先采购政策的投标文件，列出投标报价明显低于其他投标报价，需要进行成本判断的投标文件；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价格折算、优先采购政策、成本判断的原则和方法详见评标办法前附表。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2.3.2评标委员会对列出的投标文件偏差，需要询标（含价格修正）的，统一列出书面询标函；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价格修正的原则详见评标办法前附表。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2.3.3供应商应按照询标函的要求，在规定时间内提交书面澄清、补正文件；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供应商的澄清、说明或者补正应当采用书面形式，并加盖公章，或者由法定代表人或其授权的代表签字。供应商的澄清、说明或者补正不得超出投标文件的范围或者改变投标文件的实质性内容。</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2.3.4评标委员会对供应商提交的书面澄清、补正文件进行认定。</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2.4符合性审查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2.4.1评标委员会全体成员独立对通过资格性审查的投标文件进行符合性审查；</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2.4.2评标委员会对符合性审查结果汇总、确认，有不同意见书面阐述理由；</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2.4.3符合性审查标准详见评标办法前附表。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2.4.4投标文件有符合性审查标准中任何一项未通过审查的，不能通过符合性审查，该投标文件不得进入详细评审程序。</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bookmarkStart w:id="261" w:name="_Hlk494382129"/>
      <w:r>
        <w:rPr>
          <w:rFonts w:hint="eastAsia" w:ascii="宋体" w:hAnsi="宋体" w:eastAsia="宋体" w:cs="宋体"/>
          <w:b/>
          <w:bCs/>
          <w:color w:val="auto"/>
          <w:sz w:val="24"/>
          <w:highlight w:val="none"/>
        </w:rPr>
        <w:t>5详细评审</w:t>
      </w:r>
      <w:bookmarkEnd w:id="261"/>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2.5.1评标委员会全体成员对通过符合性审查的投标文件进行</w:t>
      </w:r>
      <w:r>
        <w:rPr>
          <w:rFonts w:hint="eastAsia" w:ascii="宋体" w:hAnsi="宋体" w:eastAsia="宋体" w:cs="宋体"/>
          <w:bCs/>
          <w:color w:val="auto"/>
          <w:sz w:val="24"/>
          <w:highlight w:val="none"/>
        </w:rPr>
        <w:t>详细评审、打分</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2.5.2评标委员会对</w:t>
      </w:r>
      <w:r>
        <w:rPr>
          <w:rFonts w:hint="eastAsia" w:ascii="宋体" w:hAnsi="宋体" w:eastAsia="宋体" w:cs="宋体"/>
          <w:bCs/>
          <w:color w:val="auto"/>
          <w:sz w:val="24"/>
          <w:highlight w:val="none"/>
        </w:rPr>
        <w:t>详细评审</w:t>
      </w:r>
      <w:r>
        <w:rPr>
          <w:rFonts w:hint="eastAsia" w:ascii="宋体" w:hAnsi="宋体" w:eastAsia="宋体" w:cs="宋体"/>
          <w:color w:val="auto"/>
          <w:sz w:val="24"/>
          <w:highlight w:val="none"/>
        </w:rPr>
        <w:t>结果汇总、确认，有不同意见书面阐述理由；</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2.5.3</w:t>
      </w:r>
      <w:r>
        <w:rPr>
          <w:rFonts w:hint="eastAsia" w:ascii="宋体" w:hAnsi="宋体" w:eastAsia="宋体" w:cs="宋体"/>
          <w:bCs/>
          <w:color w:val="auto"/>
          <w:sz w:val="24"/>
          <w:highlight w:val="none"/>
        </w:rPr>
        <w:t>详细评审</w:t>
      </w:r>
      <w:r>
        <w:rPr>
          <w:rFonts w:hint="eastAsia" w:ascii="宋体" w:hAnsi="宋体" w:eastAsia="宋体" w:cs="宋体"/>
          <w:color w:val="auto"/>
          <w:sz w:val="24"/>
          <w:highlight w:val="none"/>
        </w:rPr>
        <w:t>标准详见评标办法前附表。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2.5评标价评审、比较</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2.5.1评标委员会全体成员对投标文件的评标价进行评审、比较，评标价评审打分采用低价优先法。评标价评审打分的方法和标准详见评标办法前附表。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2.5.2经过价格修正和价格折算的价格为评标价。</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2.5.3中标价格为投标报价或经过修正的投标报价，经过修正的投标报价须由供应商确认。评标价只用于评标。</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2.6评标结果</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2.6.1</w:t>
      </w:r>
      <w:r>
        <w:rPr>
          <w:rFonts w:hint="eastAsia" w:ascii="宋体" w:hAnsi="宋体" w:eastAsia="宋体" w:cs="宋体"/>
          <w:color w:val="auto"/>
          <w:kern w:val="0"/>
          <w:sz w:val="24"/>
          <w:highlight w:val="none"/>
        </w:rPr>
        <w:t>评标结果汇总完成后，除下列情形外，任何人不得修改评标结果：</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（一）分值汇总计算错误的；</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（二）分项评分超出评分标准范围的；</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（三）评标委员会成员对客观评审因素评分不一致的；</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（四）经评标委员会认定评分畸高、畸低的。</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评标报告签署前，经复核发现存在以上情形之一的，评标委员会应当当场修改评标结果，并在评标报告中记载。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2.6.2</w:t>
      </w:r>
      <w:r>
        <w:rPr>
          <w:rFonts w:hint="eastAsia" w:ascii="宋体" w:hAnsi="宋体" w:eastAsia="宋体" w:cs="宋体"/>
          <w:color w:val="auto"/>
          <w:kern w:val="0"/>
          <w:sz w:val="24"/>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2.6.3</w:t>
      </w:r>
      <w:r>
        <w:rPr>
          <w:rFonts w:hint="eastAsia" w:ascii="宋体" w:hAnsi="宋体" w:eastAsia="宋体" w:cs="宋体"/>
          <w:color w:val="auto"/>
          <w:kern w:val="0"/>
          <w:sz w:val="24"/>
          <w:highlight w:val="none"/>
        </w:rPr>
        <w:t>评标委员会根据全体评标成员签字的原始评标记录和评标结果编写评标报告。评标报告应当包括以下内容：</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（一）招标公告刊登的媒体名称、开标日期和地点；</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（二）供应商名单和评标委员会成员名单；</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（三）评标方法和标准；</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（四）开标记录和评标情况及说明，包括无效供应商名单及原因；</w:t>
      </w:r>
    </w:p>
    <w:p>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（五）评标结果，确定的中标候选人名单或者经采购人委托直接确定的中标人；</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（六）其他需要说明的情况，包括评标过程中供应商根据评标委员会要求进行的澄清、说明或者补正，评标委员会成员的更换等。</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2.6.4评标委员会出具评标报告，并向招标人按照评标价排序推荐的顺序中标候选人3名</w:t>
      </w:r>
      <w:r>
        <w:rPr>
          <w:rFonts w:hint="eastAsia" w:ascii="宋体" w:hAnsi="宋体" w:eastAsia="宋体" w:cs="宋体"/>
          <w:color w:val="auto"/>
          <w:kern w:val="0"/>
          <w:sz w:val="24"/>
          <w:highlight w:val="none"/>
        </w:rPr>
        <w:t>。</w:t>
      </w:r>
    </w:p>
    <w:p>
      <w:pPr>
        <w:ind w:firstLine="482" w:firstLineChars="200"/>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3、评标标准</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3.1 符合性审查标准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3.1.1评标委员会依据评标办法前附表规定的</w:t>
      </w:r>
      <w:r>
        <w:rPr>
          <w:rFonts w:hint="eastAsia" w:ascii="宋体" w:hAnsi="宋体" w:eastAsia="宋体" w:cs="宋体"/>
          <w:bCs/>
          <w:color w:val="auto"/>
          <w:sz w:val="24"/>
          <w:highlight w:val="none"/>
        </w:rPr>
        <w:t>符合性审查</w:t>
      </w:r>
      <w:r>
        <w:rPr>
          <w:rFonts w:hint="eastAsia" w:ascii="宋体" w:hAnsi="宋体" w:eastAsia="宋体" w:cs="宋体"/>
          <w:color w:val="auto"/>
          <w:sz w:val="24"/>
          <w:highlight w:val="none"/>
        </w:rPr>
        <w:t>标准对投标文件进行</w:t>
      </w:r>
      <w:r>
        <w:rPr>
          <w:rFonts w:hint="eastAsia" w:ascii="宋体" w:hAnsi="宋体" w:eastAsia="宋体" w:cs="宋体"/>
          <w:bCs/>
          <w:color w:val="auto"/>
          <w:sz w:val="24"/>
          <w:highlight w:val="none"/>
        </w:rPr>
        <w:t>符合</w:t>
      </w:r>
      <w:r>
        <w:rPr>
          <w:rFonts w:hint="eastAsia" w:ascii="宋体" w:hAnsi="宋体" w:eastAsia="宋体" w:cs="宋体"/>
          <w:color w:val="auto"/>
          <w:sz w:val="24"/>
          <w:highlight w:val="none"/>
        </w:rPr>
        <w:t>性审查。有一项不符合审查标准的，应当否决其投标。</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3.1.2</w:t>
      </w:r>
      <w:r>
        <w:rPr>
          <w:rFonts w:hint="eastAsia" w:ascii="宋体" w:hAnsi="宋体" w:eastAsia="宋体" w:cs="宋体"/>
          <w:bCs/>
          <w:color w:val="auto"/>
          <w:sz w:val="24"/>
          <w:highlight w:val="none"/>
        </w:rPr>
        <w:t>符合性审查</w:t>
      </w:r>
      <w:r>
        <w:rPr>
          <w:rFonts w:hint="eastAsia" w:ascii="宋体" w:hAnsi="宋体" w:eastAsia="宋体" w:cs="宋体"/>
          <w:color w:val="auto"/>
          <w:sz w:val="24"/>
          <w:highlight w:val="none"/>
        </w:rPr>
        <w:t>标准详见评标办法前附表。</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3.2 详细评审标准</w:t>
      </w:r>
    </w:p>
    <w:p>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3.2.1</w:t>
      </w:r>
      <w:r>
        <w:rPr>
          <w:rFonts w:hint="eastAsia" w:ascii="宋体" w:hAnsi="宋体" w:cs="宋体"/>
          <w:b/>
          <w:color w:val="auto"/>
          <w:sz w:val="24"/>
          <w:highlight w:val="none"/>
          <w:lang w:eastAsia="zh-CN"/>
        </w:rPr>
        <w:t>技术商务部分</w:t>
      </w:r>
      <w:r>
        <w:rPr>
          <w:rFonts w:hint="eastAsia" w:ascii="宋体" w:hAnsi="宋体" w:eastAsia="宋体" w:cs="宋体"/>
          <w:b/>
          <w:color w:val="auto"/>
          <w:sz w:val="24"/>
          <w:highlight w:val="none"/>
        </w:rPr>
        <w:t>评审评分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3.2.1.1评标委员会按照评标办法前附表规定的</w:t>
      </w:r>
      <w:bookmarkStart w:id="262" w:name="_Hlk497753220"/>
      <w:r>
        <w:rPr>
          <w:rFonts w:hint="eastAsia" w:ascii="宋体" w:hAnsi="宋体" w:cs="宋体"/>
          <w:color w:val="auto"/>
          <w:sz w:val="24"/>
          <w:highlight w:val="none"/>
          <w:lang w:eastAsia="zh-CN"/>
        </w:rPr>
        <w:t>技术商务部分</w:t>
      </w:r>
      <w:r>
        <w:rPr>
          <w:rFonts w:hint="eastAsia" w:ascii="宋体" w:hAnsi="宋体" w:eastAsia="宋体" w:cs="宋体"/>
          <w:color w:val="auto"/>
          <w:sz w:val="24"/>
          <w:highlight w:val="none"/>
        </w:rPr>
        <w:t>评审</w:t>
      </w:r>
      <w:bookmarkEnd w:id="262"/>
      <w:r>
        <w:rPr>
          <w:rFonts w:hint="eastAsia" w:ascii="宋体" w:hAnsi="宋体" w:eastAsia="宋体" w:cs="宋体"/>
          <w:color w:val="auto"/>
          <w:sz w:val="24"/>
          <w:highlight w:val="none"/>
        </w:rPr>
        <w:t>标准对投标文件中各评审因素和内容进行详细评审评分。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3.2.1.2</w:t>
      </w:r>
      <w:r>
        <w:rPr>
          <w:rFonts w:hint="eastAsia" w:ascii="宋体" w:hAnsi="宋体" w:cs="宋体"/>
          <w:color w:val="auto"/>
          <w:sz w:val="24"/>
          <w:highlight w:val="none"/>
          <w:lang w:eastAsia="zh-CN"/>
        </w:rPr>
        <w:t>技术商务部分</w:t>
      </w:r>
      <w:r>
        <w:rPr>
          <w:rFonts w:hint="eastAsia" w:ascii="宋体" w:hAnsi="宋体" w:eastAsia="宋体" w:cs="宋体"/>
          <w:color w:val="auto"/>
          <w:sz w:val="24"/>
          <w:highlight w:val="none"/>
        </w:rPr>
        <w:t>评审标准详见评标办法前附表。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3.2.1.3</w:t>
      </w:r>
      <w:r>
        <w:rPr>
          <w:rFonts w:hint="eastAsia" w:ascii="宋体" w:hAnsi="宋体" w:cs="宋体"/>
          <w:color w:val="auto"/>
          <w:sz w:val="24"/>
          <w:highlight w:val="none"/>
          <w:lang w:eastAsia="zh-CN"/>
        </w:rPr>
        <w:t>技术商务部分</w:t>
      </w:r>
      <w:r>
        <w:rPr>
          <w:rFonts w:hint="eastAsia" w:ascii="宋体" w:hAnsi="宋体" w:eastAsia="宋体" w:cs="宋体"/>
          <w:color w:val="auto"/>
          <w:sz w:val="24"/>
          <w:highlight w:val="none"/>
        </w:rPr>
        <w:t>评审因素应首先认定主观因素和客观因素，已经认定为客观因素的，评标委员会的打分标准应当一致。已经认定为主观因素的，评标委员会的打分应当审慎，出现畸高、畸低的，应当说明理由。</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3.2.1.4评标委员会认定投标文件的响应因素，应依据投标文件本身，按照证明材料、承诺、阐述的效力顺序和其完整性、真实性进行判断。</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3.3.2 价格评审标准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3.3.2.1</w:t>
      </w:r>
      <w:bookmarkStart w:id="263" w:name="_Hlk497752621"/>
      <w:r>
        <w:rPr>
          <w:rFonts w:hint="eastAsia" w:ascii="宋体" w:hAnsi="宋体" w:eastAsia="宋体" w:cs="宋体"/>
          <w:color w:val="auto"/>
          <w:sz w:val="24"/>
          <w:highlight w:val="none"/>
        </w:rPr>
        <w:t>评标委员会</w:t>
      </w:r>
      <w:bookmarkEnd w:id="263"/>
      <w:r>
        <w:rPr>
          <w:rFonts w:hint="eastAsia" w:ascii="宋体" w:hAnsi="宋体" w:eastAsia="宋体" w:cs="宋体"/>
          <w:color w:val="auto"/>
          <w:sz w:val="24"/>
          <w:highlight w:val="none"/>
        </w:rPr>
        <w:t>依据评标办法前附表规定的价格评审标准对投标文件中评标价进行审查、比较。</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3.3.2.2 价格评审标准标准详见评标办法前附表。</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3.3.2.3价格评审时，不得去掉最低报价和最高报价。</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3.4评审分值统计汇总</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3.4.1</w:t>
      </w:r>
      <w:r>
        <w:rPr>
          <w:rFonts w:hint="eastAsia" w:ascii="宋体" w:hAnsi="宋体" w:eastAsia="宋体" w:cs="宋体"/>
          <w:color w:val="auto"/>
          <w:sz w:val="24"/>
          <w:highlight w:val="none"/>
        </w:rPr>
        <w:t>评标委员会所有成员评审评分分值汇总后的算术平均值为供应商得分；</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3.4.2统计评审分值时，不得去掉最高、最低的打分；</w:t>
      </w:r>
    </w:p>
    <w:p>
      <w:pPr>
        <w:spacing w:line="360" w:lineRule="auto"/>
        <w:ind w:firstLine="480" w:firstLineChars="20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3.4.3供应商的最后得分为</w:t>
      </w:r>
      <w:r>
        <w:rPr>
          <w:rFonts w:hint="eastAsia" w:ascii="宋体" w:hAnsi="宋体" w:cs="宋体"/>
          <w:color w:val="auto"/>
          <w:sz w:val="24"/>
          <w:highlight w:val="none"/>
          <w:lang w:eastAsia="zh-CN"/>
        </w:rPr>
        <w:t>技术商务部分</w:t>
      </w:r>
      <w:r>
        <w:rPr>
          <w:rFonts w:hint="eastAsia" w:ascii="宋体" w:hAnsi="宋体" w:eastAsia="宋体" w:cs="宋体"/>
          <w:color w:val="auto"/>
          <w:sz w:val="24"/>
          <w:highlight w:val="none"/>
        </w:rPr>
        <w:t>得分和价格评审得分之和。</w:t>
      </w:r>
    </w:p>
    <w:p>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3.5评标报告及推荐中标候选人</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3.5.1投标文件满足采购文件全部实质性要求，且评审因素的量化指标评审得分最高的为中标候选人。</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3.5.2评标委员会评审完成后，按照评标办法前附表规定的推荐顺序和方法，向招标人推荐中标候选人，并出具评标报告。</w:t>
      </w:r>
    </w:p>
    <w:p>
      <w:pPr>
        <w:pStyle w:val="3"/>
        <w:jc w:val="center"/>
        <w:rPr>
          <w:rFonts w:hint="eastAsia" w:ascii="宋体" w:hAnsi="宋体" w:eastAsia="宋体" w:cs="宋体"/>
          <w:color w:val="auto"/>
          <w:sz w:val="24"/>
          <w:highlight w:val="none"/>
        </w:rPr>
      </w:pPr>
      <w:bookmarkStart w:id="264" w:name="_Toc26519"/>
      <w:bookmarkStart w:id="265" w:name="_Toc25334"/>
      <w:bookmarkStart w:id="266" w:name="_Toc32073"/>
      <w:bookmarkStart w:id="267" w:name="_Toc5250"/>
      <w:bookmarkStart w:id="268" w:name="_Toc24743"/>
      <w:bookmarkStart w:id="269" w:name="_Toc22732"/>
      <w:r>
        <w:rPr>
          <w:rFonts w:hint="eastAsia" w:ascii="宋体" w:hAnsi="宋体" w:eastAsia="宋体" w:cs="宋体"/>
          <w:color w:val="auto"/>
          <w:highlight w:val="none"/>
        </w:rPr>
        <w:br w:type="page"/>
      </w:r>
      <w:bookmarkStart w:id="270" w:name="_Toc15372"/>
      <w:r>
        <w:rPr>
          <w:rStyle w:val="48"/>
          <w:rFonts w:hint="eastAsia" w:ascii="宋体" w:hAnsi="宋体" w:eastAsia="宋体" w:cs="宋体"/>
          <w:b/>
          <w:color w:val="auto"/>
          <w:szCs w:val="24"/>
          <w:highlight w:val="none"/>
          <w:lang w:val="en-US" w:eastAsia="zh-CN" w:bidi="ar-SA"/>
        </w:rPr>
        <w:t>第四章 合同条款及格式</w:t>
      </w:r>
      <w:bookmarkEnd w:id="264"/>
      <w:bookmarkEnd w:id="265"/>
      <w:bookmarkEnd w:id="266"/>
      <w:bookmarkEnd w:id="267"/>
      <w:bookmarkEnd w:id="268"/>
      <w:bookmarkEnd w:id="269"/>
      <w:bookmarkEnd w:id="270"/>
    </w:p>
    <w:p>
      <w:pPr>
        <w:adjustRightInd/>
        <w:snapToGrid/>
        <w:ind w:firstLine="0" w:firstLineChars="0"/>
        <w:jc w:val="center"/>
        <w:rPr>
          <w:rFonts w:hint="eastAsia"/>
          <w:snapToGrid/>
          <w:color w:val="auto"/>
          <w:sz w:val="24"/>
          <w:szCs w:val="24"/>
          <w:lang w:eastAsia="zh-CN"/>
        </w:rPr>
      </w:pPr>
      <w:bookmarkStart w:id="271" w:name="_Toc31384"/>
      <w:bookmarkStart w:id="272" w:name="_Toc22902"/>
      <w:bookmarkStart w:id="273" w:name="_Toc9292"/>
      <w:bookmarkStart w:id="274" w:name="_Toc2524"/>
      <w:bookmarkStart w:id="275" w:name="_Toc31513"/>
      <w:bookmarkStart w:id="276" w:name="_Toc29015"/>
      <w:r>
        <w:rPr>
          <w:rFonts w:hint="eastAsia"/>
          <w:snapToGrid/>
          <w:color w:val="auto"/>
          <w:sz w:val="24"/>
          <w:szCs w:val="24"/>
          <w:lang w:eastAsia="zh-CN"/>
        </w:rPr>
        <w:t>（</w:t>
      </w:r>
      <w:r>
        <w:rPr>
          <w:rFonts w:hint="eastAsia"/>
          <w:snapToGrid/>
          <w:color w:val="auto"/>
          <w:sz w:val="24"/>
          <w:szCs w:val="24"/>
        </w:rPr>
        <w:t>格式仅供参考，以合同双方最终签订合同为准</w:t>
      </w:r>
      <w:r>
        <w:rPr>
          <w:rFonts w:hint="eastAsia"/>
          <w:snapToGrid/>
          <w:color w:val="auto"/>
          <w:sz w:val="24"/>
          <w:szCs w:val="24"/>
          <w:lang w:eastAsia="zh-CN"/>
        </w:rPr>
        <w:t>，适用于</w:t>
      </w:r>
      <w:r>
        <w:rPr>
          <w:rFonts w:hint="eastAsia"/>
          <w:snapToGrid/>
          <w:color w:val="auto"/>
          <w:sz w:val="24"/>
          <w:szCs w:val="24"/>
          <w:lang w:val="en-US" w:eastAsia="zh-CN"/>
        </w:rPr>
        <w:t>1标包、2标包、3标包。</w:t>
      </w:r>
      <w:r>
        <w:rPr>
          <w:rFonts w:hint="eastAsia"/>
          <w:snapToGrid/>
          <w:color w:val="auto"/>
          <w:sz w:val="24"/>
          <w:szCs w:val="24"/>
          <w:lang w:eastAsia="zh-CN"/>
        </w:rPr>
        <w:t>）</w:t>
      </w:r>
    </w:p>
    <w:p>
      <w:pPr>
        <w:pStyle w:val="46"/>
        <w:rPr>
          <w:rFonts w:hint="eastAsia"/>
          <w:color w:val="auto"/>
        </w:rPr>
      </w:pPr>
    </w:p>
    <w:p>
      <w:pPr>
        <w:adjustRightInd/>
        <w:snapToGrid/>
        <w:ind w:firstLine="0" w:firstLineChars="0"/>
        <w:jc w:val="left"/>
        <w:rPr>
          <w:rFonts w:hint="default"/>
          <w:color w:val="auto"/>
          <w:lang w:val="en-US"/>
        </w:rPr>
      </w:pPr>
      <w:r>
        <w:rPr>
          <w:rFonts w:hint="eastAsia"/>
          <w:snapToGrid/>
          <w:color w:val="auto"/>
          <w:sz w:val="28"/>
          <w:szCs w:val="28"/>
        </w:rPr>
        <w:t>合同编号：</w:t>
      </w:r>
      <w:r>
        <w:rPr>
          <w:rFonts w:hint="eastAsia"/>
          <w:b/>
          <w:bCs/>
          <w:color w:val="auto"/>
          <w:spacing w:val="6"/>
          <w:sz w:val="32"/>
          <w:szCs w:val="32"/>
          <w:lang w:val="en-US" w:eastAsia="zh-CN"/>
        </w:rPr>
        <w:t xml:space="preserve">              </w:t>
      </w:r>
    </w:p>
    <w:p>
      <w:pPr>
        <w:widowControl w:val="0"/>
        <w:adjustRightInd/>
        <w:snapToGrid/>
        <w:spacing w:line="440" w:lineRule="exact"/>
        <w:ind w:firstLine="0" w:firstLineChars="0"/>
        <w:jc w:val="both"/>
        <w:textAlignment w:val="auto"/>
        <w:rPr>
          <w:snapToGrid/>
          <w:color w:val="auto"/>
          <w:sz w:val="30"/>
          <w:szCs w:val="30"/>
        </w:rPr>
      </w:pPr>
    </w:p>
    <w:p>
      <w:pPr>
        <w:widowControl w:val="0"/>
        <w:tabs>
          <w:tab w:val="left" w:pos="4775"/>
        </w:tabs>
        <w:adjustRightInd/>
        <w:snapToGrid/>
        <w:ind w:firstLine="0" w:firstLineChars="0"/>
        <w:jc w:val="center"/>
        <w:textAlignment w:val="auto"/>
        <w:rPr>
          <w:rFonts w:hint="eastAsia" w:eastAsia="宋体"/>
          <w:b/>
          <w:bCs/>
          <w:snapToGrid/>
          <w:color w:val="auto"/>
          <w:sz w:val="40"/>
          <w:szCs w:val="36"/>
          <w:lang w:eastAsia="zh-CN"/>
        </w:rPr>
      </w:pPr>
      <w:r>
        <w:rPr>
          <w:rFonts w:hint="eastAsia"/>
          <w:b/>
          <w:bCs/>
          <w:snapToGrid/>
          <w:color w:val="auto"/>
          <w:sz w:val="40"/>
          <w:szCs w:val="36"/>
        </w:rPr>
        <w:t>曲靖市消防救援支队2024年度支队集中采购器材装备项目</w:t>
      </w:r>
      <w:r>
        <w:rPr>
          <w:rFonts w:hint="eastAsia"/>
          <w:b/>
          <w:bCs/>
          <w:snapToGrid/>
          <w:color w:val="auto"/>
          <w:sz w:val="40"/>
          <w:szCs w:val="36"/>
          <w:lang w:eastAsia="zh-CN"/>
        </w:rPr>
        <w:t>（</w:t>
      </w:r>
      <w:r>
        <w:rPr>
          <w:rFonts w:hint="eastAsia"/>
          <w:b/>
          <w:bCs/>
          <w:snapToGrid/>
          <w:color w:val="auto"/>
          <w:sz w:val="40"/>
          <w:szCs w:val="36"/>
          <w:lang w:val="en-US" w:eastAsia="zh-CN"/>
        </w:rPr>
        <w:t xml:space="preserve">    标包</w:t>
      </w:r>
      <w:r>
        <w:rPr>
          <w:rFonts w:hint="eastAsia"/>
          <w:b/>
          <w:bCs/>
          <w:snapToGrid/>
          <w:color w:val="auto"/>
          <w:sz w:val="40"/>
          <w:szCs w:val="36"/>
          <w:lang w:eastAsia="zh-CN"/>
        </w:rPr>
        <w:t>）</w:t>
      </w:r>
    </w:p>
    <w:p>
      <w:pPr>
        <w:widowControl w:val="0"/>
        <w:adjustRightInd/>
        <w:snapToGrid/>
        <w:spacing w:line="440" w:lineRule="exact"/>
        <w:ind w:firstLine="0" w:firstLineChars="0"/>
        <w:jc w:val="both"/>
        <w:textAlignment w:val="auto"/>
        <w:rPr>
          <w:b/>
          <w:bCs/>
          <w:snapToGrid/>
          <w:color w:val="auto"/>
          <w:sz w:val="48"/>
          <w:szCs w:val="48"/>
        </w:rPr>
      </w:pPr>
    </w:p>
    <w:p>
      <w:pPr>
        <w:widowControl w:val="0"/>
        <w:adjustRightInd/>
        <w:snapToGrid/>
        <w:spacing w:line="440" w:lineRule="exact"/>
        <w:ind w:firstLine="0" w:firstLineChars="0"/>
        <w:jc w:val="both"/>
        <w:textAlignment w:val="auto"/>
        <w:rPr>
          <w:b/>
          <w:bCs/>
          <w:snapToGrid/>
          <w:color w:val="auto"/>
          <w:sz w:val="48"/>
          <w:szCs w:val="48"/>
        </w:rPr>
      </w:pPr>
    </w:p>
    <w:p>
      <w:pPr>
        <w:widowControl w:val="0"/>
        <w:adjustRightInd/>
        <w:snapToGrid/>
        <w:spacing w:line="440" w:lineRule="exact"/>
        <w:ind w:firstLine="0" w:firstLineChars="0"/>
        <w:jc w:val="both"/>
        <w:textAlignment w:val="auto"/>
        <w:rPr>
          <w:b/>
          <w:bCs/>
          <w:snapToGrid/>
          <w:color w:val="auto"/>
          <w:sz w:val="48"/>
          <w:szCs w:val="48"/>
        </w:rPr>
      </w:pPr>
    </w:p>
    <w:p>
      <w:pPr>
        <w:widowControl w:val="0"/>
        <w:wordWrap w:val="0"/>
        <w:adjustRightInd/>
        <w:snapToGrid/>
        <w:spacing w:before="312" w:beforeLines="100" w:after="312" w:afterLines="100" w:line="480" w:lineRule="auto"/>
        <w:ind w:firstLine="0" w:firstLineChars="0"/>
        <w:jc w:val="center"/>
        <w:textAlignment w:val="auto"/>
        <w:rPr>
          <w:b/>
          <w:bCs/>
          <w:snapToGrid/>
          <w:color w:val="auto"/>
          <w:sz w:val="72"/>
          <w:szCs w:val="72"/>
        </w:rPr>
      </w:pPr>
      <w:r>
        <w:rPr>
          <w:rFonts w:hint="eastAsia"/>
          <w:b/>
          <w:bCs/>
          <w:snapToGrid/>
          <w:color w:val="auto"/>
          <w:sz w:val="72"/>
          <w:szCs w:val="72"/>
        </w:rPr>
        <w:t>合</w:t>
      </w:r>
    </w:p>
    <w:p>
      <w:pPr>
        <w:widowControl w:val="0"/>
        <w:wordWrap w:val="0"/>
        <w:adjustRightInd/>
        <w:snapToGrid/>
        <w:spacing w:before="312" w:beforeLines="100" w:after="312" w:afterLines="100" w:line="480" w:lineRule="auto"/>
        <w:ind w:firstLine="0" w:firstLineChars="0"/>
        <w:jc w:val="center"/>
        <w:textAlignment w:val="auto"/>
        <w:rPr>
          <w:b/>
          <w:bCs/>
          <w:snapToGrid/>
          <w:color w:val="auto"/>
          <w:sz w:val="72"/>
          <w:szCs w:val="72"/>
        </w:rPr>
      </w:pPr>
      <w:r>
        <w:rPr>
          <w:rFonts w:hint="eastAsia"/>
          <w:b/>
          <w:bCs/>
          <w:snapToGrid/>
          <w:color w:val="auto"/>
          <w:sz w:val="72"/>
          <w:szCs w:val="72"/>
        </w:rPr>
        <w:t>同</w:t>
      </w:r>
    </w:p>
    <w:p>
      <w:pPr>
        <w:widowControl w:val="0"/>
        <w:wordWrap w:val="0"/>
        <w:adjustRightInd/>
        <w:snapToGrid/>
        <w:spacing w:before="312" w:beforeLines="100" w:after="312" w:afterLines="100" w:line="480" w:lineRule="auto"/>
        <w:ind w:firstLine="0" w:firstLineChars="0"/>
        <w:jc w:val="center"/>
        <w:textAlignment w:val="auto"/>
        <w:rPr>
          <w:b/>
          <w:bCs/>
          <w:snapToGrid/>
          <w:color w:val="auto"/>
          <w:sz w:val="30"/>
          <w:szCs w:val="30"/>
        </w:rPr>
      </w:pPr>
      <w:r>
        <w:rPr>
          <w:rFonts w:hint="eastAsia"/>
          <w:b/>
          <w:bCs/>
          <w:snapToGrid/>
          <w:color w:val="auto"/>
          <w:sz w:val="72"/>
          <w:szCs w:val="72"/>
        </w:rPr>
        <w:t>书</w:t>
      </w:r>
    </w:p>
    <w:p>
      <w:pPr>
        <w:widowControl w:val="0"/>
        <w:wordWrap w:val="0"/>
        <w:adjustRightInd/>
        <w:snapToGrid/>
        <w:spacing w:before="156" w:beforeLines="50" w:after="156" w:afterLines="50" w:line="440" w:lineRule="exact"/>
        <w:ind w:firstLine="0" w:firstLineChars="0"/>
        <w:jc w:val="center"/>
        <w:textAlignment w:val="auto"/>
        <w:rPr>
          <w:b/>
          <w:bCs/>
          <w:snapToGrid/>
          <w:color w:val="auto"/>
          <w:sz w:val="30"/>
          <w:szCs w:val="30"/>
        </w:rPr>
      </w:pPr>
    </w:p>
    <w:p>
      <w:pPr>
        <w:pStyle w:val="46"/>
        <w:rPr>
          <w:color w:val="auto"/>
        </w:rPr>
      </w:pPr>
    </w:p>
    <w:p>
      <w:pPr>
        <w:widowControl w:val="0"/>
        <w:wordWrap w:val="0"/>
        <w:adjustRightInd/>
        <w:snapToGrid/>
        <w:spacing w:before="156" w:beforeLines="50" w:after="156" w:afterLines="50" w:line="440" w:lineRule="exact"/>
        <w:ind w:firstLine="0" w:firstLineChars="0"/>
        <w:jc w:val="center"/>
        <w:textAlignment w:val="auto"/>
        <w:rPr>
          <w:snapToGrid/>
          <w:color w:val="auto"/>
          <w:sz w:val="32"/>
          <w:szCs w:val="32"/>
          <w:lang w:val="zh-CN"/>
        </w:rPr>
      </w:pPr>
      <w:r>
        <w:rPr>
          <w:rFonts w:hint="eastAsia"/>
          <w:b/>
          <w:bCs/>
          <w:snapToGrid/>
          <w:color w:val="auto"/>
          <w:sz w:val="30"/>
          <w:szCs w:val="30"/>
        </w:rPr>
        <w:t>签订地点：</w:t>
      </w:r>
      <w:r>
        <w:rPr>
          <w:rFonts w:hint="eastAsia"/>
          <w:b/>
          <w:bCs/>
          <w:snapToGrid/>
          <w:color w:val="auto"/>
          <w:sz w:val="30"/>
          <w:szCs w:val="30"/>
          <w:u w:val="single"/>
        </w:rPr>
        <w:t>曲靖市消防救援支队</w:t>
      </w:r>
    </w:p>
    <w:p>
      <w:pPr>
        <w:widowControl w:val="0"/>
        <w:adjustRightInd/>
        <w:snapToGrid/>
        <w:spacing w:line="360" w:lineRule="auto"/>
        <w:ind w:firstLine="0" w:firstLineChars="0"/>
        <w:jc w:val="both"/>
        <w:textAlignment w:val="auto"/>
        <w:rPr>
          <w:b/>
          <w:bCs/>
          <w:snapToGrid/>
          <w:color w:val="auto"/>
          <w:sz w:val="24"/>
          <w:szCs w:val="24"/>
          <w:lang w:val="zh-CN"/>
        </w:rPr>
      </w:pPr>
      <w:r>
        <w:rPr>
          <w:rFonts w:hint="eastAsia"/>
          <w:snapToGrid/>
          <w:color w:val="auto"/>
          <w:sz w:val="32"/>
          <w:szCs w:val="32"/>
          <w:lang w:val="zh-CN"/>
        </w:rPr>
        <w:br w:type="page"/>
      </w:r>
      <w:r>
        <w:rPr>
          <w:rFonts w:hint="eastAsia"/>
          <w:b/>
          <w:bCs/>
          <w:snapToGrid/>
          <w:color w:val="auto"/>
          <w:sz w:val="24"/>
          <w:szCs w:val="24"/>
          <w:lang w:val="zh-CN"/>
        </w:rPr>
        <w:t>甲方（</w:t>
      </w:r>
      <w:r>
        <w:rPr>
          <w:rFonts w:hint="eastAsia"/>
          <w:b/>
          <w:bCs/>
          <w:snapToGrid/>
          <w:color w:val="auto"/>
          <w:sz w:val="24"/>
          <w:szCs w:val="24"/>
        </w:rPr>
        <w:t>招标</w:t>
      </w:r>
      <w:r>
        <w:rPr>
          <w:rFonts w:hint="eastAsia"/>
          <w:b/>
          <w:bCs/>
          <w:snapToGrid/>
          <w:color w:val="auto"/>
          <w:sz w:val="24"/>
          <w:szCs w:val="24"/>
          <w:lang w:val="zh-CN"/>
        </w:rPr>
        <w:t>人）名      称：曲靖市消防救援支队</w:t>
      </w:r>
      <w:r>
        <w:rPr>
          <w:rFonts w:hint="eastAsia"/>
          <w:b/>
          <w:bCs/>
          <w:snapToGrid/>
          <w:color w:val="auto"/>
          <w:sz w:val="24"/>
          <w:szCs w:val="24"/>
        </w:rPr>
        <w:t xml:space="preserve"> </w:t>
      </w:r>
    </w:p>
    <w:p>
      <w:pPr>
        <w:widowControl w:val="0"/>
        <w:tabs>
          <w:tab w:val="left" w:pos="0"/>
        </w:tabs>
        <w:spacing w:line="360" w:lineRule="auto"/>
        <w:jc w:val="both"/>
        <w:rPr>
          <w:color w:val="auto"/>
          <w:sz w:val="24"/>
          <w:szCs w:val="24"/>
          <w:lang w:val="zh-CN"/>
        </w:rPr>
      </w:pPr>
      <w:r>
        <w:rPr>
          <w:rFonts w:hint="eastAsia"/>
          <w:color w:val="auto"/>
          <w:sz w:val="24"/>
          <w:szCs w:val="24"/>
          <w:lang w:val="zh-CN"/>
        </w:rPr>
        <w:t xml:space="preserve">          </w:t>
      </w:r>
      <w:r>
        <w:rPr>
          <w:rFonts w:hint="eastAsia"/>
          <w:color w:val="auto"/>
          <w:sz w:val="24"/>
          <w:szCs w:val="24"/>
        </w:rPr>
        <w:t xml:space="preserve"> </w:t>
      </w:r>
      <w:r>
        <w:rPr>
          <w:rFonts w:hint="eastAsia"/>
          <w:color w:val="auto"/>
          <w:sz w:val="24"/>
          <w:szCs w:val="24"/>
          <w:lang w:val="zh-CN"/>
        </w:rPr>
        <w:t xml:space="preserve">地     址：云南省曲靖市麒麟区紫云路118号 </w:t>
      </w:r>
    </w:p>
    <w:p>
      <w:pPr>
        <w:widowControl w:val="0"/>
        <w:tabs>
          <w:tab w:val="left" w:pos="0"/>
        </w:tabs>
        <w:spacing w:line="360" w:lineRule="auto"/>
        <w:jc w:val="both"/>
        <w:rPr>
          <w:color w:val="auto"/>
          <w:sz w:val="24"/>
          <w:szCs w:val="24"/>
          <w:lang w:val="zh-CN"/>
        </w:rPr>
      </w:pPr>
      <w:r>
        <w:rPr>
          <w:rFonts w:hint="eastAsia"/>
          <w:color w:val="auto"/>
          <w:sz w:val="24"/>
          <w:szCs w:val="24"/>
          <w:lang w:val="zh-CN"/>
        </w:rPr>
        <w:t xml:space="preserve">           邮     编：6</w:t>
      </w:r>
      <w:r>
        <w:rPr>
          <w:rFonts w:hint="eastAsia"/>
          <w:color w:val="auto"/>
          <w:sz w:val="24"/>
          <w:szCs w:val="24"/>
          <w:lang w:val="en-US" w:eastAsia="zh-CN"/>
        </w:rPr>
        <w:t>550</w:t>
      </w:r>
      <w:r>
        <w:rPr>
          <w:rFonts w:hint="eastAsia"/>
          <w:color w:val="auto"/>
          <w:sz w:val="24"/>
          <w:szCs w:val="24"/>
          <w:lang w:val="zh-CN"/>
        </w:rPr>
        <w:t xml:space="preserve">00 </w:t>
      </w:r>
    </w:p>
    <w:p>
      <w:pPr>
        <w:widowControl w:val="0"/>
        <w:tabs>
          <w:tab w:val="left" w:pos="0"/>
        </w:tabs>
        <w:spacing w:line="360" w:lineRule="auto"/>
        <w:jc w:val="both"/>
        <w:rPr>
          <w:color w:val="auto"/>
          <w:sz w:val="24"/>
          <w:szCs w:val="24"/>
          <w:lang w:val="zh-CN"/>
        </w:rPr>
      </w:pPr>
      <w:r>
        <w:rPr>
          <w:rFonts w:hint="eastAsia"/>
          <w:color w:val="auto"/>
          <w:sz w:val="24"/>
          <w:szCs w:val="24"/>
          <w:lang w:val="zh-CN"/>
        </w:rPr>
        <w:t xml:space="preserve">           负  责  人：</w:t>
      </w:r>
    </w:p>
    <w:p>
      <w:pPr>
        <w:widowControl w:val="0"/>
        <w:tabs>
          <w:tab w:val="left" w:pos="0"/>
        </w:tabs>
        <w:spacing w:line="360" w:lineRule="auto"/>
        <w:jc w:val="both"/>
        <w:rPr>
          <w:color w:val="auto"/>
          <w:sz w:val="24"/>
          <w:szCs w:val="24"/>
          <w:lang w:val="zh-CN"/>
        </w:rPr>
      </w:pPr>
      <w:r>
        <w:rPr>
          <w:rFonts w:hint="eastAsia"/>
          <w:color w:val="auto"/>
          <w:sz w:val="24"/>
          <w:szCs w:val="24"/>
          <w:lang w:val="zh-CN"/>
        </w:rPr>
        <w:t xml:space="preserve">           </w:t>
      </w:r>
      <w:r>
        <w:rPr>
          <w:color w:val="auto"/>
          <w:sz w:val="24"/>
          <w:szCs w:val="24"/>
          <w:lang w:val="zh-CN"/>
        </w:rPr>
        <w:t xml:space="preserve"> </w:t>
      </w:r>
      <w:r>
        <w:rPr>
          <w:rFonts w:hint="eastAsia"/>
          <w:color w:val="auto"/>
          <w:sz w:val="24"/>
          <w:szCs w:val="24"/>
          <w:lang w:val="zh-CN"/>
        </w:rPr>
        <w:t>其委托代理人：</w:t>
      </w:r>
    </w:p>
    <w:p>
      <w:pPr>
        <w:widowControl w:val="0"/>
        <w:tabs>
          <w:tab w:val="left" w:pos="0"/>
        </w:tabs>
        <w:spacing w:line="360" w:lineRule="auto"/>
        <w:jc w:val="both"/>
        <w:rPr>
          <w:color w:val="auto"/>
          <w:sz w:val="24"/>
          <w:szCs w:val="24"/>
          <w:lang w:val="zh-CN"/>
        </w:rPr>
      </w:pPr>
      <w:r>
        <w:rPr>
          <w:rFonts w:hint="eastAsia"/>
          <w:color w:val="auto"/>
          <w:sz w:val="24"/>
          <w:szCs w:val="24"/>
          <w:lang w:val="zh-CN"/>
        </w:rPr>
        <w:t xml:space="preserve">           </w:t>
      </w:r>
      <w:r>
        <w:rPr>
          <w:color w:val="auto"/>
          <w:sz w:val="24"/>
          <w:szCs w:val="24"/>
          <w:lang w:val="zh-CN"/>
        </w:rPr>
        <w:t xml:space="preserve"> </w:t>
      </w:r>
      <w:r>
        <w:rPr>
          <w:rFonts w:hint="eastAsia"/>
          <w:color w:val="auto"/>
          <w:sz w:val="24"/>
          <w:szCs w:val="24"/>
          <w:lang w:val="zh-CN"/>
        </w:rPr>
        <w:t>经  办  人：</w:t>
      </w:r>
    </w:p>
    <w:p>
      <w:pPr>
        <w:widowControl w:val="0"/>
        <w:tabs>
          <w:tab w:val="left" w:pos="0"/>
        </w:tabs>
        <w:spacing w:line="360" w:lineRule="auto"/>
        <w:ind w:firstLine="1699" w:firstLineChars="708"/>
        <w:jc w:val="both"/>
        <w:rPr>
          <w:color w:val="auto"/>
          <w:sz w:val="24"/>
          <w:szCs w:val="24"/>
        </w:rPr>
      </w:pPr>
      <w:r>
        <w:rPr>
          <w:rFonts w:hint="eastAsia"/>
          <w:color w:val="auto"/>
          <w:sz w:val="24"/>
          <w:szCs w:val="24"/>
          <w:lang w:val="zh-CN"/>
        </w:rPr>
        <w:t xml:space="preserve">电 </w:t>
      </w:r>
      <w:r>
        <w:rPr>
          <w:color w:val="auto"/>
          <w:sz w:val="24"/>
          <w:szCs w:val="24"/>
          <w:lang w:val="zh-CN"/>
        </w:rPr>
        <w:t xml:space="preserve">      </w:t>
      </w:r>
      <w:r>
        <w:rPr>
          <w:rFonts w:hint="eastAsia"/>
          <w:color w:val="auto"/>
          <w:sz w:val="24"/>
          <w:szCs w:val="24"/>
          <w:lang w:val="zh-CN"/>
        </w:rPr>
        <w:t>话：</w:t>
      </w:r>
    </w:p>
    <w:p>
      <w:pPr>
        <w:widowControl w:val="0"/>
        <w:tabs>
          <w:tab w:val="left" w:pos="0"/>
        </w:tabs>
        <w:spacing w:line="360" w:lineRule="auto"/>
        <w:jc w:val="both"/>
        <w:rPr>
          <w:color w:val="auto"/>
          <w:sz w:val="24"/>
          <w:szCs w:val="24"/>
        </w:rPr>
      </w:pPr>
    </w:p>
    <w:p>
      <w:pPr>
        <w:widowControl w:val="0"/>
        <w:adjustRightInd/>
        <w:snapToGrid/>
        <w:spacing w:line="360" w:lineRule="auto"/>
        <w:ind w:firstLine="0" w:firstLineChars="0"/>
        <w:jc w:val="both"/>
        <w:textAlignment w:val="auto"/>
        <w:rPr>
          <w:snapToGrid/>
          <w:color w:val="auto"/>
          <w:sz w:val="24"/>
          <w:szCs w:val="24"/>
        </w:rPr>
      </w:pPr>
    </w:p>
    <w:p>
      <w:pPr>
        <w:widowControl w:val="0"/>
        <w:wordWrap w:val="0"/>
        <w:adjustRightInd/>
        <w:snapToGrid/>
        <w:spacing w:before="156" w:beforeLines="50" w:line="360" w:lineRule="auto"/>
        <w:ind w:firstLine="0" w:firstLineChars="0"/>
        <w:jc w:val="both"/>
        <w:textAlignment w:val="auto"/>
        <w:rPr>
          <w:b/>
          <w:bCs/>
          <w:snapToGrid/>
          <w:color w:val="auto"/>
          <w:sz w:val="24"/>
          <w:szCs w:val="24"/>
        </w:rPr>
      </w:pPr>
      <w:r>
        <w:rPr>
          <w:rFonts w:hint="eastAsia"/>
          <w:b/>
          <w:bCs/>
          <w:snapToGrid/>
          <w:color w:val="auto"/>
          <w:sz w:val="24"/>
          <w:szCs w:val="24"/>
          <w:lang w:val="zh-CN"/>
        </w:rPr>
        <w:t>乙方（中标</w:t>
      </w:r>
      <w:r>
        <w:rPr>
          <w:rFonts w:hint="eastAsia"/>
          <w:b/>
          <w:bCs/>
          <w:snapToGrid/>
          <w:color w:val="auto"/>
          <w:sz w:val="24"/>
          <w:szCs w:val="24"/>
        </w:rPr>
        <w:t>人</w:t>
      </w:r>
      <w:r>
        <w:rPr>
          <w:rFonts w:hint="eastAsia"/>
          <w:b/>
          <w:bCs/>
          <w:snapToGrid/>
          <w:color w:val="auto"/>
          <w:sz w:val="24"/>
          <w:szCs w:val="24"/>
          <w:lang w:val="zh-CN"/>
        </w:rPr>
        <w:t>）名      称：</w:t>
      </w:r>
    </w:p>
    <w:p>
      <w:pPr>
        <w:widowControl w:val="0"/>
        <w:wordWrap w:val="0"/>
        <w:adjustRightInd/>
        <w:snapToGrid/>
        <w:spacing w:before="156" w:beforeLines="50" w:line="360" w:lineRule="auto"/>
        <w:ind w:left="2940" w:hanging="3360" w:hangingChars="1400"/>
        <w:jc w:val="both"/>
        <w:textAlignment w:val="auto"/>
        <w:rPr>
          <w:snapToGrid/>
          <w:color w:val="auto"/>
          <w:sz w:val="24"/>
          <w:szCs w:val="24"/>
        </w:rPr>
      </w:pPr>
      <w:r>
        <w:rPr>
          <w:rFonts w:hint="eastAsia"/>
          <w:snapToGrid/>
          <w:color w:val="auto"/>
          <w:sz w:val="24"/>
          <w:szCs w:val="24"/>
          <w:lang w:val="zh-CN"/>
        </w:rPr>
        <w:t xml:space="preserve">              地      址：</w:t>
      </w:r>
    </w:p>
    <w:p>
      <w:pPr>
        <w:widowControl w:val="0"/>
        <w:wordWrap w:val="0"/>
        <w:adjustRightInd/>
        <w:snapToGrid/>
        <w:spacing w:before="156" w:beforeLines="50" w:line="360" w:lineRule="auto"/>
        <w:ind w:firstLine="0" w:firstLineChars="0"/>
        <w:jc w:val="both"/>
        <w:textAlignment w:val="auto"/>
        <w:rPr>
          <w:snapToGrid/>
          <w:color w:val="auto"/>
          <w:sz w:val="24"/>
          <w:szCs w:val="24"/>
          <w:lang w:val="zh-CN"/>
        </w:rPr>
      </w:pPr>
      <w:r>
        <w:rPr>
          <w:rFonts w:hint="eastAsia"/>
          <w:snapToGrid/>
          <w:color w:val="auto"/>
          <w:sz w:val="24"/>
          <w:szCs w:val="24"/>
          <w:lang w:val="zh-CN"/>
        </w:rPr>
        <w:t xml:space="preserve">              邮      编：</w:t>
      </w:r>
    </w:p>
    <w:p>
      <w:pPr>
        <w:widowControl w:val="0"/>
        <w:wordWrap w:val="0"/>
        <w:adjustRightInd/>
        <w:snapToGrid/>
        <w:spacing w:before="156" w:beforeLines="50" w:line="360" w:lineRule="auto"/>
        <w:ind w:firstLine="0" w:firstLineChars="0"/>
        <w:jc w:val="both"/>
        <w:textAlignment w:val="auto"/>
        <w:rPr>
          <w:snapToGrid/>
          <w:color w:val="auto"/>
          <w:sz w:val="24"/>
          <w:szCs w:val="24"/>
        </w:rPr>
      </w:pPr>
      <w:r>
        <w:rPr>
          <w:rFonts w:hint="eastAsia"/>
          <w:snapToGrid/>
          <w:color w:val="auto"/>
          <w:sz w:val="24"/>
          <w:szCs w:val="24"/>
          <w:lang w:val="zh-CN"/>
        </w:rPr>
        <w:t xml:space="preserve">              法定代表人：</w:t>
      </w:r>
    </w:p>
    <w:p>
      <w:pPr>
        <w:widowControl w:val="0"/>
        <w:wordWrap w:val="0"/>
        <w:adjustRightInd/>
        <w:snapToGrid/>
        <w:spacing w:before="156" w:beforeLines="50" w:line="360" w:lineRule="auto"/>
        <w:ind w:firstLine="1680" w:firstLineChars="700"/>
        <w:jc w:val="both"/>
        <w:textAlignment w:val="auto"/>
        <w:rPr>
          <w:snapToGrid/>
          <w:color w:val="auto"/>
          <w:sz w:val="24"/>
          <w:szCs w:val="24"/>
        </w:rPr>
      </w:pPr>
      <w:r>
        <w:rPr>
          <w:rFonts w:hint="eastAsia"/>
          <w:snapToGrid/>
          <w:color w:val="auto"/>
          <w:sz w:val="24"/>
          <w:szCs w:val="24"/>
          <w:lang w:val="zh-CN"/>
        </w:rPr>
        <w:t>其委托代理人：       电话：</w:t>
      </w:r>
    </w:p>
    <w:p>
      <w:pPr>
        <w:widowControl w:val="0"/>
        <w:wordWrap w:val="0"/>
        <w:adjustRightInd/>
        <w:snapToGrid/>
        <w:spacing w:before="156" w:beforeLines="50" w:line="360" w:lineRule="auto"/>
        <w:ind w:firstLine="1680" w:firstLineChars="700"/>
        <w:jc w:val="both"/>
        <w:textAlignment w:val="auto"/>
        <w:rPr>
          <w:snapToGrid/>
          <w:color w:val="auto"/>
          <w:sz w:val="24"/>
          <w:szCs w:val="24"/>
        </w:rPr>
      </w:pPr>
      <w:r>
        <w:rPr>
          <w:rFonts w:hint="eastAsia"/>
          <w:snapToGrid/>
          <w:color w:val="auto"/>
          <w:sz w:val="24"/>
          <w:szCs w:val="24"/>
          <w:lang w:val="zh-CN"/>
        </w:rPr>
        <w:t>售后技术联系人：</w:t>
      </w:r>
      <w:r>
        <w:rPr>
          <w:rFonts w:hint="eastAsia"/>
          <w:snapToGrid/>
          <w:color w:val="auto"/>
          <w:sz w:val="24"/>
          <w:szCs w:val="24"/>
        </w:rPr>
        <w:t xml:space="preserve">       </w:t>
      </w:r>
      <w:r>
        <w:rPr>
          <w:rFonts w:hint="eastAsia"/>
          <w:snapToGrid/>
          <w:color w:val="auto"/>
          <w:sz w:val="24"/>
          <w:szCs w:val="24"/>
          <w:lang w:val="zh-CN"/>
        </w:rPr>
        <w:t>电话：</w:t>
      </w:r>
    </w:p>
    <w:p>
      <w:pPr>
        <w:widowControl w:val="0"/>
        <w:wordWrap w:val="0"/>
        <w:adjustRightInd/>
        <w:snapToGrid/>
        <w:spacing w:before="156" w:beforeLines="50" w:line="360" w:lineRule="auto"/>
        <w:ind w:firstLine="1920" w:firstLineChars="800"/>
        <w:jc w:val="both"/>
        <w:textAlignment w:val="auto"/>
        <w:rPr>
          <w:snapToGrid/>
          <w:color w:val="auto"/>
          <w:sz w:val="24"/>
          <w:szCs w:val="24"/>
        </w:rPr>
      </w:pPr>
      <w:r>
        <w:rPr>
          <w:rFonts w:hint="eastAsia"/>
          <w:snapToGrid/>
          <w:color w:val="auto"/>
          <w:sz w:val="24"/>
          <w:szCs w:val="24"/>
        </w:rPr>
        <w:t>开户银行：</w:t>
      </w:r>
    </w:p>
    <w:p>
      <w:pPr>
        <w:widowControl w:val="0"/>
        <w:wordWrap w:val="0"/>
        <w:adjustRightInd/>
        <w:snapToGrid/>
        <w:spacing w:before="156" w:beforeLines="50" w:line="360" w:lineRule="auto"/>
        <w:ind w:firstLine="1920" w:firstLineChars="800"/>
        <w:jc w:val="both"/>
        <w:textAlignment w:val="auto"/>
        <w:rPr>
          <w:snapToGrid/>
          <w:color w:val="auto"/>
          <w:sz w:val="24"/>
          <w:szCs w:val="24"/>
          <w:lang w:val="zh-CN"/>
        </w:rPr>
      </w:pPr>
      <w:r>
        <w:rPr>
          <w:rFonts w:hint="eastAsia"/>
          <w:snapToGrid/>
          <w:color w:val="auto"/>
          <w:sz w:val="24"/>
          <w:szCs w:val="24"/>
        </w:rPr>
        <w:t>账</w:t>
      </w:r>
      <w:r>
        <w:rPr>
          <w:rFonts w:hint="eastAsia"/>
          <w:snapToGrid/>
          <w:color w:val="auto"/>
          <w:sz w:val="24"/>
          <w:szCs w:val="24"/>
          <w:lang w:val="zh-CN"/>
        </w:rPr>
        <w:t xml:space="preserve"> </w:t>
      </w:r>
      <w:r>
        <w:rPr>
          <w:rFonts w:hint="eastAsia"/>
          <w:snapToGrid/>
          <w:color w:val="auto"/>
          <w:sz w:val="24"/>
          <w:szCs w:val="24"/>
        </w:rPr>
        <w:t xml:space="preserve">  </w:t>
      </w:r>
      <w:r>
        <w:rPr>
          <w:rFonts w:hint="eastAsia"/>
          <w:snapToGrid/>
          <w:color w:val="auto"/>
          <w:sz w:val="24"/>
          <w:szCs w:val="24"/>
          <w:lang w:val="zh-CN"/>
        </w:rPr>
        <w:t xml:space="preserve"> </w:t>
      </w:r>
      <w:r>
        <w:rPr>
          <w:rFonts w:hint="eastAsia"/>
          <w:snapToGrid/>
          <w:color w:val="auto"/>
          <w:sz w:val="24"/>
          <w:szCs w:val="24"/>
        </w:rPr>
        <w:t>号：</w:t>
      </w:r>
    </w:p>
    <w:p>
      <w:pPr>
        <w:widowControl w:val="0"/>
        <w:wordWrap w:val="0"/>
        <w:adjustRightInd/>
        <w:snapToGrid/>
        <w:spacing w:before="312" w:beforeLines="100" w:line="360" w:lineRule="auto"/>
        <w:ind w:firstLine="720" w:firstLineChars="300"/>
        <w:jc w:val="both"/>
        <w:textAlignment w:val="auto"/>
        <w:rPr>
          <w:snapToGrid/>
          <w:color w:val="auto"/>
          <w:sz w:val="24"/>
          <w:szCs w:val="24"/>
          <w:lang w:val="zh-CN"/>
        </w:rPr>
      </w:pPr>
    </w:p>
    <w:p>
      <w:pPr>
        <w:widowControl w:val="0"/>
        <w:wordWrap w:val="0"/>
        <w:adjustRightInd/>
        <w:snapToGrid/>
        <w:spacing w:before="312" w:beforeLines="100" w:line="360" w:lineRule="auto"/>
        <w:ind w:firstLine="720" w:firstLineChars="300"/>
        <w:jc w:val="both"/>
        <w:textAlignment w:val="auto"/>
        <w:rPr>
          <w:b/>
          <w:bCs/>
          <w:snapToGrid/>
          <w:color w:val="auto"/>
          <w:sz w:val="24"/>
          <w:szCs w:val="24"/>
        </w:rPr>
      </w:pPr>
      <w:r>
        <w:rPr>
          <w:rFonts w:hint="eastAsia"/>
          <w:snapToGrid/>
          <w:color w:val="auto"/>
          <w:sz w:val="24"/>
          <w:szCs w:val="24"/>
          <w:lang w:val="zh-CN"/>
        </w:rPr>
        <w:t xml:space="preserve">签订日期： </w:t>
      </w:r>
      <w:r>
        <w:rPr>
          <w:rFonts w:hint="eastAsia"/>
          <w:snapToGrid/>
          <w:color w:val="auto"/>
          <w:sz w:val="24"/>
          <w:szCs w:val="24"/>
          <w:u w:val="single"/>
          <w:lang w:val="zh-CN"/>
        </w:rPr>
        <w:t xml:space="preserve">  </w:t>
      </w:r>
      <w:r>
        <w:rPr>
          <w:rFonts w:hint="eastAsia"/>
          <w:snapToGrid/>
          <w:color w:val="auto"/>
          <w:sz w:val="24"/>
          <w:szCs w:val="24"/>
          <w:u w:val="single"/>
        </w:rPr>
        <w:t xml:space="preserve">     </w:t>
      </w:r>
      <w:r>
        <w:rPr>
          <w:rFonts w:hint="eastAsia"/>
          <w:snapToGrid/>
          <w:color w:val="auto"/>
          <w:sz w:val="24"/>
          <w:szCs w:val="24"/>
          <w:lang w:val="zh-CN"/>
        </w:rPr>
        <w:t>年</w:t>
      </w:r>
      <w:r>
        <w:rPr>
          <w:rFonts w:hint="eastAsia"/>
          <w:snapToGrid/>
          <w:color w:val="auto"/>
          <w:sz w:val="24"/>
          <w:szCs w:val="24"/>
          <w:u w:val="single"/>
          <w:lang w:val="zh-CN"/>
        </w:rPr>
        <w:t xml:space="preserve">  </w:t>
      </w:r>
      <w:r>
        <w:rPr>
          <w:rFonts w:hint="eastAsia"/>
          <w:snapToGrid/>
          <w:color w:val="auto"/>
          <w:sz w:val="24"/>
          <w:szCs w:val="24"/>
          <w:u w:val="single"/>
        </w:rPr>
        <w:t xml:space="preserve">  </w:t>
      </w:r>
      <w:r>
        <w:rPr>
          <w:rFonts w:hint="eastAsia"/>
          <w:snapToGrid/>
          <w:color w:val="auto"/>
          <w:sz w:val="24"/>
          <w:szCs w:val="24"/>
          <w:u w:val="single"/>
          <w:lang w:val="zh-CN"/>
        </w:rPr>
        <w:t xml:space="preserve"> </w:t>
      </w:r>
      <w:r>
        <w:rPr>
          <w:rFonts w:hint="eastAsia"/>
          <w:snapToGrid/>
          <w:color w:val="auto"/>
          <w:sz w:val="24"/>
          <w:szCs w:val="24"/>
          <w:lang w:val="zh-CN"/>
        </w:rPr>
        <w:t>月</w:t>
      </w:r>
      <w:r>
        <w:rPr>
          <w:rFonts w:hint="eastAsia"/>
          <w:snapToGrid/>
          <w:color w:val="auto"/>
          <w:sz w:val="24"/>
          <w:szCs w:val="24"/>
          <w:u w:val="single"/>
          <w:lang w:val="zh-CN"/>
        </w:rPr>
        <w:t xml:space="preserve"> </w:t>
      </w:r>
      <w:r>
        <w:rPr>
          <w:rFonts w:hint="eastAsia"/>
          <w:snapToGrid/>
          <w:color w:val="auto"/>
          <w:sz w:val="24"/>
          <w:szCs w:val="24"/>
          <w:u w:val="single"/>
        </w:rPr>
        <w:t xml:space="preserve">  </w:t>
      </w:r>
      <w:r>
        <w:rPr>
          <w:rFonts w:hint="eastAsia"/>
          <w:snapToGrid/>
          <w:color w:val="auto"/>
          <w:sz w:val="24"/>
          <w:szCs w:val="24"/>
          <w:u w:val="single"/>
          <w:lang w:val="zh-CN"/>
        </w:rPr>
        <w:t xml:space="preserve">  </w:t>
      </w:r>
      <w:r>
        <w:rPr>
          <w:rFonts w:hint="eastAsia"/>
          <w:snapToGrid/>
          <w:color w:val="auto"/>
          <w:sz w:val="24"/>
          <w:szCs w:val="24"/>
          <w:lang w:val="zh-CN"/>
        </w:rPr>
        <w:t>日</w:t>
      </w:r>
      <w:bookmarkStart w:id="277" w:name="_Toc6473"/>
      <w:bookmarkStart w:id="278" w:name="_Toc71213599"/>
    </w:p>
    <w:p>
      <w:pPr>
        <w:widowControl w:val="0"/>
        <w:adjustRightInd/>
        <w:snapToGrid/>
        <w:spacing w:line="360" w:lineRule="auto"/>
        <w:ind w:firstLine="0" w:firstLineChars="0"/>
        <w:jc w:val="both"/>
        <w:textAlignment w:val="auto"/>
        <w:rPr>
          <w:rFonts w:ascii="Times New Roman" w:hAnsi="Times New Roman"/>
          <w:snapToGrid/>
          <w:color w:val="auto"/>
        </w:rPr>
      </w:pPr>
    </w:p>
    <w:p>
      <w:pPr>
        <w:keepNext/>
        <w:keepLines/>
        <w:widowControl w:val="0"/>
        <w:wordWrap w:val="0"/>
        <w:spacing w:before="200" w:after="200" w:line="360" w:lineRule="auto"/>
        <w:ind w:firstLine="803"/>
        <w:jc w:val="center"/>
        <w:outlineLvl w:val="1"/>
        <w:rPr>
          <w:b/>
          <w:color w:val="auto"/>
          <w:spacing w:val="40"/>
          <w:sz w:val="32"/>
          <w:szCs w:val="32"/>
        </w:rPr>
      </w:pPr>
      <w:bookmarkStart w:id="279" w:name="_Toc118193121"/>
      <w:bookmarkStart w:id="280" w:name="_Toc117252385"/>
      <w:r>
        <w:rPr>
          <w:rFonts w:hint="eastAsia"/>
          <w:b/>
          <w:bCs/>
          <w:color w:val="auto"/>
          <w:spacing w:val="40"/>
          <w:sz w:val="32"/>
          <w:szCs w:val="32"/>
        </w:rPr>
        <w:br w:type="page"/>
      </w:r>
      <w:bookmarkStart w:id="281" w:name="_Toc3281"/>
      <w:bookmarkStart w:id="282" w:name="_Toc1087"/>
      <w:bookmarkStart w:id="283" w:name="_Toc25317"/>
      <w:bookmarkStart w:id="284" w:name="_Toc15506"/>
      <w:r>
        <w:rPr>
          <w:rFonts w:hint="eastAsia"/>
          <w:b/>
          <w:bCs/>
          <w:color w:val="auto"/>
          <w:spacing w:val="40"/>
          <w:sz w:val="32"/>
          <w:szCs w:val="32"/>
        </w:rPr>
        <w:t>合 同 书</w:t>
      </w:r>
      <w:bookmarkEnd w:id="277"/>
      <w:bookmarkEnd w:id="278"/>
      <w:bookmarkEnd w:id="279"/>
      <w:bookmarkEnd w:id="280"/>
      <w:bookmarkEnd w:id="281"/>
      <w:bookmarkEnd w:id="282"/>
      <w:bookmarkEnd w:id="283"/>
      <w:bookmarkEnd w:id="284"/>
    </w:p>
    <w:p>
      <w:pPr>
        <w:widowControl w:val="0"/>
        <w:spacing w:line="360" w:lineRule="auto"/>
        <w:jc w:val="both"/>
        <w:textAlignment w:val="auto"/>
        <w:rPr>
          <w:snapToGrid/>
          <w:color w:val="auto"/>
          <w:kern w:val="2"/>
          <w:sz w:val="24"/>
          <w:szCs w:val="24"/>
        </w:rPr>
      </w:pPr>
      <w:r>
        <w:rPr>
          <w:rFonts w:hint="eastAsia"/>
          <w:snapToGrid/>
          <w:color w:val="auto"/>
          <w:kern w:val="2"/>
          <w:sz w:val="24"/>
          <w:szCs w:val="24"/>
        </w:rPr>
        <w:t>《中华人民共和国政府采购法》、《中华人民共和国政府采购法实施条例》、《政府采购货物和服务招标投标管理办法（财政部令第87号）》、《中华人民共和国民法典》等法律、法规和相关规定，通过</w:t>
      </w:r>
      <w:r>
        <w:rPr>
          <w:rFonts w:hint="eastAsia"/>
          <w:snapToGrid/>
          <w:color w:val="auto"/>
          <w:sz w:val="24"/>
          <w:szCs w:val="24"/>
          <w:u w:val="single"/>
        </w:rPr>
        <w:t xml:space="preserve">           </w:t>
      </w:r>
      <w:r>
        <w:rPr>
          <w:rFonts w:hint="eastAsia"/>
          <w:snapToGrid/>
          <w:color w:val="auto"/>
          <w:kern w:val="2"/>
          <w:sz w:val="24"/>
          <w:szCs w:val="24"/>
        </w:rPr>
        <w:t>项目（项目编号：</w:t>
      </w:r>
      <w:r>
        <w:rPr>
          <w:rFonts w:hint="eastAsia"/>
          <w:snapToGrid/>
          <w:color w:val="auto"/>
          <w:sz w:val="24"/>
          <w:szCs w:val="24"/>
          <w:u w:val="single"/>
        </w:rPr>
        <w:t xml:space="preserve">          </w:t>
      </w:r>
      <w:r>
        <w:rPr>
          <w:rFonts w:hint="eastAsia"/>
          <w:snapToGrid/>
          <w:color w:val="auto"/>
          <w:kern w:val="2"/>
          <w:sz w:val="24"/>
          <w:szCs w:val="24"/>
        </w:rPr>
        <w:t>）的招标并经评标委员会评定，确定</w:t>
      </w:r>
      <w:r>
        <w:rPr>
          <w:rFonts w:hint="eastAsia"/>
          <w:snapToGrid/>
          <w:color w:val="auto"/>
          <w:sz w:val="24"/>
          <w:szCs w:val="24"/>
          <w:u w:val="single"/>
        </w:rPr>
        <w:t xml:space="preserve">      </w:t>
      </w:r>
      <w:r>
        <w:rPr>
          <w:rFonts w:hint="eastAsia"/>
          <w:snapToGrid/>
          <w:color w:val="auto"/>
          <w:kern w:val="2"/>
          <w:sz w:val="24"/>
          <w:szCs w:val="24"/>
        </w:rPr>
        <w:t>为该项目中标单位。</w:t>
      </w:r>
      <w:r>
        <w:rPr>
          <w:rFonts w:hint="eastAsia"/>
          <w:snapToGrid/>
          <w:color w:val="auto"/>
          <w:kern w:val="2"/>
          <w:sz w:val="24"/>
          <w:szCs w:val="24"/>
          <w:u w:val="single"/>
        </w:rPr>
        <w:t xml:space="preserve"> 曲靖市消防救援支队</w:t>
      </w:r>
      <w:r>
        <w:rPr>
          <w:rFonts w:hint="eastAsia"/>
          <w:snapToGrid/>
          <w:color w:val="auto"/>
          <w:kern w:val="2"/>
          <w:sz w:val="24"/>
          <w:szCs w:val="24"/>
        </w:rPr>
        <w:t>（以下简称甲方）与</w:t>
      </w:r>
      <w:r>
        <w:rPr>
          <w:rFonts w:hint="eastAsia"/>
          <w:snapToGrid/>
          <w:color w:val="auto"/>
          <w:sz w:val="24"/>
          <w:szCs w:val="24"/>
          <w:u w:val="single"/>
        </w:rPr>
        <w:t xml:space="preserve">   XXX   </w:t>
      </w:r>
      <w:r>
        <w:rPr>
          <w:rFonts w:hint="eastAsia"/>
          <w:snapToGrid/>
          <w:color w:val="auto"/>
          <w:kern w:val="2"/>
          <w:sz w:val="24"/>
          <w:szCs w:val="24"/>
        </w:rPr>
        <w:t>（以下简称乙方）经友好协商，在平等自愿、诚实守信的原则下，同意按照下面条款签属本合同。</w:t>
      </w:r>
    </w:p>
    <w:p>
      <w:pPr>
        <w:widowControl w:val="0"/>
        <w:spacing w:line="360" w:lineRule="auto"/>
        <w:ind w:firstLine="0" w:firstLineChars="0"/>
        <w:jc w:val="both"/>
        <w:textAlignment w:val="auto"/>
        <w:rPr>
          <w:b/>
          <w:snapToGrid/>
          <w:color w:val="auto"/>
          <w:sz w:val="24"/>
          <w:szCs w:val="24"/>
        </w:rPr>
      </w:pPr>
      <w:r>
        <w:rPr>
          <w:rFonts w:hint="eastAsia"/>
          <w:b/>
          <w:snapToGrid/>
          <w:color w:val="auto"/>
          <w:sz w:val="24"/>
          <w:szCs w:val="24"/>
        </w:rPr>
        <w:t>一、合同及相关文件</w:t>
      </w:r>
    </w:p>
    <w:p>
      <w:pPr>
        <w:widowControl w:val="0"/>
        <w:adjustRightInd/>
        <w:snapToGrid/>
        <w:spacing w:line="360" w:lineRule="auto"/>
        <w:jc w:val="both"/>
        <w:textAlignment w:val="auto"/>
        <w:rPr>
          <w:snapToGrid/>
          <w:color w:val="auto"/>
          <w:sz w:val="24"/>
          <w:szCs w:val="24"/>
        </w:rPr>
      </w:pPr>
      <w:r>
        <w:rPr>
          <w:rFonts w:hint="eastAsia"/>
          <w:snapToGrid/>
          <w:color w:val="auto"/>
          <w:sz w:val="24"/>
          <w:szCs w:val="24"/>
        </w:rPr>
        <w:t>下列文件构成本合同的组成部分，应该认为是一个整体，彼此相互解释，相互补充：</w:t>
      </w:r>
    </w:p>
    <w:p>
      <w:pPr>
        <w:widowControl w:val="0"/>
        <w:adjustRightInd/>
        <w:snapToGrid/>
        <w:spacing w:line="360" w:lineRule="auto"/>
        <w:jc w:val="both"/>
        <w:textAlignment w:val="auto"/>
        <w:rPr>
          <w:snapToGrid/>
          <w:color w:val="auto"/>
          <w:sz w:val="24"/>
          <w:szCs w:val="24"/>
        </w:rPr>
      </w:pPr>
      <w:r>
        <w:rPr>
          <w:rFonts w:hint="eastAsia"/>
          <w:snapToGrid/>
          <w:color w:val="auto"/>
          <w:sz w:val="24"/>
          <w:szCs w:val="24"/>
        </w:rPr>
        <w:t>1、本合同书；</w:t>
      </w:r>
    </w:p>
    <w:p>
      <w:pPr>
        <w:widowControl w:val="0"/>
        <w:adjustRightInd/>
        <w:snapToGrid/>
        <w:spacing w:line="360" w:lineRule="auto"/>
        <w:jc w:val="both"/>
        <w:textAlignment w:val="auto"/>
        <w:rPr>
          <w:snapToGrid/>
          <w:color w:val="auto"/>
          <w:sz w:val="24"/>
          <w:szCs w:val="24"/>
        </w:rPr>
      </w:pPr>
      <w:r>
        <w:rPr>
          <w:rFonts w:hint="eastAsia"/>
          <w:snapToGrid/>
          <w:color w:val="auto"/>
          <w:sz w:val="24"/>
          <w:szCs w:val="24"/>
        </w:rPr>
        <w:t>2、中标通知书；</w:t>
      </w:r>
    </w:p>
    <w:p>
      <w:pPr>
        <w:widowControl w:val="0"/>
        <w:adjustRightInd/>
        <w:snapToGrid/>
        <w:spacing w:line="360" w:lineRule="auto"/>
        <w:jc w:val="both"/>
        <w:textAlignment w:val="auto"/>
        <w:rPr>
          <w:snapToGrid/>
          <w:color w:val="auto"/>
          <w:sz w:val="24"/>
          <w:szCs w:val="24"/>
        </w:rPr>
      </w:pPr>
      <w:r>
        <w:rPr>
          <w:rFonts w:hint="eastAsia"/>
          <w:snapToGrid/>
          <w:color w:val="auto"/>
          <w:sz w:val="24"/>
          <w:szCs w:val="24"/>
        </w:rPr>
        <w:t>3、投标文件 (含澄清文件)；</w:t>
      </w:r>
    </w:p>
    <w:p>
      <w:pPr>
        <w:widowControl w:val="0"/>
        <w:adjustRightInd/>
        <w:snapToGrid/>
        <w:spacing w:line="360" w:lineRule="auto"/>
        <w:jc w:val="both"/>
        <w:textAlignment w:val="auto"/>
        <w:rPr>
          <w:snapToGrid/>
          <w:color w:val="auto"/>
          <w:sz w:val="24"/>
          <w:szCs w:val="24"/>
        </w:rPr>
      </w:pPr>
      <w:r>
        <w:rPr>
          <w:rFonts w:hint="eastAsia"/>
          <w:snapToGrid/>
          <w:color w:val="auto"/>
          <w:sz w:val="24"/>
          <w:szCs w:val="24"/>
        </w:rPr>
        <w:t>4、招标文件 (含招标文件补充通知)。</w:t>
      </w:r>
    </w:p>
    <w:p>
      <w:pPr>
        <w:widowControl w:val="0"/>
        <w:adjustRightInd/>
        <w:snapToGrid/>
        <w:spacing w:line="360" w:lineRule="auto"/>
        <w:jc w:val="both"/>
        <w:textAlignment w:val="auto"/>
        <w:rPr>
          <w:snapToGrid/>
          <w:color w:val="auto"/>
          <w:sz w:val="24"/>
          <w:szCs w:val="24"/>
        </w:rPr>
      </w:pPr>
      <w:r>
        <w:rPr>
          <w:rFonts w:hint="eastAsia"/>
          <w:snapToGrid/>
          <w:color w:val="auto"/>
          <w:sz w:val="24"/>
          <w:szCs w:val="24"/>
        </w:rPr>
        <w:t>对于同一事项在中标人投标文件中的承诺优于招标文件要求的，或招标文件中未提出明确要求的事项，均以中标人投标文件内容为准。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p>
    <w:p>
      <w:pPr>
        <w:widowControl w:val="0"/>
        <w:spacing w:line="360" w:lineRule="auto"/>
        <w:ind w:firstLine="0" w:firstLineChars="0"/>
        <w:jc w:val="both"/>
        <w:textAlignment w:val="auto"/>
        <w:rPr>
          <w:b/>
          <w:snapToGrid/>
          <w:color w:val="auto"/>
          <w:kern w:val="2"/>
          <w:sz w:val="24"/>
          <w:szCs w:val="24"/>
        </w:rPr>
      </w:pPr>
      <w:r>
        <w:rPr>
          <w:rFonts w:hint="eastAsia"/>
          <w:b/>
          <w:snapToGrid/>
          <w:color w:val="auto"/>
          <w:kern w:val="2"/>
          <w:sz w:val="24"/>
          <w:szCs w:val="24"/>
        </w:rPr>
        <w:t>二、采购概况</w:t>
      </w:r>
    </w:p>
    <w:p>
      <w:pPr>
        <w:widowControl w:val="0"/>
        <w:adjustRightInd/>
        <w:snapToGrid/>
        <w:spacing w:line="360" w:lineRule="auto"/>
        <w:ind w:firstLine="0" w:firstLineChars="0"/>
        <w:jc w:val="center"/>
        <w:textAlignment w:val="auto"/>
        <w:rPr>
          <w:rFonts w:ascii="Times New Roman" w:hAnsi="Times New Roman"/>
          <w:b/>
          <w:bCs/>
          <w:snapToGrid/>
          <w:color w:val="auto"/>
          <w:sz w:val="24"/>
          <w:szCs w:val="24"/>
        </w:rPr>
      </w:pPr>
      <w:bookmarkStart w:id="285" w:name="_Toc117252386"/>
      <w:bookmarkStart w:id="286" w:name="_Toc21415"/>
      <w:r>
        <w:rPr>
          <w:rFonts w:hint="eastAsia" w:ascii="Times New Roman" w:hAnsi="Times New Roman"/>
          <w:b/>
          <w:bCs/>
          <w:snapToGrid/>
          <w:color w:val="auto"/>
          <w:sz w:val="24"/>
          <w:szCs w:val="24"/>
        </w:rPr>
        <w:t>供货清单</w:t>
      </w:r>
      <w:bookmarkEnd w:id="285"/>
      <w:bookmarkEnd w:id="286"/>
    </w:p>
    <w:tbl>
      <w:tblPr>
        <w:tblStyle w:val="31"/>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611"/>
        <w:gridCol w:w="705"/>
        <w:gridCol w:w="881"/>
        <w:gridCol w:w="589"/>
        <w:gridCol w:w="1137"/>
        <w:gridCol w:w="696"/>
        <w:gridCol w:w="829"/>
        <w:gridCol w:w="1153"/>
        <w:gridCol w:w="1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640" w:type="dxa"/>
            <w:shd w:val="clear" w:color="auto" w:fill="BFBFBF"/>
            <w:vAlign w:val="center"/>
          </w:tcPr>
          <w:p>
            <w:pPr>
              <w:widowControl w:val="0"/>
              <w:adjustRightInd/>
              <w:snapToGrid/>
              <w:spacing w:line="360" w:lineRule="auto"/>
              <w:ind w:firstLine="0" w:firstLineChars="0"/>
              <w:jc w:val="center"/>
              <w:textAlignment w:val="auto"/>
              <w:rPr>
                <w:snapToGrid/>
                <w:color w:val="auto"/>
                <w:kern w:val="2"/>
                <w:sz w:val="24"/>
                <w:szCs w:val="24"/>
              </w:rPr>
            </w:pPr>
            <w:r>
              <w:rPr>
                <w:rFonts w:hint="eastAsia"/>
                <w:snapToGrid/>
                <w:color w:val="auto"/>
                <w:kern w:val="2"/>
                <w:sz w:val="24"/>
                <w:szCs w:val="24"/>
              </w:rPr>
              <w:t>序号</w:t>
            </w:r>
          </w:p>
        </w:tc>
        <w:tc>
          <w:tcPr>
            <w:tcW w:w="1611" w:type="dxa"/>
            <w:shd w:val="clear" w:color="auto" w:fill="BFBFBF"/>
            <w:vAlign w:val="center"/>
          </w:tcPr>
          <w:p>
            <w:pPr>
              <w:widowControl w:val="0"/>
              <w:adjustRightInd/>
              <w:snapToGrid/>
              <w:spacing w:line="360" w:lineRule="auto"/>
              <w:ind w:firstLine="0" w:firstLineChars="0"/>
              <w:jc w:val="center"/>
              <w:textAlignment w:val="auto"/>
              <w:rPr>
                <w:b/>
                <w:bCs/>
                <w:snapToGrid/>
                <w:color w:val="auto"/>
                <w:kern w:val="2"/>
                <w:sz w:val="24"/>
                <w:szCs w:val="24"/>
              </w:rPr>
            </w:pPr>
            <w:r>
              <w:rPr>
                <w:rFonts w:hint="eastAsia"/>
                <w:snapToGrid/>
                <w:color w:val="auto"/>
                <w:kern w:val="2"/>
                <w:sz w:val="24"/>
                <w:szCs w:val="24"/>
              </w:rPr>
              <w:t>装备名称</w:t>
            </w:r>
          </w:p>
        </w:tc>
        <w:tc>
          <w:tcPr>
            <w:tcW w:w="705" w:type="dxa"/>
            <w:shd w:val="clear" w:color="auto" w:fill="BFBFBF"/>
            <w:vAlign w:val="center"/>
          </w:tcPr>
          <w:p>
            <w:pPr>
              <w:widowControl w:val="0"/>
              <w:adjustRightInd/>
              <w:snapToGrid/>
              <w:spacing w:line="360" w:lineRule="auto"/>
              <w:ind w:firstLine="0" w:firstLineChars="0"/>
              <w:jc w:val="center"/>
              <w:textAlignment w:val="auto"/>
              <w:rPr>
                <w:b/>
                <w:bCs/>
                <w:snapToGrid/>
                <w:color w:val="auto"/>
                <w:kern w:val="2"/>
                <w:sz w:val="24"/>
                <w:szCs w:val="24"/>
              </w:rPr>
            </w:pPr>
            <w:r>
              <w:rPr>
                <w:rFonts w:hint="eastAsia"/>
                <w:snapToGrid/>
                <w:color w:val="auto"/>
                <w:kern w:val="2"/>
                <w:sz w:val="24"/>
                <w:szCs w:val="24"/>
              </w:rPr>
              <w:t>品牌</w:t>
            </w:r>
          </w:p>
        </w:tc>
        <w:tc>
          <w:tcPr>
            <w:tcW w:w="881" w:type="dxa"/>
            <w:shd w:val="clear" w:color="auto" w:fill="BFBFBF"/>
            <w:vAlign w:val="center"/>
          </w:tcPr>
          <w:p>
            <w:pPr>
              <w:widowControl w:val="0"/>
              <w:adjustRightInd/>
              <w:snapToGrid/>
              <w:spacing w:line="360" w:lineRule="auto"/>
              <w:ind w:firstLine="0" w:firstLineChars="0"/>
              <w:jc w:val="center"/>
              <w:textAlignment w:val="auto"/>
              <w:rPr>
                <w:snapToGrid/>
                <w:color w:val="auto"/>
                <w:kern w:val="2"/>
                <w:sz w:val="24"/>
                <w:szCs w:val="24"/>
              </w:rPr>
            </w:pPr>
            <w:r>
              <w:rPr>
                <w:rFonts w:hint="eastAsia"/>
                <w:snapToGrid/>
                <w:color w:val="auto"/>
                <w:kern w:val="2"/>
                <w:sz w:val="24"/>
                <w:szCs w:val="24"/>
              </w:rPr>
              <w:t>型号</w:t>
            </w:r>
          </w:p>
          <w:p>
            <w:pPr>
              <w:widowControl w:val="0"/>
              <w:adjustRightInd/>
              <w:snapToGrid/>
              <w:spacing w:line="360" w:lineRule="auto"/>
              <w:ind w:firstLine="0" w:firstLineChars="0"/>
              <w:jc w:val="center"/>
              <w:textAlignment w:val="auto"/>
              <w:rPr>
                <w:b/>
                <w:bCs/>
                <w:snapToGrid/>
                <w:color w:val="auto"/>
                <w:kern w:val="2"/>
                <w:sz w:val="24"/>
                <w:szCs w:val="24"/>
              </w:rPr>
            </w:pPr>
            <w:r>
              <w:rPr>
                <w:rFonts w:hint="eastAsia"/>
                <w:snapToGrid/>
                <w:color w:val="auto"/>
                <w:kern w:val="2"/>
                <w:sz w:val="24"/>
                <w:szCs w:val="24"/>
              </w:rPr>
              <w:t>规格</w:t>
            </w:r>
          </w:p>
        </w:tc>
        <w:tc>
          <w:tcPr>
            <w:tcW w:w="589" w:type="dxa"/>
            <w:shd w:val="clear" w:color="auto" w:fill="BFBFBF"/>
            <w:vAlign w:val="center"/>
          </w:tcPr>
          <w:p>
            <w:pPr>
              <w:widowControl w:val="0"/>
              <w:adjustRightInd/>
              <w:snapToGrid/>
              <w:spacing w:line="360" w:lineRule="auto"/>
              <w:ind w:firstLine="0" w:firstLineChars="0"/>
              <w:jc w:val="center"/>
              <w:textAlignment w:val="auto"/>
              <w:rPr>
                <w:b/>
                <w:bCs/>
                <w:snapToGrid/>
                <w:color w:val="auto"/>
                <w:kern w:val="2"/>
                <w:sz w:val="24"/>
                <w:szCs w:val="24"/>
              </w:rPr>
            </w:pPr>
            <w:r>
              <w:rPr>
                <w:rFonts w:hint="eastAsia"/>
                <w:snapToGrid/>
                <w:color w:val="auto"/>
                <w:kern w:val="2"/>
                <w:sz w:val="24"/>
                <w:szCs w:val="24"/>
              </w:rPr>
              <w:t>产地</w:t>
            </w:r>
          </w:p>
        </w:tc>
        <w:tc>
          <w:tcPr>
            <w:tcW w:w="1137" w:type="dxa"/>
            <w:shd w:val="clear" w:color="auto" w:fill="BFBFBF"/>
            <w:vAlign w:val="center"/>
          </w:tcPr>
          <w:p>
            <w:pPr>
              <w:widowControl w:val="0"/>
              <w:adjustRightInd/>
              <w:snapToGrid/>
              <w:spacing w:line="360" w:lineRule="auto"/>
              <w:ind w:firstLine="0" w:firstLineChars="0"/>
              <w:jc w:val="center"/>
              <w:textAlignment w:val="auto"/>
              <w:rPr>
                <w:b/>
                <w:bCs/>
                <w:snapToGrid/>
                <w:color w:val="auto"/>
                <w:kern w:val="2"/>
                <w:sz w:val="24"/>
                <w:szCs w:val="24"/>
              </w:rPr>
            </w:pPr>
            <w:r>
              <w:rPr>
                <w:rFonts w:hint="eastAsia"/>
                <w:snapToGrid/>
                <w:color w:val="auto"/>
                <w:kern w:val="2"/>
                <w:sz w:val="24"/>
                <w:szCs w:val="24"/>
              </w:rPr>
              <w:t>制造商</w:t>
            </w:r>
          </w:p>
        </w:tc>
        <w:tc>
          <w:tcPr>
            <w:tcW w:w="696" w:type="dxa"/>
            <w:shd w:val="clear" w:color="auto" w:fill="BFBFBF"/>
            <w:vAlign w:val="center"/>
          </w:tcPr>
          <w:p>
            <w:pPr>
              <w:widowControl w:val="0"/>
              <w:adjustRightInd/>
              <w:snapToGrid/>
              <w:spacing w:line="360" w:lineRule="auto"/>
              <w:ind w:firstLine="0" w:firstLineChars="0"/>
              <w:jc w:val="center"/>
              <w:textAlignment w:val="auto"/>
              <w:rPr>
                <w:b/>
                <w:bCs/>
                <w:snapToGrid/>
                <w:color w:val="auto"/>
                <w:kern w:val="2"/>
                <w:sz w:val="24"/>
                <w:szCs w:val="24"/>
              </w:rPr>
            </w:pPr>
            <w:r>
              <w:rPr>
                <w:rFonts w:hint="eastAsia"/>
                <w:snapToGrid/>
                <w:color w:val="auto"/>
                <w:kern w:val="2"/>
                <w:sz w:val="24"/>
                <w:szCs w:val="24"/>
              </w:rPr>
              <w:t>数量</w:t>
            </w:r>
          </w:p>
        </w:tc>
        <w:tc>
          <w:tcPr>
            <w:tcW w:w="829" w:type="dxa"/>
            <w:shd w:val="clear" w:color="auto" w:fill="BFBFBF"/>
            <w:vAlign w:val="center"/>
          </w:tcPr>
          <w:p>
            <w:pPr>
              <w:widowControl w:val="0"/>
              <w:adjustRightInd/>
              <w:snapToGrid/>
              <w:spacing w:line="360" w:lineRule="auto"/>
              <w:ind w:firstLine="0" w:firstLineChars="0"/>
              <w:jc w:val="center"/>
              <w:textAlignment w:val="auto"/>
              <w:rPr>
                <w:b/>
                <w:bCs/>
                <w:snapToGrid/>
                <w:color w:val="auto"/>
                <w:kern w:val="2"/>
                <w:sz w:val="24"/>
                <w:szCs w:val="24"/>
              </w:rPr>
            </w:pPr>
            <w:r>
              <w:rPr>
                <w:rFonts w:hint="eastAsia"/>
                <w:snapToGrid/>
                <w:color w:val="auto"/>
                <w:kern w:val="2"/>
                <w:sz w:val="24"/>
                <w:szCs w:val="24"/>
              </w:rPr>
              <w:t>单位</w:t>
            </w:r>
          </w:p>
        </w:tc>
        <w:tc>
          <w:tcPr>
            <w:tcW w:w="1153" w:type="dxa"/>
            <w:shd w:val="clear" w:color="auto" w:fill="BFBFBF"/>
            <w:vAlign w:val="center"/>
          </w:tcPr>
          <w:p>
            <w:pPr>
              <w:widowControl w:val="0"/>
              <w:adjustRightInd/>
              <w:snapToGrid/>
              <w:spacing w:line="360" w:lineRule="auto"/>
              <w:ind w:firstLine="0" w:firstLineChars="0"/>
              <w:jc w:val="center"/>
              <w:textAlignment w:val="auto"/>
              <w:rPr>
                <w:snapToGrid/>
                <w:color w:val="auto"/>
                <w:kern w:val="2"/>
                <w:sz w:val="24"/>
                <w:szCs w:val="24"/>
              </w:rPr>
            </w:pPr>
            <w:r>
              <w:rPr>
                <w:rFonts w:hint="eastAsia"/>
                <w:snapToGrid/>
                <w:color w:val="auto"/>
                <w:kern w:val="2"/>
                <w:sz w:val="24"/>
                <w:szCs w:val="24"/>
              </w:rPr>
              <w:t>单价</w:t>
            </w:r>
          </w:p>
          <w:p>
            <w:pPr>
              <w:widowControl w:val="0"/>
              <w:adjustRightInd/>
              <w:snapToGrid/>
              <w:spacing w:line="360" w:lineRule="auto"/>
              <w:ind w:firstLine="0" w:firstLineChars="0"/>
              <w:jc w:val="center"/>
              <w:textAlignment w:val="auto"/>
              <w:rPr>
                <w:snapToGrid/>
                <w:color w:val="auto"/>
                <w:kern w:val="2"/>
                <w:sz w:val="24"/>
                <w:szCs w:val="24"/>
              </w:rPr>
            </w:pPr>
            <w:r>
              <w:rPr>
                <w:rFonts w:hint="eastAsia"/>
                <w:snapToGrid/>
                <w:color w:val="auto"/>
                <w:kern w:val="2"/>
                <w:sz w:val="24"/>
                <w:szCs w:val="24"/>
              </w:rPr>
              <w:t>（元）</w:t>
            </w:r>
          </w:p>
        </w:tc>
        <w:tc>
          <w:tcPr>
            <w:tcW w:w="1114" w:type="dxa"/>
            <w:shd w:val="clear" w:color="auto" w:fill="BFBFBF"/>
            <w:vAlign w:val="center"/>
          </w:tcPr>
          <w:p>
            <w:pPr>
              <w:widowControl w:val="0"/>
              <w:adjustRightInd/>
              <w:snapToGrid/>
              <w:spacing w:line="360" w:lineRule="auto"/>
              <w:ind w:firstLine="0" w:firstLineChars="0"/>
              <w:jc w:val="center"/>
              <w:textAlignment w:val="auto"/>
              <w:rPr>
                <w:snapToGrid/>
                <w:color w:val="auto"/>
                <w:kern w:val="2"/>
                <w:sz w:val="24"/>
                <w:szCs w:val="24"/>
              </w:rPr>
            </w:pPr>
            <w:r>
              <w:rPr>
                <w:rFonts w:hint="eastAsia"/>
                <w:snapToGrid/>
                <w:color w:val="auto"/>
                <w:kern w:val="2"/>
                <w:sz w:val="24"/>
                <w:szCs w:val="24"/>
              </w:rPr>
              <w:t>小计</w:t>
            </w:r>
          </w:p>
          <w:p>
            <w:pPr>
              <w:widowControl w:val="0"/>
              <w:adjustRightInd/>
              <w:snapToGrid/>
              <w:spacing w:line="360" w:lineRule="auto"/>
              <w:ind w:firstLine="0" w:firstLineChars="0"/>
              <w:jc w:val="center"/>
              <w:textAlignment w:val="auto"/>
              <w:rPr>
                <w:snapToGrid/>
                <w:color w:val="auto"/>
                <w:kern w:val="2"/>
                <w:sz w:val="24"/>
                <w:szCs w:val="24"/>
              </w:rPr>
            </w:pPr>
            <w:r>
              <w:rPr>
                <w:rFonts w:hint="eastAsia"/>
                <w:snapToGrid/>
                <w:color w:val="auto"/>
                <w:kern w:val="2"/>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40" w:type="dxa"/>
            <w:shd w:val="clear" w:color="auto" w:fill="auto"/>
            <w:vAlign w:val="center"/>
          </w:tcPr>
          <w:p>
            <w:pPr>
              <w:widowControl w:val="0"/>
              <w:adjustRightInd/>
              <w:snapToGrid/>
              <w:spacing w:before="156" w:beforeLines="50" w:after="156" w:afterLines="50" w:line="360" w:lineRule="auto"/>
              <w:ind w:firstLine="0" w:firstLineChars="0"/>
              <w:jc w:val="both"/>
              <w:textAlignment w:val="auto"/>
              <w:rPr>
                <w:snapToGrid/>
                <w:color w:val="auto"/>
                <w:kern w:val="2"/>
                <w:sz w:val="24"/>
                <w:szCs w:val="24"/>
              </w:rPr>
            </w:pPr>
            <w:r>
              <w:rPr>
                <w:rFonts w:hint="eastAsia"/>
                <w:snapToGrid/>
                <w:color w:val="auto"/>
                <w:kern w:val="2"/>
                <w:sz w:val="24"/>
                <w:szCs w:val="24"/>
              </w:rPr>
              <w:t>1</w:t>
            </w:r>
          </w:p>
        </w:tc>
        <w:tc>
          <w:tcPr>
            <w:tcW w:w="1611" w:type="dxa"/>
            <w:shd w:val="clear" w:color="auto" w:fill="auto"/>
            <w:vAlign w:val="center"/>
          </w:tcPr>
          <w:p>
            <w:pPr>
              <w:widowControl w:val="0"/>
              <w:adjustRightInd/>
              <w:snapToGrid/>
              <w:spacing w:before="156" w:beforeLines="50" w:after="156" w:afterLines="50" w:line="360" w:lineRule="auto"/>
              <w:ind w:firstLine="0" w:firstLineChars="0"/>
              <w:jc w:val="both"/>
              <w:textAlignment w:val="auto"/>
              <w:rPr>
                <w:snapToGrid/>
                <w:color w:val="auto"/>
                <w:kern w:val="2"/>
                <w:sz w:val="24"/>
                <w:szCs w:val="24"/>
              </w:rPr>
            </w:pPr>
          </w:p>
        </w:tc>
        <w:tc>
          <w:tcPr>
            <w:tcW w:w="705" w:type="dxa"/>
            <w:shd w:val="clear" w:color="auto" w:fill="auto"/>
            <w:vAlign w:val="center"/>
          </w:tcPr>
          <w:p>
            <w:pPr>
              <w:widowControl w:val="0"/>
              <w:adjustRightInd/>
              <w:snapToGrid/>
              <w:spacing w:before="156" w:beforeLines="50" w:after="156" w:afterLines="50" w:line="360" w:lineRule="auto"/>
              <w:ind w:firstLine="0" w:firstLineChars="0"/>
              <w:jc w:val="center"/>
              <w:textAlignment w:val="auto"/>
              <w:rPr>
                <w:snapToGrid/>
                <w:color w:val="auto"/>
                <w:kern w:val="2"/>
                <w:sz w:val="24"/>
                <w:szCs w:val="24"/>
              </w:rPr>
            </w:pPr>
          </w:p>
        </w:tc>
        <w:tc>
          <w:tcPr>
            <w:tcW w:w="881" w:type="dxa"/>
            <w:shd w:val="clear" w:color="auto" w:fill="auto"/>
            <w:vAlign w:val="center"/>
          </w:tcPr>
          <w:p>
            <w:pPr>
              <w:spacing w:line="360" w:lineRule="auto"/>
              <w:jc w:val="center"/>
              <w:rPr>
                <w:color w:val="auto"/>
                <w:kern w:val="2"/>
                <w:sz w:val="24"/>
                <w:szCs w:val="24"/>
              </w:rPr>
            </w:pPr>
          </w:p>
        </w:tc>
        <w:tc>
          <w:tcPr>
            <w:tcW w:w="589" w:type="dxa"/>
            <w:shd w:val="clear" w:color="auto" w:fill="auto"/>
            <w:vAlign w:val="center"/>
          </w:tcPr>
          <w:p>
            <w:pPr>
              <w:widowControl w:val="0"/>
              <w:adjustRightInd/>
              <w:snapToGrid/>
              <w:spacing w:before="156" w:beforeLines="50" w:after="156" w:afterLines="50" w:line="360" w:lineRule="auto"/>
              <w:ind w:firstLine="0" w:firstLineChars="0"/>
              <w:jc w:val="center"/>
              <w:textAlignment w:val="auto"/>
              <w:rPr>
                <w:snapToGrid/>
                <w:color w:val="auto"/>
                <w:kern w:val="2"/>
                <w:sz w:val="24"/>
                <w:szCs w:val="24"/>
              </w:rPr>
            </w:pPr>
          </w:p>
        </w:tc>
        <w:tc>
          <w:tcPr>
            <w:tcW w:w="1137" w:type="dxa"/>
            <w:shd w:val="clear" w:color="auto" w:fill="auto"/>
            <w:vAlign w:val="center"/>
          </w:tcPr>
          <w:p>
            <w:pPr>
              <w:widowControl w:val="0"/>
              <w:adjustRightInd/>
              <w:snapToGrid/>
              <w:spacing w:before="156" w:beforeLines="50" w:after="156" w:afterLines="50" w:line="360" w:lineRule="auto"/>
              <w:ind w:firstLine="0" w:firstLineChars="0"/>
              <w:jc w:val="center"/>
              <w:textAlignment w:val="auto"/>
              <w:rPr>
                <w:snapToGrid/>
                <w:color w:val="auto"/>
                <w:kern w:val="2"/>
                <w:sz w:val="24"/>
                <w:szCs w:val="24"/>
              </w:rPr>
            </w:pPr>
          </w:p>
        </w:tc>
        <w:tc>
          <w:tcPr>
            <w:tcW w:w="696" w:type="dxa"/>
            <w:shd w:val="clear" w:color="auto" w:fill="auto"/>
            <w:vAlign w:val="center"/>
          </w:tcPr>
          <w:p>
            <w:pPr>
              <w:adjustRightInd/>
              <w:snapToGrid/>
              <w:spacing w:line="360" w:lineRule="auto"/>
              <w:ind w:firstLine="0" w:firstLineChars="0"/>
              <w:jc w:val="center"/>
              <w:textAlignment w:val="center"/>
              <w:rPr>
                <w:snapToGrid/>
                <w:color w:val="auto"/>
                <w:kern w:val="2"/>
                <w:sz w:val="24"/>
                <w:szCs w:val="24"/>
              </w:rPr>
            </w:pPr>
          </w:p>
        </w:tc>
        <w:tc>
          <w:tcPr>
            <w:tcW w:w="829" w:type="dxa"/>
            <w:shd w:val="clear" w:color="auto" w:fill="auto"/>
            <w:vAlign w:val="center"/>
          </w:tcPr>
          <w:p>
            <w:pPr>
              <w:adjustRightInd/>
              <w:snapToGrid/>
              <w:spacing w:line="360" w:lineRule="auto"/>
              <w:ind w:firstLine="0" w:firstLineChars="0"/>
              <w:jc w:val="center"/>
              <w:textAlignment w:val="center"/>
              <w:rPr>
                <w:snapToGrid/>
                <w:color w:val="auto"/>
                <w:kern w:val="2"/>
                <w:sz w:val="24"/>
                <w:szCs w:val="24"/>
              </w:rPr>
            </w:pPr>
          </w:p>
        </w:tc>
        <w:tc>
          <w:tcPr>
            <w:tcW w:w="1153" w:type="dxa"/>
            <w:shd w:val="clear" w:color="auto" w:fill="FFFFFF"/>
            <w:vAlign w:val="center"/>
          </w:tcPr>
          <w:p>
            <w:pPr>
              <w:widowControl w:val="0"/>
              <w:adjustRightInd/>
              <w:snapToGrid/>
              <w:spacing w:before="156" w:beforeLines="50" w:after="156" w:afterLines="50" w:line="360" w:lineRule="auto"/>
              <w:ind w:firstLine="0" w:firstLineChars="0"/>
              <w:jc w:val="center"/>
              <w:textAlignment w:val="auto"/>
              <w:rPr>
                <w:snapToGrid/>
                <w:color w:val="auto"/>
                <w:kern w:val="2"/>
                <w:sz w:val="24"/>
                <w:szCs w:val="24"/>
              </w:rPr>
            </w:pPr>
          </w:p>
        </w:tc>
        <w:tc>
          <w:tcPr>
            <w:tcW w:w="1114" w:type="dxa"/>
            <w:shd w:val="clear" w:color="auto" w:fill="FFFFFF"/>
            <w:vAlign w:val="center"/>
          </w:tcPr>
          <w:p>
            <w:pPr>
              <w:widowControl w:val="0"/>
              <w:adjustRightInd/>
              <w:snapToGrid/>
              <w:spacing w:before="156" w:beforeLines="50" w:after="156" w:afterLines="50" w:line="360" w:lineRule="auto"/>
              <w:ind w:firstLine="0" w:firstLineChars="0"/>
              <w:jc w:val="center"/>
              <w:textAlignment w:val="auto"/>
              <w:rPr>
                <w:snapToGrid/>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40" w:type="dxa"/>
            <w:shd w:val="clear" w:color="auto" w:fill="auto"/>
            <w:vAlign w:val="center"/>
          </w:tcPr>
          <w:p>
            <w:pPr>
              <w:widowControl w:val="0"/>
              <w:adjustRightInd/>
              <w:snapToGrid/>
              <w:spacing w:before="156" w:beforeLines="50" w:after="156" w:afterLines="50" w:line="360" w:lineRule="auto"/>
              <w:ind w:firstLine="0" w:firstLineChars="0"/>
              <w:jc w:val="both"/>
              <w:textAlignment w:val="auto"/>
              <w:rPr>
                <w:snapToGrid/>
                <w:color w:val="auto"/>
                <w:kern w:val="2"/>
                <w:sz w:val="24"/>
                <w:szCs w:val="24"/>
              </w:rPr>
            </w:pPr>
          </w:p>
        </w:tc>
        <w:tc>
          <w:tcPr>
            <w:tcW w:w="1611" w:type="dxa"/>
            <w:shd w:val="clear" w:color="auto" w:fill="auto"/>
            <w:vAlign w:val="center"/>
          </w:tcPr>
          <w:p>
            <w:pPr>
              <w:widowControl w:val="0"/>
              <w:adjustRightInd/>
              <w:snapToGrid/>
              <w:spacing w:before="156" w:beforeLines="50" w:after="156" w:afterLines="50" w:line="360" w:lineRule="auto"/>
              <w:ind w:firstLine="0" w:firstLineChars="0"/>
              <w:jc w:val="both"/>
              <w:textAlignment w:val="auto"/>
              <w:rPr>
                <w:snapToGrid/>
                <w:color w:val="auto"/>
                <w:kern w:val="2"/>
                <w:sz w:val="24"/>
                <w:szCs w:val="24"/>
              </w:rPr>
            </w:pPr>
          </w:p>
        </w:tc>
        <w:tc>
          <w:tcPr>
            <w:tcW w:w="705" w:type="dxa"/>
            <w:shd w:val="clear" w:color="auto" w:fill="auto"/>
            <w:vAlign w:val="center"/>
          </w:tcPr>
          <w:p>
            <w:pPr>
              <w:widowControl w:val="0"/>
              <w:adjustRightInd/>
              <w:snapToGrid/>
              <w:spacing w:before="156" w:beforeLines="50" w:after="156" w:afterLines="50" w:line="360" w:lineRule="auto"/>
              <w:ind w:firstLine="0" w:firstLineChars="0"/>
              <w:jc w:val="center"/>
              <w:textAlignment w:val="auto"/>
              <w:rPr>
                <w:snapToGrid/>
                <w:color w:val="auto"/>
                <w:kern w:val="2"/>
                <w:sz w:val="24"/>
                <w:szCs w:val="24"/>
              </w:rPr>
            </w:pPr>
          </w:p>
        </w:tc>
        <w:tc>
          <w:tcPr>
            <w:tcW w:w="881" w:type="dxa"/>
            <w:shd w:val="clear" w:color="auto" w:fill="auto"/>
            <w:vAlign w:val="center"/>
          </w:tcPr>
          <w:p>
            <w:pPr>
              <w:spacing w:line="360" w:lineRule="auto"/>
              <w:jc w:val="center"/>
              <w:rPr>
                <w:color w:val="auto"/>
                <w:kern w:val="2"/>
                <w:sz w:val="24"/>
                <w:szCs w:val="24"/>
              </w:rPr>
            </w:pPr>
          </w:p>
        </w:tc>
        <w:tc>
          <w:tcPr>
            <w:tcW w:w="589" w:type="dxa"/>
            <w:shd w:val="clear" w:color="auto" w:fill="auto"/>
            <w:vAlign w:val="center"/>
          </w:tcPr>
          <w:p>
            <w:pPr>
              <w:widowControl w:val="0"/>
              <w:adjustRightInd/>
              <w:snapToGrid/>
              <w:spacing w:before="156" w:beforeLines="50" w:after="156" w:afterLines="50" w:line="360" w:lineRule="auto"/>
              <w:ind w:firstLine="0" w:firstLineChars="0"/>
              <w:jc w:val="center"/>
              <w:textAlignment w:val="auto"/>
              <w:rPr>
                <w:snapToGrid/>
                <w:color w:val="auto"/>
                <w:kern w:val="2"/>
                <w:sz w:val="24"/>
                <w:szCs w:val="24"/>
              </w:rPr>
            </w:pPr>
          </w:p>
        </w:tc>
        <w:tc>
          <w:tcPr>
            <w:tcW w:w="1137" w:type="dxa"/>
            <w:shd w:val="clear" w:color="auto" w:fill="auto"/>
            <w:vAlign w:val="center"/>
          </w:tcPr>
          <w:p>
            <w:pPr>
              <w:widowControl w:val="0"/>
              <w:adjustRightInd/>
              <w:snapToGrid/>
              <w:spacing w:before="156" w:beforeLines="50" w:after="156" w:afterLines="50" w:line="360" w:lineRule="auto"/>
              <w:ind w:firstLine="0" w:firstLineChars="0"/>
              <w:jc w:val="center"/>
              <w:textAlignment w:val="auto"/>
              <w:rPr>
                <w:snapToGrid/>
                <w:color w:val="auto"/>
                <w:kern w:val="2"/>
                <w:sz w:val="24"/>
                <w:szCs w:val="24"/>
              </w:rPr>
            </w:pPr>
          </w:p>
        </w:tc>
        <w:tc>
          <w:tcPr>
            <w:tcW w:w="696" w:type="dxa"/>
            <w:shd w:val="clear" w:color="auto" w:fill="auto"/>
            <w:vAlign w:val="center"/>
          </w:tcPr>
          <w:p>
            <w:pPr>
              <w:adjustRightInd/>
              <w:snapToGrid/>
              <w:spacing w:line="360" w:lineRule="auto"/>
              <w:ind w:firstLine="0" w:firstLineChars="0"/>
              <w:jc w:val="center"/>
              <w:textAlignment w:val="center"/>
              <w:rPr>
                <w:snapToGrid/>
                <w:color w:val="auto"/>
                <w:kern w:val="2"/>
                <w:sz w:val="24"/>
                <w:szCs w:val="24"/>
              </w:rPr>
            </w:pPr>
          </w:p>
        </w:tc>
        <w:tc>
          <w:tcPr>
            <w:tcW w:w="829" w:type="dxa"/>
            <w:shd w:val="clear" w:color="auto" w:fill="auto"/>
            <w:vAlign w:val="center"/>
          </w:tcPr>
          <w:p>
            <w:pPr>
              <w:adjustRightInd/>
              <w:snapToGrid/>
              <w:spacing w:line="360" w:lineRule="auto"/>
              <w:ind w:firstLine="0" w:firstLineChars="0"/>
              <w:jc w:val="center"/>
              <w:textAlignment w:val="center"/>
              <w:rPr>
                <w:snapToGrid/>
                <w:color w:val="auto"/>
                <w:kern w:val="2"/>
                <w:sz w:val="24"/>
                <w:szCs w:val="24"/>
              </w:rPr>
            </w:pPr>
          </w:p>
        </w:tc>
        <w:tc>
          <w:tcPr>
            <w:tcW w:w="1153" w:type="dxa"/>
            <w:shd w:val="clear" w:color="auto" w:fill="FFFFFF"/>
            <w:vAlign w:val="center"/>
          </w:tcPr>
          <w:p>
            <w:pPr>
              <w:widowControl w:val="0"/>
              <w:adjustRightInd/>
              <w:snapToGrid/>
              <w:spacing w:before="156" w:beforeLines="50" w:after="156" w:afterLines="50" w:line="360" w:lineRule="auto"/>
              <w:ind w:firstLine="0" w:firstLineChars="0"/>
              <w:jc w:val="center"/>
              <w:textAlignment w:val="auto"/>
              <w:rPr>
                <w:snapToGrid/>
                <w:color w:val="auto"/>
                <w:kern w:val="2"/>
                <w:sz w:val="24"/>
                <w:szCs w:val="24"/>
              </w:rPr>
            </w:pPr>
          </w:p>
        </w:tc>
        <w:tc>
          <w:tcPr>
            <w:tcW w:w="1114" w:type="dxa"/>
            <w:shd w:val="clear" w:color="auto" w:fill="FFFFFF"/>
            <w:vAlign w:val="center"/>
          </w:tcPr>
          <w:p>
            <w:pPr>
              <w:widowControl w:val="0"/>
              <w:adjustRightInd/>
              <w:snapToGrid/>
              <w:spacing w:before="156" w:beforeLines="50" w:after="156" w:afterLines="50" w:line="360" w:lineRule="auto"/>
              <w:ind w:firstLine="0" w:firstLineChars="0"/>
              <w:jc w:val="center"/>
              <w:textAlignment w:val="auto"/>
              <w:rPr>
                <w:snapToGrid/>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640" w:type="dxa"/>
            <w:vAlign w:val="center"/>
          </w:tcPr>
          <w:p>
            <w:pPr>
              <w:widowControl w:val="0"/>
              <w:adjustRightInd/>
              <w:snapToGrid/>
              <w:spacing w:before="156" w:beforeLines="50" w:after="156" w:afterLines="50" w:line="360" w:lineRule="auto"/>
              <w:ind w:firstLine="0" w:firstLineChars="0"/>
              <w:jc w:val="center"/>
              <w:textAlignment w:val="auto"/>
              <w:rPr>
                <w:snapToGrid/>
                <w:color w:val="auto"/>
                <w:kern w:val="2"/>
                <w:sz w:val="24"/>
                <w:szCs w:val="24"/>
              </w:rPr>
            </w:pPr>
          </w:p>
        </w:tc>
        <w:tc>
          <w:tcPr>
            <w:tcW w:w="8715" w:type="dxa"/>
            <w:gridSpan w:val="9"/>
            <w:vAlign w:val="center"/>
          </w:tcPr>
          <w:p>
            <w:pPr>
              <w:widowControl w:val="0"/>
              <w:adjustRightInd/>
              <w:snapToGrid/>
              <w:spacing w:before="156" w:beforeLines="50" w:after="156" w:afterLines="50" w:line="360" w:lineRule="auto"/>
              <w:ind w:firstLine="0" w:firstLineChars="0"/>
              <w:jc w:val="center"/>
              <w:textAlignment w:val="auto"/>
              <w:rPr>
                <w:snapToGrid/>
                <w:color w:val="auto"/>
                <w:kern w:val="2"/>
                <w:sz w:val="24"/>
                <w:szCs w:val="24"/>
              </w:rPr>
            </w:pPr>
            <w:r>
              <w:rPr>
                <w:rFonts w:hint="eastAsia"/>
                <w:snapToGrid/>
                <w:color w:val="auto"/>
                <w:kern w:val="2"/>
                <w:sz w:val="24"/>
                <w:szCs w:val="24"/>
                <w:lang w:val="en-US" w:eastAsia="zh-CN"/>
              </w:rPr>
              <w:t>总价</w:t>
            </w:r>
            <w:r>
              <w:rPr>
                <w:rFonts w:hint="eastAsia"/>
                <w:snapToGrid/>
                <w:color w:val="auto"/>
                <w:kern w:val="2"/>
                <w:sz w:val="24"/>
                <w:szCs w:val="24"/>
              </w:rPr>
              <w:t>：人民币大写：XXX元整，小写：XXX元</w:t>
            </w:r>
          </w:p>
        </w:tc>
      </w:tr>
    </w:tbl>
    <w:p>
      <w:pPr>
        <w:widowControl w:val="0"/>
        <w:spacing w:line="360" w:lineRule="auto"/>
        <w:ind w:firstLine="0" w:firstLineChars="0"/>
        <w:jc w:val="both"/>
        <w:textAlignment w:val="auto"/>
        <w:rPr>
          <w:snapToGrid/>
          <w:color w:val="auto"/>
          <w:kern w:val="2"/>
          <w:sz w:val="24"/>
          <w:szCs w:val="24"/>
        </w:rPr>
      </w:pPr>
    </w:p>
    <w:p>
      <w:pPr>
        <w:widowControl w:val="0"/>
        <w:spacing w:line="360" w:lineRule="auto"/>
        <w:ind w:firstLine="0" w:firstLineChars="0"/>
        <w:jc w:val="both"/>
        <w:textAlignment w:val="auto"/>
        <w:rPr>
          <w:snapToGrid/>
          <w:color w:val="auto"/>
          <w:kern w:val="2"/>
          <w:sz w:val="24"/>
          <w:szCs w:val="24"/>
        </w:rPr>
      </w:pPr>
      <w:r>
        <w:rPr>
          <w:rFonts w:hint="eastAsia"/>
          <w:snapToGrid/>
          <w:color w:val="auto"/>
          <w:kern w:val="2"/>
          <w:sz w:val="24"/>
          <w:szCs w:val="24"/>
        </w:rPr>
        <w:t>交 货 期：合同签订后</w:t>
      </w:r>
      <w:r>
        <w:rPr>
          <w:rFonts w:hint="eastAsia"/>
          <w:snapToGrid/>
          <w:color w:val="auto"/>
          <w:kern w:val="2"/>
          <w:sz w:val="24"/>
          <w:szCs w:val="24"/>
          <w:u w:val="single"/>
        </w:rPr>
        <w:t xml:space="preserve"> XXX </w:t>
      </w:r>
      <w:r>
        <w:rPr>
          <w:rFonts w:hint="eastAsia"/>
          <w:snapToGrid/>
          <w:color w:val="auto"/>
          <w:kern w:val="2"/>
          <w:sz w:val="24"/>
          <w:szCs w:val="24"/>
        </w:rPr>
        <w:t>个日历天内完成供货。</w:t>
      </w:r>
    </w:p>
    <w:p>
      <w:pPr>
        <w:widowControl w:val="0"/>
        <w:spacing w:line="360" w:lineRule="auto"/>
        <w:ind w:firstLine="0" w:firstLineChars="0"/>
        <w:jc w:val="both"/>
        <w:textAlignment w:val="auto"/>
        <w:rPr>
          <w:snapToGrid/>
          <w:color w:val="auto"/>
          <w:kern w:val="2"/>
          <w:sz w:val="24"/>
          <w:szCs w:val="24"/>
        </w:rPr>
      </w:pPr>
      <w:r>
        <w:rPr>
          <w:rFonts w:hint="eastAsia"/>
          <w:snapToGrid/>
          <w:color w:val="auto"/>
          <w:kern w:val="2"/>
          <w:sz w:val="24"/>
          <w:szCs w:val="24"/>
        </w:rPr>
        <w:t>交货地点： 曲靖市消防救援支队指定地点。</w:t>
      </w:r>
    </w:p>
    <w:p>
      <w:pPr>
        <w:widowControl w:val="0"/>
        <w:spacing w:line="360" w:lineRule="auto"/>
        <w:ind w:firstLine="0" w:firstLineChars="0"/>
        <w:jc w:val="both"/>
        <w:textAlignment w:val="auto"/>
        <w:rPr>
          <w:snapToGrid/>
          <w:color w:val="auto"/>
          <w:kern w:val="2"/>
          <w:sz w:val="24"/>
          <w:szCs w:val="24"/>
        </w:rPr>
      </w:pPr>
      <w:r>
        <w:rPr>
          <w:rFonts w:hint="eastAsia"/>
          <w:snapToGrid/>
          <w:color w:val="auto"/>
          <w:kern w:val="2"/>
          <w:sz w:val="24"/>
          <w:szCs w:val="24"/>
        </w:rPr>
        <w:t>质 保 期：验收合格之日起</w:t>
      </w:r>
      <w:r>
        <w:rPr>
          <w:rFonts w:hint="eastAsia"/>
          <w:snapToGrid/>
          <w:color w:val="auto"/>
          <w:kern w:val="2"/>
          <w:sz w:val="24"/>
          <w:szCs w:val="24"/>
          <w:u w:val="single"/>
        </w:rPr>
        <w:t xml:space="preserve">   </w:t>
      </w:r>
      <w:r>
        <w:rPr>
          <w:rFonts w:hint="eastAsia"/>
          <w:snapToGrid/>
          <w:color w:val="auto"/>
          <w:kern w:val="2"/>
          <w:sz w:val="24"/>
          <w:szCs w:val="24"/>
        </w:rPr>
        <w:t>年。</w:t>
      </w:r>
    </w:p>
    <w:p>
      <w:pPr>
        <w:widowControl w:val="0"/>
        <w:spacing w:line="360" w:lineRule="auto"/>
        <w:ind w:firstLine="0" w:firstLineChars="0"/>
        <w:jc w:val="both"/>
        <w:textAlignment w:val="auto"/>
        <w:rPr>
          <w:snapToGrid/>
          <w:color w:val="auto"/>
          <w:kern w:val="2"/>
          <w:sz w:val="24"/>
          <w:szCs w:val="24"/>
        </w:rPr>
      </w:pPr>
      <w:r>
        <w:rPr>
          <w:rFonts w:hint="eastAsia"/>
          <w:snapToGrid/>
          <w:color w:val="auto"/>
          <w:kern w:val="2"/>
          <w:sz w:val="24"/>
          <w:szCs w:val="24"/>
        </w:rPr>
        <w:t>乙方应在本合同约定的交货期前10个日历天内以电话或传真形式将合同号、货物名称、数量、包装箱件数、总毛重、总体积(立方米)和备妥交货日期通知甲方。</w:t>
      </w:r>
    </w:p>
    <w:p>
      <w:pPr>
        <w:widowControl w:val="0"/>
        <w:spacing w:line="360" w:lineRule="auto"/>
        <w:ind w:firstLine="0" w:firstLineChars="0"/>
        <w:jc w:val="both"/>
        <w:textAlignment w:val="auto"/>
        <w:rPr>
          <w:b/>
          <w:snapToGrid/>
          <w:color w:val="auto"/>
          <w:sz w:val="24"/>
          <w:szCs w:val="24"/>
        </w:rPr>
      </w:pPr>
      <w:r>
        <w:rPr>
          <w:rFonts w:hint="eastAsia"/>
          <w:b/>
          <w:snapToGrid/>
          <w:color w:val="auto"/>
          <w:sz w:val="24"/>
          <w:szCs w:val="24"/>
        </w:rPr>
        <w:t>三、履约保证金</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乙方于合同签订前向甲方提交合同</w:t>
      </w:r>
      <w:r>
        <w:rPr>
          <w:rFonts w:hint="eastAsia"/>
          <w:snapToGrid/>
          <w:color w:val="auto"/>
          <w:kern w:val="2"/>
          <w:sz w:val="24"/>
          <w:szCs w:val="24"/>
          <w:lang w:val="en-US" w:eastAsia="zh-CN"/>
        </w:rPr>
        <w:t>总价</w:t>
      </w:r>
      <w:r>
        <w:rPr>
          <w:rFonts w:hint="eastAsia"/>
          <w:snapToGrid/>
          <w:color w:val="auto"/>
          <w:kern w:val="2"/>
          <w:sz w:val="24"/>
          <w:szCs w:val="24"/>
        </w:rPr>
        <w:t>的5%（金额：XXX元，大写：人民币 XXX元整）作为履约保证金。</w:t>
      </w:r>
    </w:p>
    <w:p>
      <w:pPr>
        <w:widowControl w:val="0"/>
        <w:wordWrap w:val="0"/>
        <w:adjustRightInd/>
        <w:snapToGrid/>
        <w:spacing w:line="360" w:lineRule="auto"/>
        <w:jc w:val="both"/>
        <w:textAlignment w:val="auto"/>
        <w:rPr>
          <w:rFonts w:hint="eastAsia"/>
          <w:snapToGrid/>
          <w:color w:val="auto"/>
          <w:kern w:val="2"/>
          <w:sz w:val="24"/>
          <w:szCs w:val="24"/>
        </w:rPr>
      </w:pPr>
      <w:r>
        <w:rPr>
          <w:rFonts w:hint="eastAsia"/>
          <w:snapToGrid/>
          <w:color w:val="auto"/>
          <w:kern w:val="2"/>
          <w:sz w:val="24"/>
          <w:szCs w:val="24"/>
        </w:rPr>
        <w:t>甲方账户名： 曲靖市消防救援支队</w:t>
      </w:r>
    </w:p>
    <w:p>
      <w:pPr>
        <w:widowControl w:val="0"/>
        <w:wordWrap w:val="0"/>
        <w:adjustRightInd/>
        <w:snapToGrid/>
        <w:spacing w:line="360" w:lineRule="auto"/>
        <w:jc w:val="both"/>
        <w:textAlignment w:val="auto"/>
        <w:rPr>
          <w:rFonts w:hint="eastAsia"/>
          <w:snapToGrid/>
          <w:color w:val="auto"/>
          <w:kern w:val="2"/>
          <w:sz w:val="24"/>
          <w:szCs w:val="24"/>
        </w:rPr>
      </w:pPr>
      <w:r>
        <w:rPr>
          <w:rFonts w:hint="eastAsia"/>
          <w:snapToGrid/>
          <w:color w:val="auto"/>
          <w:kern w:val="2"/>
          <w:sz w:val="24"/>
          <w:szCs w:val="24"/>
        </w:rPr>
        <w:t>甲方开户行：</w:t>
      </w:r>
    </w:p>
    <w:p>
      <w:pPr>
        <w:widowControl w:val="0"/>
        <w:wordWrap w:val="0"/>
        <w:adjustRightInd/>
        <w:snapToGrid/>
        <w:spacing w:line="360" w:lineRule="auto"/>
        <w:jc w:val="both"/>
        <w:textAlignment w:val="auto"/>
        <w:rPr>
          <w:rFonts w:hint="eastAsia"/>
          <w:snapToGrid/>
          <w:color w:val="auto"/>
          <w:kern w:val="2"/>
          <w:sz w:val="24"/>
          <w:szCs w:val="24"/>
        </w:rPr>
      </w:pPr>
      <w:r>
        <w:rPr>
          <w:rFonts w:hint="eastAsia"/>
          <w:snapToGrid/>
          <w:color w:val="auto"/>
          <w:kern w:val="2"/>
          <w:sz w:val="24"/>
          <w:szCs w:val="24"/>
        </w:rPr>
        <w:t>账      号：</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履约保证金收取方式：银行汇款</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履约保证金退还：自验收合格之日起</w:t>
      </w:r>
      <w:r>
        <w:rPr>
          <w:rFonts w:hint="eastAsia"/>
          <w:snapToGrid/>
          <w:color w:val="auto"/>
          <w:kern w:val="2"/>
          <w:sz w:val="24"/>
          <w:szCs w:val="24"/>
          <w:u w:val="single"/>
        </w:rPr>
        <w:t xml:space="preserve"> 1 </w:t>
      </w:r>
      <w:r>
        <w:rPr>
          <w:rFonts w:hint="eastAsia"/>
          <w:snapToGrid/>
          <w:color w:val="auto"/>
          <w:kern w:val="2"/>
          <w:sz w:val="24"/>
          <w:szCs w:val="24"/>
        </w:rPr>
        <w:t>年期满后，无质量问题，甲方在30个日历天内一次性无息退还。</w:t>
      </w:r>
    </w:p>
    <w:p>
      <w:pPr>
        <w:widowControl w:val="0"/>
        <w:adjustRightInd/>
        <w:snapToGrid/>
        <w:spacing w:line="360" w:lineRule="auto"/>
        <w:jc w:val="both"/>
        <w:textAlignment w:val="auto"/>
        <w:rPr>
          <w:snapToGrid/>
          <w:color w:val="auto"/>
          <w:kern w:val="2"/>
          <w:sz w:val="24"/>
          <w:szCs w:val="24"/>
          <w:u w:val="single"/>
        </w:rPr>
      </w:pPr>
      <w:r>
        <w:rPr>
          <w:rFonts w:hint="eastAsia"/>
          <w:snapToGrid/>
          <w:color w:val="auto"/>
          <w:kern w:val="2"/>
          <w:sz w:val="24"/>
          <w:szCs w:val="24"/>
        </w:rPr>
        <w:t>乙方账户名：</w:t>
      </w:r>
      <w:r>
        <w:rPr>
          <w:rFonts w:hint="eastAsia"/>
          <w:snapToGrid/>
          <w:color w:val="auto"/>
          <w:kern w:val="2"/>
          <w:sz w:val="24"/>
          <w:szCs w:val="24"/>
          <w:u w:val="single"/>
        </w:rPr>
        <w:t xml:space="preserve">                     </w:t>
      </w:r>
    </w:p>
    <w:p>
      <w:pPr>
        <w:widowControl w:val="0"/>
        <w:adjustRightInd/>
        <w:snapToGrid/>
        <w:spacing w:line="360" w:lineRule="auto"/>
        <w:jc w:val="both"/>
        <w:textAlignment w:val="auto"/>
        <w:rPr>
          <w:snapToGrid/>
          <w:color w:val="auto"/>
          <w:kern w:val="2"/>
          <w:sz w:val="24"/>
          <w:szCs w:val="24"/>
          <w:u w:val="single"/>
        </w:rPr>
      </w:pPr>
      <w:r>
        <w:rPr>
          <w:rFonts w:hint="eastAsia"/>
          <w:snapToGrid/>
          <w:color w:val="auto"/>
          <w:kern w:val="2"/>
          <w:sz w:val="24"/>
          <w:szCs w:val="24"/>
        </w:rPr>
        <w:t xml:space="preserve">乙方开户行： </w:t>
      </w:r>
      <w:r>
        <w:rPr>
          <w:rFonts w:hint="eastAsia"/>
          <w:snapToGrid/>
          <w:color w:val="auto"/>
          <w:kern w:val="2"/>
          <w:sz w:val="24"/>
          <w:szCs w:val="24"/>
          <w:u w:val="single"/>
        </w:rPr>
        <w:t xml:space="preserve">                    </w:t>
      </w:r>
    </w:p>
    <w:p>
      <w:pPr>
        <w:widowControl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账      号：</w:t>
      </w:r>
      <w:r>
        <w:rPr>
          <w:rFonts w:hint="eastAsia"/>
          <w:snapToGrid/>
          <w:color w:val="auto"/>
          <w:kern w:val="2"/>
          <w:sz w:val="24"/>
          <w:szCs w:val="24"/>
          <w:u w:val="single"/>
        </w:rPr>
        <w:t xml:space="preserve">                     </w:t>
      </w:r>
    </w:p>
    <w:p>
      <w:pPr>
        <w:widowControl w:val="0"/>
        <w:spacing w:line="360" w:lineRule="auto"/>
        <w:ind w:firstLine="0" w:firstLineChars="0"/>
        <w:jc w:val="both"/>
        <w:textAlignment w:val="auto"/>
        <w:rPr>
          <w:b/>
          <w:snapToGrid/>
          <w:color w:val="auto"/>
          <w:sz w:val="24"/>
          <w:szCs w:val="24"/>
        </w:rPr>
      </w:pPr>
      <w:r>
        <w:rPr>
          <w:rFonts w:hint="eastAsia"/>
          <w:b/>
          <w:snapToGrid/>
          <w:color w:val="auto"/>
          <w:sz w:val="24"/>
          <w:szCs w:val="24"/>
        </w:rPr>
        <w:t>四、合同价款及支付</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合同</w:t>
      </w:r>
      <w:r>
        <w:rPr>
          <w:rFonts w:hint="eastAsia"/>
          <w:snapToGrid/>
          <w:color w:val="auto"/>
          <w:kern w:val="2"/>
          <w:sz w:val="24"/>
          <w:szCs w:val="24"/>
          <w:lang w:val="en-US" w:eastAsia="zh-CN"/>
        </w:rPr>
        <w:t>总</w:t>
      </w:r>
      <w:r>
        <w:rPr>
          <w:rFonts w:hint="eastAsia"/>
          <w:snapToGrid/>
          <w:color w:val="auto"/>
          <w:kern w:val="2"/>
          <w:sz w:val="24"/>
          <w:szCs w:val="24"/>
        </w:rPr>
        <w:t>价为暂定价：人民币</w:t>
      </w:r>
      <w:r>
        <w:rPr>
          <w:rFonts w:hint="eastAsia"/>
          <w:snapToGrid/>
          <w:color w:val="auto"/>
          <w:kern w:val="2"/>
          <w:sz w:val="24"/>
          <w:szCs w:val="24"/>
          <w:u w:val="single"/>
        </w:rPr>
        <w:t xml:space="preserve">       </w:t>
      </w:r>
      <w:r>
        <w:rPr>
          <w:rFonts w:hint="eastAsia"/>
          <w:snapToGrid/>
          <w:color w:val="auto"/>
          <w:kern w:val="2"/>
          <w:sz w:val="24"/>
          <w:szCs w:val="24"/>
        </w:rPr>
        <w:t>元（大写：人民币</w:t>
      </w:r>
      <w:r>
        <w:rPr>
          <w:rFonts w:hint="eastAsia"/>
          <w:snapToGrid/>
          <w:color w:val="auto"/>
          <w:kern w:val="2"/>
          <w:sz w:val="24"/>
          <w:szCs w:val="24"/>
          <w:u w:val="single"/>
        </w:rPr>
        <w:t xml:space="preserve">        </w:t>
      </w:r>
      <w:r>
        <w:rPr>
          <w:rFonts w:hint="eastAsia"/>
          <w:snapToGrid/>
          <w:color w:val="auto"/>
          <w:kern w:val="2"/>
          <w:sz w:val="24"/>
          <w:szCs w:val="24"/>
        </w:rPr>
        <w:t>元整）。</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在合同约定所有商品</w:t>
      </w:r>
      <w:r>
        <w:rPr>
          <w:rFonts w:hint="eastAsia" w:ascii="Times New Roman" w:hAnsi="Times New Roman"/>
          <w:snapToGrid/>
          <w:color w:val="auto"/>
          <w:kern w:val="2"/>
          <w:sz w:val="24"/>
          <w:szCs w:val="24"/>
        </w:rPr>
        <w:t>及技术文件资料</w:t>
      </w:r>
      <w:r>
        <w:rPr>
          <w:rFonts w:hint="eastAsia"/>
          <w:snapToGrid/>
          <w:color w:val="auto"/>
          <w:kern w:val="2"/>
          <w:sz w:val="24"/>
          <w:szCs w:val="24"/>
        </w:rPr>
        <w:t>到货并验收合格后，由甲方审计机构进行结算审计，乙方应当按照甲方要求提交结算资料，乙方根据结算审定价格，向甲方开具等额、真实、合法的有效发票，甲方在收到发票之日起30个日历天内，一次性支付审定价款的100%。结算审减率超过15%的，审核费用由甲、乙双方各承担50%，乙方承担的审核费用从项目结算价款中扣除。</w:t>
      </w:r>
    </w:p>
    <w:p>
      <w:pPr>
        <w:widowControl w:val="0"/>
        <w:wordWrap w:val="0"/>
        <w:adjustRightInd/>
        <w:snapToGrid/>
        <w:spacing w:line="360" w:lineRule="auto"/>
        <w:ind w:firstLine="422"/>
        <w:jc w:val="both"/>
        <w:textAlignment w:val="auto"/>
        <w:rPr>
          <w:b/>
          <w:snapToGrid/>
          <w:color w:val="auto"/>
          <w:sz w:val="24"/>
          <w:szCs w:val="24"/>
        </w:rPr>
      </w:pPr>
      <w:r>
        <w:rPr>
          <w:rFonts w:hint="eastAsia"/>
          <w:b/>
          <w:snapToGrid/>
          <w:color w:val="auto"/>
          <w:kern w:val="2"/>
          <w:sz w:val="24"/>
          <w:szCs w:val="24"/>
        </w:rPr>
        <w:t>鉴于本项目甲方资金来源于发改委、财政部门或其他政府相关部门的拨款，乙方理解并同意甲方按照本合同约定向乙方支付货款的前提条件为：甲方已收到相关政府部门支付的本合同项下的全部或相应资金或款项。如因政府部门未及时向甲方支付相关款项，导致甲方不能向乙方支付货款等相关费用的，不视为甲方违约，且甲方有权顺延向乙方支付费用的时间。</w:t>
      </w:r>
    </w:p>
    <w:p>
      <w:pPr>
        <w:widowControl w:val="0"/>
        <w:wordWrap w:val="0"/>
        <w:adjustRightInd/>
        <w:snapToGrid/>
        <w:spacing w:line="360" w:lineRule="auto"/>
        <w:ind w:firstLine="422"/>
        <w:jc w:val="both"/>
        <w:textAlignment w:val="auto"/>
        <w:rPr>
          <w:b/>
          <w:snapToGrid/>
          <w:color w:val="auto"/>
          <w:kern w:val="2"/>
          <w:sz w:val="24"/>
          <w:szCs w:val="24"/>
        </w:rPr>
      </w:pPr>
      <w:r>
        <w:rPr>
          <w:rFonts w:hint="eastAsia"/>
          <w:b/>
          <w:snapToGrid/>
          <w:color w:val="auto"/>
          <w:kern w:val="2"/>
          <w:sz w:val="24"/>
          <w:szCs w:val="24"/>
        </w:rPr>
        <w:t>五、验收及验收标准</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（一）乙方提供的货物应符合国家规定的标准、行业标准、投标文件及本合同约定，乙方提供的货物，应当是符合甲方要求的全新的、经出厂检验合格的、获得国家销售许可的合格产品。</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（二）全部货物运抵现场后，乙方应当于3个日历天内通知甲方验收，甲方应在接到乙方通知后</w:t>
      </w:r>
      <w:r>
        <w:rPr>
          <w:rFonts w:hint="eastAsia" w:ascii="Times New Roman" w:hAnsi="Times New Roman"/>
          <w:snapToGrid/>
          <w:color w:val="auto"/>
          <w:kern w:val="2"/>
          <w:sz w:val="24"/>
          <w:szCs w:val="24"/>
        </w:rPr>
        <w:t>及时</w:t>
      </w:r>
      <w:r>
        <w:rPr>
          <w:rFonts w:hint="eastAsia"/>
          <w:snapToGrid/>
          <w:color w:val="auto"/>
          <w:kern w:val="2"/>
          <w:sz w:val="24"/>
          <w:szCs w:val="24"/>
        </w:rPr>
        <w:t>对货物进行验收，即为到货验收。本项目全部货物质量保证期届满后30个日历天内，由甲方对货物及乙方服务、履行本合同情况（有无违约、有无侵害甲方权益等事项）进行最终验收检验。验收或检验不合格的，甲方有权要求乙方限期履行合同义务、无偿给予更换、维修、退货、解除本合同及采取其他有效补救措施，乙方同意服从。</w:t>
      </w:r>
    </w:p>
    <w:p>
      <w:pPr>
        <w:widowControl w:val="0"/>
        <w:wordWrap w:val="0"/>
        <w:adjustRightInd/>
        <w:snapToGrid/>
        <w:spacing w:line="360" w:lineRule="auto"/>
        <w:jc w:val="both"/>
        <w:textAlignment w:val="auto"/>
        <w:rPr>
          <w:snapToGrid/>
          <w:color w:val="auto"/>
          <w:sz w:val="24"/>
          <w:szCs w:val="24"/>
        </w:rPr>
      </w:pPr>
      <w:r>
        <w:rPr>
          <w:rFonts w:hint="eastAsia"/>
          <w:snapToGrid/>
          <w:color w:val="auto"/>
          <w:kern w:val="2"/>
          <w:sz w:val="24"/>
          <w:szCs w:val="24"/>
        </w:rPr>
        <w:t>（三）验收和检验应当按照甲方要求及安排进行，乙方配合甲方做好验收工作，本合同货物应当符合国家规定的标准以及行业标准。若发现交付货物不符合要求或存在质量问题，乙方应当按照甲方要求采取有效补救措施，如果超过45个日历天仍未有效解决的，视为验收不合格，一律终止履行合同，所供产品由乙方自行带回，根据合同违约条款，没收乙方履约保证金，</w:t>
      </w:r>
      <w:r>
        <w:rPr>
          <w:rFonts w:hint="eastAsia" w:ascii="Times New Roman" w:hAnsi="Times New Roman"/>
          <w:snapToGrid/>
          <w:color w:val="auto"/>
          <w:kern w:val="2"/>
          <w:sz w:val="24"/>
          <w:szCs w:val="24"/>
        </w:rPr>
        <w:t>并由乙方向甲方</w:t>
      </w:r>
      <w:r>
        <w:rPr>
          <w:rFonts w:hint="eastAsia"/>
          <w:snapToGrid/>
          <w:color w:val="auto"/>
          <w:kern w:val="2"/>
          <w:sz w:val="24"/>
          <w:szCs w:val="24"/>
        </w:rPr>
        <w:t>支付</w:t>
      </w:r>
      <w:r>
        <w:rPr>
          <w:rFonts w:hint="eastAsia" w:ascii="Times New Roman" w:hAnsi="Times New Roman"/>
          <w:snapToGrid/>
          <w:color w:val="auto"/>
          <w:kern w:val="2"/>
          <w:sz w:val="24"/>
          <w:szCs w:val="24"/>
        </w:rPr>
        <w:t>不低于</w:t>
      </w:r>
      <w:r>
        <w:rPr>
          <w:rFonts w:hint="eastAsia"/>
          <w:snapToGrid/>
          <w:color w:val="auto"/>
          <w:kern w:val="2"/>
          <w:sz w:val="24"/>
          <w:szCs w:val="24"/>
        </w:rPr>
        <w:t>合同总价5%的违约金，纳入甲方采购黑名单,在全国消防装备信息网上公示其违约事实；验收通过不免除产品隐藏的质量问题担保责任，如验收后发现产品存在隐藏的质量问题，乙方仍承担相应的产品质量责任，甲方有权要求乙方支付</w:t>
      </w:r>
      <w:r>
        <w:rPr>
          <w:rFonts w:hint="eastAsia" w:ascii="Times New Roman" w:hAnsi="Times New Roman"/>
          <w:snapToGrid/>
          <w:color w:val="auto"/>
          <w:kern w:val="2"/>
          <w:sz w:val="24"/>
          <w:szCs w:val="24"/>
        </w:rPr>
        <w:t>不低于</w:t>
      </w:r>
      <w:r>
        <w:rPr>
          <w:rFonts w:hint="eastAsia"/>
          <w:snapToGrid/>
          <w:color w:val="auto"/>
          <w:kern w:val="2"/>
          <w:sz w:val="24"/>
          <w:szCs w:val="24"/>
        </w:rPr>
        <w:t>合同总价5%的违约金。</w:t>
      </w:r>
    </w:p>
    <w:p>
      <w:pPr>
        <w:widowControl w:val="0"/>
        <w:wordWrap w:val="0"/>
        <w:adjustRightInd/>
        <w:snapToGrid/>
        <w:spacing w:line="360" w:lineRule="auto"/>
        <w:jc w:val="both"/>
        <w:textAlignment w:val="auto"/>
        <w:rPr>
          <w:rFonts w:ascii="Times New Roman" w:hAnsi="Times New Roman"/>
          <w:snapToGrid/>
          <w:color w:val="auto"/>
          <w:kern w:val="2"/>
          <w:sz w:val="24"/>
          <w:szCs w:val="24"/>
        </w:rPr>
      </w:pPr>
      <w:r>
        <w:rPr>
          <w:rFonts w:hint="eastAsia"/>
          <w:snapToGrid/>
          <w:color w:val="auto"/>
          <w:kern w:val="2"/>
          <w:sz w:val="24"/>
          <w:szCs w:val="24"/>
        </w:rPr>
        <w:t>（</w:t>
      </w:r>
      <w:r>
        <w:rPr>
          <w:rFonts w:hint="eastAsia" w:ascii="Times New Roman" w:hAnsi="Times New Roman"/>
          <w:snapToGrid/>
          <w:color w:val="auto"/>
          <w:kern w:val="2"/>
          <w:sz w:val="24"/>
          <w:szCs w:val="24"/>
        </w:rPr>
        <w:t>四</w:t>
      </w:r>
      <w:r>
        <w:rPr>
          <w:rFonts w:hint="eastAsia"/>
          <w:snapToGrid/>
          <w:color w:val="auto"/>
          <w:kern w:val="2"/>
          <w:sz w:val="24"/>
          <w:szCs w:val="24"/>
        </w:rPr>
        <w:t>）</w:t>
      </w:r>
      <w:r>
        <w:rPr>
          <w:rFonts w:hint="eastAsia" w:ascii="Times New Roman" w:hAnsi="Times New Roman"/>
          <w:snapToGrid/>
          <w:color w:val="auto"/>
          <w:kern w:val="2"/>
          <w:sz w:val="24"/>
          <w:szCs w:val="24"/>
        </w:rPr>
        <w:t>甲方有权对所采购产品自行或委托国家权威机构开展二次检测，若检测结果不合格或检测指标与乙方投标文件指标不一致的，</w:t>
      </w:r>
      <w:r>
        <w:rPr>
          <w:rFonts w:hint="eastAsia"/>
          <w:snapToGrid/>
          <w:color w:val="auto"/>
          <w:kern w:val="2"/>
          <w:sz w:val="24"/>
          <w:szCs w:val="24"/>
        </w:rPr>
        <w:t>视为验收不合格</w:t>
      </w:r>
      <w:r>
        <w:rPr>
          <w:rFonts w:hint="eastAsia" w:ascii="Times New Roman" w:hAnsi="Times New Roman"/>
          <w:snapToGrid/>
          <w:color w:val="auto"/>
          <w:kern w:val="2"/>
          <w:sz w:val="24"/>
          <w:szCs w:val="24"/>
        </w:rPr>
        <w:t>，检测产生的一切费用由乙方支付。</w:t>
      </w:r>
    </w:p>
    <w:p>
      <w:pPr>
        <w:widowControl w:val="0"/>
        <w:wordWrap w:val="0"/>
        <w:adjustRightInd/>
        <w:snapToGrid/>
        <w:spacing w:line="360" w:lineRule="auto"/>
        <w:jc w:val="both"/>
        <w:textAlignment w:val="auto"/>
        <w:rPr>
          <w:snapToGrid/>
          <w:color w:val="auto"/>
          <w:kern w:val="2"/>
          <w:sz w:val="24"/>
          <w:szCs w:val="24"/>
        </w:rPr>
      </w:pPr>
      <w:r>
        <w:rPr>
          <w:rFonts w:hint="eastAsia" w:ascii="Times New Roman" w:hAnsi="Times New Roman"/>
          <w:snapToGrid/>
          <w:color w:val="auto"/>
          <w:kern w:val="2"/>
          <w:sz w:val="24"/>
          <w:szCs w:val="24"/>
        </w:rPr>
        <w:t>（五）</w:t>
      </w:r>
      <w:r>
        <w:rPr>
          <w:rFonts w:hint="eastAsia"/>
          <w:snapToGrid/>
          <w:color w:val="auto"/>
          <w:kern w:val="2"/>
          <w:sz w:val="24"/>
          <w:szCs w:val="24"/>
        </w:rPr>
        <w:t>在供货验收环节，乙方需提供相应的产品资讯及维护保养手册（包含维保教学视频及相关课件资料），需提供规范的维护保养文档及其他相关特别指引供基层使用，需选派过硬技术团队组织装备投入执勤战备前统一培训。培训方式为现场实地教学及理论授课，培训范围为支队战训科长、装备科长，特勤站站长、装备技师。培训要讲清功能用途、讲清操作使用程序及注意事项，要开展产品使用实操教学、产品常规及特定情况维护保养技能实地教学，必须完成“基层会维护保养”的关键指标。乙方在培训过程中应当做好培训记录（如签到册、影像资料等）。并向基层预留本地化服务联系方式，明确本地化服务方式及时限，遇到重大灾害事故需应基层需求，选派专业服务团队到灾害现场对相应产品做好装备维护遂行保障工作。</w:t>
      </w:r>
    </w:p>
    <w:p>
      <w:pPr>
        <w:widowControl w:val="0"/>
        <w:spacing w:line="360" w:lineRule="auto"/>
        <w:jc w:val="both"/>
        <w:rPr>
          <w:rFonts w:hAnsi="Times New Roman"/>
          <w:color w:val="auto"/>
          <w:kern w:val="2"/>
          <w:sz w:val="24"/>
          <w:szCs w:val="24"/>
        </w:rPr>
      </w:pPr>
      <w:r>
        <w:rPr>
          <w:rFonts w:hint="eastAsia" w:hAnsi="Times New Roman"/>
          <w:color w:val="auto"/>
          <w:kern w:val="2"/>
          <w:sz w:val="24"/>
          <w:szCs w:val="24"/>
        </w:rPr>
        <w:t xml:space="preserve">  （六）若项目存在变更情况的（如合同范围之外的改装、改造，货物的数量、种类、参数等调整，交货期延长等），必须经甲方审批同意后方可实施。</w:t>
      </w:r>
    </w:p>
    <w:p>
      <w:pPr>
        <w:widowControl w:val="0"/>
        <w:wordWrap w:val="0"/>
        <w:adjustRightInd/>
        <w:snapToGrid/>
        <w:spacing w:before="156" w:beforeLines="50" w:after="156" w:afterLines="50" w:line="360" w:lineRule="auto"/>
        <w:ind w:firstLine="422"/>
        <w:jc w:val="both"/>
        <w:textAlignment w:val="auto"/>
        <w:rPr>
          <w:b/>
          <w:snapToGrid/>
          <w:color w:val="auto"/>
          <w:kern w:val="2"/>
          <w:sz w:val="24"/>
          <w:szCs w:val="24"/>
        </w:rPr>
      </w:pPr>
      <w:r>
        <w:rPr>
          <w:rFonts w:hint="eastAsia"/>
          <w:b/>
          <w:snapToGrid/>
          <w:color w:val="auto"/>
          <w:kern w:val="2"/>
          <w:sz w:val="24"/>
          <w:szCs w:val="24"/>
        </w:rPr>
        <w:t>六、售后及技术服务</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售后服务内容：</w:t>
      </w:r>
      <w:r>
        <w:rPr>
          <w:rFonts w:hint="eastAsia" w:ascii="Times New Roman" w:hAnsi="Times New Roman"/>
          <w:snapToGrid/>
          <w:color w:val="auto"/>
          <w:kern w:val="2"/>
          <w:sz w:val="24"/>
          <w:szCs w:val="24"/>
        </w:rPr>
        <w:t>7x24</w:t>
      </w:r>
      <w:r>
        <w:rPr>
          <w:rFonts w:hint="eastAsia"/>
          <w:snapToGrid/>
          <w:color w:val="auto"/>
          <w:kern w:val="2"/>
          <w:sz w:val="24"/>
          <w:szCs w:val="24"/>
        </w:rPr>
        <w:t>小时服务，</w:t>
      </w:r>
      <w:r>
        <w:rPr>
          <w:rFonts w:hint="eastAsia" w:ascii="Times New Roman" w:hAnsi="Times New Roman"/>
          <w:snapToGrid/>
          <w:color w:val="auto"/>
          <w:kern w:val="2"/>
          <w:sz w:val="24"/>
          <w:szCs w:val="24"/>
          <w:lang w:val="en-US" w:eastAsia="zh-CN"/>
        </w:rPr>
        <w:t>XX</w:t>
      </w:r>
      <w:r>
        <w:rPr>
          <w:rFonts w:hint="eastAsia"/>
          <w:snapToGrid/>
          <w:color w:val="auto"/>
          <w:kern w:val="2"/>
          <w:sz w:val="24"/>
          <w:szCs w:val="24"/>
        </w:rPr>
        <w:t>分钟响应，</w:t>
      </w:r>
      <w:r>
        <w:rPr>
          <w:rFonts w:hint="eastAsia" w:ascii="Times New Roman" w:hAnsi="Times New Roman"/>
          <w:snapToGrid/>
          <w:color w:val="auto"/>
          <w:kern w:val="2"/>
          <w:sz w:val="24"/>
          <w:szCs w:val="24"/>
        </w:rPr>
        <w:t>XX</w:t>
      </w:r>
      <w:r>
        <w:rPr>
          <w:rFonts w:hint="eastAsia"/>
          <w:snapToGrid/>
          <w:color w:val="auto"/>
          <w:kern w:val="2"/>
          <w:sz w:val="24"/>
          <w:szCs w:val="24"/>
        </w:rPr>
        <w:t>小时到达现场</w:t>
      </w:r>
      <w:r>
        <w:rPr>
          <w:rFonts w:hint="eastAsia" w:ascii="Times New Roman" w:hAnsi="Times New Roman"/>
          <w:snapToGrid/>
          <w:color w:val="auto"/>
          <w:kern w:val="2"/>
          <w:sz w:val="24"/>
          <w:szCs w:val="24"/>
        </w:rPr>
        <w:t>维修</w:t>
      </w:r>
      <w:r>
        <w:rPr>
          <w:rFonts w:hint="eastAsia"/>
          <w:snapToGrid/>
          <w:color w:val="auto"/>
          <w:kern w:val="2"/>
          <w:sz w:val="24"/>
          <w:szCs w:val="24"/>
        </w:rPr>
        <w:t>。质保期内，免费上门保修或免费更换，同一货物、同一质量问题连续三次维修仍无法正常使用，乙方必须予以更换同品牌或不低于投标配置的其它产品；质保期外，收取成本费维修（人为故意损坏除外）；每XX不低于XX次主动上门走访（或维护、巡检）消防器材（装备）的使用情况，并做好记录，</w:t>
      </w:r>
      <w:r>
        <w:rPr>
          <w:rFonts w:hint="eastAsia" w:ascii="Times New Roman" w:hAnsi="Times New Roman"/>
          <w:snapToGrid/>
          <w:color w:val="auto"/>
          <w:kern w:val="2"/>
          <w:sz w:val="24"/>
          <w:szCs w:val="24"/>
        </w:rPr>
        <w:t>确保器材处于正常工作状态</w:t>
      </w:r>
      <w:r>
        <w:rPr>
          <w:rFonts w:hint="eastAsia"/>
          <w:snapToGrid/>
          <w:color w:val="auto"/>
          <w:kern w:val="2"/>
          <w:sz w:val="24"/>
          <w:szCs w:val="24"/>
        </w:rPr>
        <w:t>。</w:t>
      </w:r>
      <w:r>
        <w:rPr>
          <w:rFonts w:hint="eastAsia" w:ascii="Times New Roman" w:hAnsi="Times New Roman"/>
          <w:snapToGrid/>
          <w:color w:val="auto"/>
          <w:kern w:val="2"/>
          <w:sz w:val="24"/>
          <w:szCs w:val="24"/>
        </w:rPr>
        <w:t>严格执行售后服务响应时间进行维修，如维修过程中出现怠工、推诿等现象，向甲方支付违约金XXX元/次，并扣除履约保证金，如果情节严重给甲方带来经济损失的，承担法律责任。</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技术服务内容：甲方在设备使用过程中发生技术质量问题，乙方应提供及时有效的技术支持。乙方应向甲方提供售后服务联系人、联系电话。</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联系人：XXX    电话：XXX</w:t>
      </w:r>
    </w:p>
    <w:p>
      <w:pPr>
        <w:widowControl w:val="0"/>
        <w:wordWrap w:val="0"/>
        <w:adjustRightInd/>
        <w:snapToGrid/>
        <w:spacing w:before="156" w:beforeLines="50" w:after="156" w:afterLines="50" w:line="360" w:lineRule="auto"/>
        <w:ind w:firstLine="422"/>
        <w:jc w:val="both"/>
        <w:textAlignment w:val="auto"/>
        <w:rPr>
          <w:b/>
          <w:snapToGrid/>
          <w:color w:val="auto"/>
          <w:kern w:val="2"/>
          <w:sz w:val="24"/>
          <w:szCs w:val="24"/>
        </w:rPr>
      </w:pPr>
      <w:r>
        <w:rPr>
          <w:rFonts w:hint="eastAsia"/>
          <w:b/>
          <w:snapToGrid/>
          <w:color w:val="auto"/>
          <w:kern w:val="2"/>
          <w:sz w:val="24"/>
          <w:szCs w:val="24"/>
        </w:rPr>
        <w:t>（售后服务内容根据乙方投标文件承诺内容修订）</w:t>
      </w:r>
    </w:p>
    <w:p>
      <w:pPr>
        <w:widowControl w:val="0"/>
        <w:wordWrap w:val="0"/>
        <w:adjustRightInd/>
        <w:snapToGrid/>
        <w:spacing w:before="156" w:beforeLines="50" w:after="156" w:afterLines="50" w:line="360" w:lineRule="auto"/>
        <w:ind w:firstLine="422"/>
        <w:jc w:val="both"/>
        <w:textAlignment w:val="auto"/>
        <w:rPr>
          <w:b/>
          <w:snapToGrid/>
          <w:color w:val="auto"/>
          <w:kern w:val="2"/>
          <w:sz w:val="24"/>
          <w:szCs w:val="24"/>
        </w:rPr>
      </w:pPr>
      <w:r>
        <w:rPr>
          <w:rFonts w:hint="eastAsia"/>
          <w:b/>
          <w:snapToGrid/>
          <w:color w:val="auto"/>
          <w:kern w:val="2"/>
          <w:sz w:val="24"/>
          <w:szCs w:val="24"/>
        </w:rPr>
        <w:t>七、送货、性能测试等要求</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（一）合同总价格为甲方指定地点交货价并包含运输费、性能测试培训等全部费用。</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（二）本合同的供货范围，除包括上述货物外，还包括随机的备品备件，相应的技术服务与质量保证文件。</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（三）产品性能测试符合国家行业标准，并满足甲方技术要求，乙方负责配合甲方进行产品性能测试等工作。</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（四）乙方应与收货单位共同完成货物数量当面清点、品牌型号核对、签收、验收、培训。双方当事人签字、盖章、留存（3份，收货单位1份，乙方1份，甲方1份）。</w:t>
      </w:r>
    </w:p>
    <w:p>
      <w:pPr>
        <w:widowControl w:val="0"/>
        <w:wordWrap w:val="0"/>
        <w:adjustRightInd/>
        <w:snapToGrid/>
        <w:spacing w:before="156" w:beforeLines="50" w:after="156" w:afterLines="50" w:line="360" w:lineRule="auto"/>
        <w:ind w:firstLine="422"/>
        <w:jc w:val="both"/>
        <w:textAlignment w:val="auto"/>
        <w:rPr>
          <w:snapToGrid/>
          <w:color w:val="auto"/>
          <w:sz w:val="24"/>
          <w:szCs w:val="24"/>
        </w:rPr>
      </w:pPr>
      <w:r>
        <w:rPr>
          <w:rFonts w:hint="eastAsia"/>
          <w:b/>
          <w:snapToGrid/>
          <w:color w:val="auto"/>
          <w:kern w:val="2"/>
          <w:sz w:val="24"/>
          <w:szCs w:val="24"/>
        </w:rPr>
        <w:t>（送货等内容根据乙方投标文件承诺内容修订）</w:t>
      </w:r>
    </w:p>
    <w:p>
      <w:pPr>
        <w:widowControl w:val="0"/>
        <w:wordWrap w:val="0"/>
        <w:adjustRightInd/>
        <w:snapToGrid/>
        <w:spacing w:before="156" w:beforeLines="50" w:after="156" w:afterLines="50" w:line="360" w:lineRule="auto"/>
        <w:ind w:firstLine="422"/>
        <w:jc w:val="both"/>
        <w:textAlignment w:val="auto"/>
        <w:rPr>
          <w:b/>
          <w:snapToGrid/>
          <w:color w:val="auto"/>
          <w:kern w:val="2"/>
          <w:sz w:val="24"/>
          <w:szCs w:val="24"/>
        </w:rPr>
      </w:pPr>
      <w:r>
        <w:rPr>
          <w:rFonts w:hint="eastAsia"/>
          <w:b/>
          <w:snapToGrid/>
          <w:color w:val="auto"/>
          <w:kern w:val="2"/>
          <w:sz w:val="24"/>
          <w:szCs w:val="24"/>
        </w:rPr>
        <w:t>八、甲乙双方的权利和义务</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（一）甲方的权利和义务</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1、负责合同签订后项目协调的工作（如与乙方的具体联系和衔接等）；</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2、负责提供产品性能测试所需的场地和环境；</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3、负责组织成立验收小组对产品进行验收并签署验收报告；</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4、按合同规定享有乙方提供的产品。</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（二）乙方的权利和义务</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1、乙方保证按本合同条款负责完成甲方项目，并保证提供的设备是全新（包括零部件）、符合竞招标文件规定、具有国家有关部门注册并符合国家质量检测标准、行业标准和产品出厂标准的设备；按合同质保条款提供售后服务，终身负责保修。</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2、保证甲方在合同产品（有配套软件的还包括软件产品）使用期间不受第三方提出侵犯其专利权、商标权和工业设计权的起诉，否则乙方予以处理并承担全部费用。</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3、严格遵守投标、技术澄清、商务谈判、中标所承诺的一切规定和条款；</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4、参与甲方共同进行产品的验收。</w:t>
      </w:r>
    </w:p>
    <w:p>
      <w:pPr>
        <w:widowControl w:val="0"/>
        <w:wordWrap w:val="0"/>
        <w:adjustRightInd/>
        <w:snapToGrid/>
        <w:spacing w:before="156" w:beforeLines="50" w:after="156" w:afterLines="50" w:line="360" w:lineRule="auto"/>
        <w:ind w:firstLine="422"/>
        <w:jc w:val="both"/>
        <w:textAlignment w:val="auto"/>
        <w:rPr>
          <w:b/>
          <w:snapToGrid/>
          <w:color w:val="auto"/>
          <w:kern w:val="2"/>
          <w:sz w:val="24"/>
          <w:szCs w:val="24"/>
        </w:rPr>
      </w:pPr>
      <w:r>
        <w:rPr>
          <w:rFonts w:hint="eastAsia"/>
          <w:b/>
          <w:snapToGrid/>
          <w:color w:val="auto"/>
          <w:kern w:val="2"/>
          <w:sz w:val="24"/>
          <w:szCs w:val="24"/>
        </w:rPr>
        <w:t>九、违约责任</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一）乙方逾期履行本合同供货约定义务时，每逾期一日，应当向甲方支付合同总价款5%履约逾期违约金；逾期超过15个工作日的，甲方有权单方解除本合同，扣除全部履约保证金并要求乙方退还全部或部分已收合同款，如给甲方造成的经济损失的，乙方应当承担全部违约责任并按实际损失额向甲方全额赔偿。</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二）除本合同另有约定，乙方违约的，甲方有权扣除履约保证金并限期催告乙方停止违约行为、采取有效补救措施（包括但不限于继续履行合同、扣除履约保证金、赔偿甲方经济损失等）。如乙方未在甲方指定期限内采取相关措施并经甲方验收合格的，甲方有权单方解除本合同，并要求乙方退还全部或部分已收合同款，如给甲方造成经济损失的，乙方应当承担全部违约责任并按实际损失额向甲方全额赔偿。</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（三）甲方有权随时将履约保证金等额抵扣乙方应支付的违约金或经济损失，剩余违约金或经济损失由乙方另行支付。乙方应当自履约保证金抵扣发生之日起二日内向甲方补足违约金。</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四）乙方必须向甲方提供全新的、经出厂检验合格的、获得国家销售许可的合格产品。若乙方所供货物是假货或走私等非法来源货物的，甲方有权扣除履约保证金并无条件解除本合同，乙方必须无条件向甲方支付合同总价3倍的违约赔偿金。</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五）乙方向甲方开具等额、真实、合法的有效发票，若乙方提供的发票存在虚假、过期、失效或违法等情形的，甲方将按照《中华人民共和国发票管理办法》第三十七条和第三十八条的规定移交税务机关对乙方进行相关的处罚。</w:t>
      </w:r>
    </w:p>
    <w:p>
      <w:pPr>
        <w:widowControl w:val="0"/>
        <w:wordWrap w:val="0"/>
        <w:adjustRightInd/>
        <w:snapToGrid/>
        <w:spacing w:before="156" w:beforeLines="50" w:after="156" w:afterLines="50" w:line="360" w:lineRule="auto"/>
        <w:ind w:firstLine="422"/>
        <w:jc w:val="both"/>
        <w:textAlignment w:val="auto"/>
        <w:rPr>
          <w:b/>
          <w:snapToGrid/>
          <w:color w:val="auto"/>
          <w:kern w:val="2"/>
          <w:sz w:val="24"/>
          <w:szCs w:val="24"/>
        </w:rPr>
      </w:pPr>
      <w:r>
        <w:rPr>
          <w:rFonts w:hint="eastAsia"/>
          <w:b/>
          <w:snapToGrid/>
          <w:color w:val="auto"/>
          <w:kern w:val="2"/>
          <w:sz w:val="24"/>
          <w:szCs w:val="24"/>
        </w:rPr>
        <w:t>十、合同纠纷</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甲乙双方在履行合同过程中发生纠纷，应及时向有关监督管理部门反映，以便相关部门进行协调或处理；或按以下方式处理：（请在□内打√，其余打×）</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sym w:font="Wingdings 2" w:char="0053"/>
      </w:r>
      <w:r>
        <w:rPr>
          <w:rFonts w:hint="eastAsia"/>
          <w:snapToGrid/>
          <w:color w:val="auto"/>
          <w:kern w:val="2"/>
          <w:sz w:val="24"/>
          <w:szCs w:val="24"/>
        </w:rPr>
        <w:t>向合同签订地仲裁部门申请仲裁；</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fldChar w:fldCharType="begin"/>
      </w:r>
      <w:r>
        <w:rPr>
          <w:rFonts w:hint="eastAsia"/>
          <w:snapToGrid/>
          <w:color w:val="auto"/>
          <w:kern w:val="2"/>
          <w:sz w:val="24"/>
          <w:szCs w:val="24"/>
        </w:rPr>
        <w:instrText xml:space="preserve"> EQ \o\ac(</w:instrText>
      </w:r>
      <w:r>
        <w:rPr>
          <w:rFonts w:hint="eastAsia"/>
          <w:snapToGrid/>
          <w:color w:val="auto"/>
          <w:kern w:val="2"/>
          <w:position w:val="-4"/>
          <w:sz w:val="36"/>
          <w:szCs w:val="24"/>
        </w:rPr>
        <w:instrText xml:space="preserve">□</w:instrText>
      </w:r>
      <w:r>
        <w:rPr>
          <w:rFonts w:hint="eastAsia"/>
          <w:snapToGrid/>
          <w:color w:val="auto"/>
          <w:kern w:val="2"/>
          <w:position w:val="0"/>
          <w:sz w:val="24"/>
          <w:szCs w:val="24"/>
        </w:rPr>
        <w:instrText xml:space="preserve">,√)</w:instrText>
      </w:r>
      <w:r>
        <w:rPr>
          <w:rFonts w:hint="eastAsia"/>
          <w:snapToGrid/>
          <w:color w:val="auto"/>
          <w:kern w:val="2"/>
          <w:sz w:val="24"/>
          <w:szCs w:val="24"/>
        </w:rPr>
        <w:fldChar w:fldCharType="end"/>
      </w:r>
      <w:r>
        <w:rPr>
          <w:rFonts w:hint="eastAsia"/>
          <w:snapToGrid/>
          <w:color w:val="auto"/>
          <w:kern w:val="2"/>
          <w:sz w:val="24"/>
          <w:szCs w:val="24"/>
        </w:rPr>
        <w:t>向甲方所在地人民法院提起诉讼。</w:t>
      </w:r>
    </w:p>
    <w:p>
      <w:pPr>
        <w:widowControl w:val="0"/>
        <w:wordWrap w:val="0"/>
        <w:adjustRightInd/>
        <w:snapToGrid/>
        <w:spacing w:line="360" w:lineRule="auto"/>
        <w:ind w:firstLine="422"/>
        <w:jc w:val="both"/>
        <w:textAlignment w:val="auto"/>
        <w:rPr>
          <w:b/>
          <w:snapToGrid/>
          <w:color w:val="auto"/>
          <w:kern w:val="2"/>
          <w:sz w:val="24"/>
          <w:szCs w:val="24"/>
        </w:rPr>
      </w:pPr>
      <w:r>
        <w:rPr>
          <w:rFonts w:hint="eastAsia"/>
          <w:b/>
          <w:snapToGrid/>
          <w:color w:val="auto"/>
          <w:kern w:val="2"/>
          <w:sz w:val="24"/>
          <w:szCs w:val="24"/>
        </w:rPr>
        <w:t>十一、本合同其他未尽事宜</w:t>
      </w:r>
    </w:p>
    <w:p>
      <w:pPr>
        <w:widowControl w:val="0"/>
        <w:wordWrap w:val="0"/>
        <w:adjustRightInd/>
        <w:snapToGrid/>
        <w:spacing w:line="360" w:lineRule="auto"/>
        <w:jc w:val="both"/>
        <w:textAlignment w:val="auto"/>
        <w:rPr>
          <w:snapToGrid/>
          <w:color w:val="auto"/>
          <w:sz w:val="24"/>
          <w:szCs w:val="24"/>
        </w:rPr>
      </w:pPr>
      <w:r>
        <w:rPr>
          <w:rFonts w:hint="eastAsia"/>
          <w:snapToGrid/>
          <w:color w:val="auto"/>
          <w:kern w:val="2"/>
          <w:sz w:val="24"/>
          <w:szCs w:val="24"/>
        </w:rPr>
        <w:t>若为进口货物按国家政策办理免税，则进口货物部分发票由进出口代理公司开具，国内改装部分由乙方开具。本合同其他未尽事宜，按国家《中华人民共和国民法典》有关规定处理。</w:t>
      </w:r>
    </w:p>
    <w:p>
      <w:pPr>
        <w:widowControl w:val="0"/>
        <w:wordWrap w:val="0"/>
        <w:adjustRightInd/>
        <w:snapToGrid/>
        <w:spacing w:line="360" w:lineRule="auto"/>
        <w:ind w:firstLine="422"/>
        <w:jc w:val="both"/>
        <w:textAlignment w:val="auto"/>
        <w:rPr>
          <w:b/>
          <w:snapToGrid/>
          <w:color w:val="auto"/>
          <w:kern w:val="2"/>
          <w:sz w:val="24"/>
          <w:szCs w:val="24"/>
        </w:rPr>
      </w:pPr>
      <w:r>
        <w:rPr>
          <w:rFonts w:hint="eastAsia"/>
          <w:b/>
          <w:snapToGrid/>
          <w:color w:val="auto"/>
          <w:kern w:val="2"/>
          <w:sz w:val="24"/>
          <w:szCs w:val="24"/>
        </w:rPr>
        <w:t>十二、保密责任</w:t>
      </w:r>
    </w:p>
    <w:p>
      <w:pPr>
        <w:widowControl w:val="0"/>
        <w:tabs>
          <w:tab w:val="left" w:pos="5387"/>
        </w:tabs>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一）本合同内容以及乙方因签订、履行本合同所获悉的甲方、甲方下属单位、关联单位及合作单位的相关信息、资料（包括但不限于图纸、数据、文件、视频、图片等）均属于保密范围，未经甲方书面同意，乙方不得将保密内容泄露给任何第三方或用于本合同以外的用途；否则，乙方须承担因泄密而引发的全部责任。</w:t>
      </w:r>
    </w:p>
    <w:p>
      <w:pPr>
        <w:widowControl w:val="0"/>
        <w:tabs>
          <w:tab w:val="left" w:pos="5387"/>
        </w:tabs>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 xml:space="preserve"> (二)乙方在本合同签订、履行期间及终止后，无条件负有本合同约定的保密义务。</w:t>
      </w:r>
    </w:p>
    <w:p>
      <w:pPr>
        <w:widowControl w:val="0"/>
        <w:tabs>
          <w:tab w:val="left" w:pos="5387"/>
        </w:tabs>
        <w:wordWrap w:val="0"/>
        <w:adjustRightInd/>
        <w:snapToGrid/>
        <w:spacing w:line="360" w:lineRule="auto"/>
        <w:jc w:val="both"/>
        <w:textAlignment w:val="auto"/>
        <w:rPr>
          <w:b/>
          <w:snapToGrid/>
          <w:color w:val="auto"/>
          <w:kern w:val="2"/>
          <w:sz w:val="24"/>
          <w:szCs w:val="24"/>
        </w:rPr>
      </w:pPr>
      <w:r>
        <w:rPr>
          <w:rFonts w:hint="eastAsia"/>
          <w:snapToGrid/>
          <w:color w:val="auto"/>
          <w:kern w:val="2"/>
          <w:sz w:val="24"/>
          <w:szCs w:val="24"/>
        </w:rPr>
        <w:t xml:space="preserve"> </w:t>
      </w:r>
      <w:r>
        <w:rPr>
          <w:rFonts w:hint="eastAsia"/>
          <w:b/>
          <w:snapToGrid/>
          <w:color w:val="auto"/>
          <w:kern w:val="2"/>
          <w:sz w:val="24"/>
          <w:szCs w:val="24"/>
        </w:rPr>
        <w:t>十三、特别约定</w:t>
      </w:r>
    </w:p>
    <w:p>
      <w:pPr>
        <w:widowControl w:val="0"/>
        <w:tabs>
          <w:tab w:val="left" w:pos="5387"/>
        </w:tabs>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（一）交货时提交合格证、发票、合格证复印件1份相关发票等材料</w:t>
      </w:r>
      <w:r>
        <w:rPr>
          <w:rFonts w:hint="eastAsia"/>
          <w:snapToGrid/>
          <w:color w:val="auto"/>
          <w:kern w:val="2"/>
          <w:sz w:val="24"/>
          <w:szCs w:val="24"/>
          <w:lang w:eastAsia="zh-CN"/>
        </w:rPr>
        <w:t>。</w:t>
      </w:r>
    </w:p>
    <w:p>
      <w:pPr>
        <w:widowControl w:val="0"/>
        <w:tabs>
          <w:tab w:val="left" w:pos="5387"/>
        </w:tabs>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（二）使用说明书等技术资料，随设备提供；剩余招标文件中要求的技术资料单独整理归档，交货时一同提供。</w:t>
      </w:r>
    </w:p>
    <w:p>
      <w:pPr>
        <w:widowControl w:val="0"/>
        <w:tabs>
          <w:tab w:val="left" w:pos="5387"/>
        </w:tabs>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（三）合同签订后7日内，按照投标文件要求，及时与甲方联系，确定产品种类及数量。</w:t>
      </w:r>
    </w:p>
    <w:p>
      <w:pPr>
        <w:widowControl w:val="0"/>
        <w:tabs>
          <w:tab w:val="left" w:pos="5387"/>
        </w:tabs>
        <w:wordWrap w:val="0"/>
        <w:adjustRightInd/>
        <w:snapToGrid/>
        <w:spacing w:line="360" w:lineRule="auto"/>
        <w:ind w:firstLine="422"/>
        <w:jc w:val="both"/>
        <w:textAlignment w:val="auto"/>
        <w:rPr>
          <w:b/>
          <w:snapToGrid/>
          <w:color w:val="auto"/>
          <w:kern w:val="2"/>
          <w:sz w:val="24"/>
          <w:szCs w:val="24"/>
        </w:rPr>
      </w:pPr>
      <w:r>
        <w:rPr>
          <w:rFonts w:hint="eastAsia"/>
          <w:b/>
          <w:snapToGrid/>
          <w:color w:val="auto"/>
          <w:kern w:val="2"/>
          <w:sz w:val="24"/>
          <w:szCs w:val="24"/>
        </w:rPr>
        <w:t>十四、不可抗力</w:t>
      </w:r>
    </w:p>
    <w:p>
      <w:pPr>
        <w:widowControl w:val="0"/>
        <w:tabs>
          <w:tab w:val="left" w:pos="5387"/>
        </w:tabs>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一）如果甲乙双方中任何一方遭遇战争、自然灾害（火灾、水灾、台风、地震、重大疫情等）、动乱等不可抗力的因素，致使本合同履行受阻时，履行本合同的期限应予延长，延长的期限应相当于不可抗力所影响的时间。</w:t>
      </w:r>
    </w:p>
    <w:p>
      <w:pPr>
        <w:widowControl w:val="0"/>
        <w:tabs>
          <w:tab w:val="left" w:pos="5387"/>
        </w:tabs>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（二）受不可抗力影响的一方应在不可抗力发生后，以最快的方式在最短的时间内通知另一方，并在不可抗力发生后10日内，将有关部门出具的证明文件直接送达另一方。</w:t>
      </w:r>
    </w:p>
    <w:p>
      <w:pPr>
        <w:widowControl w:val="0"/>
        <w:tabs>
          <w:tab w:val="left" w:pos="5387"/>
        </w:tabs>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（三）如果不可抗力影响导致合同迟延履行30日以上的，甲乙双方应友好协商解决，协商不成的，按照甲方要求执行。</w:t>
      </w:r>
    </w:p>
    <w:p>
      <w:pPr>
        <w:widowControl w:val="0"/>
        <w:wordWrap w:val="0"/>
        <w:adjustRightInd/>
        <w:snapToGrid/>
        <w:spacing w:line="360" w:lineRule="auto"/>
        <w:ind w:firstLine="422"/>
        <w:jc w:val="both"/>
        <w:textAlignment w:val="auto"/>
        <w:rPr>
          <w:b/>
          <w:snapToGrid/>
          <w:color w:val="auto"/>
          <w:kern w:val="2"/>
          <w:sz w:val="24"/>
          <w:szCs w:val="24"/>
        </w:rPr>
      </w:pPr>
      <w:r>
        <w:rPr>
          <w:rFonts w:hint="eastAsia"/>
          <w:b/>
          <w:snapToGrid/>
          <w:color w:val="auto"/>
          <w:kern w:val="2"/>
          <w:sz w:val="24"/>
          <w:szCs w:val="24"/>
        </w:rPr>
        <w:t>十五、合同的生效</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本合同经双方签字并盖章后生效。本合同一式4份，甲方持3份，乙方持1份，具有同等法律效力。</w:t>
      </w:r>
    </w:p>
    <w:p>
      <w:pPr>
        <w:widowControl w:val="0"/>
        <w:wordWrap w:val="0"/>
        <w:adjustRightInd/>
        <w:snapToGrid/>
        <w:spacing w:line="360" w:lineRule="auto"/>
        <w:ind w:firstLine="422"/>
        <w:jc w:val="both"/>
        <w:textAlignment w:val="auto"/>
        <w:rPr>
          <w:b/>
          <w:snapToGrid/>
          <w:color w:val="auto"/>
          <w:kern w:val="2"/>
          <w:sz w:val="24"/>
          <w:szCs w:val="24"/>
        </w:rPr>
      </w:pPr>
      <w:r>
        <w:rPr>
          <w:rFonts w:hint="eastAsia"/>
          <w:b/>
          <w:snapToGrid/>
          <w:color w:val="auto"/>
          <w:kern w:val="2"/>
          <w:sz w:val="24"/>
          <w:szCs w:val="24"/>
        </w:rPr>
        <w:t>十六、货物质保期</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货物的质量保证期：自全部货物通过甲方到货验收合格之日起（需要安装调试的项目，应以全部货物完成安装调试且正常运行之日起）</w:t>
      </w:r>
      <w:r>
        <w:rPr>
          <w:rFonts w:hint="eastAsia"/>
          <w:snapToGrid/>
          <w:color w:val="auto"/>
          <w:kern w:val="2"/>
          <w:sz w:val="24"/>
          <w:szCs w:val="24"/>
          <w:u w:val="single"/>
        </w:rPr>
        <w:t>XX</w:t>
      </w:r>
      <w:r>
        <w:rPr>
          <w:rFonts w:hint="eastAsia"/>
          <w:snapToGrid/>
          <w:color w:val="auto"/>
          <w:kern w:val="2"/>
          <w:sz w:val="24"/>
          <w:szCs w:val="24"/>
        </w:rPr>
        <w:t>个月。</w:t>
      </w:r>
    </w:p>
    <w:p>
      <w:pPr>
        <w:widowControl w:val="0"/>
        <w:wordWrap w:val="0"/>
        <w:adjustRightInd/>
        <w:snapToGrid/>
        <w:spacing w:line="360" w:lineRule="auto"/>
        <w:ind w:firstLine="422"/>
        <w:jc w:val="both"/>
        <w:textAlignment w:val="auto"/>
        <w:rPr>
          <w:b/>
          <w:snapToGrid/>
          <w:color w:val="auto"/>
          <w:kern w:val="2"/>
          <w:sz w:val="24"/>
          <w:szCs w:val="24"/>
        </w:rPr>
      </w:pPr>
      <w:r>
        <w:rPr>
          <w:rFonts w:hint="eastAsia"/>
          <w:b/>
          <w:snapToGrid/>
          <w:color w:val="auto"/>
          <w:kern w:val="2"/>
          <w:sz w:val="24"/>
          <w:szCs w:val="24"/>
        </w:rPr>
        <w:t>十七、其它</w:t>
      </w:r>
    </w:p>
    <w:p>
      <w:pPr>
        <w:widowControl w:val="0"/>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本合同未尽事宜可签署补充协议，补充协议是本合同的重要组成，与本合同具有同等法律效力。</w:t>
      </w:r>
    </w:p>
    <w:p>
      <w:pPr>
        <w:widowControl w:val="0"/>
        <w:tabs>
          <w:tab w:val="left" w:pos="6930"/>
        </w:tabs>
        <w:wordWrap w:val="0"/>
        <w:adjustRightInd/>
        <w:snapToGrid/>
        <w:spacing w:line="360" w:lineRule="auto"/>
        <w:ind w:firstLine="422"/>
        <w:jc w:val="both"/>
        <w:textAlignment w:val="auto"/>
        <w:rPr>
          <w:b/>
          <w:bCs/>
          <w:snapToGrid/>
          <w:color w:val="auto"/>
          <w:sz w:val="24"/>
          <w:szCs w:val="24"/>
        </w:rPr>
      </w:pPr>
      <w:r>
        <w:rPr>
          <w:rFonts w:hint="eastAsia"/>
          <w:b/>
          <w:snapToGrid/>
          <w:color w:val="auto"/>
          <w:kern w:val="2"/>
          <w:sz w:val="24"/>
          <w:szCs w:val="24"/>
        </w:rPr>
        <w:t>十八、本合同不可分割之部分包括以下所列文件之内容：</w:t>
      </w:r>
    </w:p>
    <w:p>
      <w:pPr>
        <w:widowControl w:val="0"/>
        <w:tabs>
          <w:tab w:val="left" w:pos="5387"/>
        </w:tabs>
        <w:wordWrap w:val="0"/>
        <w:adjustRightInd/>
        <w:snapToGrid/>
        <w:spacing w:line="360" w:lineRule="auto"/>
        <w:jc w:val="both"/>
        <w:textAlignment w:val="auto"/>
        <w:rPr>
          <w:snapToGrid/>
          <w:color w:val="auto"/>
          <w:sz w:val="24"/>
          <w:szCs w:val="24"/>
        </w:rPr>
      </w:pPr>
      <w:r>
        <w:rPr>
          <w:rFonts w:hint="eastAsia"/>
          <w:snapToGrid/>
          <w:color w:val="auto"/>
          <w:kern w:val="2"/>
          <w:sz w:val="24"/>
          <w:szCs w:val="24"/>
        </w:rPr>
        <w:t>1、合同书附件；2、招标文件；3、中标通知书；4、乙方投标文件；5、甲乙双方签订合同过程中形成的其他文件。</w:t>
      </w:r>
    </w:p>
    <w:p>
      <w:pPr>
        <w:widowControl w:val="0"/>
        <w:tabs>
          <w:tab w:val="left" w:pos="5387"/>
        </w:tabs>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附件一：产品技术参数</w:t>
      </w:r>
      <w:bookmarkStart w:id="287" w:name="_Toc21831"/>
    </w:p>
    <w:p>
      <w:pPr>
        <w:widowControl w:val="0"/>
        <w:tabs>
          <w:tab w:val="left" w:pos="5387"/>
        </w:tabs>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附件二：售后服务承诺书</w:t>
      </w:r>
      <w:bookmarkEnd w:id="287"/>
    </w:p>
    <w:p>
      <w:pPr>
        <w:widowControl w:val="0"/>
        <w:tabs>
          <w:tab w:val="left" w:pos="5387"/>
        </w:tabs>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附件三：产品检验报告</w:t>
      </w:r>
    </w:p>
    <w:p>
      <w:pPr>
        <w:widowControl w:val="0"/>
        <w:tabs>
          <w:tab w:val="left" w:pos="5387"/>
        </w:tabs>
        <w:wordWrap w:val="0"/>
        <w:adjustRightInd/>
        <w:snapToGrid/>
        <w:spacing w:line="360" w:lineRule="auto"/>
        <w:jc w:val="both"/>
        <w:textAlignment w:val="auto"/>
        <w:rPr>
          <w:snapToGrid/>
          <w:color w:val="auto"/>
          <w:kern w:val="2"/>
          <w:sz w:val="24"/>
          <w:szCs w:val="24"/>
        </w:rPr>
      </w:pPr>
      <w:r>
        <w:rPr>
          <w:rFonts w:hint="eastAsia"/>
          <w:snapToGrid/>
          <w:color w:val="auto"/>
          <w:kern w:val="2"/>
          <w:sz w:val="24"/>
          <w:szCs w:val="24"/>
        </w:rPr>
        <w:t>附件四：中标通知书</w:t>
      </w:r>
    </w:p>
    <w:p>
      <w:pPr>
        <w:widowControl w:val="0"/>
        <w:spacing w:line="360" w:lineRule="auto"/>
        <w:jc w:val="both"/>
        <w:rPr>
          <w:color w:val="auto"/>
          <w:kern w:val="2"/>
          <w:sz w:val="24"/>
          <w:szCs w:val="24"/>
        </w:rPr>
      </w:pPr>
      <w:r>
        <w:rPr>
          <w:rFonts w:hint="eastAsia"/>
          <w:color w:val="auto"/>
          <w:kern w:val="2"/>
          <w:sz w:val="24"/>
          <w:szCs w:val="24"/>
        </w:rPr>
        <w:t>附件五：云南省消防救援总队政府采购供应商廉洁守法承诺书</w:t>
      </w:r>
    </w:p>
    <w:p>
      <w:pPr>
        <w:widowControl w:val="0"/>
        <w:spacing w:line="360" w:lineRule="auto"/>
        <w:jc w:val="both"/>
        <w:rPr>
          <w:rFonts w:ascii="Times New Roman" w:hAnsi="Times New Roman"/>
          <w:color w:val="auto"/>
          <w:sz w:val="24"/>
          <w:szCs w:val="24"/>
        </w:rPr>
      </w:pPr>
      <w:r>
        <w:rPr>
          <w:rFonts w:hint="eastAsia"/>
          <w:color w:val="auto"/>
          <w:kern w:val="2"/>
          <w:sz w:val="24"/>
          <w:szCs w:val="24"/>
        </w:rPr>
        <w:t>注：本项目的合同由乙方拟定后交甲方审核，甲方确认后方可签订采购合同，甲方有修改拟定合同中任一条款的权力，合同书样式及主要条款仅供参考，最终以甲方与乙方签订的合同为准。</w:t>
      </w:r>
    </w:p>
    <w:p>
      <w:pPr>
        <w:adjustRightInd/>
        <w:snapToGrid/>
        <w:spacing w:line="360" w:lineRule="auto"/>
        <w:ind w:firstLine="422"/>
        <w:jc w:val="center"/>
        <w:rPr>
          <w:rFonts w:asciiTheme="majorEastAsia" w:hAnsiTheme="majorEastAsia" w:eastAsiaTheme="majorEastAsia" w:cstheme="majorEastAsia"/>
          <w:b/>
          <w:bCs/>
          <w:color w:val="auto"/>
        </w:rPr>
      </w:pPr>
    </w:p>
    <w:p>
      <w:pPr>
        <w:adjustRightInd/>
        <w:snapToGrid/>
        <w:spacing w:line="360" w:lineRule="auto"/>
        <w:ind w:firstLine="672"/>
        <w:rPr>
          <w:color w:val="auto"/>
        </w:rPr>
      </w:pPr>
      <w:bookmarkStart w:id="288" w:name="_bookmark42"/>
      <w:bookmarkEnd w:id="288"/>
      <w:bookmarkStart w:id="289" w:name="_bookmark39"/>
      <w:bookmarkEnd w:id="289"/>
      <w:bookmarkStart w:id="290" w:name="_bookmark41"/>
      <w:bookmarkEnd w:id="290"/>
      <w:bookmarkStart w:id="291" w:name="_bookmark40"/>
      <w:bookmarkEnd w:id="291"/>
    </w:p>
    <w:p>
      <w:pPr>
        <w:widowControl/>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br w:type="page"/>
      </w:r>
    </w:p>
    <w:p>
      <w:pPr>
        <w:numPr>
          <w:ilvl w:val="0"/>
          <w:numId w:val="2"/>
        </w:numPr>
        <w:jc w:val="center"/>
        <w:outlineLvl w:val="0"/>
        <w:rPr>
          <w:rStyle w:val="48"/>
          <w:rFonts w:hint="eastAsia" w:ascii="宋体" w:hAnsi="宋体" w:eastAsia="宋体" w:cs="宋体"/>
          <w:color w:val="auto"/>
          <w:highlight w:val="none"/>
        </w:rPr>
      </w:pPr>
      <w:bookmarkStart w:id="292" w:name="_Toc17388"/>
      <w:r>
        <w:rPr>
          <w:rStyle w:val="48"/>
          <w:rFonts w:hint="eastAsia" w:ascii="宋体" w:hAnsi="宋体" w:eastAsia="宋体" w:cs="宋体"/>
          <w:color w:val="auto"/>
          <w:highlight w:val="none"/>
        </w:rPr>
        <w:t>投标文件格式</w:t>
      </w:r>
      <w:bookmarkEnd w:id="271"/>
      <w:bookmarkEnd w:id="272"/>
      <w:bookmarkEnd w:id="273"/>
      <w:bookmarkEnd w:id="274"/>
      <w:bookmarkEnd w:id="275"/>
      <w:bookmarkEnd w:id="276"/>
      <w:bookmarkEnd w:id="292"/>
    </w:p>
    <w:p>
      <w:pPr>
        <w:pStyle w:val="18"/>
        <w:rPr>
          <w:rFonts w:hint="eastAsia"/>
          <w:color w:val="auto"/>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bCs/>
          <w:color w:val="auto"/>
          <w:sz w:val="52"/>
          <w:szCs w:val="52"/>
          <w:highlight w:val="none"/>
        </w:rPr>
      </w:pPr>
      <w:bookmarkStart w:id="293" w:name="_Toc32659"/>
      <w:bookmarkStart w:id="294" w:name="_Toc29630"/>
      <w:bookmarkStart w:id="295" w:name="_Toc17357"/>
      <w:bookmarkStart w:id="296" w:name="_Toc29660"/>
      <w:bookmarkStart w:id="297" w:name="_Toc30769"/>
      <w:bookmarkStart w:id="298" w:name="_Toc24929"/>
      <w:bookmarkStart w:id="299" w:name="_Toc12838"/>
      <w:bookmarkStart w:id="300" w:name="_Toc26362"/>
      <w:r>
        <w:rPr>
          <w:rFonts w:hint="eastAsia" w:ascii="宋体" w:hAnsi="宋体" w:eastAsia="宋体" w:cs="宋体"/>
          <w:b/>
          <w:bCs/>
          <w:color w:val="auto"/>
          <w:sz w:val="52"/>
          <w:szCs w:val="52"/>
          <w:highlight w:val="none"/>
        </w:rPr>
        <w:t>曲靖市消防救援支队2024年度</w:t>
      </w:r>
      <w:bookmarkEnd w:id="293"/>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b/>
          <w:bCs/>
          <w:color w:val="auto"/>
          <w:sz w:val="52"/>
          <w:szCs w:val="52"/>
          <w:highlight w:val="none"/>
        </w:rPr>
      </w:pPr>
      <w:bookmarkStart w:id="301" w:name="_Toc21017"/>
      <w:r>
        <w:rPr>
          <w:rFonts w:hint="eastAsia" w:ascii="宋体" w:hAnsi="宋体" w:eastAsia="宋体" w:cs="宋体"/>
          <w:b/>
          <w:bCs/>
          <w:color w:val="auto"/>
          <w:sz w:val="52"/>
          <w:szCs w:val="52"/>
          <w:highlight w:val="none"/>
        </w:rPr>
        <w:t>支队集中采购器材装备项目</w:t>
      </w:r>
      <w:bookmarkEnd w:id="301"/>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ascii="宋体" w:hAnsi="宋体"/>
          <w:b/>
          <w:bCs/>
          <w:color w:val="auto"/>
          <w:sz w:val="220"/>
          <w:szCs w:val="220"/>
        </w:rPr>
      </w:pPr>
      <w:bookmarkStart w:id="302" w:name="_Toc9481"/>
      <w:r>
        <w:rPr>
          <w:rFonts w:hint="eastAsia" w:ascii="宋体" w:hAnsi="宋体" w:eastAsia="宋体" w:cs="宋体"/>
          <w:b/>
          <w:bCs/>
          <w:color w:val="auto"/>
          <w:sz w:val="52"/>
          <w:szCs w:val="52"/>
          <w:highlight w:val="none"/>
        </w:rPr>
        <w:t>（     标包）</w:t>
      </w:r>
      <w:bookmarkEnd w:id="302"/>
    </w:p>
    <w:p>
      <w:pPr>
        <w:pStyle w:val="17"/>
        <w:spacing w:line="500" w:lineRule="exact"/>
        <w:jc w:val="center"/>
        <w:rPr>
          <w:rFonts w:hint="eastAsia" w:hAnsi="宋体"/>
          <w:b/>
          <w:color w:val="auto"/>
          <w:sz w:val="32"/>
          <w:szCs w:val="32"/>
        </w:rPr>
      </w:pPr>
    </w:p>
    <w:p>
      <w:pPr>
        <w:pStyle w:val="17"/>
        <w:spacing w:line="500" w:lineRule="exact"/>
        <w:jc w:val="center"/>
        <w:rPr>
          <w:rFonts w:hAnsi="宋体"/>
          <w:b/>
          <w:color w:val="auto"/>
          <w:sz w:val="32"/>
          <w:szCs w:val="32"/>
        </w:rPr>
      </w:pPr>
    </w:p>
    <w:p>
      <w:pPr>
        <w:rPr>
          <w:color w:val="auto"/>
        </w:rPr>
      </w:pPr>
    </w:p>
    <w:p>
      <w:pPr>
        <w:rPr>
          <w:color w:val="auto"/>
        </w:rPr>
      </w:pPr>
    </w:p>
    <w:p>
      <w:pPr>
        <w:pStyle w:val="17"/>
        <w:spacing w:line="500" w:lineRule="exact"/>
        <w:jc w:val="both"/>
        <w:rPr>
          <w:rFonts w:hAnsi="宋体"/>
          <w:b/>
          <w:color w:val="auto"/>
          <w:sz w:val="32"/>
          <w:szCs w:val="32"/>
        </w:rPr>
      </w:pPr>
    </w:p>
    <w:p>
      <w:pPr>
        <w:rPr>
          <w:rFonts w:hAnsi="宋体"/>
          <w:b/>
          <w:color w:val="auto"/>
          <w:sz w:val="32"/>
          <w:szCs w:val="32"/>
        </w:rPr>
      </w:pPr>
    </w:p>
    <w:p>
      <w:pPr>
        <w:pStyle w:val="17"/>
        <w:spacing w:line="480" w:lineRule="auto"/>
        <w:jc w:val="center"/>
        <w:rPr>
          <w:rFonts w:hAnsi="宋体"/>
          <w:b/>
          <w:color w:val="auto"/>
          <w:sz w:val="96"/>
          <w:szCs w:val="96"/>
        </w:rPr>
      </w:pPr>
      <w:r>
        <w:rPr>
          <w:rFonts w:hint="eastAsia" w:hAnsi="宋体"/>
          <w:b/>
          <w:color w:val="auto"/>
          <w:sz w:val="96"/>
          <w:szCs w:val="96"/>
        </w:rPr>
        <w:t>投 标 文 件</w:t>
      </w:r>
    </w:p>
    <w:p>
      <w:pPr>
        <w:pStyle w:val="17"/>
        <w:spacing w:line="500" w:lineRule="exact"/>
        <w:jc w:val="center"/>
        <w:rPr>
          <w:rFonts w:hint="eastAsia" w:hAnsi="宋体"/>
          <w:b/>
          <w:color w:val="auto"/>
          <w:sz w:val="28"/>
          <w:szCs w:val="28"/>
        </w:rPr>
      </w:pPr>
      <w:r>
        <w:rPr>
          <w:rFonts w:hint="eastAsia" w:hAnsi="宋体"/>
          <w:b/>
          <w:color w:val="auto"/>
          <w:sz w:val="28"/>
          <w:szCs w:val="28"/>
        </w:rPr>
        <w:t>项目编号：</w:t>
      </w:r>
    </w:p>
    <w:p>
      <w:pPr>
        <w:pStyle w:val="17"/>
        <w:spacing w:line="500" w:lineRule="exact"/>
        <w:rPr>
          <w:rFonts w:hint="eastAsia" w:hAnsi="宋体"/>
          <w:b/>
          <w:color w:val="auto"/>
          <w:sz w:val="28"/>
          <w:szCs w:val="28"/>
        </w:rPr>
      </w:pPr>
    </w:p>
    <w:p>
      <w:pPr>
        <w:pStyle w:val="17"/>
        <w:spacing w:line="500" w:lineRule="exact"/>
        <w:rPr>
          <w:rFonts w:hint="eastAsia" w:hAnsi="宋体"/>
          <w:b/>
          <w:color w:val="auto"/>
          <w:sz w:val="28"/>
          <w:szCs w:val="28"/>
        </w:rPr>
      </w:pPr>
    </w:p>
    <w:p>
      <w:pPr>
        <w:rPr>
          <w:rFonts w:hint="eastAsia" w:hAnsi="宋体"/>
          <w:b/>
          <w:color w:val="auto"/>
          <w:sz w:val="28"/>
          <w:szCs w:val="28"/>
        </w:rPr>
      </w:pPr>
    </w:p>
    <w:p>
      <w:pPr>
        <w:pStyle w:val="11"/>
        <w:rPr>
          <w:rFonts w:hint="eastAsia" w:hAnsi="宋体"/>
          <w:b/>
          <w:color w:val="auto"/>
          <w:sz w:val="28"/>
          <w:szCs w:val="28"/>
        </w:rPr>
      </w:pPr>
    </w:p>
    <w:p>
      <w:pPr>
        <w:pStyle w:val="18"/>
        <w:rPr>
          <w:rFonts w:hint="eastAsia"/>
          <w:color w:val="auto"/>
        </w:rPr>
      </w:pPr>
    </w:p>
    <w:p>
      <w:pPr>
        <w:pStyle w:val="17"/>
        <w:spacing w:line="500" w:lineRule="exact"/>
        <w:jc w:val="center"/>
        <w:rPr>
          <w:rFonts w:hint="eastAsia" w:hAnsi="宋体"/>
          <w:b/>
          <w:color w:val="auto"/>
          <w:sz w:val="28"/>
          <w:szCs w:val="28"/>
        </w:rPr>
      </w:pPr>
    </w:p>
    <w:p>
      <w:pPr>
        <w:spacing w:line="360" w:lineRule="auto"/>
        <w:jc w:val="center"/>
        <w:rPr>
          <w:rFonts w:ascii="宋体" w:hAnsi="宋体"/>
          <w:color w:val="auto"/>
          <w:sz w:val="24"/>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名称</w:t>
      </w:r>
      <w:r>
        <w:rPr>
          <w:rFonts w:hint="eastAsia" w:ascii="宋体" w:hAnsi="宋体"/>
          <w:color w:val="auto"/>
          <w:sz w:val="24"/>
        </w:rPr>
        <w:t>：</w:t>
      </w:r>
      <w:r>
        <w:rPr>
          <w:rFonts w:hint="eastAsia" w:ascii="宋体" w:hAnsi="宋体"/>
          <w:color w:val="auto"/>
          <w:sz w:val="24"/>
          <w:u w:val="single"/>
        </w:rPr>
        <w:t xml:space="preserve">                                </w:t>
      </w:r>
      <w:r>
        <w:rPr>
          <w:rFonts w:hint="eastAsia" w:ascii="宋体" w:hAnsi="宋体"/>
          <w:color w:val="auto"/>
          <w:sz w:val="24"/>
        </w:rPr>
        <w:t>(</w:t>
      </w:r>
      <w:r>
        <w:rPr>
          <w:rFonts w:hint="eastAsia" w:ascii="宋体" w:hAnsi="宋体"/>
          <w:color w:val="auto"/>
          <w:sz w:val="24"/>
          <w:lang w:eastAsia="zh-CN"/>
        </w:rPr>
        <w:t>加盖供应商电子公章</w:t>
      </w:r>
      <w:r>
        <w:rPr>
          <w:rFonts w:hint="eastAsia" w:ascii="宋体" w:hAnsi="宋体"/>
          <w:color w:val="auto"/>
          <w:sz w:val="24"/>
        </w:rPr>
        <w:t>)</w:t>
      </w:r>
    </w:p>
    <w:p>
      <w:pPr>
        <w:pStyle w:val="17"/>
        <w:spacing w:line="500" w:lineRule="exact"/>
        <w:jc w:val="center"/>
        <w:rPr>
          <w:rFonts w:hAnsi="宋体"/>
          <w:color w:val="auto"/>
          <w:sz w:val="24"/>
        </w:rPr>
      </w:pPr>
      <w:r>
        <w:rPr>
          <w:rFonts w:hint="eastAsia" w:hAnsi="宋体"/>
          <w:color w:val="auto"/>
          <w:sz w:val="24"/>
        </w:rPr>
        <w:t>法定代表人：</w:t>
      </w:r>
      <w:r>
        <w:rPr>
          <w:rFonts w:hint="eastAsia" w:hAnsi="宋体"/>
          <w:color w:val="auto"/>
          <w:sz w:val="24"/>
          <w:u w:val="single"/>
        </w:rPr>
        <w:t xml:space="preserve">                    </w:t>
      </w:r>
      <w:r>
        <w:rPr>
          <w:rFonts w:hint="eastAsia" w:hAnsi="宋体"/>
          <w:color w:val="auto"/>
          <w:sz w:val="24"/>
        </w:rPr>
        <w:t>（电子签名签章）</w:t>
      </w:r>
    </w:p>
    <w:p>
      <w:pPr>
        <w:pStyle w:val="17"/>
        <w:spacing w:line="500" w:lineRule="exact"/>
        <w:jc w:val="center"/>
        <w:rPr>
          <w:rFonts w:hAnsi="宋体"/>
          <w:color w:val="auto"/>
          <w:sz w:val="24"/>
        </w:rPr>
      </w:pPr>
      <w:r>
        <w:rPr>
          <w:rFonts w:hint="eastAsia" w:hAnsi="宋体"/>
          <w:color w:val="auto"/>
          <w:sz w:val="24"/>
          <w:u w:val="single"/>
        </w:rPr>
        <w:t xml:space="preserve">     </w:t>
      </w:r>
      <w:r>
        <w:rPr>
          <w:rFonts w:hint="eastAsia" w:hAnsi="宋体"/>
          <w:color w:val="auto"/>
          <w:sz w:val="24"/>
        </w:rPr>
        <w:t>年</w:t>
      </w:r>
      <w:r>
        <w:rPr>
          <w:rFonts w:hint="eastAsia" w:hAnsi="宋体"/>
          <w:color w:val="auto"/>
          <w:sz w:val="24"/>
          <w:u w:val="single"/>
        </w:rPr>
        <w:t xml:space="preserve">     </w:t>
      </w:r>
      <w:r>
        <w:rPr>
          <w:rFonts w:hint="eastAsia" w:hAnsi="宋体"/>
          <w:color w:val="auto"/>
          <w:sz w:val="24"/>
        </w:rPr>
        <w:t>月</w:t>
      </w:r>
      <w:r>
        <w:rPr>
          <w:rFonts w:hint="eastAsia" w:hAnsi="宋体"/>
          <w:color w:val="auto"/>
          <w:sz w:val="24"/>
          <w:u w:val="single"/>
        </w:rPr>
        <w:t xml:space="preserve">    </w:t>
      </w:r>
      <w:r>
        <w:rPr>
          <w:rFonts w:hint="eastAsia" w:hAnsi="宋体"/>
          <w:color w:val="auto"/>
          <w:sz w:val="24"/>
        </w:rPr>
        <w:t>日</w:t>
      </w:r>
    </w:p>
    <w:p>
      <w:pPr>
        <w:rPr>
          <w:rFonts w:hint="eastAsia" w:ascii="宋体" w:hAnsi="宋体" w:eastAsia="宋体" w:cs="宋体"/>
          <w:color w:val="auto"/>
          <w:szCs w:val="21"/>
          <w:highlight w:val="none"/>
        </w:rPr>
      </w:pPr>
      <w:r>
        <w:rPr>
          <w:rFonts w:hAnsi="宋体"/>
          <w:b w:val="0"/>
          <w:color w:val="auto"/>
          <w:sz w:val="28"/>
          <w:szCs w:val="28"/>
        </w:rPr>
        <w:br w:type="page"/>
      </w:r>
    </w:p>
    <w:p>
      <w:pPr>
        <w:spacing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44"/>
          <w:szCs w:val="44"/>
          <w:highlight w:val="none"/>
        </w:rPr>
        <w:t>目    录</w:t>
      </w:r>
    </w:p>
    <w:p>
      <w:pPr>
        <w:spacing w:line="480" w:lineRule="auto"/>
        <w:ind w:firstLine="482" w:firstLineChars="200"/>
        <w:rPr>
          <w:rFonts w:hint="eastAsia" w:ascii="宋体" w:hAnsi="宋体" w:eastAsia="宋体" w:cs="宋体"/>
          <w:b/>
          <w:bCs/>
          <w:color w:val="auto"/>
          <w:sz w:val="24"/>
          <w:highlight w:val="none"/>
          <w:lang w:eastAsia="zh-CN"/>
        </w:rPr>
      </w:pPr>
      <w:bookmarkStart w:id="303" w:name="_Toc22914"/>
      <w:bookmarkStart w:id="304" w:name="_Toc19520"/>
      <w:bookmarkStart w:id="305" w:name="_Toc26208"/>
      <w:r>
        <w:rPr>
          <w:rFonts w:hint="eastAsia" w:ascii="宋体" w:hAnsi="宋体" w:eastAsia="宋体" w:cs="宋体"/>
          <w:b/>
          <w:bCs/>
          <w:color w:val="auto"/>
          <w:sz w:val="24"/>
          <w:highlight w:val="none"/>
          <w:lang w:eastAsia="zh-CN"/>
        </w:rPr>
        <w:t>一、</w:t>
      </w:r>
      <w:bookmarkEnd w:id="303"/>
      <w:bookmarkEnd w:id="304"/>
      <w:bookmarkEnd w:id="305"/>
      <w:r>
        <w:rPr>
          <w:rFonts w:hint="eastAsia" w:ascii="宋体" w:hAnsi="宋体" w:eastAsia="宋体" w:cs="宋体"/>
          <w:b/>
          <w:bCs/>
          <w:color w:val="auto"/>
          <w:sz w:val="24"/>
          <w:highlight w:val="none"/>
          <w:lang w:eastAsia="zh-CN"/>
        </w:rPr>
        <w:t>投标报价一览表</w:t>
      </w:r>
    </w:p>
    <w:p>
      <w:pPr>
        <w:spacing w:line="480" w:lineRule="auto"/>
        <w:ind w:firstLine="482" w:firstLineChars="200"/>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二、投标函及投标函附录</w:t>
      </w:r>
    </w:p>
    <w:p>
      <w:pPr>
        <w:spacing w:line="480" w:lineRule="auto"/>
        <w:ind w:firstLine="482" w:firstLineChars="200"/>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三</w:t>
      </w:r>
      <w:r>
        <w:rPr>
          <w:rFonts w:hint="eastAsia" w:ascii="宋体" w:hAnsi="宋体" w:eastAsia="宋体" w:cs="宋体"/>
          <w:b/>
          <w:bCs/>
          <w:color w:val="auto"/>
          <w:sz w:val="24"/>
          <w:highlight w:val="none"/>
          <w:lang w:val="en-US" w:eastAsia="zh-CN"/>
        </w:rPr>
        <w:t>、投标人信息表</w:t>
      </w:r>
    </w:p>
    <w:p>
      <w:pPr>
        <w:spacing w:line="480" w:lineRule="auto"/>
        <w:ind w:firstLine="482" w:firstLineChars="200"/>
        <w:rPr>
          <w:rFonts w:hint="eastAsia" w:ascii="宋体" w:hAnsi="宋体" w:eastAsia="宋体" w:cs="宋体"/>
          <w:b/>
          <w:bCs/>
          <w:color w:val="auto"/>
          <w:sz w:val="24"/>
          <w:highlight w:val="none"/>
          <w:lang w:eastAsia="zh-CN"/>
        </w:rPr>
      </w:pPr>
      <w:bookmarkStart w:id="306" w:name="_Toc2085"/>
      <w:bookmarkStart w:id="307" w:name="_Toc3551"/>
      <w:bookmarkStart w:id="308" w:name="_Toc8746"/>
      <w:r>
        <w:rPr>
          <w:rFonts w:hint="eastAsia" w:ascii="宋体" w:hAnsi="宋体" w:cs="宋体"/>
          <w:b/>
          <w:bCs/>
          <w:color w:val="auto"/>
          <w:sz w:val="24"/>
          <w:highlight w:val="none"/>
          <w:lang w:val="en-US" w:eastAsia="zh-CN"/>
        </w:rPr>
        <w:t>四</w:t>
      </w:r>
      <w:r>
        <w:rPr>
          <w:rFonts w:hint="eastAsia" w:ascii="宋体" w:hAnsi="宋体" w:eastAsia="宋体" w:cs="宋体"/>
          <w:b/>
          <w:bCs/>
          <w:color w:val="auto"/>
          <w:sz w:val="24"/>
          <w:highlight w:val="none"/>
          <w:lang w:eastAsia="zh-CN"/>
        </w:rPr>
        <w:t>、法定代表人身份证明和授权委托书</w:t>
      </w:r>
      <w:bookmarkEnd w:id="306"/>
      <w:bookmarkEnd w:id="307"/>
      <w:bookmarkEnd w:id="308"/>
    </w:p>
    <w:p>
      <w:pPr>
        <w:spacing w:line="480" w:lineRule="auto"/>
        <w:ind w:firstLine="482" w:firstLineChars="200"/>
        <w:rPr>
          <w:rFonts w:hint="eastAsia" w:ascii="宋体" w:hAnsi="宋体" w:eastAsia="宋体" w:cs="宋体"/>
          <w:b/>
          <w:bCs/>
          <w:color w:val="auto"/>
          <w:sz w:val="24"/>
          <w:highlight w:val="none"/>
          <w:lang w:eastAsia="zh-CN"/>
        </w:rPr>
      </w:pPr>
      <w:bookmarkStart w:id="309" w:name="_Toc15118"/>
      <w:bookmarkStart w:id="310" w:name="_Toc13750"/>
      <w:bookmarkStart w:id="311" w:name="_Toc5585"/>
      <w:r>
        <w:rPr>
          <w:rFonts w:hint="eastAsia" w:ascii="宋体" w:hAnsi="宋体" w:cs="宋体"/>
          <w:b/>
          <w:bCs/>
          <w:color w:val="auto"/>
          <w:sz w:val="24"/>
          <w:highlight w:val="none"/>
          <w:lang w:val="en-US" w:eastAsia="zh-CN"/>
        </w:rPr>
        <w:t>五</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lang w:eastAsia="zh-CN"/>
        </w:rPr>
        <w:t>投标报价明细表</w:t>
      </w:r>
    </w:p>
    <w:p>
      <w:pPr>
        <w:spacing w:line="480" w:lineRule="auto"/>
        <w:ind w:firstLine="482" w:firstLineChars="200"/>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六</w:t>
      </w:r>
      <w:r>
        <w:rPr>
          <w:rFonts w:hint="eastAsia" w:ascii="宋体" w:hAnsi="宋体" w:eastAsia="宋体" w:cs="宋体"/>
          <w:b/>
          <w:bCs/>
          <w:color w:val="auto"/>
          <w:sz w:val="24"/>
          <w:highlight w:val="none"/>
          <w:lang w:eastAsia="zh-CN"/>
        </w:rPr>
        <w:t>、</w:t>
      </w:r>
      <w:bookmarkEnd w:id="309"/>
      <w:bookmarkEnd w:id="310"/>
      <w:bookmarkEnd w:id="311"/>
      <w:r>
        <w:rPr>
          <w:rFonts w:hint="eastAsia" w:ascii="宋体" w:hAnsi="宋体" w:cs="宋体"/>
          <w:b/>
          <w:bCs/>
          <w:color w:val="auto"/>
          <w:sz w:val="24"/>
          <w:highlight w:val="none"/>
          <w:lang w:eastAsia="zh-CN"/>
        </w:rPr>
        <w:t>技术商务部分</w:t>
      </w:r>
    </w:p>
    <w:p>
      <w:pPr>
        <w:spacing w:line="480" w:lineRule="auto"/>
        <w:ind w:firstLine="482" w:firstLineChars="200"/>
        <w:rPr>
          <w:rFonts w:hint="eastAsia" w:ascii="宋体" w:hAnsi="宋体" w:eastAsia="宋体" w:cs="宋体"/>
          <w:b/>
          <w:bCs/>
          <w:color w:val="auto"/>
          <w:sz w:val="24"/>
          <w:highlight w:val="none"/>
          <w:lang w:eastAsia="zh-CN"/>
        </w:rPr>
      </w:pPr>
      <w:bookmarkStart w:id="312" w:name="_Toc21327"/>
      <w:bookmarkStart w:id="313" w:name="_Toc3218"/>
      <w:bookmarkStart w:id="314" w:name="_Toc17318"/>
      <w:r>
        <w:rPr>
          <w:rFonts w:hint="eastAsia" w:ascii="宋体" w:hAnsi="宋体" w:cs="宋体"/>
          <w:b/>
          <w:bCs/>
          <w:color w:val="auto"/>
          <w:sz w:val="24"/>
          <w:highlight w:val="none"/>
          <w:lang w:val="en-US" w:eastAsia="zh-CN"/>
        </w:rPr>
        <w:t>七</w:t>
      </w:r>
      <w:r>
        <w:rPr>
          <w:rFonts w:hint="eastAsia" w:ascii="宋体" w:hAnsi="宋体" w:eastAsia="宋体" w:cs="宋体"/>
          <w:b/>
          <w:bCs/>
          <w:color w:val="auto"/>
          <w:sz w:val="24"/>
          <w:highlight w:val="none"/>
          <w:lang w:eastAsia="zh-CN"/>
        </w:rPr>
        <w:t>、资格审查资料</w:t>
      </w:r>
      <w:bookmarkEnd w:id="312"/>
      <w:bookmarkEnd w:id="313"/>
      <w:bookmarkEnd w:id="314"/>
    </w:p>
    <w:p>
      <w:pPr>
        <w:spacing w:line="480" w:lineRule="auto"/>
        <w:ind w:firstLine="482" w:firstLineChars="200"/>
        <w:rPr>
          <w:rFonts w:hint="eastAsia" w:ascii="宋体" w:hAnsi="宋体" w:eastAsia="宋体" w:cs="宋体"/>
          <w:b/>
          <w:bCs/>
          <w:color w:val="auto"/>
          <w:sz w:val="24"/>
          <w:highlight w:val="none"/>
          <w:lang w:eastAsia="zh-CN"/>
        </w:rPr>
      </w:pPr>
      <w:bookmarkStart w:id="315" w:name="_Toc11637"/>
      <w:bookmarkStart w:id="316" w:name="_Toc32271"/>
      <w:bookmarkStart w:id="317" w:name="_Toc11939"/>
      <w:r>
        <w:rPr>
          <w:rFonts w:hint="eastAsia" w:ascii="宋体" w:hAnsi="宋体" w:cs="宋体"/>
          <w:b/>
          <w:bCs/>
          <w:color w:val="auto"/>
          <w:sz w:val="24"/>
          <w:highlight w:val="none"/>
          <w:lang w:val="en-US" w:eastAsia="zh-CN"/>
        </w:rPr>
        <w:t>八</w:t>
      </w:r>
      <w:r>
        <w:rPr>
          <w:rFonts w:hint="eastAsia" w:ascii="宋体" w:hAnsi="宋体" w:eastAsia="宋体" w:cs="宋体"/>
          <w:b/>
          <w:bCs/>
          <w:color w:val="auto"/>
          <w:sz w:val="24"/>
          <w:highlight w:val="none"/>
          <w:lang w:eastAsia="zh-CN"/>
        </w:rPr>
        <w:t>、采购文件要求或供应商认为需要的其他材料</w:t>
      </w:r>
      <w:bookmarkEnd w:id="315"/>
      <w:bookmarkEnd w:id="316"/>
      <w:bookmarkEnd w:id="317"/>
    </w:p>
    <w:p>
      <w:pPr>
        <w:spacing w:line="360" w:lineRule="auto"/>
        <w:ind w:firstLine="482" w:firstLineChars="200"/>
        <w:rPr>
          <w:rFonts w:hint="eastAsia" w:ascii="宋体" w:hAnsi="宋体" w:eastAsia="宋体" w:cs="宋体"/>
          <w:b/>
          <w:bCs/>
          <w:color w:val="auto"/>
          <w:sz w:val="24"/>
          <w:highlight w:val="none"/>
        </w:rPr>
      </w:pPr>
    </w:p>
    <w:p>
      <w:pPr>
        <w:spacing w:before="319" w:beforeLines="100" w:after="319" w:afterLines="100" w:line="312" w:lineRule="auto"/>
        <w:jc w:val="center"/>
        <w:outlineLvl w:val="1"/>
        <w:rPr>
          <w:rFonts w:hint="eastAsia" w:ascii="宋体" w:hAnsi="宋体" w:eastAsia="宋体" w:cs="宋体"/>
          <w:b/>
          <w:bCs/>
          <w:color w:val="auto"/>
          <w:sz w:val="44"/>
          <w:szCs w:val="44"/>
          <w:highlight w:val="none"/>
        </w:rPr>
      </w:pPr>
      <w:r>
        <w:rPr>
          <w:rFonts w:hint="eastAsia" w:ascii="宋体" w:hAnsi="宋体" w:eastAsia="宋体" w:cs="宋体"/>
          <w:color w:val="auto"/>
          <w:szCs w:val="21"/>
          <w:highlight w:val="none"/>
        </w:rPr>
        <w:br w:type="page"/>
      </w:r>
      <w:bookmarkStart w:id="318" w:name="_Toc31713"/>
      <w:r>
        <w:rPr>
          <w:rFonts w:hint="eastAsia" w:ascii="宋体" w:hAnsi="宋体" w:eastAsia="宋体" w:cs="宋体"/>
          <w:b/>
          <w:bCs/>
          <w:color w:val="auto"/>
          <w:kern w:val="2"/>
          <w:sz w:val="40"/>
          <w:szCs w:val="40"/>
          <w:highlight w:val="none"/>
          <w:lang w:val="en-US" w:eastAsia="zh-CN" w:bidi="ar-SA"/>
        </w:rPr>
        <w:t>一、投标报价一览表</w:t>
      </w:r>
      <w:bookmarkEnd w:id="294"/>
      <w:bookmarkEnd w:id="295"/>
      <w:bookmarkEnd w:id="296"/>
      <w:bookmarkEnd w:id="297"/>
      <w:bookmarkEnd w:id="298"/>
      <w:bookmarkEnd w:id="299"/>
      <w:bookmarkEnd w:id="300"/>
      <w:bookmarkEnd w:id="318"/>
    </w:p>
    <w:tbl>
      <w:tblPr>
        <w:tblStyle w:val="31"/>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25"/>
        <w:gridCol w:w="69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2" w:hRule="atLeast"/>
          <w:jc w:val="center"/>
        </w:trPr>
        <w:tc>
          <w:tcPr>
            <w:tcW w:w="1925"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bidi="ar"/>
              </w:rPr>
              <w:t>项目名称</w:t>
            </w:r>
          </w:p>
        </w:tc>
        <w:tc>
          <w:tcPr>
            <w:tcW w:w="6972" w:type="dxa"/>
            <w:tcMar>
              <w:top w:w="15" w:type="dxa"/>
              <w:left w:w="15" w:type="dxa"/>
              <w:right w:w="15" w:type="dxa"/>
            </w:tcMar>
            <w:vAlign w:val="center"/>
          </w:tcPr>
          <w:p>
            <w:pPr>
              <w:widowControl/>
              <w:spacing w:line="360" w:lineRule="auto"/>
              <w:jc w:val="center"/>
              <w:textAlignment w:val="center"/>
              <w:rPr>
                <w:rFonts w:hint="eastAsia" w:ascii="宋体" w:hAnsi="宋体" w:cs="宋体"/>
                <w:b w:val="0"/>
                <w:bCs w:val="0"/>
                <w:color w:val="auto"/>
                <w:kern w:val="0"/>
                <w:sz w:val="24"/>
                <w:szCs w:val="24"/>
                <w:highlight w:val="none"/>
                <w:lang w:eastAsia="zh-CN" w:bidi="ar"/>
              </w:rPr>
            </w:pPr>
            <w:r>
              <w:rPr>
                <w:rFonts w:hint="eastAsia" w:ascii="宋体" w:hAnsi="宋体" w:cs="宋体"/>
                <w:b w:val="0"/>
                <w:bCs w:val="0"/>
                <w:color w:val="auto"/>
                <w:kern w:val="0"/>
                <w:sz w:val="24"/>
                <w:szCs w:val="24"/>
                <w:highlight w:val="none"/>
                <w:lang w:eastAsia="zh-CN" w:bidi="ar"/>
              </w:rPr>
              <w:t>曲靖市消防救援支队2024年度支队集中采购器材装备项目</w:t>
            </w:r>
          </w:p>
          <w:p>
            <w:pPr>
              <w:pStyle w:val="11"/>
              <w:jc w:val="center"/>
              <w:rPr>
                <w:rFonts w:hint="default"/>
                <w:color w:val="auto"/>
                <w:lang w:val="en-US"/>
              </w:rPr>
            </w:pPr>
            <w:r>
              <w:rPr>
                <w:rFonts w:hint="eastAsia" w:ascii="宋体" w:hAnsi="宋体" w:cs="宋体"/>
                <w:b w:val="0"/>
                <w:bCs w:val="0"/>
                <w:color w:val="auto"/>
                <w:kern w:val="0"/>
                <w:sz w:val="24"/>
                <w:szCs w:val="24"/>
                <w:highlight w:val="none"/>
                <w:lang w:eastAsia="zh-CN" w:bidi="ar"/>
              </w:rPr>
              <w:t>（</w:t>
            </w:r>
            <w:r>
              <w:rPr>
                <w:rFonts w:hint="eastAsia" w:ascii="宋体" w:hAnsi="宋体" w:cs="宋体"/>
                <w:b w:val="0"/>
                <w:bCs w:val="0"/>
                <w:color w:val="auto"/>
                <w:kern w:val="0"/>
                <w:sz w:val="24"/>
                <w:szCs w:val="24"/>
                <w:highlight w:val="none"/>
                <w:u w:val="single"/>
                <w:lang w:val="en-US" w:eastAsia="zh-CN" w:bidi="ar"/>
              </w:rPr>
              <w:t xml:space="preserve">     </w:t>
            </w:r>
            <w:r>
              <w:rPr>
                <w:rFonts w:hint="eastAsia" w:ascii="宋体" w:hAnsi="宋体" w:cs="宋体"/>
                <w:b w:val="0"/>
                <w:bCs w:val="0"/>
                <w:color w:val="auto"/>
                <w:kern w:val="0"/>
                <w:sz w:val="24"/>
                <w:szCs w:val="24"/>
                <w:highlight w:val="none"/>
                <w:lang w:eastAsia="zh-CN" w:bidi="ar"/>
              </w:rPr>
              <w:t>标包）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19" w:hRule="atLeast"/>
          <w:jc w:val="center"/>
        </w:trPr>
        <w:tc>
          <w:tcPr>
            <w:tcW w:w="1925" w:type="dxa"/>
            <w:tcMar>
              <w:top w:w="15" w:type="dxa"/>
              <w:left w:w="15" w:type="dxa"/>
              <w:right w:w="15" w:type="dxa"/>
            </w:tcMar>
            <w:vAlign w:val="center"/>
          </w:tcPr>
          <w:p>
            <w:pPr>
              <w:widowControl/>
              <w:spacing w:line="480" w:lineRule="auto"/>
              <w:jc w:val="center"/>
              <w:textAlignment w:val="center"/>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bidi="ar"/>
              </w:rPr>
              <w:t>投标总报价</w:t>
            </w:r>
          </w:p>
        </w:tc>
        <w:tc>
          <w:tcPr>
            <w:tcW w:w="6972" w:type="dxa"/>
            <w:tcMar>
              <w:top w:w="15" w:type="dxa"/>
              <w:left w:w="15" w:type="dxa"/>
              <w:right w:w="15" w:type="dxa"/>
            </w:tcMar>
            <w:vAlign w:val="center"/>
          </w:tcPr>
          <w:p>
            <w:pPr>
              <w:widowControl/>
              <w:spacing w:line="480" w:lineRule="auto"/>
              <w:jc w:val="left"/>
              <w:textAlignment w:val="center"/>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bidi="ar"/>
              </w:rPr>
              <w:t>人民币大写：</w:t>
            </w:r>
          </w:p>
          <w:p>
            <w:pPr>
              <w:widowControl/>
              <w:spacing w:line="480" w:lineRule="auto"/>
              <w:jc w:val="left"/>
              <w:textAlignment w:val="center"/>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bidi="ar"/>
              </w:rPr>
              <w:t>人民币小写：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4" w:hRule="atLeast"/>
          <w:jc w:val="center"/>
        </w:trPr>
        <w:tc>
          <w:tcPr>
            <w:tcW w:w="1925"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eastAsia="zh-CN" w:bidi="ar"/>
              </w:rPr>
            </w:pPr>
            <w:r>
              <w:rPr>
                <w:rFonts w:hint="eastAsia" w:ascii="宋体" w:hAnsi="宋体" w:eastAsia="宋体" w:cs="宋体"/>
                <w:b w:val="0"/>
                <w:bCs w:val="0"/>
                <w:color w:val="auto"/>
                <w:kern w:val="0"/>
                <w:sz w:val="24"/>
                <w:szCs w:val="24"/>
                <w:highlight w:val="none"/>
                <w:lang w:eastAsia="zh-CN" w:bidi="ar"/>
              </w:rPr>
              <w:t>合同履行期限</w:t>
            </w:r>
          </w:p>
        </w:tc>
        <w:tc>
          <w:tcPr>
            <w:tcW w:w="6972"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4" w:hRule="atLeast"/>
          <w:jc w:val="center"/>
        </w:trPr>
        <w:tc>
          <w:tcPr>
            <w:tcW w:w="1925"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地点</w:t>
            </w:r>
          </w:p>
        </w:tc>
        <w:tc>
          <w:tcPr>
            <w:tcW w:w="6972"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3" w:hRule="atLeast"/>
          <w:jc w:val="center"/>
        </w:trPr>
        <w:tc>
          <w:tcPr>
            <w:tcW w:w="1925"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eastAsia="zh-CN" w:bidi="ar"/>
              </w:rPr>
            </w:pPr>
            <w:r>
              <w:rPr>
                <w:rFonts w:hint="eastAsia" w:ascii="宋体" w:hAnsi="宋体" w:eastAsia="宋体" w:cs="宋体"/>
                <w:b w:val="0"/>
                <w:bCs w:val="0"/>
                <w:color w:val="auto"/>
                <w:kern w:val="0"/>
                <w:sz w:val="24"/>
                <w:szCs w:val="24"/>
                <w:highlight w:val="none"/>
                <w:lang w:eastAsia="zh-CN" w:bidi="ar"/>
              </w:rPr>
              <w:t>质量</w:t>
            </w:r>
            <w:r>
              <w:rPr>
                <w:rFonts w:hint="eastAsia" w:ascii="宋体" w:hAnsi="宋体" w:eastAsia="宋体" w:cs="宋体"/>
                <w:b w:val="0"/>
                <w:bCs w:val="0"/>
                <w:color w:val="auto"/>
                <w:kern w:val="0"/>
                <w:sz w:val="24"/>
                <w:szCs w:val="24"/>
                <w:highlight w:val="none"/>
                <w:lang w:val="en-US" w:eastAsia="zh-CN" w:bidi="ar"/>
              </w:rPr>
              <w:t>承诺</w:t>
            </w:r>
          </w:p>
        </w:tc>
        <w:tc>
          <w:tcPr>
            <w:tcW w:w="6972"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0" w:hRule="atLeast"/>
          <w:jc w:val="center"/>
        </w:trPr>
        <w:tc>
          <w:tcPr>
            <w:tcW w:w="1925" w:type="dxa"/>
            <w:tcMar>
              <w:top w:w="15" w:type="dxa"/>
              <w:left w:w="15" w:type="dxa"/>
              <w:right w:w="15" w:type="dxa"/>
            </w:tcMar>
            <w:vAlign w:val="center"/>
          </w:tcPr>
          <w:p>
            <w:pPr>
              <w:widowControl/>
              <w:jc w:val="center"/>
              <w:textAlignment w:val="center"/>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bidi="ar"/>
              </w:rPr>
              <w:t>备注</w:t>
            </w:r>
          </w:p>
        </w:tc>
        <w:tc>
          <w:tcPr>
            <w:tcW w:w="6972" w:type="dxa"/>
            <w:tcMar>
              <w:top w:w="15" w:type="dxa"/>
              <w:left w:w="15" w:type="dxa"/>
              <w:right w:w="15" w:type="dxa"/>
            </w:tcMar>
            <w:vAlign w:val="center"/>
          </w:tcPr>
          <w:p>
            <w:pPr>
              <w:widowControl/>
              <w:jc w:val="left"/>
              <w:textAlignment w:val="center"/>
              <w:rPr>
                <w:rFonts w:hint="eastAsia" w:ascii="宋体" w:hAnsi="宋体" w:eastAsia="宋体" w:cs="宋体"/>
                <w:b w:val="0"/>
                <w:bCs w:val="0"/>
                <w:color w:val="auto"/>
                <w:kern w:val="0"/>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7" w:hRule="atLeast"/>
          <w:jc w:val="center"/>
        </w:trPr>
        <w:tc>
          <w:tcPr>
            <w:tcW w:w="8897" w:type="dxa"/>
            <w:gridSpan w:val="2"/>
            <w:tcMar>
              <w:top w:w="15" w:type="dxa"/>
              <w:left w:w="15" w:type="dxa"/>
              <w:right w:w="15" w:type="dxa"/>
            </w:tcMar>
            <w:vAlign w:val="center"/>
          </w:tcPr>
          <w:p>
            <w:pPr>
              <w:pStyle w:val="17"/>
              <w:spacing w:line="360" w:lineRule="auto"/>
              <w:ind w:firstLine="960" w:firstLineChars="4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电子</w:t>
            </w:r>
            <w:r>
              <w:rPr>
                <w:rFonts w:hint="eastAsia" w:hAnsi="宋体" w:cs="宋体"/>
                <w:color w:val="auto"/>
                <w:kern w:val="0"/>
                <w:sz w:val="24"/>
              </w:rPr>
              <w:t>签名</w:t>
            </w:r>
            <w:r>
              <w:rPr>
                <w:rFonts w:hint="eastAsia" w:ascii="宋体" w:hAnsi="宋体" w:cs="宋体"/>
                <w:color w:val="auto"/>
                <w:sz w:val="24"/>
                <w:szCs w:val="24"/>
                <w:highlight w:val="none"/>
                <w:lang w:eastAsia="zh-CN"/>
              </w:rPr>
              <w:t>签章</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p>
          <w:p>
            <w:pPr>
              <w:pStyle w:val="17"/>
              <w:spacing w:line="360" w:lineRule="auto"/>
              <w:ind w:firstLine="960" w:firstLineChars="400"/>
              <w:rPr>
                <w:rFonts w:hint="eastAsia" w:ascii="宋体" w:hAnsi="宋体" w:eastAsia="宋体" w:cs="宋体"/>
                <w:color w:val="auto"/>
                <w:kern w:val="0"/>
                <w:sz w:val="24"/>
                <w:szCs w:val="24"/>
                <w:highlight w:val="none"/>
                <w:u w:val="single"/>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名称</w:t>
            </w:r>
            <w:r>
              <w:rPr>
                <w:rFonts w:hint="eastAsia" w:ascii="宋体" w:hAnsi="宋体" w:eastAsia="宋体" w:cs="宋体"/>
                <w:color w:val="auto"/>
                <w:kern w:val="0"/>
                <w:sz w:val="24"/>
                <w:szCs w:val="24"/>
                <w:highlight w:val="none"/>
              </w:rPr>
              <w:t>(加盖供应商电子公章)：</w:t>
            </w:r>
            <w:r>
              <w:rPr>
                <w:rFonts w:hint="eastAsia" w:ascii="宋体" w:hAnsi="宋体" w:eastAsia="宋体" w:cs="宋体"/>
                <w:color w:val="auto"/>
                <w:kern w:val="0"/>
                <w:sz w:val="24"/>
                <w:szCs w:val="24"/>
                <w:highlight w:val="none"/>
                <w:u w:val="single"/>
              </w:rPr>
              <w:t xml:space="preserve">                             </w:t>
            </w:r>
          </w:p>
          <w:p>
            <w:pPr>
              <w:widowControl/>
              <w:jc w:val="center"/>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Cs/>
                <w:color w:val="auto"/>
                <w:kern w:val="0"/>
                <w:sz w:val="24"/>
                <w:szCs w:val="24"/>
                <w:highlight w:val="none"/>
              </w:rPr>
              <w:t>日期：</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日</w:t>
            </w:r>
          </w:p>
        </w:tc>
      </w:tr>
    </w:tbl>
    <w:p>
      <w:pPr>
        <w:spacing w:before="319" w:beforeLines="100" w:after="319" w:afterLines="100" w:line="312" w:lineRule="auto"/>
        <w:jc w:val="center"/>
        <w:outlineLvl w:val="1"/>
        <w:rPr>
          <w:rFonts w:hint="eastAsia" w:ascii="宋体" w:hAnsi="宋体" w:eastAsia="宋体" w:cs="宋体"/>
          <w:b/>
          <w:bCs/>
          <w:color w:val="auto"/>
          <w:kern w:val="2"/>
          <w:sz w:val="40"/>
          <w:szCs w:val="40"/>
          <w:highlight w:val="none"/>
          <w:lang w:val="en-US" w:eastAsia="zh-CN" w:bidi="ar-SA"/>
        </w:rPr>
      </w:pPr>
      <w:bookmarkStart w:id="319" w:name="_Toc31070"/>
      <w:bookmarkStart w:id="320" w:name="_Toc20121"/>
      <w:bookmarkStart w:id="321" w:name="_Toc16844"/>
      <w:bookmarkStart w:id="322" w:name="_Toc1699"/>
      <w:bookmarkStart w:id="323" w:name="_Toc21643"/>
      <w:bookmarkStart w:id="324" w:name="_Toc26860"/>
      <w:bookmarkStart w:id="325" w:name="_Toc16127"/>
      <w:r>
        <w:rPr>
          <w:rFonts w:hint="eastAsia" w:ascii="宋体" w:hAnsi="宋体" w:eastAsia="宋体" w:cs="宋体"/>
          <w:b/>
          <w:bCs/>
          <w:color w:val="auto"/>
          <w:kern w:val="2"/>
          <w:sz w:val="40"/>
          <w:szCs w:val="40"/>
          <w:highlight w:val="none"/>
          <w:lang w:val="en-US" w:eastAsia="zh-CN" w:bidi="ar-SA"/>
        </w:rPr>
        <w:br w:type="page"/>
      </w:r>
      <w:bookmarkStart w:id="326" w:name="_Toc15053"/>
      <w:r>
        <w:rPr>
          <w:rFonts w:hint="eastAsia" w:ascii="宋体" w:hAnsi="宋体" w:eastAsia="宋体" w:cs="宋体"/>
          <w:b/>
          <w:bCs/>
          <w:color w:val="auto"/>
          <w:kern w:val="2"/>
          <w:sz w:val="40"/>
          <w:szCs w:val="40"/>
          <w:highlight w:val="none"/>
          <w:lang w:val="en-US" w:eastAsia="zh-CN" w:bidi="ar-SA"/>
        </w:rPr>
        <w:t>二、</w:t>
      </w:r>
      <w:bookmarkEnd w:id="319"/>
      <w:bookmarkEnd w:id="320"/>
      <w:bookmarkEnd w:id="321"/>
      <w:bookmarkEnd w:id="322"/>
      <w:bookmarkEnd w:id="323"/>
      <w:bookmarkEnd w:id="324"/>
      <w:r>
        <w:rPr>
          <w:rFonts w:hint="eastAsia" w:ascii="宋体" w:hAnsi="宋体" w:eastAsia="宋体" w:cs="宋体"/>
          <w:b/>
          <w:bCs/>
          <w:color w:val="auto"/>
          <w:kern w:val="2"/>
          <w:sz w:val="40"/>
          <w:szCs w:val="40"/>
          <w:highlight w:val="none"/>
          <w:lang w:val="en-US" w:eastAsia="zh-CN" w:bidi="ar-SA"/>
        </w:rPr>
        <w:t>投标函</w:t>
      </w:r>
      <w:bookmarkEnd w:id="325"/>
      <w:bookmarkEnd w:id="326"/>
    </w:p>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 </w:t>
      </w:r>
    </w:p>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(供应商全称)授权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(代理人姓名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(职务、职称)为全权代表，参加贵方组织的</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eastAsia="zh-CN"/>
        </w:rPr>
        <w:t>项目（</w:t>
      </w:r>
      <w:r>
        <w:rPr>
          <w:rFonts w:hint="eastAsia" w:ascii="宋体" w:hAnsi="宋体" w:cs="宋体"/>
          <w:b/>
          <w:bCs/>
          <w:color w:val="auto"/>
          <w:sz w:val="24"/>
          <w:szCs w:val="24"/>
          <w:highlight w:val="none"/>
          <w:u w:val="single"/>
          <w:lang w:val="en-US" w:eastAsia="zh-CN"/>
        </w:rPr>
        <w:t xml:space="preserve">   标包</w:t>
      </w:r>
      <w:r>
        <w:rPr>
          <w:rFonts w:hint="eastAsia" w:ascii="宋体" w:hAnsi="宋体" w:cs="宋体"/>
          <w:b/>
          <w:bCs/>
          <w:color w:val="auto"/>
          <w:sz w:val="24"/>
          <w:szCs w:val="24"/>
          <w:highlight w:val="none"/>
          <w:u w:val="single"/>
          <w:lang w:eastAsia="zh-CN"/>
        </w:rPr>
        <w:t>）</w:t>
      </w:r>
      <w:r>
        <w:rPr>
          <w:rFonts w:hint="eastAsia" w:ascii="宋体" w:hAnsi="宋体" w:eastAsia="宋体" w:cs="宋体"/>
          <w:color w:val="auto"/>
          <w:sz w:val="24"/>
          <w:szCs w:val="24"/>
          <w:highlight w:val="none"/>
        </w:rPr>
        <w:t>(招标编号：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)招标的有关活动，并对此进行投标。报价及承诺如下：</w:t>
      </w:r>
    </w:p>
    <w:p>
      <w:pPr>
        <w:numPr>
          <w:ilvl w:val="0"/>
          <w:numId w:val="3"/>
        </w:num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bookmarkStart w:id="327" w:name="_Hlk515422630"/>
      <w:r>
        <w:rPr>
          <w:rFonts w:hint="eastAsia" w:ascii="宋体" w:hAnsi="宋体" w:eastAsia="宋体" w:cs="宋体"/>
          <w:color w:val="auto"/>
          <w:sz w:val="24"/>
          <w:szCs w:val="24"/>
          <w:highlight w:val="none"/>
        </w:rPr>
        <w:t>投标报价为：人民币（大写）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bookmarkEnd w:id="327"/>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质量</w:t>
      </w:r>
      <w:r>
        <w:rPr>
          <w:rFonts w:hint="eastAsia" w:ascii="宋体" w:hAnsi="宋体" w:eastAsia="宋体" w:cs="宋体"/>
          <w:color w:val="auto"/>
          <w:sz w:val="24"/>
          <w:szCs w:val="24"/>
          <w:highlight w:val="none"/>
          <w:lang w:val="en-US" w:eastAsia="zh-CN"/>
        </w:rPr>
        <w:t>承诺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（2）本项目投标报价为含税全费用包干价，结算时按单价乘以实际使用数量进行结算。</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（3）保证遵守采购文件中的有关规定和收费标准。</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（4）保证忠实地执行双方所签订的合同，并承担合同规定的责任义务。</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（5）愿意向贵方提供任何与该项投标有关的数据、情况和技术资料。</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（6）我方已详细审阅全部采购文件，包括修改意见（如有），以及全部参考资料和有关附件，完全理解并同意放弃对这方面有不明产生误解而要求采购人解释和承担责任的权利。</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（7）我们理解，采购人不一定接受最低报价的投标书或采购人接到的其他任何投标书。同时也理解，采购人和招标代理机构不负担我们的任何投标费用。</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（8）在投标文件有效期期间被你方接受的上述文件对我方一直具有约束力。我方保证在投标文件有效期内不撤回投标文件，除采购文件另有规定外，不修改投标文件。</w:t>
      </w:r>
    </w:p>
    <w:p>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（9）如果我们在投标书有效期内撤回投标书；或在接到中标通知书后未能或拒绝签订合同协议书；或未能提交履约担保，你单位有权另选中标单位。</w:t>
      </w:r>
    </w:p>
    <w:p>
      <w:pPr>
        <w:spacing w:line="31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(加盖供应商电子公章)：</w:t>
      </w:r>
      <w:r>
        <w:rPr>
          <w:rFonts w:hint="eastAsia" w:ascii="宋体" w:hAnsi="宋体" w:eastAsia="宋体" w:cs="宋体"/>
          <w:color w:val="auto"/>
          <w:sz w:val="24"/>
          <w:szCs w:val="24"/>
          <w:highlight w:val="none"/>
          <w:u w:val="single"/>
        </w:rPr>
        <w:t xml:space="preserve">                          </w:t>
      </w:r>
    </w:p>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电子</w:t>
      </w:r>
      <w:r>
        <w:rPr>
          <w:rFonts w:hint="eastAsia" w:hAnsi="宋体" w:cs="宋体"/>
          <w:color w:val="auto"/>
          <w:kern w:val="0"/>
          <w:sz w:val="24"/>
        </w:rPr>
        <w:t>签名</w:t>
      </w:r>
      <w:r>
        <w:rPr>
          <w:rFonts w:hint="eastAsia" w:ascii="宋体" w:hAnsi="宋体" w:cs="宋体"/>
          <w:color w:val="auto"/>
          <w:sz w:val="24"/>
          <w:szCs w:val="24"/>
          <w:highlight w:val="none"/>
          <w:lang w:eastAsia="zh-CN"/>
        </w:rPr>
        <w:t>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pPr>
        <w:spacing w:line="31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p>
    <w:p>
      <w:pPr>
        <w:spacing w:line="31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pPr>
        <w:spacing w:line="312"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传真：</w:t>
      </w:r>
      <w:r>
        <w:rPr>
          <w:rFonts w:hint="eastAsia" w:ascii="宋体" w:hAnsi="宋体" w:eastAsia="宋体" w:cs="宋体"/>
          <w:color w:val="auto"/>
          <w:sz w:val="24"/>
          <w:szCs w:val="24"/>
          <w:highlight w:val="none"/>
          <w:u w:val="single"/>
        </w:rPr>
        <w:t xml:space="preserve">               </w:t>
      </w:r>
    </w:p>
    <w:p>
      <w:pPr>
        <w:spacing w:line="312" w:lineRule="auto"/>
        <w:rPr>
          <w:rFonts w:hint="eastAsia" w:ascii="宋体" w:hAnsi="宋体" w:eastAsia="宋体" w:cs="宋体"/>
          <w:color w:val="auto"/>
          <w:sz w:val="24"/>
          <w:szCs w:val="24"/>
          <w:highlight w:val="none"/>
          <w:u w:val="single"/>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8"/>
          <w:szCs w:val="28"/>
          <w:highlight w:val="none"/>
        </w:rPr>
      </w:pPr>
      <w:bookmarkStart w:id="328" w:name="_Toc17933"/>
      <w:r>
        <w:rPr>
          <w:rFonts w:hint="eastAsia" w:ascii="宋体" w:hAnsi="宋体" w:eastAsia="宋体" w:cs="宋体"/>
          <w:color w:val="auto"/>
          <w:sz w:val="28"/>
          <w:szCs w:val="28"/>
          <w:highlight w:val="none"/>
        </w:rPr>
        <w:br w:type="page"/>
      </w:r>
      <w:bookmarkStart w:id="329" w:name="_Toc18362"/>
      <w:bookmarkStart w:id="330" w:name="_Toc27767"/>
      <w:bookmarkStart w:id="331" w:name="_Toc27055"/>
      <w:bookmarkStart w:id="332" w:name="_Toc26458"/>
      <w:bookmarkStart w:id="333" w:name="_Toc28980"/>
      <w:bookmarkStart w:id="334" w:name="_Toc1203"/>
    </w:p>
    <w:p>
      <w:pPr>
        <w:pStyle w:val="17"/>
        <w:spacing w:line="360" w:lineRule="auto"/>
        <w:jc w:val="center"/>
        <w:rPr>
          <w:rFonts w:hint="eastAsia" w:ascii="宋体" w:hAnsi="宋体" w:eastAsia="宋体" w:cs="宋体"/>
          <w:b/>
          <w:bCs/>
          <w:color w:val="auto"/>
          <w:kern w:val="2"/>
          <w:sz w:val="40"/>
          <w:szCs w:val="40"/>
          <w:highlight w:val="none"/>
          <w:lang w:val="en-US" w:eastAsia="zh-CN" w:bidi="ar-SA"/>
        </w:rPr>
      </w:pPr>
      <w:bookmarkStart w:id="335" w:name="_Toc445993929"/>
      <w:bookmarkStart w:id="336" w:name="_Toc303001537"/>
      <w:bookmarkStart w:id="337" w:name="_Toc22683"/>
      <w:r>
        <w:rPr>
          <w:rFonts w:hint="eastAsia" w:hAnsi="宋体" w:cs="宋体"/>
          <w:b/>
          <w:bCs/>
          <w:color w:val="auto"/>
          <w:kern w:val="2"/>
          <w:sz w:val="40"/>
          <w:szCs w:val="40"/>
          <w:highlight w:val="none"/>
          <w:lang w:val="en-US" w:eastAsia="zh-CN" w:bidi="ar-SA"/>
        </w:rPr>
        <w:t>三、</w:t>
      </w:r>
      <w:r>
        <w:rPr>
          <w:rFonts w:hint="eastAsia" w:ascii="宋体" w:hAnsi="宋体" w:eastAsia="宋体" w:cs="宋体"/>
          <w:b/>
          <w:bCs/>
          <w:color w:val="auto"/>
          <w:kern w:val="2"/>
          <w:sz w:val="40"/>
          <w:szCs w:val="40"/>
          <w:highlight w:val="none"/>
          <w:lang w:val="en-US" w:eastAsia="zh-CN" w:bidi="ar-SA"/>
        </w:rPr>
        <w:t>投标人信息表</w:t>
      </w:r>
      <w:bookmarkEnd w:id="335"/>
      <w:bookmarkEnd w:id="336"/>
      <w:bookmarkEnd w:id="337"/>
    </w:p>
    <w:tbl>
      <w:tblPr>
        <w:tblStyle w:val="31"/>
        <w:tblpPr w:leftFromText="180" w:rightFromText="180" w:vertAnchor="text" w:horzAnchor="page" w:tblpX="1215" w:tblpY="407"/>
        <w:tblOverlap w:val="never"/>
        <w:tblW w:w="9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5"/>
        <w:gridCol w:w="1950"/>
        <w:gridCol w:w="2895"/>
        <w:gridCol w:w="2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color w:val="auto"/>
                <w:kern w:val="0"/>
                <w:sz w:val="24"/>
                <w:szCs w:val="24"/>
              </w:rPr>
            </w:pPr>
            <w:r>
              <w:rPr>
                <w:rFonts w:hint="eastAsia"/>
                <w:color w:val="auto"/>
                <w:kern w:val="0"/>
                <w:sz w:val="24"/>
                <w:szCs w:val="24"/>
              </w:rPr>
              <w:t>投标人名称：</w:t>
            </w:r>
          </w:p>
        </w:tc>
        <w:tc>
          <w:tcPr>
            <w:tcW w:w="7065" w:type="dxa"/>
            <w:gridSpan w:val="3"/>
            <w:tcBorders>
              <w:top w:val="single" w:color="auto" w:sz="4" w:space="0"/>
              <w:left w:val="single" w:color="auto" w:sz="4" w:space="0"/>
              <w:bottom w:val="single" w:color="auto" w:sz="4" w:space="0"/>
              <w:right w:val="single" w:color="auto" w:sz="4" w:space="0"/>
            </w:tcBorders>
            <w:noWrap/>
          </w:tcPr>
          <w:p>
            <w:pPr>
              <w:pStyle w:val="17"/>
              <w:spacing w:line="480" w:lineRule="auto"/>
              <w:jc w:val="center"/>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color w:val="auto"/>
                <w:kern w:val="0"/>
                <w:sz w:val="24"/>
                <w:szCs w:val="24"/>
              </w:rPr>
            </w:pPr>
            <w:r>
              <w:rPr>
                <w:rFonts w:hint="eastAsia"/>
                <w:color w:val="auto"/>
                <w:kern w:val="0"/>
                <w:sz w:val="24"/>
                <w:szCs w:val="24"/>
              </w:rPr>
              <w:t>注册号：</w:t>
            </w:r>
          </w:p>
        </w:tc>
        <w:tc>
          <w:tcPr>
            <w:tcW w:w="7065" w:type="dxa"/>
            <w:gridSpan w:val="3"/>
            <w:tcBorders>
              <w:top w:val="single" w:color="auto" w:sz="4" w:space="0"/>
              <w:left w:val="single" w:color="auto" w:sz="4" w:space="0"/>
              <w:bottom w:val="single" w:color="auto" w:sz="4" w:space="0"/>
              <w:right w:val="single" w:color="auto" w:sz="4" w:space="0"/>
            </w:tcBorders>
            <w:noWrap/>
          </w:tcPr>
          <w:p>
            <w:pPr>
              <w:pStyle w:val="17"/>
              <w:spacing w:line="480" w:lineRule="auto"/>
              <w:jc w:val="center"/>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color w:val="auto"/>
                <w:kern w:val="0"/>
                <w:sz w:val="24"/>
                <w:szCs w:val="24"/>
              </w:rPr>
            </w:pPr>
            <w:r>
              <w:rPr>
                <w:rFonts w:hint="eastAsia"/>
                <w:color w:val="auto"/>
                <w:kern w:val="0"/>
                <w:sz w:val="24"/>
                <w:szCs w:val="24"/>
              </w:rPr>
              <w:t>账号：</w:t>
            </w:r>
          </w:p>
        </w:tc>
        <w:tc>
          <w:tcPr>
            <w:tcW w:w="7065" w:type="dxa"/>
            <w:gridSpan w:val="3"/>
            <w:tcBorders>
              <w:top w:val="single" w:color="auto" w:sz="4" w:space="0"/>
              <w:left w:val="single" w:color="auto" w:sz="4" w:space="0"/>
              <w:bottom w:val="single" w:color="auto" w:sz="4" w:space="0"/>
              <w:right w:val="single" w:color="auto" w:sz="4" w:space="0"/>
            </w:tcBorders>
            <w:noWrap/>
          </w:tcPr>
          <w:p>
            <w:pPr>
              <w:pStyle w:val="17"/>
              <w:spacing w:line="480" w:lineRule="auto"/>
              <w:jc w:val="center"/>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color w:val="auto"/>
                <w:kern w:val="0"/>
                <w:sz w:val="24"/>
                <w:szCs w:val="24"/>
              </w:rPr>
            </w:pPr>
            <w:r>
              <w:rPr>
                <w:rFonts w:hint="eastAsia"/>
                <w:color w:val="auto"/>
                <w:kern w:val="0"/>
                <w:sz w:val="24"/>
                <w:szCs w:val="24"/>
              </w:rPr>
              <w:t>开户银行：</w:t>
            </w:r>
          </w:p>
        </w:tc>
        <w:tc>
          <w:tcPr>
            <w:tcW w:w="7065" w:type="dxa"/>
            <w:gridSpan w:val="3"/>
            <w:tcBorders>
              <w:top w:val="single" w:color="auto" w:sz="4" w:space="0"/>
              <w:left w:val="single" w:color="auto" w:sz="4" w:space="0"/>
              <w:bottom w:val="single" w:color="auto" w:sz="4" w:space="0"/>
              <w:right w:val="single" w:color="auto" w:sz="4" w:space="0"/>
            </w:tcBorders>
            <w:noWrap/>
          </w:tcPr>
          <w:p>
            <w:pPr>
              <w:pStyle w:val="17"/>
              <w:spacing w:line="480" w:lineRule="auto"/>
              <w:jc w:val="center"/>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color w:val="auto"/>
                <w:kern w:val="0"/>
                <w:sz w:val="24"/>
                <w:szCs w:val="24"/>
              </w:rPr>
            </w:pPr>
            <w:r>
              <w:rPr>
                <w:rFonts w:hint="eastAsia"/>
                <w:color w:val="auto"/>
                <w:kern w:val="0"/>
                <w:sz w:val="24"/>
                <w:szCs w:val="24"/>
              </w:rPr>
              <w:t>通讯地址：</w:t>
            </w:r>
          </w:p>
        </w:tc>
        <w:tc>
          <w:tcPr>
            <w:tcW w:w="1950" w:type="dxa"/>
            <w:tcBorders>
              <w:top w:val="single" w:color="auto" w:sz="4" w:space="0"/>
              <w:left w:val="single" w:color="auto" w:sz="4" w:space="0"/>
              <w:bottom w:val="single" w:color="auto" w:sz="4" w:space="0"/>
              <w:right w:val="single" w:color="auto" w:sz="4" w:space="0"/>
            </w:tcBorders>
            <w:noWrap/>
          </w:tcPr>
          <w:p>
            <w:pPr>
              <w:pStyle w:val="17"/>
              <w:spacing w:line="480" w:lineRule="auto"/>
              <w:jc w:val="center"/>
              <w:rPr>
                <w:color w:val="auto"/>
                <w:kern w:val="0"/>
                <w:sz w:val="24"/>
                <w:szCs w:val="24"/>
              </w:rPr>
            </w:pPr>
          </w:p>
        </w:tc>
        <w:tc>
          <w:tcPr>
            <w:tcW w:w="289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color w:val="auto"/>
                <w:kern w:val="0"/>
                <w:sz w:val="24"/>
                <w:szCs w:val="24"/>
              </w:rPr>
            </w:pPr>
            <w:r>
              <w:rPr>
                <w:rFonts w:hint="eastAsia"/>
                <w:color w:val="auto"/>
                <w:kern w:val="0"/>
                <w:sz w:val="24"/>
                <w:szCs w:val="24"/>
              </w:rPr>
              <w:t>邮政编码：</w:t>
            </w:r>
          </w:p>
        </w:tc>
        <w:tc>
          <w:tcPr>
            <w:tcW w:w="2220" w:type="dxa"/>
            <w:tcBorders>
              <w:top w:val="single" w:color="auto" w:sz="4" w:space="0"/>
              <w:left w:val="single" w:color="auto" w:sz="4" w:space="0"/>
              <w:bottom w:val="single" w:color="auto" w:sz="4" w:space="0"/>
              <w:right w:val="single" w:color="auto" w:sz="4" w:space="0"/>
            </w:tcBorders>
            <w:noWrap/>
          </w:tcPr>
          <w:p>
            <w:pPr>
              <w:pStyle w:val="17"/>
              <w:spacing w:line="480" w:lineRule="auto"/>
              <w:jc w:val="center"/>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color w:val="auto"/>
                <w:kern w:val="0"/>
                <w:sz w:val="24"/>
                <w:szCs w:val="24"/>
              </w:rPr>
            </w:pPr>
            <w:r>
              <w:rPr>
                <w:rFonts w:hint="eastAsia"/>
                <w:color w:val="auto"/>
                <w:kern w:val="0"/>
                <w:sz w:val="24"/>
                <w:szCs w:val="24"/>
              </w:rPr>
              <w:t>企业电话：</w:t>
            </w:r>
          </w:p>
        </w:tc>
        <w:tc>
          <w:tcPr>
            <w:tcW w:w="1950" w:type="dxa"/>
            <w:tcBorders>
              <w:top w:val="single" w:color="auto" w:sz="4" w:space="0"/>
              <w:left w:val="single" w:color="auto" w:sz="4" w:space="0"/>
              <w:bottom w:val="single" w:color="auto" w:sz="4" w:space="0"/>
              <w:right w:val="single" w:color="auto" w:sz="4" w:space="0"/>
            </w:tcBorders>
            <w:noWrap/>
          </w:tcPr>
          <w:p>
            <w:pPr>
              <w:pStyle w:val="17"/>
              <w:spacing w:line="480" w:lineRule="auto"/>
              <w:jc w:val="center"/>
              <w:rPr>
                <w:color w:val="auto"/>
                <w:kern w:val="0"/>
                <w:sz w:val="24"/>
                <w:szCs w:val="24"/>
              </w:rPr>
            </w:pPr>
          </w:p>
        </w:tc>
        <w:tc>
          <w:tcPr>
            <w:tcW w:w="289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color w:val="auto"/>
                <w:kern w:val="0"/>
                <w:sz w:val="24"/>
                <w:szCs w:val="24"/>
              </w:rPr>
            </w:pPr>
            <w:r>
              <w:rPr>
                <w:rFonts w:hint="eastAsia"/>
                <w:color w:val="auto"/>
                <w:kern w:val="0"/>
                <w:sz w:val="24"/>
                <w:szCs w:val="24"/>
              </w:rPr>
              <w:t>企业网站名称（如有）：</w:t>
            </w:r>
          </w:p>
        </w:tc>
        <w:tc>
          <w:tcPr>
            <w:tcW w:w="2220" w:type="dxa"/>
            <w:tcBorders>
              <w:top w:val="single" w:color="auto" w:sz="4" w:space="0"/>
              <w:left w:val="single" w:color="auto" w:sz="4" w:space="0"/>
              <w:bottom w:val="single" w:color="auto" w:sz="4" w:space="0"/>
              <w:right w:val="single" w:color="auto" w:sz="4" w:space="0"/>
            </w:tcBorders>
            <w:noWrap/>
          </w:tcPr>
          <w:p>
            <w:pPr>
              <w:pStyle w:val="17"/>
              <w:spacing w:line="480" w:lineRule="auto"/>
              <w:jc w:val="center"/>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color w:val="auto"/>
                <w:kern w:val="0"/>
                <w:sz w:val="24"/>
                <w:szCs w:val="24"/>
              </w:rPr>
            </w:pPr>
            <w:r>
              <w:rPr>
                <w:rFonts w:hint="eastAsia"/>
                <w:color w:val="auto"/>
                <w:kern w:val="0"/>
                <w:sz w:val="24"/>
                <w:szCs w:val="24"/>
              </w:rPr>
              <w:t>公司成立日期：</w:t>
            </w:r>
          </w:p>
        </w:tc>
        <w:tc>
          <w:tcPr>
            <w:tcW w:w="1950" w:type="dxa"/>
            <w:tcBorders>
              <w:top w:val="single" w:color="auto" w:sz="4" w:space="0"/>
              <w:left w:val="single" w:color="auto" w:sz="4" w:space="0"/>
              <w:bottom w:val="single" w:color="auto" w:sz="4" w:space="0"/>
              <w:right w:val="single" w:color="auto" w:sz="4" w:space="0"/>
            </w:tcBorders>
            <w:noWrap/>
          </w:tcPr>
          <w:p>
            <w:pPr>
              <w:pStyle w:val="17"/>
              <w:spacing w:line="480" w:lineRule="auto"/>
              <w:jc w:val="center"/>
              <w:rPr>
                <w:color w:val="auto"/>
                <w:kern w:val="0"/>
                <w:sz w:val="24"/>
                <w:szCs w:val="24"/>
              </w:rPr>
            </w:pPr>
          </w:p>
        </w:tc>
        <w:tc>
          <w:tcPr>
            <w:tcW w:w="289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color w:val="auto"/>
                <w:kern w:val="0"/>
                <w:sz w:val="24"/>
                <w:szCs w:val="24"/>
              </w:rPr>
            </w:pPr>
            <w:r>
              <w:rPr>
                <w:rFonts w:hint="eastAsia"/>
                <w:color w:val="auto"/>
                <w:kern w:val="0"/>
                <w:sz w:val="24"/>
                <w:szCs w:val="24"/>
              </w:rPr>
              <w:t>注册资金：</w:t>
            </w:r>
          </w:p>
        </w:tc>
        <w:tc>
          <w:tcPr>
            <w:tcW w:w="2220" w:type="dxa"/>
            <w:tcBorders>
              <w:top w:val="single" w:color="auto" w:sz="4" w:space="0"/>
              <w:left w:val="single" w:color="auto" w:sz="4" w:space="0"/>
              <w:bottom w:val="single" w:color="auto" w:sz="4" w:space="0"/>
              <w:right w:val="single" w:color="auto" w:sz="4" w:space="0"/>
            </w:tcBorders>
            <w:noWrap/>
          </w:tcPr>
          <w:p>
            <w:pPr>
              <w:pStyle w:val="17"/>
              <w:spacing w:line="480" w:lineRule="auto"/>
              <w:jc w:val="center"/>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color w:val="auto"/>
                <w:kern w:val="0"/>
                <w:sz w:val="24"/>
                <w:szCs w:val="24"/>
              </w:rPr>
            </w:pPr>
            <w:r>
              <w:rPr>
                <w:rFonts w:hint="eastAsia"/>
                <w:color w:val="auto"/>
                <w:kern w:val="0"/>
                <w:sz w:val="24"/>
                <w:szCs w:val="24"/>
              </w:rPr>
              <w:t>公司简介：</w:t>
            </w:r>
          </w:p>
        </w:tc>
        <w:tc>
          <w:tcPr>
            <w:tcW w:w="7065" w:type="dxa"/>
            <w:gridSpan w:val="3"/>
            <w:tcBorders>
              <w:top w:val="single" w:color="auto" w:sz="4" w:space="0"/>
              <w:left w:val="single" w:color="auto" w:sz="4" w:space="0"/>
              <w:bottom w:val="single" w:color="auto" w:sz="4" w:space="0"/>
              <w:right w:val="single" w:color="auto" w:sz="4" w:space="0"/>
            </w:tcBorders>
            <w:noWrap/>
          </w:tcPr>
          <w:p>
            <w:pPr>
              <w:pStyle w:val="17"/>
              <w:spacing w:line="480" w:lineRule="auto"/>
              <w:jc w:val="center"/>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color w:val="auto"/>
                <w:kern w:val="0"/>
                <w:sz w:val="24"/>
                <w:szCs w:val="24"/>
              </w:rPr>
            </w:pPr>
            <w:r>
              <w:rPr>
                <w:rFonts w:hint="eastAsia"/>
                <w:color w:val="auto"/>
                <w:kern w:val="0"/>
                <w:sz w:val="24"/>
                <w:szCs w:val="24"/>
              </w:rPr>
              <w:t>经营范围：</w:t>
            </w:r>
          </w:p>
        </w:tc>
        <w:tc>
          <w:tcPr>
            <w:tcW w:w="7065" w:type="dxa"/>
            <w:gridSpan w:val="3"/>
            <w:tcBorders>
              <w:top w:val="single" w:color="auto" w:sz="4" w:space="0"/>
              <w:left w:val="single" w:color="auto" w:sz="4" w:space="0"/>
              <w:bottom w:val="single" w:color="auto" w:sz="4" w:space="0"/>
              <w:right w:val="single" w:color="auto" w:sz="4" w:space="0"/>
            </w:tcBorders>
            <w:noWrap/>
          </w:tcPr>
          <w:p>
            <w:pPr>
              <w:pStyle w:val="17"/>
              <w:spacing w:line="480" w:lineRule="auto"/>
              <w:jc w:val="center"/>
              <w:rPr>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2815" w:type="dxa"/>
            <w:tcBorders>
              <w:top w:val="single" w:color="auto" w:sz="4" w:space="0"/>
              <w:left w:val="single" w:color="auto" w:sz="4" w:space="0"/>
              <w:bottom w:val="single" w:color="auto" w:sz="4" w:space="0"/>
              <w:right w:val="single" w:color="auto" w:sz="4" w:space="0"/>
            </w:tcBorders>
            <w:noWrap/>
            <w:vAlign w:val="center"/>
          </w:tcPr>
          <w:p>
            <w:pPr>
              <w:pStyle w:val="17"/>
              <w:spacing w:line="480" w:lineRule="auto"/>
              <w:jc w:val="center"/>
              <w:rPr>
                <w:color w:val="auto"/>
                <w:kern w:val="0"/>
                <w:sz w:val="24"/>
                <w:szCs w:val="24"/>
              </w:rPr>
            </w:pPr>
            <w:r>
              <w:rPr>
                <w:rFonts w:hint="eastAsia"/>
                <w:color w:val="auto"/>
                <w:kern w:val="0"/>
                <w:sz w:val="24"/>
                <w:szCs w:val="24"/>
              </w:rPr>
              <w:t>公司拥有资质证书：</w:t>
            </w:r>
          </w:p>
        </w:tc>
        <w:tc>
          <w:tcPr>
            <w:tcW w:w="7065" w:type="dxa"/>
            <w:gridSpan w:val="3"/>
            <w:tcBorders>
              <w:top w:val="single" w:color="auto" w:sz="4" w:space="0"/>
              <w:left w:val="single" w:color="auto" w:sz="4" w:space="0"/>
              <w:bottom w:val="single" w:color="auto" w:sz="4" w:space="0"/>
              <w:right w:val="single" w:color="auto" w:sz="4" w:space="0"/>
            </w:tcBorders>
            <w:noWrap/>
          </w:tcPr>
          <w:p>
            <w:pPr>
              <w:pStyle w:val="17"/>
              <w:spacing w:line="480" w:lineRule="auto"/>
              <w:jc w:val="center"/>
              <w:rPr>
                <w:color w:val="auto"/>
                <w:kern w:val="0"/>
                <w:sz w:val="24"/>
                <w:szCs w:val="24"/>
              </w:rPr>
            </w:pPr>
          </w:p>
        </w:tc>
      </w:tr>
    </w:tbl>
    <w:p>
      <w:pPr>
        <w:pStyle w:val="17"/>
        <w:ind w:firstLine="204" w:firstLineChars="85"/>
        <w:rPr>
          <w:color w:val="auto"/>
          <w:kern w:val="0"/>
          <w:sz w:val="24"/>
        </w:rPr>
      </w:pPr>
    </w:p>
    <w:p>
      <w:pPr>
        <w:pStyle w:val="17"/>
        <w:ind w:firstLine="204" w:firstLineChars="85"/>
        <w:rPr>
          <w:color w:val="auto"/>
          <w:kern w:val="0"/>
          <w:sz w:val="24"/>
        </w:rPr>
      </w:pPr>
    </w:p>
    <w:p>
      <w:pPr>
        <w:ind w:firstLine="480" w:firstLineChars="200"/>
        <w:rPr>
          <w:rFonts w:hint="default" w:eastAsia="宋体"/>
          <w:color w:val="auto"/>
          <w:lang w:val="en-US" w:eastAsia="zh-CN"/>
        </w:rPr>
      </w:pPr>
      <w:r>
        <w:rPr>
          <w:rFonts w:hint="eastAsia"/>
          <w:color w:val="auto"/>
          <w:kern w:val="0"/>
          <w:sz w:val="24"/>
          <w:lang w:val="en-US" w:eastAsia="zh-CN"/>
        </w:rPr>
        <w:t>后附：营业执照正副本原件的扫描件、开户许可证原件的扫描件等相关证件并加盖电子公章。</w:t>
      </w:r>
    </w:p>
    <w:p>
      <w:pPr>
        <w:pStyle w:val="17"/>
        <w:ind w:firstLine="204" w:firstLineChars="85"/>
        <w:rPr>
          <w:color w:val="auto"/>
          <w:kern w:val="0"/>
          <w:sz w:val="24"/>
        </w:rPr>
      </w:pPr>
    </w:p>
    <w:p>
      <w:pPr>
        <w:pStyle w:val="17"/>
        <w:ind w:firstLine="204" w:firstLineChars="85"/>
        <w:rPr>
          <w:rFonts w:hAnsi="宋体" w:cs="宋体"/>
          <w:color w:val="auto"/>
          <w:kern w:val="0"/>
          <w:sz w:val="24"/>
          <w:u w:val="single"/>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名称</w:t>
      </w:r>
      <w:r>
        <w:rPr>
          <w:rFonts w:hint="eastAsia" w:hAnsi="宋体" w:cs="宋体"/>
          <w:color w:val="auto"/>
          <w:kern w:val="0"/>
          <w:sz w:val="24"/>
        </w:rPr>
        <w:t>（加盖电子公章）：</w:t>
      </w:r>
    </w:p>
    <w:p>
      <w:pPr>
        <w:pStyle w:val="17"/>
        <w:ind w:firstLine="204" w:firstLineChars="85"/>
        <w:rPr>
          <w:rFonts w:hAnsi="宋体" w:cs="宋体"/>
          <w:color w:val="auto"/>
          <w:kern w:val="0"/>
          <w:sz w:val="24"/>
          <w:u w:val="single"/>
        </w:rPr>
      </w:pPr>
    </w:p>
    <w:p>
      <w:pPr>
        <w:pStyle w:val="17"/>
        <w:ind w:firstLine="240" w:firstLineChars="100"/>
        <w:rPr>
          <w:rFonts w:hAnsi="宋体" w:cs="宋体"/>
          <w:color w:val="auto"/>
          <w:kern w:val="0"/>
          <w:sz w:val="24"/>
          <w:u w:val="single"/>
        </w:rPr>
      </w:pPr>
      <w:r>
        <w:rPr>
          <w:rFonts w:hint="eastAsia" w:hAnsi="宋体" w:cs="宋体"/>
          <w:color w:val="auto"/>
          <w:kern w:val="0"/>
          <w:sz w:val="24"/>
        </w:rPr>
        <w:t>法定代表人或委托代理人（电子签名）：</w:t>
      </w:r>
    </w:p>
    <w:p>
      <w:pPr>
        <w:pStyle w:val="17"/>
        <w:ind w:firstLine="204" w:firstLineChars="85"/>
        <w:rPr>
          <w:rFonts w:hAnsi="宋体" w:cs="宋体"/>
          <w:color w:val="auto"/>
          <w:kern w:val="0"/>
          <w:sz w:val="24"/>
          <w:u w:val="single"/>
        </w:rPr>
      </w:pPr>
    </w:p>
    <w:p>
      <w:pPr>
        <w:ind w:firstLine="240" w:firstLineChars="100"/>
        <w:rPr>
          <w:rFonts w:hint="eastAsia" w:hAnsi="宋体" w:cs="宋体"/>
          <w:b/>
          <w:bCs/>
          <w:color w:val="auto"/>
          <w:kern w:val="2"/>
          <w:sz w:val="40"/>
          <w:szCs w:val="40"/>
          <w:highlight w:val="none"/>
          <w:lang w:val="en-US" w:eastAsia="zh-CN" w:bidi="ar-SA"/>
        </w:rPr>
      </w:pPr>
      <w:r>
        <w:rPr>
          <w:rFonts w:hint="eastAsia" w:hAnsi="宋体" w:cs="宋体"/>
          <w:color w:val="auto"/>
          <w:kern w:val="0"/>
          <w:sz w:val="24"/>
        </w:rPr>
        <w:t>日期：</w:t>
      </w:r>
      <w:r>
        <w:rPr>
          <w:rFonts w:hint="eastAsia" w:hAnsi="宋体" w:cs="宋体"/>
          <w:b/>
          <w:bCs/>
          <w:color w:val="auto"/>
          <w:kern w:val="2"/>
          <w:sz w:val="40"/>
          <w:szCs w:val="40"/>
          <w:highlight w:val="none"/>
          <w:lang w:val="en-US" w:eastAsia="zh-CN" w:bidi="ar-SA"/>
        </w:rPr>
        <w:br w:type="page"/>
      </w:r>
    </w:p>
    <w:p>
      <w:pPr>
        <w:pStyle w:val="17"/>
        <w:spacing w:line="360" w:lineRule="auto"/>
        <w:ind w:firstLine="1606" w:firstLineChars="400"/>
        <w:rPr>
          <w:rFonts w:hint="eastAsia" w:ascii="宋体" w:hAnsi="宋体" w:eastAsia="宋体" w:cs="宋体"/>
          <w:color w:val="auto"/>
          <w:sz w:val="28"/>
          <w:szCs w:val="28"/>
          <w:highlight w:val="none"/>
        </w:rPr>
      </w:pPr>
      <w:r>
        <w:rPr>
          <w:rFonts w:hint="eastAsia" w:hAnsi="宋体" w:cs="宋体"/>
          <w:b/>
          <w:bCs/>
          <w:color w:val="auto"/>
          <w:kern w:val="2"/>
          <w:sz w:val="40"/>
          <w:szCs w:val="40"/>
          <w:highlight w:val="none"/>
          <w:lang w:val="en-US" w:eastAsia="zh-CN" w:bidi="ar-SA"/>
        </w:rPr>
        <w:t>四</w:t>
      </w:r>
      <w:r>
        <w:rPr>
          <w:rFonts w:hint="eastAsia" w:ascii="宋体" w:hAnsi="宋体" w:eastAsia="宋体" w:cs="宋体"/>
          <w:b/>
          <w:bCs/>
          <w:color w:val="auto"/>
          <w:kern w:val="2"/>
          <w:sz w:val="40"/>
          <w:szCs w:val="40"/>
          <w:highlight w:val="none"/>
          <w:lang w:val="en-US" w:eastAsia="zh-CN" w:bidi="ar-SA"/>
        </w:rPr>
        <w:t>、法定代表人身份证明和授权委托书</w:t>
      </w:r>
      <w:bookmarkEnd w:id="328"/>
      <w:bookmarkEnd w:id="329"/>
      <w:bookmarkEnd w:id="330"/>
      <w:bookmarkEnd w:id="331"/>
      <w:bookmarkEnd w:id="332"/>
      <w:bookmarkEnd w:id="333"/>
      <w:bookmarkEnd w:id="334"/>
    </w:p>
    <w:p>
      <w:pPr>
        <w:spacing w:before="319" w:beforeLines="100" w:after="160" w:afterLines="50"/>
        <w:jc w:val="center"/>
        <w:outlineLvl w:val="9"/>
        <w:rPr>
          <w:rFonts w:hint="eastAsia" w:ascii="宋体" w:hAnsi="宋体" w:eastAsia="宋体" w:cs="宋体"/>
          <w:color w:val="auto"/>
          <w:sz w:val="32"/>
          <w:szCs w:val="32"/>
          <w:highlight w:val="none"/>
          <w:lang w:eastAsia="zh-CN"/>
        </w:rPr>
      </w:pPr>
      <w:bookmarkStart w:id="338" w:name="_Toc31519"/>
      <w:bookmarkStart w:id="339" w:name="_Toc22776"/>
      <w:r>
        <w:rPr>
          <w:rFonts w:hint="eastAsia" w:ascii="宋体" w:hAnsi="宋体" w:eastAsia="宋体" w:cs="宋体"/>
          <w:color w:val="auto"/>
          <w:sz w:val="32"/>
          <w:szCs w:val="32"/>
          <w:highlight w:val="none"/>
          <w:lang w:eastAsia="zh-CN"/>
        </w:rPr>
        <w:t>（一）法定代表人身份证明书</w:t>
      </w:r>
      <w:bookmarkEnd w:id="338"/>
      <w:bookmarkEnd w:id="339"/>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        别：</w:t>
      </w:r>
      <w:r>
        <w:rPr>
          <w:rFonts w:hint="eastAsia" w:ascii="宋体" w:hAnsi="宋体" w:eastAsia="宋体" w:cs="宋体"/>
          <w:color w:val="auto"/>
          <w:sz w:val="24"/>
          <w:szCs w:val="24"/>
          <w:highlight w:val="none"/>
          <w:u w:val="single"/>
        </w:rPr>
        <w:t xml:space="preserve">                </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（供应商名称）的法定代表人。</w:t>
      </w:r>
    </w:p>
    <w:p>
      <w:pPr>
        <w:spacing w:line="500" w:lineRule="exact"/>
        <w:ind w:firstLine="729" w:firstLine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pPr>
        <w:spacing w:line="500" w:lineRule="exact"/>
        <w:ind w:firstLine="729" w:firstLineChars="304"/>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附：法定代表人身份证正、反面</w:t>
      </w:r>
      <w:r>
        <w:rPr>
          <w:rFonts w:hint="eastAsia" w:ascii="宋体" w:hAnsi="宋体" w:cs="宋体"/>
          <w:color w:val="auto"/>
          <w:sz w:val="24"/>
          <w:szCs w:val="24"/>
          <w:highlight w:val="none"/>
          <w:lang w:val="en-US" w:eastAsia="zh-CN"/>
        </w:rPr>
        <w:t>扫描件并加盖电子公章。</w:t>
      </w:r>
    </w:p>
    <w:p>
      <w:pPr>
        <w:spacing w:line="500" w:lineRule="exact"/>
        <w:rPr>
          <w:rFonts w:hint="eastAsia" w:ascii="宋体" w:hAnsi="宋体" w:eastAsia="宋体" w:cs="宋体"/>
          <w:color w:val="auto"/>
          <w:sz w:val="24"/>
          <w:szCs w:val="24"/>
          <w:highlight w:val="none"/>
        </w:rPr>
      </w:pPr>
    </w:p>
    <w:p>
      <w:pPr>
        <w:wordWrap w:val="0"/>
        <w:spacing w:line="50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(加盖供应商电子公章)</w:t>
      </w:r>
    </w:p>
    <w:p>
      <w:pPr>
        <w:wordWrap w:val="0"/>
        <w:spacing w:line="50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pPr>
        <w:spacing w:before="319" w:beforeLines="100" w:after="160" w:afterLines="50"/>
        <w:jc w:val="center"/>
        <w:outlineLvl w:val="9"/>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br w:type="page"/>
      </w:r>
      <w:bookmarkStart w:id="340" w:name="_Toc26613"/>
      <w:bookmarkStart w:id="341" w:name="_Toc30285"/>
      <w:r>
        <w:rPr>
          <w:rFonts w:hint="eastAsia" w:ascii="宋体" w:hAnsi="宋体" w:eastAsia="宋体" w:cs="宋体"/>
          <w:color w:val="auto"/>
          <w:sz w:val="32"/>
          <w:szCs w:val="32"/>
          <w:highlight w:val="none"/>
          <w:lang w:eastAsia="zh-CN"/>
        </w:rPr>
        <w:t>（二）授权委托书</w:t>
      </w:r>
      <w:bookmarkEnd w:id="340"/>
      <w:bookmarkEnd w:id="341"/>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（供应商名称）的法定代表人，现委托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（姓名）为我方代理人。代理人根据授权，以我方名义签署、澄清、说明、补正、递交、撤回、修改</w:t>
      </w:r>
      <w:r>
        <w:rPr>
          <w:rFonts w:hint="eastAsia" w:ascii="宋体" w:hAnsi="宋体" w:cs="宋体"/>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eastAsia="zh-CN"/>
        </w:rPr>
        <w:t>项目</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的投标文件、签订合同和处理有关事宜，其法律后果由我方承担。</w:t>
      </w:r>
    </w:p>
    <w:p>
      <w:pPr>
        <w:spacing w:before="160" w:beforeLines="5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spacing w:before="319" w:beforeLines="10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pPr>
        <w:spacing w:before="319" w:beforeLines="100" w:line="360" w:lineRule="auto"/>
        <w:ind w:firstLine="480" w:firstLineChars="200"/>
        <w:rPr>
          <w:rFonts w:hint="eastAsia" w:ascii="宋体" w:hAnsi="宋体" w:eastAsia="宋体" w:cs="宋体"/>
          <w:color w:val="auto"/>
          <w:sz w:val="24"/>
          <w:szCs w:val="24"/>
          <w:highlight w:val="none"/>
        </w:rPr>
      </w:pPr>
    </w:p>
    <w:p>
      <w:pPr>
        <w:spacing w:line="360" w:lineRule="auto"/>
        <w:ind w:firstLine="480" w:firstLineChars="200"/>
        <w:rPr>
          <w:rFonts w:hint="eastAsia" w:ascii="宋体" w:hAnsi="宋体" w:eastAsia="宋体" w:cs="宋体"/>
          <w:color w:val="auto"/>
          <w:sz w:val="24"/>
          <w:szCs w:val="24"/>
          <w:highlight w:val="none"/>
        </w:rPr>
      </w:pPr>
      <w:bookmarkStart w:id="342" w:name="_Hlk494464014"/>
      <w:r>
        <w:rPr>
          <w:rFonts w:hint="eastAsia" w:ascii="宋体" w:hAnsi="宋体" w:eastAsia="宋体" w:cs="宋体"/>
          <w:color w:val="auto"/>
          <w:sz w:val="24"/>
          <w:szCs w:val="24"/>
          <w:highlight w:val="none"/>
        </w:rPr>
        <w:t>附：</w:t>
      </w:r>
      <w:bookmarkEnd w:id="342"/>
      <w:r>
        <w:rPr>
          <w:rFonts w:hint="eastAsia" w:ascii="宋体" w:hAnsi="宋体" w:eastAsia="宋体" w:cs="宋体"/>
          <w:color w:val="auto"/>
          <w:sz w:val="24"/>
          <w:szCs w:val="24"/>
          <w:highlight w:val="none"/>
        </w:rPr>
        <w:t>委托代理人身份证正、反面</w:t>
      </w:r>
      <w:r>
        <w:rPr>
          <w:rFonts w:hint="eastAsia" w:ascii="宋体" w:hAnsi="宋体" w:cs="宋体"/>
          <w:color w:val="auto"/>
          <w:sz w:val="24"/>
          <w:szCs w:val="24"/>
          <w:highlight w:val="none"/>
          <w:lang w:val="en-US" w:eastAsia="zh-CN"/>
        </w:rPr>
        <w:t>扫描件并加盖电子公章。</w:t>
      </w:r>
    </w:p>
    <w:p>
      <w:pPr>
        <w:spacing w:line="360" w:lineRule="auto"/>
        <w:rPr>
          <w:rFonts w:hint="eastAsia" w:ascii="宋体" w:hAnsi="宋体" w:eastAsia="宋体" w:cs="宋体"/>
          <w:color w:val="auto"/>
          <w:sz w:val="24"/>
          <w:szCs w:val="24"/>
          <w:highlight w:val="none"/>
        </w:rPr>
      </w:pPr>
    </w:p>
    <w:p>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(加盖供应商电子公章)</w:t>
      </w:r>
    </w:p>
    <w:p>
      <w:pPr>
        <w:spacing w:line="360" w:lineRule="auto"/>
        <w:ind w:firstLine="4080" w:firstLineChars="1700"/>
        <w:rPr>
          <w:rFonts w:hint="eastAsia" w:ascii="宋体" w:hAnsi="宋体" w:eastAsia="宋体" w:cs="宋体"/>
          <w:color w:val="auto"/>
          <w:sz w:val="24"/>
          <w:szCs w:val="24"/>
          <w:highlight w:val="none"/>
        </w:rPr>
      </w:pPr>
    </w:p>
    <w:p>
      <w:pPr>
        <w:spacing w:line="360" w:lineRule="auto"/>
        <w:jc w:val="righ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电子</w:t>
      </w:r>
      <w:r>
        <w:rPr>
          <w:rFonts w:hint="eastAsia" w:hAnsi="宋体" w:cs="宋体"/>
          <w:color w:val="auto"/>
          <w:kern w:val="0"/>
          <w:sz w:val="24"/>
        </w:rPr>
        <w:t>签名</w:t>
      </w:r>
      <w:r>
        <w:rPr>
          <w:rFonts w:hint="eastAsia" w:ascii="宋体" w:hAnsi="宋体" w:cs="宋体"/>
          <w:color w:val="auto"/>
          <w:sz w:val="24"/>
          <w:szCs w:val="24"/>
          <w:highlight w:val="none"/>
          <w:lang w:eastAsia="zh-CN"/>
        </w:rPr>
        <w:t>签章</w:t>
      </w:r>
      <w:r>
        <w:rPr>
          <w:rFonts w:hint="eastAsia" w:ascii="宋体" w:hAnsi="宋体" w:eastAsia="宋体" w:cs="宋体"/>
          <w:color w:val="auto"/>
          <w:sz w:val="24"/>
          <w:szCs w:val="24"/>
          <w:highlight w:val="none"/>
        </w:rPr>
        <w:t>）</w:t>
      </w:r>
    </w:p>
    <w:p>
      <w:pPr>
        <w:spacing w:line="360" w:lineRule="auto"/>
        <w:ind w:firstLine="4080" w:firstLineChars="1700"/>
        <w:rPr>
          <w:rFonts w:hint="eastAsia" w:ascii="宋体" w:hAnsi="宋体" w:eastAsia="宋体" w:cs="宋体"/>
          <w:color w:val="auto"/>
          <w:sz w:val="24"/>
          <w:szCs w:val="24"/>
          <w:highlight w:val="none"/>
        </w:rPr>
      </w:pPr>
    </w:p>
    <w:p>
      <w:pPr>
        <w:spacing w:line="360" w:lineRule="auto"/>
        <w:ind w:firstLine="4080" w:firstLineChars="17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spacing w:line="360" w:lineRule="auto"/>
        <w:ind w:firstLine="4080" w:firstLineChars="1700"/>
        <w:rPr>
          <w:rFonts w:hint="eastAsia" w:ascii="宋体" w:hAnsi="宋体" w:eastAsia="宋体" w:cs="宋体"/>
          <w:color w:val="auto"/>
          <w:sz w:val="24"/>
          <w:szCs w:val="24"/>
          <w:highlight w:val="none"/>
          <w:u w:val="single"/>
        </w:rPr>
      </w:pPr>
    </w:p>
    <w:p>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（姓名）</w:t>
      </w:r>
      <w:r>
        <w:rPr>
          <w:rFonts w:hint="eastAsia" w:ascii="宋体" w:hAnsi="宋体" w:eastAsia="宋体" w:cs="宋体"/>
          <w:color w:val="auto"/>
          <w:sz w:val="24"/>
          <w:szCs w:val="24"/>
          <w:highlight w:val="none"/>
          <w:u w:val="single"/>
        </w:rPr>
        <w:t xml:space="preserve">  </w:t>
      </w:r>
    </w:p>
    <w:p>
      <w:pPr>
        <w:spacing w:line="360" w:lineRule="auto"/>
        <w:ind w:firstLine="4080" w:firstLineChars="1700"/>
        <w:rPr>
          <w:rFonts w:hint="eastAsia" w:ascii="宋体" w:hAnsi="宋体" w:eastAsia="宋体" w:cs="宋体"/>
          <w:color w:val="auto"/>
          <w:sz w:val="24"/>
          <w:szCs w:val="24"/>
          <w:highlight w:val="none"/>
        </w:rPr>
      </w:pPr>
    </w:p>
    <w:p>
      <w:pPr>
        <w:spacing w:line="360" w:lineRule="auto"/>
        <w:ind w:firstLine="4080" w:firstLineChars="17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pPr>
        <w:spacing w:line="360" w:lineRule="auto"/>
        <w:ind w:firstLine="4080" w:firstLineChars="1700"/>
        <w:rPr>
          <w:rFonts w:hint="eastAsia" w:ascii="宋体" w:hAnsi="宋体" w:eastAsia="宋体" w:cs="宋体"/>
          <w:color w:val="auto"/>
          <w:sz w:val="24"/>
          <w:szCs w:val="24"/>
          <w:highlight w:val="none"/>
        </w:rPr>
      </w:pPr>
    </w:p>
    <w:p>
      <w:pPr>
        <w:spacing w:line="36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pStyle w:val="17"/>
        <w:spacing w:line="360" w:lineRule="auto"/>
        <w:ind w:firstLine="960" w:firstLineChars="400"/>
        <w:jc w:val="center"/>
        <w:rPr>
          <w:rFonts w:hint="eastAsia" w:ascii="宋体" w:hAnsi="宋体" w:eastAsia="宋体" w:cs="宋体"/>
          <w:b/>
          <w:bCs/>
          <w:color w:val="auto"/>
          <w:kern w:val="2"/>
          <w:sz w:val="40"/>
          <w:szCs w:val="40"/>
          <w:highlight w:val="none"/>
          <w:lang w:val="en-US" w:eastAsia="zh-CN" w:bidi="ar-SA"/>
        </w:rPr>
      </w:pPr>
      <w:r>
        <w:rPr>
          <w:rFonts w:hint="eastAsia" w:ascii="宋体" w:hAnsi="宋体" w:eastAsia="宋体" w:cs="宋体"/>
          <w:color w:val="auto"/>
          <w:sz w:val="24"/>
          <w:szCs w:val="24"/>
          <w:highlight w:val="none"/>
        </w:rPr>
        <w:br w:type="page"/>
      </w:r>
      <w:bookmarkStart w:id="343" w:name="_Toc7665"/>
      <w:bookmarkStart w:id="344" w:name="_Toc17658"/>
      <w:bookmarkStart w:id="345" w:name="_Toc22279"/>
      <w:bookmarkStart w:id="346" w:name="_Toc13228"/>
      <w:bookmarkStart w:id="347" w:name="_Toc20976"/>
      <w:bookmarkStart w:id="348" w:name="_Toc5709"/>
      <w:bookmarkStart w:id="349" w:name="_Toc8603"/>
      <w:bookmarkStart w:id="350" w:name="_Toc23604"/>
      <w:r>
        <w:rPr>
          <w:rFonts w:hint="eastAsia" w:hAnsi="宋体" w:cs="宋体"/>
          <w:b/>
          <w:bCs/>
          <w:color w:val="auto"/>
          <w:kern w:val="2"/>
          <w:sz w:val="40"/>
          <w:szCs w:val="40"/>
          <w:highlight w:val="none"/>
          <w:lang w:val="en-US" w:eastAsia="zh-CN" w:bidi="ar-SA"/>
        </w:rPr>
        <w:t>五</w:t>
      </w:r>
      <w:r>
        <w:rPr>
          <w:rFonts w:hint="eastAsia" w:ascii="宋体" w:hAnsi="宋体" w:eastAsia="宋体" w:cs="宋体"/>
          <w:b/>
          <w:bCs/>
          <w:color w:val="auto"/>
          <w:kern w:val="2"/>
          <w:sz w:val="40"/>
          <w:szCs w:val="40"/>
          <w:highlight w:val="none"/>
          <w:lang w:val="en-US" w:eastAsia="zh-CN" w:bidi="ar-SA"/>
        </w:rPr>
        <w:t>、</w:t>
      </w:r>
      <w:bookmarkEnd w:id="343"/>
      <w:r>
        <w:rPr>
          <w:rFonts w:hint="eastAsia" w:ascii="宋体" w:hAnsi="宋体" w:eastAsia="宋体" w:cs="宋体"/>
          <w:b/>
          <w:bCs/>
          <w:color w:val="auto"/>
          <w:kern w:val="2"/>
          <w:sz w:val="40"/>
          <w:szCs w:val="40"/>
          <w:highlight w:val="none"/>
          <w:lang w:val="en-US" w:eastAsia="zh-CN" w:bidi="ar-SA"/>
        </w:rPr>
        <w:t>投标报价明细表</w:t>
      </w:r>
      <w:bookmarkEnd w:id="344"/>
      <w:bookmarkEnd w:id="345"/>
      <w:bookmarkEnd w:id="346"/>
      <w:bookmarkEnd w:id="347"/>
      <w:bookmarkEnd w:id="348"/>
      <w:bookmarkEnd w:id="349"/>
    </w:p>
    <w:tbl>
      <w:tblPr>
        <w:tblStyle w:val="31"/>
        <w:tblW w:w="93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01"/>
        <w:gridCol w:w="1816"/>
        <w:gridCol w:w="861"/>
        <w:gridCol w:w="861"/>
        <w:gridCol w:w="861"/>
        <w:gridCol w:w="1205"/>
        <w:gridCol w:w="1410"/>
        <w:gridCol w:w="14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2717" w:type="dxa"/>
            <w:gridSpan w:val="2"/>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项目名称</w:t>
            </w:r>
          </w:p>
        </w:tc>
        <w:tc>
          <w:tcPr>
            <w:tcW w:w="6602" w:type="dxa"/>
            <w:gridSpan w:val="6"/>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曲靖市消防救援支队2024年度支队集中采购器材装备项目（     标包）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901"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816"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产品名称</w:t>
            </w:r>
          </w:p>
        </w:tc>
        <w:tc>
          <w:tcPr>
            <w:tcW w:w="861"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861"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投标品牌</w:t>
            </w:r>
          </w:p>
        </w:tc>
        <w:tc>
          <w:tcPr>
            <w:tcW w:w="861"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规格型号</w:t>
            </w:r>
          </w:p>
        </w:tc>
        <w:tc>
          <w:tcPr>
            <w:tcW w:w="1205"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单价（元）</w:t>
            </w:r>
          </w:p>
        </w:tc>
        <w:tc>
          <w:tcPr>
            <w:tcW w:w="1410"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合计（元）</w:t>
            </w:r>
          </w:p>
        </w:tc>
        <w:tc>
          <w:tcPr>
            <w:tcW w:w="1404" w:type="dxa"/>
            <w:tcBorders>
              <w:top w:val="single" w:color="000000" w:sz="8"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jc w:val="center"/>
        </w:trPr>
        <w:tc>
          <w:tcPr>
            <w:tcW w:w="9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8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12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4" w:hRule="atLeast"/>
          <w:jc w:val="center"/>
        </w:trPr>
        <w:tc>
          <w:tcPr>
            <w:tcW w:w="9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8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12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4" w:hRule="atLeast"/>
          <w:jc w:val="center"/>
        </w:trPr>
        <w:tc>
          <w:tcPr>
            <w:tcW w:w="9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8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12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4" w:hRule="atLeast"/>
          <w:jc w:val="center"/>
        </w:trPr>
        <w:tc>
          <w:tcPr>
            <w:tcW w:w="9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8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12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4" w:hRule="atLeast"/>
          <w:jc w:val="center"/>
        </w:trPr>
        <w:tc>
          <w:tcPr>
            <w:tcW w:w="90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81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8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left"/>
              <w:textAlignment w:val="center"/>
              <w:rPr>
                <w:rFonts w:hint="eastAsia" w:ascii="宋体" w:hAnsi="宋体" w:eastAsia="宋体" w:cs="宋体"/>
                <w:i w:val="0"/>
                <w:iCs w:val="0"/>
                <w:color w:val="auto"/>
                <w:sz w:val="24"/>
                <w:szCs w:val="24"/>
                <w:highlight w:val="none"/>
                <w:u w:val="none"/>
              </w:rPr>
            </w:pPr>
          </w:p>
        </w:tc>
        <w:tc>
          <w:tcPr>
            <w:tcW w:w="120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1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c>
          <w:tcPr>
            <w:tcW w:w="14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4" w:hRule="atLeast"/>
          <w:jc w:val="center"/>
        </w:trPr>
        <w:tc>
          <w:tcPr>
            <w:tcW w:w="2717"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合计投标总报价（元）</w:t>
            </w:r>
          </w:p>
        </w:tc>
        <w:tc>
          <w:tcPr>
            <w:tcW w:w="6602" w:type="dxa"/>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line="360" w:lineRule="auto"/>
              <w:jc w:val="center"/>
              <w:textAlignment w:val="center"/>
              <w:rPr>
                <w:rFonts w:hint="eastAsia" w:ascii="宋体" w:hAnsi="宋体" w:eastAsia="宋体" w:cs="宋体"/>
                <w:i w:val="0"/>
                <w:iCs w:val="0"/>
                <w:color w:val="auto"/>
                <w:sz w:val="24"/>
                <w:szCs w:val="24"/>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8" w:hRule="atLeast"/>
          <w:jc w:val="center"/>
        </w:trPr>
        <w:tc>
          <w:tcPr>
            <w:tcW w:w="9319" w:type="dxa"/>
            <w:gridSpan w:val="8"/>
            <w:tcBorders>
              <w:top w:val="single" w:color="000000" w:sz="4" w:space="0"/>
              <w:left w:val="single" w:color="000000" w:sz="4" w:space="0"/>
              <w:bottom w:val="single" w:color="000000" w:sz="4" w:space="0"/>
              <w:right w:val="single" w:color="000000" w:sz="4" w:space="0"/>
            </w:tcBorders>
            <w:vAlign w:val="center"/>
          </w:tcPr>
          <w:p>
            <w:pPr>
              <w:pStyle w:val="17"/>
              <w:keepNext w:val="0"/>
              <w:keepLines w:val="0"/>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sz w:val="24"/>
                <w:szCs w:val="24"/>
                <w:highlight w:val="none"/>
              </w:rPr>
              <w:t>（</w:t>
            </w:r>
            <w:r>
              <w:rPr>
                <w:rFonts w:hint="eastAsia" w:hAnsi="宋体" w:cs="宋体"/>
                <w:color w:val="auto"/>
                <w:sz w:val="24"/>
                <w:szCs w:val="24"/>
                <w:highlight w:val="none"/>
                <w:lang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p>
          <w:p>
            <w:pPr>
              <w:pStyle w:val="17"/>
              <w:keepNext w:val="0"/>
              <w:keepLines w:val="0"/>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color w:val="auto"/>
                <w:kern w:val="0"/>
                <w:sz w:val="24"/>
                <w:szCs w:val="24"/>
                <w:highlight w:val="none"/>
                <w:u w:val="single"/>
                <w:lang w:val="en-US" w:eastAsia="zh-CN"/>
              </w:rPr>
            </w:pPr>
            <w:r>
              <w:rPr>
                <w:rFonts w:hint="eastAsia" w:ascii="宋体" w:hAnsi="宋体" w:eastAsia="宋体" w:cs="宋体"/>
                <w:color w:val="auto"/>
                <w:kern w:val="0"/>
                <w:sz w:val="24"/>
                <w:szCs w:val="24"/>
                <w:highlight w:val="none"/>
                <w:lang w:val="en-US" w:eastAsia="zh-CN"/>
              </w:rPr>
              <w:t>供应商名称(加盖供应商电子公章)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p>
          <w:p>
            <w:pPr>
              <w:keepNext w:val="0"/>
              <w:keepLines w:val="0"/>
              <w:widowControl/>
              <w:suppressLineNumbers w:val="0"/>
              <w:spacing w:line="360" w:lineRule="auto"/>
              <w:ind w:firstLine="960" w:firstLineChars="400"/>
              <w:jc w:val="both"/>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日期：</w:t>
            </w:r>
            <w:r>
              <w:rPr>
                <w:rFonts w:hint="eastAsia" w:ascii="宋体" w:hAnsi="宋体" w:eastAsia="宋体" w:cs="宋体"/>
                <w:bCs/>
                <w:color w:val="auto"/>
                <w:kern w:val="0"/>
                <w:sz w:val="24"/>
                <w:szCs w:val="24"/>
                <w:highlight w:val="none"/>
                <w:u w:val="single"/>
                <w:lang w:val="en-US" w:eastAsia="zh-CN"/>
              </w:rPr>
              <w:t xml:space="preserve">        </w:t>
            </w:r>
            <w:r>
              <w:rPr>
                <w:rFonts w:hint="eastAsia" w:ascii="宋体" w:hAnsi="宋体" w:eastAsia="宋体" w:cs="宋体"/>
                <w:bCs/>
                <w:color w:val="auto"/>
                <w:kern w:val="0"/>
                <w:sz w:val="24"/>
                <w:szCs w:val="24"/>
                <w:highlight w:val="none"/>
                <w:lang w:val="en-US" w:eastAsia="zh-CN"/>
              </w:rPr>
              <w:t>年</w:t>
            </w:r>
            <w:r>
              <w:rPr>
                <w:rFonts w:hint="eastAsia" w:ascii="宋体" w:hAnsi="宋体" w:eastAsia="宋体" w:cs="宋体"/>
                <w:bCs/>
                <w:color w:val="auto"/>
                <w:kern w:val="0"/>
                <w:sz w:val="24"/>
                <w:szCs w:val="24"/>
                <w:highlight w:val="none"/>
                <w:u w:val="single"/>
                <w:lang w:val="en-US" w:eastAsia="zh-CN"/>
              </w:rPr>
              <w:t xml:space="preserve">     </w:t>
            </w:r>
            <w:r>
              <w:rPr>
                <w:rFonts w:hint="eastAsia" w:ascii="宋体" w:hAnsi="宋体" w:eastAsia="宋体" w:cs="宋体"/>
                <w:bCs/>
                <w:color w:val="auto"/>
                <w:kern w:val="0"/>
                <w:sz w:val="24"/>
                <w:szCs w:val="24"/>
                <w:highlight w:val="none"/>
                <w:lang w:val="en-US" w:eastAsia="zh-CN"/>
              </w:rPr>
              <w:t>月</w:t>
            </w:r>
            <w:r>
              <w:rPr>
                <w:rFonts w:hint="eastAsia" w:ascii="宋体" w:hAnsi="宋体" w:eastAsia="宋体" w:cs="宋体"/>
                <w:bCs/>
                <w:color w:val="auto"/>
                <w:kern w:val="0"/>
                <w:sz w:val="24"/>
                <w:szCs w:val="24"/>
                <w:highlight w:val="none"/>
                <w:u w:val="single"/>
                <w:lang w:val="en-US" w:eastAsia="zh-CN"/>
              </w:rPr>
              <w:t xml:space="preserve">     </w:t>
            </w:r>
            <w:r>
              <w:rPr>
                <w:rFonts w:hint="eastAsia" w:ascii="宋体" w:hAnsi="宋体" w:eastAsia="宋体" w:cs="宋体"/>
                <w:bCs/>
                <w:color w:val="auto"/>
                <w:kern w:val="0"/>
                <w:sz w:val="24"/>
                <w:szCs w:val="24"/>
                <w:highlight w:val="none"/>
                <w:lang w:val="en-US" w:eastAsia="zh-CN"/>
              </w:rPr>
              <w:t>日</w:t>
            </w:r>
          </w:p>
        </w:tc>
      </w:tr>
    </w:tbl>
    <w:p>
      <w:pPr>
        <w:pStyle w:val="17"/>
        <w:spacing w:line="360" w:lineRule="auto"/>
        <w:rPr>
          <w:rFonts w:hint="eastAsia" w:ascii="宋体" w:hAnsi="宋体" w:eastAsia="宋体" w:cs="宋体"/>
          <w:bCs/>
          <w:color w:val="auto"/>
          <w:kern w:val="0"/>
          <w:sz w:val="24"/>
          <w:szCs w:val="24"/>
          <w:highlight w:val="none"/>
          <w:lang w:eastAsia="zh-CN"/>
        </w:rPr>
      </w:pPr>
      <w:r>
        <w:rPr>
          <w:rFonts w:hint="eastAsia" w:ascii="宋体" w:hAnsi="宋体" w:eastAsia="宋体" w:cs="宋体"/>
          <w:color w:val="auto"/>
          <w:kern w:val="0"/>
          <w:sz w:val="24"/>
          <w:szCs w:val="24"/>
          <w:highlight w:val="none"/>
        </w:rPr>
        <w:t>注：本表为投标报价的费用组成，本表中“</w:t>
      </w:r>
      <w:r>
        <w:rPr>
          <w:rFonts w:hint="eastAsia" w:ascii="宋体" w:hAnsi="宋体" w:eastAsia="宋体" w:cs="宋体"/>
          <w:color w:val="auto"/>
          <w:kern w:val="0"/>
          <w:sz w:val="24"/>
          <w:szCs w:val="24"/>
          <w:highlight w:val="none"/>
          <w:lang w:val="en-US" w:eastAsia="zh-CN"/>
        </w:rPr>
        <w:t>合计投标总价</w:t>
      </w:r>
      <w:r>
        <w:rPr>
          <w:rFonts w:hint="eastAsia" w:ascii="宋体" w:hAnsi="宋体" w:eastAsia="宋体" w:cs="宋体"/>
          <w:color w:val="auto"/>
          <w:kern w:val="0"/>
          <w:sz w:val="24"/>
          <w:szCs w:val="24"/>
          <w:highlight w:val="none"/>
        </w:rPr>
        <w:t>（元）”的金额与投标函</w:t>
      </w:r>
      <w:r>
        <w:rPr>
          <w:rFonts w:hint="eastAsia" w:ascii="宋体" w:hAnsi="宋体" w:eastAsia="宋体" w:cs="宋体"/>
          <w:color w:val="auto"/>
          <w:sz w:val="24"/>
          <w:szCs w:val="24"/>
          <w:highlight w:val="none"/>
        </w:rPr>
        <w:t>中的“投标总报价”</w:t>
      </w:r>
      <w:r>
        <w:rPr>
          <w:rFonts w:hint="eastAsia" w:ascii="宋体" w:hAnsi="宋体" w:eastAsia="宋体" w:cs="宋体"/>
          <w:color w:val="auto"/>
          <w:sz w:val="24"/>
          <w:szCs w:val="24"/>
          <w:highlight w:val="none"/>
          <w:lang w:val="en-US" w:eastAsia="zh-CN"/>
        </w:rPr>
        <w:t>和投标报价一览表</w:t>
      </w:r>
      <w:r>
        <w:rPr>
          <w:rFonts w:hint="eastAsia" w:ascii="宋体" w:hAnsi="宋体" w:eastAsia="宋体" w:cs="宋体"/>
          <w:color w:val="auto"/>
          <w:sz w:val="24"/>
          <w:szCs w:val="24"/>
          <w:highlight w:val="none"/>
        </w:rPr>
        <w:t>中的“投标总报价”一致。</w:t>
      </w:r>
      <w:r>
        <w:rPr>
          <w:rFonts w:hint="eastAsia" w:ascii="宋体" w:hAnsi="宋体" w:eastAsia="宋体" w:cs="宋体"/>
          <w:bCs/>
          <w:color w:val="auto"/>
          <w:kern w:val="0"/>
          <w:sz w:val="24"/>
          <w:szCs w:val="24"/>
          <w:highlight w:val="none"/>
        </w:rPr>
        <w:t>表格可扩展、可延伸、可根据需要自行调整，但投标报价必须包含采购需求中的内</w:t>
      </w:r>
      <w:r>
        <w:rPr>
          <w:rFonts w:hint="eastAsia" w:ascii="宋体" w:hAnsi="宋体" w:eastAsia="宋体" w:cs="宋体"/>
          <w:bCs/>
          <w:color w:val="auto"/>
          <w:kern w:val="0"/>
          <w:sz w:val="24"/>
          <w:szCs w:val="24"/>
          <w:highlight w:val="none"/>
          <w:lang w:eastAsia="zh-CN"/>
        </w:rPr>
        <w:t>容逐一报价，</w:t>
      </w:r>
      <w:r>
        <w:rPr>
          <w:rFonts w:hint="eastAsia" w:ascii="宋体" w:hAnsi="宋体" w:eastAsia="宋体" w:cs="宋体"/>
          <w:bCs/>
          <w:color w:val="auto"/>
          <w:kern w:val="0"/>
          <w:sz w:val="24"/>
          <w:szCs w:val="24"/>
          <w:highlight w:val="none"/>
          <w:lang w:val="en-US" w:eastAsia="zh-CN"/>
        </w:rPr>
        <w:t>缺项漏项的</w:t>
      </w:r>
      <w:r>
        <w:rPr>
          <w:rFonts w:hint="eastAsia" w:ascii="宋体" w:hAnsi="宋体" w:eastAsia="宋体" w:cs="宋体"/>
          <w:bCs/>
          <w:color w:val="auto"/>
          <w:kern w:val="0"/>
          <w:sz w:val="24"/>
          <w:szCs w:val="24"/>
          <w:highlight w:val="none"/>
          <w:lang w:eastAsia="zh-CN"/>
        </w:rPr>
        <w:t>按废标处理。</w:t>
      </w:r>
    </w:p>
    <w:p>
      <w:pPr>
        <w:spacing w:before="319" w:beforeLines="100" w:after="319" w:afterLines="100" w:line="312" w:lineRule="auto"/>
        <w:jc w:val="center"/>
        <w:outlineLvl w:val="1"/>
        <w:rPr>
          <w:rFonts w:hint="eastAsia" w:ascii="宋体" w:hAnsi="宋体" w:eastAsia="宋体" w:cs="宋体"/>
          <w:b/>
          <w:bCs/>
          <w:color w:val="auto"/>
          <w:kern w:val="2"/>
          <w:sz w:val="40"/>
          <w:szCs w:val="40"/>
          <w:highlight w:val="none"/>
          <w:lang w:val="en-US" w:eastAsia="zh-CN" w:bidi="ar-SA"/>
        </w:rPr>
      </w:pPr>
      <w:bookmarkStart w:id="351" w:name="_Toc24201"/>
      <w:bookmarkStart w:id="352" w:name="_Toc30397"/>
      <w:bookmarkStart w:id="353" w:name="_Toc29562"/>
      <w:bookmarkStart w:id="354" w:name="_Toc14354"/>
      <w:bookmarkStart w:id="355" w:name="_Toc9273"/>
      <w:bookmarkStart w:id="356" w:name="_Toc1509"/>
      <w:bookmarkStart w:id="357" w:name="_Toc27981"/>
      <w:r>
        <w:rPr>
          <w:rFonts w:hint="eastAsia" w:ascii="宋体" w:hAnsi="宋体" w:cs="宋体"/>
          <w:b/>
          <w:bCs/>
          <w:color w:val="auto"/>
          <w:kern w:val="2"/>
          <w:sz w:val="40"/>
          <w:szCs w:val="40"/>
          <w:highlight w:val="none"/>
          <w:lang w:val="en-US" w:eastAsia="zh-CN" w:bidi="ar-SA"/>
        </w:rPr>
        <w:br w:type="page"/>
      </w:r>
      <w:bookmarkStart w:id="358" w:name="_Toc23650"/>
      <w:r>
        <w:rPr>
          <w:rFonts w:hint="eastAsia" w:ascii="宋体" w:hAnsi="宋体" w:cs="宋体"/>
          <w:b/>
          <w:bCs/>
          <w:color w:val="auto"/>
          <w:kern w:val="2"/>
          <w:sz w:val="40"/>
          <w:szCs w:val="40"/>
          <w:highlight w:val="none"/>
          <w:lang w:val="en-US" w:eastAsia="zh-CN" w:bidi="ar-SA"/>
        </w:rPr>
        <w:t>六</w:t>
      </w:r>
      <w:r>
        <w:rPr>
          <w:rFonts w:hint="eastAsia" w:ascii="宋体" w:hAnsi="宋体" w:eastAsia="宋体" w:cs="宋体"/>
          <w:b/>
          <w:bCs/>
          <w:color w:val="auto"/>
          <w:kern w:val="2"/>
          <w:sz w:val="40"/>
          <w:szCs w:val="40"/>
          <w:highlight w:val="none"/>
          <w:lang w:val="en-US" w:eastAsia="zh-CN" w:bidi="ar-SA"/>
        </w:rPr>
        <w:t>、</w:t>
      </w:r>
      <w:bookmarkEnd w:id="350"/>
      <w:bookmarkEnd w:id="351"/>
      <w:bookmarkEnd w:id="352"/>
      <w:bookmarkEnd w:id="353"/>
      <w:bookmarkEnd w:id="354"/>
      <w:bookmarkEnd w:id="355"/>
      <w:bookmarkEnd w:id="356"/>
      <w:bookmarkEnd w:id="357"/>
      <w:r>
        <w:rPr>
          <w:rFonts w:hint="eastAsia" w:ascii="宋体" w:hAnsi="宋体" w:cs="宋体"/>
          <w:b/>
          <w:bCs/>
          <w:color w:val="auto"/>
          <w:kern w:val="2"/>
          <w:sz w:val="40"/>
          <w:szCs w:val="40"/>
          <w:highlight w:val="none"/>
          <w:lang w:val="en-US" w:eastAsia="zh-CN" w:bidi="ar-SA"/>
        </w:rPr>
        <w:t>技术商务部分</w:t>
      </w:r>
      <w:bookmarkEnd w:id="358"/>
    </w:p>
    <w:p>
      <w:pPr>
        <w:keepNext w:val="0"/>
        <w:keepLines w:val="0"/>
        <w:pageBreakBefore w:val="0"/>
        <w:widowControl w:val="0"/>
        <w:numPr>
          <w:ilvl w:val="0"/>
          <w:numId w:val="0"/>
        </w:numPr>
        <w:kinsoku/>
        <w:wordWrap/>
        <w:overflowPunct/>
        <w:topLinePunct w:val="0"/>
        <w:autoSpaceDE/>
        <w:autoSpaceDN/>
        <w:bidi w:val="0"/>
        <w:adjustRightInd/>
        <w:snapToGrid/>
        <w:spacing w:before="160" w:beforeLines="50" w:after="160" w:afterLines="50" w:line="360" w:lineRule="auto"/>
        <w:jc w:val="center"/>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lang w:val="en-US" w:eastAsia="zh-CN"/>
        </w:rPr>
        <w:t>一</w:t>
      </w:r>
      <w:r>
        <w:rPr>
          <w:rFonts w:hint="eastAsia" w:ascii="宋体" w:hAnsi="宋体" w:eastAsia="宋体" w:cs="宋体"/>
          <w:color w:val="auto"/>
          <w:sz w:val="32"/>
          <w:szCs w:val="32"/>
          <w:highlight w:val="none"/>
          <w:lang w:eastAsia="zh-CN"/>
        </w:rPr>
        <w:t>）技术参数的响应</w:t>
      </w:r>
    </w:p>
    <w:p>
      <w:pPr>
        <w:pStyle w:val="17"/>
        <w:jc w:val="center"/>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rPr>
        <w:t>1、技术偏离表</w:t>
      </w:r>
    </w:p>
    <w:p>
      <w:pPr>
        <w:pStyle w:val="17"/>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项目名称：</w:t>
      </w:r>
      <w:r>
        <w:rPr>
          <w:rFonts w:hint="eastAsia" w:ascii="宋体" w:hAnsi="宋体" w:eastAsia="宋体" w:cs="宋体"/>
          <w:bCs/>
          <w:color w:val="auto"/>
          <w:kern w:val="0"/>
          <w:sz w:val="24"/>
          <w:szCs w:val="24"/>
          <w:highlight w:val="none"/>
          <w:u w:val="single"/>
        </w:rPr>
        <w:t xml:space="preserve"> 曲靖市消防救援支队2024年度支队集中采购器材装备项目（     标包）</w:t>
      </w:r>
    </w:p>
    <w:p>
      <w:pPr>
        <w:pStyle w:val="17"/>
        <w:spacing w:line="360" w:lineRule="auto"/>
        <w:rPr>
          <w:rFonts w:hint="eastAsia" w:ascii="宋体" w:hAnsi="宋体" w:eastAsia="宋体" w:cs="宋体"/>
          <w:bCs/>
          <w:color w:val="auto"/>
          <w:kern w:val="0"/>
          <w:sz w:val="24"/>
          <w:szCs w:val="24"/>
          <w:highlight w:val="none"/>
          <w:u w:val="single"/>
        </w:rPr>
      </w:pPr>
      <w:r>
        <w:rPr>
          <w:rFonts w:hint="eastAsia" w:ascii="宋体" w:hAnsi="宋体" w:eastAsia="宋体" w:cs="宋体"/>
          <w:bCs/>
          <w:color w:val="auto"/>
          <w:kern w:val="0"/>
          <w:sz w:val="24"/>
          <w:szCs w:val="24"/>
          <w:highlight w:val="none"/>
        </w:rPr>
        <w:t>招标编号：</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u w:val="single"/>
          <w:lang w:val="en-US" w:eastAsia="zh-CN"/>
        </w:rPr>
        <w:t xml:space="preserve">                     </w:t>
      </w:r>
      <w:r>
        <w:rPr>
          <w:rFonts w:hint="eastAsia" w:ascii="宋体" w:hAnsi="宋体" w:eastAsia="宋体" w:cs="宋体"/>
          <w:bCs/>
          <w:color w:val="auto"/>
          <w:kern w:val="0"/>
          <w:sz w:val="24"/>
          <w:szCs w:val="24"/>
          <w:highlight w:val="none"/>
          <w:u w:val="single"/>
        </w:rPr>
        <w:t xml:space="preserve">       </w:t>
      </w:r>
    </w:p>
    <w:tbl>
      <w:tblPr>
        <w:tblStyle w:val="31"/>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415"/>
        <w:gridCol w:w="2260"/>
        <w:gridCol w:w="2486"/>
        <w:gridCol w:w="1313"/>
        <w:gridCol w:w="1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3" w:hRule="atLeast"/>
          <w:jc w:val="center"/>
        </w:trPr>
        <w:tc>
          <w:tcPr>
            <w:tcW w:w="671" w:type="dxa"/>
            <w:noWrap w:val="0"/>
            <w:vAlign w:val="center"/>
          </w:tcPr>
          <w:p>
            <w:pPr>
              <w:spacing w:line="360" w:lineRule="auto"/>
              <w:jc w:val="center"/>
              <w:rPr>
                <w:rFonts w:ascii="宋体"/>
                <w:b/>
                <w:color w:val="auto"/>
                <w:kern w:val="0"/>
                <w:sz w:val="24"/>
                <w:szCs w:val="24"/>
                <w:highlight w:val="none"/>
              </w:rPr>
            </w:pPr>
            <w:r>
              <w:rPr>
                <w:rFonts w:hint="eastAsia" w:ascii="宋体"/>
                <w:b/>
                <w:color w:val="auto"/>
                <w:kern w:val="0"/>
                <w:sz w:val="24"/>
                <w:szCs w:val="24"/>
                <w:highlight w:val="none"/>
              </w:rPr>
              <w:t>序号</w:t>
            </w:r>
          </w:p>
        </w:tc>
        <w:tc>
          <w:tcPr>
            <w:tcW w:w="1415" w:type="dxa"/>
            <w:noWrap w:val="0"/>
            <w:vAlign w:val="center"/>
          </w:tcPr>
          <w:p>
            <w:pPr>
              <w:spacing w:line="360" w:lineRule="auto"/>
              <w:jc w:val="center"/>
              <w:rPr>
                <w:rFonts w:ascii="宋体"/>
                <w:b/>
                <w:color w:val="auto"/>
                <w:kern w:val="0"/>
                <w:sz w:val="24"/>
                <w:szCs w:val="24"/>
                <w:highlight w:val="none"/>
              </w:rPr>
            </w:pPr>
            <w:r>
              <w:rPr>
                <w:rFonts w:hint="eastAsia" w:ascii="宋体"/>
                <w:b/>
                <w:color w:val="auto"/>
                <w:kern w:val="0"/>
                <w:sz w:val="24"/>
                <w:szCs w:val="24"/>
                <w:highlight w:val="none"/>
              </w:rPr>
              <w:t>货物名称</w:t>
            </w:r>
          </w:p>
        </w:tc>
        <w:tc>
          <w:tcPr>
            <w:tcW w:w="2260" w:type="dxa"/>
            <w:noWrap w:val="0"/>
            <w:vAlign w:val="center"/>
          </w:tcPr>
          <w:p>
            <w:pPr>
              <w:spacing w:line="360" w:lineRule="auto"/>
              <w:jc w:val="center"/>
              <w:rPr>
                <w:rFonts w:ascii="宋体"/>
                <w:b/>
                <w:color w:val="auto"/>
                <w:kern w:val="0"/>
                <w:sz w:val="24"/>
                <w:szCs w:val="24"/>
                <w:highlight w:val="none"/>
              </w:rPr>
            </w:pPr>
            <w:r>
              <w:rPr>
                <w:rFonts w:hint="eastAsia" w:ascii="宋体"/>
                <w:b/>
                <w:color w:val="auto"/>
                <w:kern w:val="0"/>
                <w:sz w:val="24"/>
                <w:szCs w:val="24"/>
                <w:highlight w:val="none"/>
              </w:rPr>
              <w:t>招标文件技术规范、要求</w:t>
            </w:r>
          </w:p>
        </w:tc>
        <w:tc>
          <w:tcPr>
            <w:tcW w:w="2486" w:type="dxa"/>
            <w:noWrap w:val="0"/>
            <w:vAlign w:val="center"/>
          </w:tcPr>
          <w:p>
            <w:pPr>
              <w:spacing w:line="360" w:lineRule="auto"/>
              <w:jc w:val="center"/>
              <w:rPr>
                <w:rFonts w:ascii="宋体"/>
                <w:b/>
                <w:color w:val="auto"/>
                <w:kern w:val="0"/>
                <w:sz w:val="24"/>
                <w:szCs w:val="24"/>
                <w:highlight w:val="none"/>
              </w:rPr>
            </w:pPr>
            <w:r>
              <w:rPr>
                <w:rFonts w:hint="eastAsia" w:ascii="宋体"/>
                <w:b/>
                <w:color w:val="auto"/>
                <w:kern w:val="0"/>
                <w:sz w:val="24"/>
                <w:szCs w:val="24"/>
                <w:highlight w:val="none"/>
              </w:rPr>
              <w:t>投标品牌、型号、技术参数</w:t>
            </w:r>
          </w:p>
        </w:tc>
        <w:tc>
          <w:tcPr>
            <w:tcW w:w="1313" w:type="dxa"/>
            <w:noWrap w:val="0"/>
            <w:vAlign w:val="center"/>
          </w:tcPr>
          <w:p>
            <w:pPr>
              <w:spacing w:line="360" w:lineRule="auto"/>
              <w:jc w:val="center"/>
              <w:rPr>
                <w:rFonts w:ascii="宋体"/>
                <w:b/>
                <w:color w:val="auto"/>
                <w:kern w:val="0"/>
                <w:sz w:val="24"/>
                <w:szCs w:val="24"/>
                <w:highlight w:val="none"/>
              </w:rPr>
            </w:pPr>
            <w:r>
              <w:rPr>
                <w:rFonts w:hint="eastAsia" w:ascii="宋体"/>
                <w:b/>
                <w:color w:val="auto"/>
                <w:kern w:val="0"/>
                <w:sz w:val="24"/>
                <w:szCs w:val="24"/>
                <w:highlight w:val="none"/>
              </w:rPr>
              <w:t>偏离</w:t>
            </w:r>
          </w:p>
        </w:tc>
        <w:tc>
          <w:tcPr>
            <w:tcW w:w="1172" w:type="dxa"/>
            <w:noWrap w:val="0"/>
            <w:vAlign w:val="center"/>
          </w:tcPr>
          <w:p>
            <w:pPr>
              <w:spacing w:line="360" w:lineRule="auto"/>
              <w:ind w:right="71" w:rightChars="34"/>
              <w:jc w:val="center"/>
              <w:rPr>
                <w:rFonts w:ascii="宋体"/>
                <w:b/>
                <w:color w:val="auto"/>
                <w:kern w:val="0"/>
                <w:sz w:val="24"/>
                <w:szCs w:val="24"/>
                <w:highlight w:val="none"/>
              </w:rPr>
            </w:pPr>
            <w:r>
              <w:rPr>
                <w:rFonts w:hint="eastAsia" w:ascii="宋体"/>
                <w:b/>
                <w:color w:val="auto"/>
                <w:kern w:val="0"/>
                <w:sz w:val="24"/>
                <w:szCs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671" w:type="dxa"/>
            <w:noWrap w:val="0"/>
            <w:vAlign w:val="center"/>
          </w:tcPr>
          <w:p>
            <w:pPr>
              <w:spacing w:line="360" w:lineRule="auto"/>
              <w:jc w:val="center"/>
              <w:rPr>
                <w:rFonts w:ascii="宋体"/>
                <w:color w:val="auto"/>
                <w:kern w:val="0"/>
                <w:sz w:val="24"/>
                <w:szCs w:val="24"/>
                <w:highlight w:val="none"/>
              </w:rPr>
            </w:pPr>
          </w:p>
        </w:tc>
        <w:tc>
          <w:tcPr>
            <w:tcW w:w="1415" w:type="dxa"/>
            <w:noWrap w:val="0"/>
            <w:vAlign w:val="center"/>
          </w:tcPr>
          <w:p>
            <w:pPr>
              <w:spacing w:line="360" w:lineRule="auto"/>
              <w:jc w:val="center"/>
              <w:rPr>
                <w:rFonts w:ascii="宋体"/>
                <w:color w:val="auto"/>
                <w:kern w:val="0"/>
                <w:sz w:val="24"/>
                <w:szCs w:val="24"/>
                <w:highlight w:val="none"/>
              </w:rPr>
            </w:pPr>
          </w:p>
        </w:tc>
        <w:tc>
          <w:tcPr>
            <w:tcW w:w="2260" w:type="dxa"/>
            <w:noWrap w:val="0"/>
            <w:vAlign w:val="center"/>
          </w:tcPr>
          <w:p>
            <w:pPr>
              <w:spacing w:line="360" w:lineRule="auto"/>
              <w:jc w:val="center"/>
              <w:rPr>
                <w:rFonts w:ascii="宋体"/>
                <w:color w:val="auto"/>
                <w:kern w:val="0"/>
                <w:sz w:val="24"/>
                <w:szCs w:val="24"/>
                <w:highlight w:val="none"/>
              </w:rPr>
            </w:pPr>
          </w:p>
        </w:tc>
        <w:tc>
          <w:tcPr>
            <w:tcW w:w="2486" w:type="dxa"/>
            <w:noWrap w:val="0"/>
            <w:vAlign w:val="center"/>
          </w:tcPr>
          <w:p>
            <w:pPr>
              <w:spacing w:line="360" w:lineRule="auto"/>
              <w:jc w:val="center"/>
              <w:rPr>
                <w:rFonts w:ascii="宋体"/>
                <w:color w:val="auto"/>
                <w:kern w:val="0"/>
                <w:sz w:val="24"/>
                <w:szCs w:val="24"/>
                <w:highlight w:val="none"/>
              </w:rPr>
            </w:pPr>
          </w:p>
        </w:tc>
        <w:tc>
          <w:tcPr>
            <w:tcW w:w="1313" w:type="dxa"/>
            <w:noWrap w:val="0"/>
            <w:vAlign w:val="top"/>
          </w:tcPr>
          <w:p>
            <w:pPr>
              <w:spacing w:line="360" w:lineRule="auto"/>
              <w:jc w:val="center"/>
              <w:rPr>
                <w:rFonts w:ascii="宋体"/>
                <w:color w:val="auto"/>
                <w:kern w:val="0"/>
                <w:sz w:val="24"/>
                <w:szCs w:val="24"/>
                <w:highlight w:val="none"/>
              </w:rPr>
            </w:pPr>
          </w:p>
        </w:tc>
        <w:tc>
          <w:tcPr>
            <w:tcW w:w="1172" w:type="dxa"/>
            <w:noWrap w:val="0"/>
            <w:vAlign w:val="center"/>
          </w:tcPr>
          <w:p>
            <w:pPr>
              <w:spacing w:line="360" w:lineRule="auto"/>
              <w:jc w:val="center"/>
              <w:rPr>
                <w:rFonts w:ascii="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671" w:type="dxa"/>
            <w:noWrap w:val="0"/>
            <w:vAlign w:val="center"/>
          </w:tcPr>
          <w:p>
            <w:pPr>
              <w:spacing w:line="360" w:lineRule="auto"/>
              <w:jc w:val="center"/>
              <w:rPr>
                <w:rFonts w:ascii="宋体"/>
                <w:color w:val="auto"/>
                <w:kern w:val="0"/>
                <w:sz w:val="24"/>
                <w:szCs w:val="24"/>
                <w:highlight w:val="none"/>
              </w:rPr>
            </w:pPr>
          </w:p>
        </w:tc>
        <w:tc>
          <w:tcPr>
            <w:tcW w:w="1415" w:type="dxa"/>
            <w:noWrap w:val="0"/>
            <w:vAlign w:val="center"/>
          </w:tcPr>
          <w:p>
            <w:pPr>
              <w:spacing w:line="360" w:lineRule="auto"/>
              <w:jc w:val="center"/>
              <w:rPr>
                <w:rFonts w:ascii="宋体"/>
                <w:color w:val="auto"/>
                <w:kern w:val="0"/>
                <w:sz w:val="24"/>
                <w:szCs w:val="24"/>
                <w:highlight w:val="none"/>
              </w:rPr>
            </w:pPr>
          </w:p>
        </w:tc>
        <w:tc>
          <w:tcPr>
            <w:tcW w:w="2260" w:type="dxa"/>
            <w:noWrap w:val="0"/>
            <w:vAlign w:val="center"/>
          </w:tcPr>
          <w:p>
            <w:pPr>
              <w:spacing w:line="360" w:lineRule="auto"/>
              <w:jc w:val="center"/>
              <w:rPr>
                <w:rFonts w:ascii="宋体"/>
                <w:color w:val="auto"/>
                <w:kern w:val="0"/>
                <w:sz w:val="24"/>
                <w:szCs w:val="24"/>
                <w:highlight w:val="none"/>
              </w:rPr>
            </w:pPr>
          </w:p>
        </w:tc>
        <w:tc>
          <w:tcPr>
            <w:tcW w:w="2486" w:type="dxa"/>
            <w:noWrap w:val="0"/>
            <w:vAlign w:val="center"/>
          </w:tcPr>
          <w:p>
            <w:pPr>
              <w:spacing w:line="360" w:lineRule="auto"/>
              <w:jc w:val="center"/>
              <w:rPr>
                <w:rFonts w:ascii="宋体"/>
                <w:color w:val="auto"/>
                <w:kern w:val="0"/>
                <w:sz w:val="24"/>
                <w:szCs w:val="24"/>
                <w:highlight w:val="none"/>
              </w:rPr>
            </w:pPr>
          </w:p>
        </w:tc>
        <w:tc>
          <w:tcPr>
            <w:tcW w:w="1313" w:type="dxa"/>
            <w:noWrap w:val="0"/>
            <w:vAlign w:val="top"/>
          </w:tcPr>
          <w:p>
            <w:pPr>
              <w:spacing w:line="360" w:lineRule="auto"/>
              <w:jc w:val="center"/>
              <w:rPr>
                <w:rFonts w:ascii="宋体"/>
                <w:color w:val="auto"/>
                <w:kern w:val="0"/>
                <w:sz w:val="24"/>
                <w:szCs w:val="24"/>
                <w:highlight w:val="none"/>
              </w:rPr>
            </w:pPr>
          </w:p>
        </w:tc>
        <w:tc>
          <w:tcPr>
            <w:tcW w:w="1172" w:type="dxa"/>
            <w:noWrap w:val="0"/>
            <w:vAlign w:val="center"/>
          </w:tcPr>
          <w:p>
            <w:pPr>
              <w:spacing w:line="360" w:lineRule="auto"/>
              <w:jc w:val="center"/>
              <w:rPr>
                <w:rFonts w:ascii="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671" w:type="dxa"/>
            <w:noWrap w:val="0"/>
            <w:vAlign w:val="center"/>
          </w:tcPr>
          <w:p>
            <w:pPr>
              <w:spacing w:line="360" w:lineRule="auto"/>
              <w:jc w:val="center"/>
              <w:rPr>
                <w:rFonts w:ascii="宋体"/>
                <w:color w:val="auto"/>
                <w:kern w:val="0"/>
                <w:sz w:val="24"/>
                <w:szCs w:val="24"/>
                <w:highlight w:val="none"/>
              </w:rPr>
            </w:pPr>
          </w:p>
        </w:tc>
        <w:tc>
          <w:tcPr>
            <w:tcW w:w="1415" w:type="dxa"/>
            <w:noWrap w:val="0"/>
            <w:vAlign w:val="center"/>
          </w:tcPr>
          <w:p>
            <w:pPr>
              <w:spacing w:line="360" w:lineRule="auto"/>
              <w:jc w:val="center"/>
              <w:rPr>
                <w:rFonts w:ascii="宋体"/>
                <w:color w:val="auto"/>
                <w:kern w:val="0"/>
                <w:sz w:val="24"/>
                <w:szCs w:val="24"/>
                <w:highlight w:val="none"/>
              </w:rPr>
            </w:pPr>
          </w:p>
        </w:tc>
        <w:tc>
          <w:tcPr>
            <w:tcW w:w="2260" w:type="dxa"/>
            <w:noWrap w:val="0"/>
            <w:vAlign w:val="center"/>
          </w:tcPr>
          <w:p>
            <w:pPr>
              <w:spacing w:line="360" w:lineRule="auto"/>
              <w:jc w:val="center"/>
              <w:rPr>
                <w:rFonts w:ascii="宋体"/>
                <w:color w:val="auto"/>
                <w:kern w:val="0"/>
                <w:sz w:val="24"/>
                <w:szCs w:val="24"/>
                <w:highlight w:val="none"/>
              </w:rPr>
            </w:pPr>
          </w:p>
        </w:tc>
        <w:tc>
          <w:tcPr>
            <w:tcW w:w="2486" w:type="dxa"/>
            <w:noWrap w:val="0"/>
            <w:vAlign w:val="center"/>
          </w:tcPr>
          <w:p>
            <w:pPr>
              <w:spacing w:line="360" w:lineRule="auto"/>
              <w:jc w:val="center"/>
              <w:rPr>
                <w:rFonts w:ascii="宋体"/>
                <w:color w:val="auto"/>
                <w:kern w:val="0"/>
                <w:sz w:val="24"/>
                <w:szCs w:val="24"/>
                <w:highlight w:val="none"/>
              </w:rPr>
            </w:pPr>
          </w:p>
        </w:tc>
        <w:tc>
          <w:tcPr>
            <w:tcW w:w="1313" w:type="dxa"/>
            <w:noWrap w:val="0"/>
            <w:vAlign w:val="top"/>
          </w:tcPr>
          <w:p>
            <w:pPr>
              <w:spacing w:line="360" w:lineRule="auto"/>
              <w:jc w:val="center"/>
              <w:rPr>
                <w:rFonts w:ascii="宋体"/>
                <w:color w:val="auto"/>
                <w:kern w:val="0"/>
                <w:sz w:val="24"/>
                <w:szCs w:val="24"/>
                <w:highlight w:val="none"/>
              </w:rPr>
            </w:pPr>
          </w:p>
        </w:tc>
        <w:tc>
          <w:tcPr>
            <w:tcW w:w="1172" w:type="dxa"/>
            <w:noWrap w:val="0"/>
            <w:vAlign w:val="center"/>
          </w:tcPr>
          <w:p>
            <w:pPr>
              <w:spacing w:line="360" w:lineRule="auto"/>
              <w:jc w:val="center"/>
              <w:rPr>
                <w:rFonts w:ascii="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2" w:hRule="atLeast"/>
          <w:jc w:val="center"/>
        </w:trPr>
        <w:tc>
          <w:tcPr>
            <w:tcW w:w="671" w:type="dxa"/>
            <w:noWrap w:val="0"/>
            <w:vAlign w:val="center"/>
          </w:tcPr>
          <w:p>
            <w:pPr>
              <w:spacing w:line="360" w:lineRule="auto"/>
              <w:jc w:val="center"/>
              <w:rPr>
                <w:rFonts w:ascii="宋体"/>
                <w:color w:val="auto"/>
                <w:kern w:val="0"/>
                <w:sz w:val="24"/>
                <w:szCs w:val="24"/>
                <w:highlight w:val="none"/>
              </w:rPr>
            </w:pPr>
          </w:p>
        </w:tc>
        <w:tc>
          <w:tcPr>
            <w:tcW w:w="1415" w:type="dxa"/>
            <w:noWrap w:val="0"/>
            <w:vAlign w:val="center"/>
          </w:tcPr>
          <w:p>
            <w:pPr>
              <w:spacing w:line="360" w:lineRule="auto"/>
              <w:jc w:val="center"/>
              <w:rPr>
                <w:rFonts w:ascii="宋体"/>
                <w:color w:val="auto"/>
                <w:kern w:val="0"/>
                <w:sz w:val="24"/>
                <w:szCs w:val="24"/>
                <w:highlight w:val="none"/>
              </w:rPr>
            </w:pPr>
          </w:p>
        </w:tc>
        <w:tc>
          <w:tcPr>
            <w:tcW w:w="2260" w:type="dxa"/>
            <w:noWrap w:val="0"/>
            <w:vAlign w:val="center"/>
          </w:tcPr>
          <w:p>
            <w:pPr>
              <w:spacing w:line="360" w:lineRule="auto"/>
              <w:jc w:val="center"/>
              <w:rPr>
                <w:rFonts w:ascii="宋体"/>
                <w:color w:val="auto"/>
                <w:kern w:val="0"/>
                <w:sz w:val="24"/>
                <w:szCs w:val="24"/>
                <w:highlight w:val="none"/>
              </w:rPr>
            </w:pPr>
          </w:p>
        </w:tc>
        <w:tc>
          <w:tcPr>
            <w:tcW w:w="2486" w:type="dxa"/>
            <w:noWrap w:val="0"/>
            <w:vAlign w:val="center"/>
          </w:tcPr>
          <w:p>
            <w:pPr>
              <w:spacing w:line="360" w:lineRule="auto"/>
              <w:jc w:val="center"/>
              <w:rPr>
                <w:rFonts w:ascii="宋体"/>
                <w:color w:val="auto"/>
                <w:kern w:val="0"/>
                <w:sz w:val="24"/>
                <w:szCs w:val="24"/>
                <w:highlight w:val="none"/>
              </w:rPr>
            </w:pPr>
          </w:p>
        </w:tc>
        <w:tc>
          <w:tcPr>
            <w:tcW w:w="1313" w:type="dxa"/>
            <w:noWrap w:val="0"/>
            <w:vAlign w:val="top"/>
          </w:tcPr>
          <w:p>
            <w:pPr>
              <w:spacing w:line="360" w:lineRule="auto"/>
              <w:jc w:val="center"/>
              <w:rPr>
                <w:rFonts w:ascii="宋体"/>
                <w:color w:val="auto"/>
                <w:kern w:val="0"/>
                <w:sz w:val="24"/>
                <w:szCs w:val="24"/>
                <w:highlight w:val="none"/>
              </w:rPr>
            </w:pPr>
          </w:p>
        </w:tc>
        <w:tc>
          <w:tcPr>
            <w:tcW w:w="1172" w:type="dxa"/>
            <w:noWrap w:val="0"/>
            <w:vAlign w:val="center"/>
          </w:tcPr>
          <w:p>
            <w:pPr>
              <w:spacing w:line="360" w:lineRule="auto"/>
              <w:jc w:val="center"/>
              <w:rPr>
                <w:rFonts w:ascii="宋体"/>
                <w:color w:val="auto"/>
                <w:kern w:val="0"/>
                <w:sz w:val="24"/>
                <w:szCs w:val="24"/>
                <w:highlight w:val="none"/>
              </w:rPr>
            </w:pPr>
          </w:p>
        </w:tc>
      </w:tr>
    </w:tbl>
    <w:p>
      <w:pPr>
        <w:pStyle w:val="17"/>
        <w:spacing w:line="360" w:lineRule="auto"/>
        <w:rPr>
          <w:color w:val="auto"/>
          <w:sz w:val="24"/>
          <w:szCs w:val="24"/>
          <w:highlight w:val="none"/>
        </w:rPr>
      </w:pPr>
      <w:r>
        <w:rPr>
          <w:rFonts w:hint="eastAsia" w:ascii="宋体" w:hAnsi="宋体" w:eastAsia="宋体" w:cs="宋体"/>
          <w:color w:val="auto"/>
          <w:kern w:val="0"/>
          <w:sz w:val="24"/>
          <w:szCs w:val="24"/>
          <w:highlight w:val="none"/>
        </w:rPr>
        <w:t>注：</w:t>
      </w:r>
      <w:r>
        <w:rPr>
          <w:rFonts w:hint="eastAsia"/>
          <w:color w:val="auto"/>
          <w:sz w:val="24"/>
          <w:szCs w:val="24"/>
          <w:highlight w:val="none"/>
        </w:rPr>
        <w:t>1、表格中“货物名称”及“招标文件技术规范、要求”可按“采购需求”内容复制。</w:t>
      </w:r>
    </w:p>
    <w:p>
      <w:pPr>
        <w:pStyle w:val="17"/>
        <w:spacing w:line="360" w:lineRule="auto"/>
        <w:rPr>
          <w:b/>
          <w:color w:val="auto"/>
          <w:sz w:val="24"/>
          <w:szCs w:val="24"/>
          <w:highlight w:val="none"/>
        </w:rPr>
      </w:pPr>
      <w:r>
        <w:rPr>
          <w:rFonts w:hint="eastAsia"/>
          <w:color w:val="auto"/>
          <w:sz w:val="24"/>
          <w:szCs w:val="24"/>
          <w:highlight w:val="none"/>
        </w:rPr>
        <w:t>2、表格中“投标品牌、型号、技术参数及配置”请投标人根据实际投标情况如实、完整、准确地填写，请勿复制、粘贴招标要求。</w:t>
      </w:r>
      <w:r>
        <w:rPr>
          <w:rFonts w:hint="eastAsia"/>
          <w:b/>
          <w:color w:val="auto"/>
          <w:sz w:val="24"/>
          <w:szCs w:val="24"/>
          <w:highlight w:val="none"/>
        </w:rPr>
        <w:t>若由于投标人的疏忽大意或未能完整、如实填写，导致的一切后果由投标人自行承担。</w:t>
      </w:r>
    </w:p>
    <w:p>
      <w:pPr>
        <w:pStyle w:val="17"/>
        <w:spacing w:line="360" w:lineRule="auto"/>
        <w:rPr>
          <w:rFonts w:hint="eastAsia" w:ascii="宋体" w:hAnsi="宋体" w:eastAsia="宋体" w:cs="宋体"/>
          <w:color w:val="auto"/>
          <w:sz w:val="24"/>
          <w:szCs w:val="24"/>
          <w:highlight w:val="none"/>
        </w:rPr>
      </w:pPr>
      <w:r>
        <w:rPr>
          <w:rFonts w:hint="eastAsia"/>
          <w:color w:val="auto"/>
          <w:sz w:val="24"/>
          <w:szCs w:val="24"/>
          <w:highlight w:val="none"/>
        </w:rPr>
        <w:t>3、表格中“偏离”部分，投标人只能如实填写“</w:t>
      </w:r>
      <w:r>
        <w:rPr>
          <w:rFonts w:hint="eastAsia"/>
          <w:color w:val="auto"/>
          <w:sz w:val="24"/>
          <w:szCs w:val="24"/>
          <w:highlight w:val="none"/>
          <w:lang w:val="en-US" w:eastAsia="zh-CN"/>
        </w:rPr>
        <w:t>正</w:t>
      </w:r>
      <w:r>
        <w:rPr>
          <w:rFonts w:hint="eastAsia"/>
          <w:color w:val="auto"/>
          <w:sz w:val="24"/>
          <w:szCs w:val="24"/>
          <w:highlight w:val="none"/>
        </w:rPr>
        <w:t>偏离”</w:t>
      </w:r>
      <w:r>
        <w:rPr>
          <w:rFonts w:hint="eastAsia"/>
          <w:color w:val="auto"/>
          <w:sz w:val="24"/>
          <w:szCs w:val="24"/>
          <w:highlight w:val="none"/>
          <w:lang w:eastAsia="zh-CN"/>
        </w:rPr>
        <w:t>、</w:t>
      </w:r>
      <w:r>
        <w:rPr>
          <w:rFonts w:hint="eastAsia"/>
          <w:color w:val="auto"/>
          <w:sz w:val="24"/>
          <w:szCs w:val="24"/>
          <w:highlight w:val="none"/>
        </w:rPr>
        <w:t>“无偏离”</w:t>
      </w:r>
      <w:r>
        <w:rPr>
          <w:rFonts w:hint="eastAsia"/>
          <w:color w:val="auto"/>
          <w:sz w:val="24"/>
          <w:szCs w:val="24"/>
          <w:highlight w:val="none"/>
          <w:lang w:eastAsia="zh-CN"/>
        </w:rPr>
        <w:t>、</w:t>
      </w:r>
      <w:r>
        <w:rPr>
          <w:rFonts w:hint="eastAsia"/>
          <w:color w:val="auto"/>
          <w:sz w:val="24"/>
          <w:szCs w:val="24"/>
          <w:highlight w:val="none"/>
          <w:lang w:val="en-US" w:eastAsia="zh-CN"/>
        </w:rPr>
        <w:t>负偏离</w:t>
      </w:r>
      <w:r>
        <w:rPr>
          <w:rFonts w:hint="eastAsia"/>
          <w:color w:val="auto"/>
          <w:sz w:val="24"/>
          <w:szCs w:val="24"/>
          <w:highlight w:val="none"/>
        </w:rPr>
        <w:t>。凡投标内容与招标文件要求有区别的均按</w:t>
      </w:r>
      <w:r>
        <w:rPr>
          <w:rFonts w:hint="eastAsia"/>
          <w:color w:val="auto"/>
          <w:sz w:val="24"/>
          <w:szCs w:val="24"/>
          <w:highlight w:val="none"/>
          <w:lang w:val="en-US" w:eastAsia="zh-CN"/>
        </w:rPr>
        <w:t>要求</w:t>
      </w:r>
      <w:r>
        <w:rPr>
          <w:rFonts w:hint="eastAsia"/>
          <w:color w:val="auto"/>
          <w:sz w:val="24"/>
          <w:szCs w:val="24"/>
          <w:highlight w:val="none"/>
        </w:rPr>
        <w:t>填写，在说明栏中写明技术指标</w:t>
      </w:r>
      <w:r>
        <w:rPr>
          <w:rFonts w:hint="eastAsia"/>
          <w:color w:val="auto"/>
          <w:sz w:val="24"/>
          <w:szCs w:val="24"/>
          <w:highlight w:val="none"/>
          <w:lang w:val="en-US" w:eastAsia="zh-CN"/>
        </w:rPr>
        <w:t>,并</w:t>
      </w:r>
      <w:r>
        <w:rPr>
          <w:rFonts w:hint="eastAsia" w:ascii="宋体" w:hAnsi="宋体" w:eastAsia="宋体" w:cs="宋体"/>
          <w:color w:val="auto"/>
          <w:kern w:val="0"/>
          <w:sz w:val="24"/>
          <w:szCs w:val="24"/>
          <w:highlight w:val="none"/>
          <w:lang w:val="en-US" w:eastAsia="zh-CN" w:bidi="ar-SA"/>
        </w:rPr>
        <w:t>提供检验报告、认证证书、证明文件、制造厂商发布的最新技术资料彩页、产品图片等作为技术支撑材料。</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供应商名称</w:t>
      </w:r>
      <w:r>
        <w:rPr>
          <w:rFonts w:hint="eastAsia" w:ascii="宋体" w:hAnsi="宋体" w:eastAsia="宋体" w:cs="宋体"/>
          <w:b w:val="0"/>
          <w:bCs/>
          <w:color w:val="auto"/>
          <w:sz w:val="24"/>
          <w:szCs w:val="24"/>
          <w:highlight w:val="none"/>
        </w:rPr>
        <w:t>(加盖供应商电子公章)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法人代表或委托代理人（</w:t>
      </w:r>
      <w:r>
        <w:rPr>
          <w:rFonts w:hint="eastAsia" w:ascii="宋体" w:hAnsi="宋体" w:cs="宋体"/>
          <w:b w:val="0"/>
          <w:bCs/>
          <w:color w:val="auto"/>
          <w:sz w:val="24"/>
          <w:szCs w:val="24"/>
          <w:highlight w:val="none"/>
          <w:lang w:eastAsia="zh-CN"/>
        </w:rPr>
        <w:t>电子签章</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p>
    <w:p>
      <w:pPr>
        <w:spacing w:line="360" w:lineRule="auto"/>
        <w:ind w:firstLine="960" w:firstLineChars="400"/>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日</w:t>
      </w:r>
    </w:p>
    <w:p>
      <w:pPr>
        <w:rPr>
          <w:rFonts w:hint="eastAsia" w:ascii="宋体" w:hAnsi="宋体" w:eastAsia="宋体" w:cs="宋体"/>
          <w:b/>
          <w:bCs/>
          <w:color w:val="auto"/>
          <w:sz w:val="24"/>
          <w:szCs w:val="24"/>
          <w:highlight w:val="none"/>
        </w:rPr>
      </w:pPr>
    </w:p>
    <w:p>
      <w:pPr>
        <w:jc w:val="center"/>
        <w:rPr>
          <w:rFonts w:hint="eastAsia" w:ascii="宋体" w:hAnsi="宋体" w:eastAsia="宋体" w:cs="宋体"/>
          <w:b/>
          <w:bCs/>
          <w:color w:val="auto"/>
          <w:sz w:val="24"/>
          <w:szCs w:val="24"/>
          <w:highlight w:val="none"/>
          <w:lang w:eastAsia="zh-CN"/>
        </w:rPr>
      </w:pPr>
    </w:p>
    <w:p>
      <w:pPr>
        <w:jc w:val="center"/>
        <w:rPr>
          <w:rFonts w:hint="eastAsia" w:ascii="宋体" w:hAnsi="宋体" w:eastAsia="宋体" w:cs="宋体"/>
          <w:b/>
          <w:bCs/>
          <w:color w:val="auto"/>
          <w:sz w:val="24"/>
          <w:szCs w:val="24"/>
          <w:highlight w:val="none"/>
          <w:lang w:eastAsia="zh-CN"/>
        </w:rPr>
      </w:pPr>
    </w:p>
    <w:p>
      <w:pPr>
        <w:jc w:val="center"/>
        <w:rPr>
          <w:rFonts w:hint="eastAsia" w:ascii="宋体" w:hAnsi="宋体" w:eastAsia="宋体" w:cs="宋体"/>
          <w:b/>
          <w:bCs/>
          <w:color w:val="auto"/>
          <w:sz w:val="28"/>
          <w:szCs w:val="28"/>
          <w:highlight w:val="none"/>
          <w:lang w:eastAsia="zh-CN"/>
        </w:rPr>
      </w:pPr>
    </w:p>
    <w:p>
      <w:pPr>
        <w:jc w:val="center"/>
        <w:rPr>
          <w:rFonts w:hint="eastAsia" w:ascii="宋体" w:hAnsi="宋体" w:eastAsia="宋体" w:cs="宋体"/>
          <w:b/>
          <w:bCs/>
          <w:color w:val="auto"/>
          <w:sz w:val="28"/>
          <w:szCs w:val="28"/>
          <w:highlight w:val="none"/>
          <w:lang w:eastAsia="zh-CN"/>
        </w:rPr>
      </w:pPr>
    </w:p>
    <w:p>
      <w:pPr>
        <w:jc w:val="center"/>
        <w:rPr>
          <w:rFonts w:hint="eastAsia" w:ascii="宋体" w:hAnsi="宋体" w:eastAsia="宋体" w:cs="宋体"/>
          <w:b/>
          <w:bCs/>
          <w:color w:val="auto"/>
          <w:sz w:val="28"/>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60" w:beforeLines="50" w:after="160" w:afterLines="50" w:line="360" w:lineRule="auto"/>
        <w:jc w:val="center"/>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lang w:val="en-US" w:eastAsia="zh-CN"/>
        </w:rPr>
        <w:t>二</w:t>
      </w:r>
      <w:r>
        <w:rPr>
          <w:rFonts w:hint="eastAsia" w:ascii="宋体" w:hAnsi="宋体" w:eastAsia="宋体" w:cs="宋体"/>
          <w:color w:val="auto"/>
          <w:sz w:val="32"/>
          <w:szCs w:val="32"/>
          <w:highlight w:val="none"/>
          <w:lang w:eastAsia="zh-CN"/>
        </w:rPr>
        <w:t>）供货方案</w:t>
      </w:r>
    </w:p>
    <w:p>
      <w:pPr>
        <w:jc w:val="center"/>
        <w:rPr>
          <w:rFonts w:hint="eastAsia" w:ascii="宋体" w:hAnsi="宋体" w:eastAsia="宋体" w:cs="宋体"/>
          <w:color w:val="auto"/>
          <w:sz w:val="24"/>
          <w:highlight w:val="none"/>
          <w:lang w:val="en-US" w:eastAsia="zh-CN"/>
        </w:rPr>
      </w:pPr>
    </w:p>
    <w:p>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highlight w:val="none"/>
        </w:rPr>
        <w:t>该部分格式自拟，内容可参考评标办法要求及采购需求</w:t>
      </w:r>
      <w:r>
        <w:rPr>
          <w:rFonts w:hint="eastAsia" w:ascii="宋体" w:hAnsi="宋体" w:eastAsia="宋体" w:cs="宋体"/>
          <w:color w:val="auto"/>
          <w:sz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60" w:beforeLines="50" w:after="160" w:afterLines="50" w:line="360" w:lineRule="auto"/>
        <w:jc w:val="center"/>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br w:type="page"/>
      </w:r>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lang w:val="en-US" w:eastAsia="zh-CN"/>
        </w:rPr>
        <w:t>三</w:t>
      </w:r>
      <w:r>
        <w:rPr>
          <w:rFonts w:hint="eastAsia" w:ascii="宋体" w:hAnsi="宋体" w:eastAsia="宋体" w:cs="宋体"/>
          <w:color w:val="auto"/>
          <w:sz w:val="32"/>
          <w:szCs w:val="32"/>
          <w:highlight w:val="none"/>
          <w:lang w:eastAsia="zh-CN"/>
        </w:rPr>
        <w:t>）</w:t>
      </w:r>
      <w:r>
        <w:rPr>
          <w:rFonts w:hint="eastAsia" w:ascii="宋体" w:hAnsi="宋体" w:cs="宋体"/>
          <w:color w:val="auto"/>
          <w:sz w:val="32"/>
          <w:szCs w:val="32"/>
          <w:highlight w:val="none"/>
          <w:lang w:eastAsia="zh-CN"/>
        </w:rPr>
        <w:t>质量保障措施</w:t>
      </w:r>
    </w:p>
    <w:p>
      <w:pPr>
        <w:jc w:val="center"/>
        <w:rPr>
          <w:rFonts w:hint="eastAsia" w:ascii="宋体" w:hAnsi="宋体" w:eastAsia="宋体" w:cs="宋体"/>
          <w:color w:val="auto"/>
          <w:sz w:val="24"/>
          <w:highlight w:val="none"/>
          <w:lang w:val="en-US" w:eastAsia="zh-CN"/>
        </w:rPr>
      </w:pPr>
    </w:p>
    <w:p>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highlight w:val="none"/>
        </w:rPr>
        <w:t>该部分格式自拟，内容可参考评标办法要求及采购需求</w:t>
      </w:r>
      <w:r>
        <w:rPr>
          <w:rFonts w:hint="eastAsia" w:ascii="宋体" w:hAnsi="宋体" w:eastAsia="宋体" w:cs="宋体"/>
          <w:color w:val="auto"/>
          <w:sz w:val="24"/>
          <w:highlight w:val="none"/>
          <w:lang w:eastAsia="zh-CN"/>
        </w:rPr>
        <w:t>。</w:t>
      </w:r>
    </w:p>
    <w:p>
      <w:pPr>
        <w:pStyle w:val="11"/>
        <w:rPr>
          <w:rFonts w:hint="eastAsia" w:ascii="宋体" w:hAnsi="宋体" w:eastAsia="宋体" w:cs="宋体"/>
          <w:color w:val="auto"/>
          <w:highlight w:val="none"/>
          <w:lang w:eastAsia="zh-CN"/>
        </w:rPr>
      </w:pPr>
      <w:r>
        <w:rPr>
          <w:rFonts w:hint="eastAsia" w:ascii="宋体" w:hAnsi="宋体" w:eastAsia="宋体" w:cs="宋体"/>
          <w:color w:val="auto"/>
          <w:sz w:val="32"/>
          <w:szCs w:val="32"/>
          <w:highlight w:val="none"/>
          <w:lang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before="160" w:beforeLines="50" w:after="160" w:afterLines="50" w:line="360" w:lineRule="auto"/>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w:t>
      </w:r>
      <w:r>
        <w:rPr>
          <w:rFonts w:hint="eastAsia" w:ascii="宋体" w:hAnsi="宋体" w:cs="宋体"/>
          <w:color w:val="auto"/>
          <w:sz w:val="32"/>
          <w:szCs w:val="32"/>
          <w:highlight w:val="none"/>
          <w:lang w:val="en-US" w:eastAsia="zh-CN"/>
        </w:rPr>
        <w:t>四</w:t>
      </w:r>
      <w:r>
        <w:rPr>
          <w:rFonts w:hint="eastAsia" w:ascii="宋体" w:hAnsi="宋体" w:eastAsia="宋体" w:cs="宋体"/>
          <w:color w:val="auto"/>
          <w:sz w:val="32"/>
          <w:szCs w:val="32"/>
          <w:highlight w:val="none"/>
          <w:lang w:eastAsia="zh-CN"/>
        </w:rPr>
        <w:t>）售后服务及保障措施</w:t>
      </w:r>
    </w:p>
    <w:p>
      <w:pPr>
        <w:jc w:val="center"/>
        <w:rPr>
          <w:rFonts w:hint="eastAsia" w:ascii="宋体" w:hAnsi="宋体" w:eastAsia="宋体" w:cs="宋体"/>
          <w:color w:val="auto"/>
          <w:sz w:val="24"/>
          <w:highlight w:val="none"/>
          <w:lang w:val="en-US" w:eastAsia="zh-CN"/>
        </w:rPr>
      </w:pPr>
    </w:p>
    <w:p>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highlight w:val="none"/>
        </w:rPr>
        <w:t>该部分格式自拟，内容可参考评标办法要求及采购需求</w:t>
      </w:r>
      <w:r>
        <w:rPr>
          <w:rFonts w:hint="eastAsia" w:ascii="宋体" w:hAnsi="宋体" w:eastAsia="宋体" w:cs="宋体"/>
          <w:color w:val="auto"/>
          <w:sz w:val="24"/>
          <w:highlight w:val="none"/>
          <w:lang w:eastAsia="zh-CN"/>
        </w:rPr>
        <w:t>。</w:t>
      </w:r>
    </w:p>
    <w:p>
      <w:pPr>
        <w:spacing w:before="319" w:beforeLines="100" w:after="319" w:afterLines="100" w:line="312" w:lineRule="auto"/>
        <w:jc w:val="center"/>
        <w:outlineLvl w:val="1"/>
        <w:rPr>
          <w:rFonts w:hint="eastAsia" w:ascii="宋体" w:hAnsi="宋体" w:eastAsia="宋体" w:cs="宋体"/>
          <w:b/>
          <w:bCs/>
          <w:color w:val="auto"/>
          <w:kern w:val="2"/>
          <w:sz w:val="40"/>
          <w:szCs w:val="40"/>
          <w:highlight w:val="none"/>
          <w:lang w:val="en-US" w:eastAsia="zh-CN" w:bidi="ar-SA"/>
        </w:rPr>
      </w:pPr>
      <w:bookmarkStart w:id="359" w:name="_Toc28594"/>
      <w:bookmarkStart w:id="360" w:name="_Toc15206"/>
      <w:bookmarkStart w:id="361" w:name="_Toc11469"/>
      <w:bookmarkStart w:id="362" w:name="_Toc2494"/>
      <w:r>
        <w:rPr>
          <w:rFonts w:hint="eastAsia" w:ascii="宋体" w:hAnsi="宋体" w:cs="宋体"/>
          <w:b/>
          <w:bCs/>
          <w:color w:val="auto"/>
          <w:kern w:val="2"/>
          <w:sz w:val="40"/>
          <w:szCs w:val="40"/>
          <w:highlight w:val="none"/>
          <w:lang w:val="en-US" w:eastAsia="zh-CN" w:bidi="ar-SA"/>
        </w:rPr>
        <w:br w:type="page"/>
      </w:r>
      <w:bookmarkStart w:id="363" w:name="_Toc8841"/>
      <w:r>
        <w:rPr>
          <w:rFonts w:hint="eastAsia" w:ascii="宋体" w:hAnsi="宋体" w:cs="宋体"/>
          <w:b/>
          <w:bCs/>
          <w:color w:val="auto"/>
          <w:kern w:val="2"/>
          <w:sz w:val="40"/>
          <w:szCs w:val="40"/>
          <w:highlight w:val="none"/>
          <w:lang w:val="en-US" w:eastAsia="zh-CN" w:bidi="ar-SA"/>
        </w:rPr>
        <w:t>七</w:t>
      </w:r>
      <w:r>
        <w:rPr>
          <w:rFonts w:hint="eastAsia" w:ascii="宋体" w:hAnsi="宋体" w:eastAsia="宋体" w:cs="宋体"/>
          <w:b/>
          <w:bCs/>
          <w:color w:val="auto"/>
          <w:kern w:val="2"/>
          <w:sz w:val="40"/>
          <w:szCs w:val="40"/>
          <w:highlight w:val="none"/>
          <w:lang w:val="en-US" w:eastAsia="zh-CN" w:bidi="ar-SA"/>
        </w:rPr>
        <w:t>、资格审查资料</w:t>
      </w:r>
      <w:bookmarkEnd w:id="359"/>
      <w:bookmarkEnd w:id="360"/>
      <w:bookmarkEnd w:id="361"/>
      <w:bookmarkEnd w:id="362"/>
      <w:bookmarkEnd w:id="363"/>
    </w:p>
    <w:p>
      <w:pPr>
        <w:keepNext w:val="0"/>
        <w:keepLines w:val="0"/>
        <w:pageBreakBefore w:val="0"/>
        <w:widowControl w:val="0"/>
        <w:numPr>
          <w:ilvl w:val="0"/>
          <w:numId w:val="0"/>
        </w:numPr>
        <w:kinsoku/>
        <w:wordWrap/>
        <w:overflowPunct/>
        <w:topLinePunct w:val="0"/>
        <w:autoSpaceDE/>
        <w:autoSpaceDN/>
        <w:bidi w:val="0"/>
        <w:adjustRightInd/>
        <w:snapToGrid/>
        <w:spacing w:before="160" w:beforeLines="50" w:after="160" w:afterLines="50" w:line="360" w:lineRule="auto"/>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lang w:val="en-US" w:eastAsia="zh-CN"/>
        </w:rPr>
        <w:t>一</w:t>
      </w:r>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rPr>
        <w:t>资格条件承诺函</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我方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（供应商名称）</w:t>
      </w:r>
      <w:r>
        <w:rPr>
          <w:rFonts w:hint="eastAsia" w:ascii="宋体" w:hAnsi="宋体" w:eastAsia="宋体" w:cs="宋体"/>
          <w:b w:val="0"/>
          <w:bCs w:val="0"/>
          <w:color w:val="auto"/>
          <w:sz w:val="24"/>
          <w:szCs w:val="24"/>
          <w:highlight w:val="none"/>
        </w:rPr>
        <w:t>符合《中华人民共和国政府采购法》第二十二条规定条件，具体包括：</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1.具有独立承担民事责任的能力；</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2.具有良好的商业信誉和健全的财务会计制度；</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3.有依法缴纳税收和社会保障资金的良好记录；</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5.参加本次政府采购活动前三年内，在经营活动中没有重大违法记录；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7.在投标（响应）截止日期前未被列入失信被执行人名单、重大税收违法案件当事人名单、政府采购严重违法失信行为记录名单。</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特此承诺。    </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rPr>
        <w:t xml:space="preserve">                       供应商名称(加盖供应商电子公章)</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日</w:t>
      </w:r>
    </w:p>
    <w:p>
      <w:pPr>
        <w:adjustRightInd w:val="0"/>
        <w:snapToGrid w:val="0"/>
        <w:spacing w:line="360" w:lineRule="auto"/>
        <w:ind w:firstLine="630" w:firstLineChars="300"/>
        <w:jc w:val="left"/>
        <w:rPr>
          <w:rFonts w:hint="eastAsia" w:ascii="宋体" w:hAnsi="宋体" w:eastAsia="宋体" w:cs="宋体"/>
          <w:snapToGrid w:val="0"/>
          <w:color w:val="auto"/>
          <w:kern w:val="0"/>
          <w:highlight w:val="none"/>
        </w:rPr>
      </w:pPr>
    </w:p>
    <w:p>
      <w:pPr>
        <w:pStyle w:val="46"/>
        <w:jc w:val="center"/>
        <w:rPr>
          <w:rFonts w:hint="eastAsia" w:ascii="宋体" w:hAnsi="宋体" w:eastAsia="宋体" w:cs="宋体"/>
          <w:b/>
          <w:bCs/>
          <w:color w:val="auto"/>
          <w:kern w:val="2"/>
          <w:sz w:val="40"/>
          <w:szCs w:val="40"/>
          <w:highlight w:val="none"/>
          <w:lang w:val="en-US" w:eastAsia="zh-CN" w:bidi="ar-SA"/>
        </w:rPr>
      </w:pPr>
      <w:r>
        <w:rPr>
          <w:rFonts w:hint="eastAsia" w:ascii="宋体" w:hAnsi="宋体" w:eastAsia="宋体" w:cs="宋体"/>
          <w:color w:val="auto"/>
          <w:szCs w:val="21"/>
          <w:highlight w:val="none"/>
        </w:rPr>
        <w:br w:type="page"/>
      </w:r>
      <w:bookmarkStart w:id="364" w:name="_Toc2590"/>
      <w:bookmarkStart w:id="365" w:name="_Toc6110"/>
      <w:bookmarkStart w:id="366" w:name="_Toc16747"/>
      <w:bookmarkStart w:id="367" w:name="_Toc6691"/>
      <w:bookmarkStart w:id="368" w:name="_Toc20177"/>
      <w:bookmarkStart w:id="369" w:name="_Toc8900"/>
      <w:bookmarkStart w:id="370" w:name="_Toc12751"/>
      <w:r>
        <w:rPr>
          <w:rFonts w:hint="eastAsia" w:ascii="宋体" w:hAnsi="宋体" w:eastAsia="宋体" w:cs="宋体"/>
          <w:color w:val="auto"/>
          <w:sz w:val="32"/>
          <w:szCs w:val="32"/>
          <w:highlight w:val="none"/>
          <w:lang w:val="en-US" w:eastAsia="zh-CN"/>
        </w:rPr>
        <w:t>（</w:t>
      </w:r>
      <w:r>
        <w:rPr>
          <w:rFonts w:hint="eastAsia" w:ascii="宋体" w:hAnsi="宋体" w:cs="宋体"/>
          <w:color w:val="auto"/>
          <w:sz w:val="32"/>
          <w:szCs w:val="32"/>
          <w:highlight w:val="none"/>
          <w:lang w:val="en-US" w:eastAsia="zh-CN"/>
        </w:rPr>
        <w:t>二</w:t>
      </w:r>
      <w:r>
        <w:rPr>
          <w:rFonts w:hint="eastAsia" w:ascii="宋体" w:hAnsi="宋体" w:eastAsia="宋体" w:cs="宋体"/>
          <w:color w:val="auto"/>
          <w:sz w:val="32"/>
          <w:szCs w:val="32"/>
          <w:highlight w:val="none"/>
          <w:lang w:val="en-US" w:eastAsia="zh-CN"/>
        </w:rPr>
        <w:t>）供应商认为需要的其他材料</w:t>
      </w:r>
      <w:r>
        <w:rPr>
          <w:rFonts w:hint="eastAsia" w:ascii="宋体" w:hAnsi="宋体" w:eastAsia="宋体" w:cs="宋体"/>
          <w:b/>
          <w:bCs/>
          <w:color w:val="auto"/>
          <w:kern w:val="2"/>
          <w:sz w:val="40"/>
          <w:szCs w:val="40"/>
          <w:highlight w:val="none"/>
          <w:lang w:val="en-US" w:eastAsia="zh-CN" w:bidi="ar-SA"/>
        </w:rPr>
        <w:br w:type="page"/>
      </w:r>
    </w:p>
    <w:p>
      <w:pPr>
        <w:spacing w:before="319" w:beforeLines="100" w:after="319" w:afterLines="100" w:line="312" w:lineRule="auto"/>
        <w:jc w:val="center"/>
        <w:outlineLvl w:val="1"/>
        <w:rPr>
          <w:rFonts w:hint="eastAsia" w:ascii="宋体" w:hAnsi="宋体" w:eastAsia="宋体" w:cs="宋体"/>
          <w:b/>
          <w:bCs/>
          <w:color w:val="auto"/>
          <w:kern w:val="2"/>
          <w:sz w:val="40"/>
          <w:szCs w:val="40"/>
          <w:highlight w:val="none"/>
          <w:lang w:val="en-US" w:eastAsia="zh-CN" w:bidi="ar-SA"/>
        </w:rPr>
      </w:pPr>
      <w:bookmarkStart w:id="371" w:name="_Toc595"/>
      <w:bookmarkStart w:id="372" w:name="_Toc15763"/>
      <w:r>
        <w:rPr>
          <w:rFonts w:hint="eastAsia" w:ascii="宋体" w:hAnsi="宋体" w:cs="宋体"/>
          <w:b/>
          <w:bCs/>
          <w:color w:val="auto"/>
          <w:kern w:val="2"/>
          <w:sz w:val="40"/>
          <w:szCs w:val="40"/>
          <w:highlight w:val="none"/>
          <w:lang w:val="en-US" w:eastAsia="zh-CN" w:bidi="ar-SA"/>
        </w:rPr>
        <w:t>八</w:t>
      </w:r>
      <w:r>
        <w:rPr>
          <w:rFonts w:hint="eastAsia" w:ascii="宋体" w:hAnsi="宋体" w:eastAsia="宋体" w:cs="宋体"/>
          <w:b/>
          <w:bCs/>
          <w:color w:val="auto"/>
          <w:kern w:val="2"/>
          <w:sz w:val="40"/>
          <w:szCs w:val="40"/>
          <w:highlight w:val="none"/>
          <w:lang w:val="en-US" w:eastAsia="zh-CN" w:bidi="ar-SA"/>
        </w:rPr>
        <w:t>、采购文件要求或供应商认为需要的其他材料</w:t>
      </w:r>
      <w:bookmarkEnd w:id="364"/>
      <w:bookmarkEnd w:id="365"/>
      <w:bookmarkEnd w:id="366"/>
      <w:bookmarkEnd w:id="367"/>
      <w:bookmarkEnd w:id="368"/>
      <w:bookmarkEnd w:id="369"/>
      <w:bookmarkEnd w:id="370"/>
      <w:bookmarkEnd w:id="371"/>
      <w:bookmarkEnd w:id="372"/>
    </w:p>
    <w:p>
      <w:pPr>
        <w:jc w:val="both"/>
        <w:rPr>
          <w:rFonts w:hint="eastAsia" w:ascii="宋体" w:hAnsi="宋体" w:eastAsia="宋体" w:cs="宋体"/>
          <w:color w:val="auto"/>
          <w:kern w:val="2"/>
          <w:sz w:val="24"/>
          <w:szCs w:val="24"/>
          <w:highlight w:val="none"/>
          <w:lang w:val="en-US" w:eastAsia="zh-CN" w:bidi="ar-SA"/>
        </w:rPr>
      </w:pPr>
    </w:p>
    <w:p>
      <w:pPr>
        <w:pStyle w:val="46"/>
        <w:jc w:val="center"/>
        <w:rPr>
          <w:rFonts w:hint="eastAsia" w:ascii="宋体" w:hAnsi="宋体" w:eastAsia="宋体" w:cs="宋体"/>
          <w:b/>
          <w:bCs/>
          <w:color w:val="auto"/>
          <w:sz w:val="24"/>
          <w:highlight w:val="none"/>
        </w:rPr>
      </w:pPr>
      <w:r>
        <w:rPr>
          <w:rFonts w:hint="eastAsia" w:hAnsi="宋体" w:cs="宋体"/>
          <w:color w:val="auto"/>
          <w:sz w:val="24"/>
          <w:highlight w:val="none"/>
          <w:lang w:eastAsia="zh-CN"/>
        </w:rPr>
        <w:t>（</w:t>
      </w:r>
      <w:r>
        <w:rPr>
          <w:rFonts w:hint="eastAsia" w:ascii="宋体" w:hAnsi="宋体" w:eastAsia="宋体" w:cs="宋体"/>
          <w:color w:val="auto"/>
          <w:sz w:val="24"/>
          <w:highlight w:val="none"/>
        </w:rPr>
        <w:t>该部分格式自拟</w:t>
      </w:r>
      <w:r>
        <w:rPr>
          <w:rFonts w:hint="eastAsia" w:hAnsi="宋体" w:cs="宋体"/>
          <w:color w:val="auto"/>
          <w:sz w:val="24"/>
          <w:highlight w:val="none"/>
          <w:lang w:eastAsia="zh-CN"/>
        </w:rPr>
        <w:t>）</w:t>
      </w:r>
      <w:bookmarkStart w:id="373" w:name="_Toc30734"/>
      <w:r>
        <w:rPr>
          <w:rFonts w:hint="eastAsia" w:hAnsi="宋体" w:cs="宋体"/>
          <w:color w:val="auto"/>
          <w:sz w:val="24"/>
          <w:highlight w:val="none"/>
          <w:lang w:eastAsia="zh-CN"/>
        </w:rPr>
        <w:br w:type="page"/>
      </w:r>
      <w:r>
        <w:rPr>
          <w:rFonts w:hint="eastAsia" w:ascii="宋体" w:hAnsi="宋体" w:cs="宋体"/>
          <w:b/>
          <w:bCs/>
          <w:color w:val="auto"/>
          <w:sz w:val="24"/>
          <w:highlight w:val="none"/>
          <w:lang w:eastAsia="zh-CN"/>
        </w:rPr>
        <w:t>附件</w:t>
      </w:r>
      <w:r>
        <w:rPr>
          <w:rFonts w:hint="eastAsia" w:ascii="宋体" w:hAnsi="宋体" w:cs="宋体"/>
          <w:b/>
          <w:bCs/>
          <w:color w:val="auto"/>
          <w:sz w:val="24"/>
          <w:highlight w:val="none"/>
          <w:lang w:val="en-US" w:eastAsia="zh-CN"/>
        </w:rPr>
        <w:t>1.</w:t>
      </w:r>
      <w:r>
        <w:rPr>
          <w:rFonts w:hint="eastAsia" w:ascii="宋体" w:hAnsi="宋体" w:eastAsia="宋体" w:cs="宋体"/>
          <w:b/>
          <w:bCs/>
          <w:color w:val="auto"/>
          <w:sz w:val="24"/>
          <w:highlight w:val="none"/>
        </w:rPr>
        <w:t>小微企业声明函（小微企业的提供）</w:t>
      </w:r>
      <w:bookmarkEnd w:id="373"/>
    </w:p>
    <w:p>
      <w:pPr>
        <w:spacing w:line="360" w:lineRule="auto"/>
        <w:rPr>
          <w:rFonts w:hint="eastAsia" w:ascii="宋体" w:hAnsi="宋体" w:eastAsia="宋体" w:cs="宋体"/>
          <w:color w:val="auto"/>
          <w:sz w:val="24"/>
          <w:highlight w:val="none"/>
        </w:rPr>
      </w:pPr>
    </w:p>
    <w:p>
      <w:pPr>
        <w:tabs>
          <w:tab w:val="left" w:pos="4860"/>
        </w:tabs>
        <w:spacing w:line="588" w:lineRule="exact"/>
        <w:ind w:right="1560" w:firstLine="562" w:firstLineChars="2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中小企业声明函（货物）</w:t>
      </w:r>
    </w:p>
    <w:p>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本公司郑重声明，根据《政府采购促进中小企业发展管理办法》（财库﹝2020﹞46 号）的规定，本公司参加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（单位名称）的</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（项目名称）采购活动，提供的货物全部由符合政策要求的中小企业制造。相关企业的具体情况如下：</w:t>
      </w:r>
    </w:p>
    <w:p>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（标的名称） ，属于</w:t>
      </w:r>
      <w:r>
        <w:rPr>
          <w:rFonts w:hint="eastAsia" w:ascii="宋体" w:hAnsi="宋体" w:eastAsia="宋体" w:cs="宋体"/>
          <w:bCs/>
          <w:color w:val="auto"/>
          <w:sz w:val="24"/>
          <w:highlight w:val="none"/>
          <w:u w:val="single"/>
        </w:rPr>
        <w:t xml:space="preserve">            （采购文件中明确的所属行业）</w:t>
      </w:r>
      <w:r>
        <w:rPr>
          <w:rFonts w:hint="eastAsia" w:ascii="宋体" w:hAnsi="宋体" w:eastAsia="宋体" w:cs="宋体"/>
          <w:bCs/>
          <w:color w:val="auto"/>
          <w:sz w:val="24"/>
          <w:highlight w:val="none"/>
        </w:rPr>
        <w:t>行业；制造商为</w:t>
      </w:r>
      <w:r>
        <w:rPr>
          <w:rFonts w:hint="eastAsia" w:ascii="宋体" w:hAnsi="宋体" w:eastAsia="宋体" w:cs="宋体"/>
          <w:bCs/>
          <w:color w:val="auto"/>
          <w:sz w:val="24"/>
          <w:highlight w:val="none"/>
          <w:u w:val="single"/>
        </w:rPr>
        <w:t xml:space="preserve">            （企业名称）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（中型企业、小型企业、微型企业）；</w:t>
      </w:r>
    </w:p>
    <w:p>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（标的名称） ，属于</w:t>
      </w:r>
      <w:r>
        <w:rPr>
          <w:rFonts w:hint="eastAsia" w:ascii="宋体" w:hAnsi="宋体" w:eastAsia="宋体" w:cs="宋体"/>
          <w:bCs/>
          <w:color w:val="auto"/>
          <w:sz w:val="24"/>
          <w:highlight w:val="none"/>
          <w:u w:val="single"/>
        </w:rPr>
        <w:t xml:space="preserve">            （采购文件中明确的所属行业）</w:t>
      </w:r>
      <w:r>
        <w:rPr>
          <w:rFonts w:hint="eastAsia" w:ascii="宋体" w:hAnsi="宋体" w:eastAsia="宋体" w:cs="宋体"/>
          <w:bCs/>
          <w:color w:val="auto"/>
          <w:sz w:val="24"/>
          <w:highlight w:val="none"/>
        </w:rPr>
        <w:t>行业；制造商为</w:t>
      </w:r>
      <w:r>
        <w:rPr>
          <w:rFonts w:hint="eastAsia" w:ascii="宋体" w:hAnsi="宋体" w:eastAsia="宋体" w:cs="宋体"/>
          <w:bCs/>
          <w:color w:val="auto"/>
          <w:sz w:val="24"/>
          <w:highlight w:val="none"/>
          <w:u w:val="single"/>
        </w:rPr>
        <w:t xml:space="preserve">            （企业名称）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（中型企业、小型企业、微型企业）；</w:t>
      </w:r>
    </w:p>
    <w:p>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本企业对上述声明内容的真实性负责。如有虚假，将依法承担相应责任。</w:t>
      </w:r>
    </w:p>
    <w:p>
      <w:pPr>
        <w:tabs>
          <w:tab w:val="left" w:pos="4860"/>
        </w:tabs>
        <w:spacing w:line="588" w:lineRule="exact"/>
        <w:ind w:right="1560"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企业名称(加盖供应商电子公章)：</w:t>
      </w:r>
    </w:p>
    <w:p>
      <w:pPr>
        <w:tabs>
          <w:tab w:val="left" w:pos="4860"/>
        </w:tabs>
        <w:spacing w:line="588" w:lineRule="exact"/>
        <w:ind w:right="1560"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 期：</w:t>
      </w:r>
    </w:p>
    <w:p>
      <w:pPr>
        <w:spacing w:line="360" w:lineRule="auto"/>
        <w:rPr>
          <w:rFonts w:hint="eastAsia" w:ascii="宋体" w:hAnsi="宋体" w:eastAsia="宋体" w:cs="宋体"/>
          <w:b/>
          <w:color w:val="auto"/>
          <w:sz w:val="24"/>
          <w:highlight w:val="none"/>
        </w:rPr>
      </w:pP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上表中从业人员、营业收入、资产总额填报</w:t>
      </w:r>
      <w:r>
        <w:rPr>
          <w:rFonts w:hint="eastAsia" w:ascii="宋体" w:hAnsi="宋体" w:eastAsia="宋体" w:cs="宋体"/>
          <w:b/>
          <w:color w:val="auto"/>
          <w:sz w:val="24"/>
          <w:szCs w:val="24"/>
          <w:highlight w:val="none"/>
          <w:u w:val="single"/>
        </w:rPr>
        <w:t>制造商</w:t>
      </w:r>
      <w:r>
        <w:rPr>
          <w:rFonts w:hint="eastAsia" w:ascii="宋体" w:hAnsi="宋体" w:eastAsia="宋体" w:cs="宋体"/>
          <w:b/>
          <w:color w:val="auto"/>
          <w:sz w:val="24"/>
          <w:szCs w:val="24"/>
          <w:highlight w:val="none"/>
          <w:u w:val="single"/>
          <w:lang w:eastAsia="zh-CN"/>
        </w:rPr>
        <w:t>（</w:t>
      </w:r>
      <w:r>
        <w:rPr>
          <w:rFonts w:hint="eastAsia" w:ascii="宋体" w:hAnsi="宋体" w:eastAsia="宋体" w:cs="宋体"/>
          <w:b/>
          <w:color w:val="auto"/>
          <w:sz w:val="24"/>
          <w:szCs w:val="24"/>
          <w:highlight w:val="none"/>
          <w:u w:val="single"/>
          <w:lang w:val="en-US" w:eastAsia="zh-CN"/>
        </w:rPr>
        <w:t>生厂厂商</w:t>
      </w:r>
      <w:r>
        <w:rPr>
          <w:rFonts w:hint="eastAsia" w:ascii="宋体" w:hAnsi="宋体" w:eastAsia="宋体" w:cs="宋体"/>
          <w:b/>
          <w:color w:val="auto"/>
          <w:sz w:val="24"/>
          <w:szCs w:val="24"/>
          <w:highlight w:val="none"/>
          <w:u w:val="single"/>
          <w:lang w:eastAsia="zh-CN"/>
        </w:rPr>
        <w:t>）</w:t>
      </w:r>
      <w:r>
        <w:rPr>
          <w:rFonts w:hint="eastAsia" w:ascii="宋体" w:hAnsi="宋体" w:eastAsia="宋体" w:cs="宋体"/>
          <w:b/>
          <w:color w:val="auto"/>
          <w:sz w:val="24"/>
          <w:szCs w:val="24"/>
          <w:highlight w:val="none"/>
        </w:rPr>
        <w:t>上一年度数据，无上一年度数据的新成立企业可不填报。</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u w:val="single"/>
        </w:rPr>
        <w:t>须提供制造商</w:t>
      </w:r>
      <w:r>
        <w:rPr>
          <w:rFonts w:hint="eastAsia" w:ascii="宋体" w:hAnsi="宋体" w:eastAsia="宋体" w:cs="宋体"/>
          <w:b/>
          <w:color w:val="auto"/>
          <w:sz w:val="24"/>
          <w:szCs w:val="24"/>
          <w:highlight w:val="none"/>
          <w:u w:val="single"/>
          <w:lang w:eastAsia="zh-CN"/>
        </w:rPr>
        <w:t>（</w:t>
      </w:r>
      <w:r>
        <w:rPr>
          <w:rFonts w:hint="eastAsia" w:ascii="宋体" w:hAnsi="宋体" w:eastAsia="宋体" w:cs="宋体"/>
          <w:b/>
          <w:color w:val="auto"/>
          <w:sz w:val="24"/>
          <w:szCs w:val="24"/>
          <w:highlight w:val="none"/>
          <w:u w:val="single"/>
          <w:lang w:val="en-US" w:eastAsia="zh-CN"/>
        </w:rPr>
        <w:t>生厂厂商</w:t>
      </w:r>
      <w:r>
        <w:rPr>
          <w:rFonts w:hint="eastAsia" w:ascii="宋体" w:hAnsi="宋体" w:eastAsia="宋体" w:cs="宋体"/>
          <w:b/>
          <w:color w:val="auto"/>
          <w:sz w:val="24"/>
          <w:szCs w:val="24"/>
          <w:highlight w:val="none"/>
          <w:u w:val="single"/>
          <w:lang w:eastAsia="zh-CN"/>
        </w:rPr>
        <w:t>）</w:t>
      </w:r>
      <w:r>
        <w:rPr>
          <w:rFonts w:hint="eastAsia" w:ascii="宋体" w:hAnsi="宋体" w:eastAsia="宋体" w:cs="宋体"/>
          <w:b/>
          <w:color w:val="auto"/>
          <w:sz w:val="24"/>
          <w:szCs w:val="24"/>
          <w:highlight w:val="none"/>
          <w:u w:val="single"/>
        </w:rPr>
        <w:t>的《中小企业声明函》</w:t>
      </w:r>
      <w:r>
        <w:rPr>
          <w:rFonts w:hint="eastAsia" w:ascii="宋体" w:hAnsi="宋体" w:eastAsia="宋体" w:cs="宋体"/>
          <w:b/>
          <w:color w:val="auto"/>
          <w:sz w:val="24"/>
          <w:szCs w:val="24"/>
          <w:highlight w:val="none"/>
        </w:rPr>
        <w:t>；</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3、投标人须核对《关于印发中小企业划型标准规定的通知》（工信部联企业〔2011〕300号）规定的中小企业划型标准，如实填写声明函。</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4、本项目标的所属《关于印发中小企业划型标准规定的通知》（工信部联企业〔2011〕300号）中所列：</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根据政府采购主管部门关于政府采购信息公示的相关要求，如中标单位为小型（或微型）企业，其投标文件中所提供的中小企业声明函需随中标结果一并公示，请各投标单位如实提供及填写本单位企业情况，如虚假填写的，将依法上报监督管理部门，追究其法律责任。</w:t>
      </w:r>
    </w:p>
    <w:p>
      <w:pPr>
        <w:spacing w:line="360" w:lineRule="auto"/>
        <w:ind w:firstLine="482" w:firstLineChars="200"/>
        <w:rPr>
          <w:rFonts w:hint="eastAsia" w:ascii="宋体" w:hAnsi="宋体" w:eastAsia="宋体" w:cs="宋体"/>
          <w:b/>
          <w:color w:val="auto"/>
          <w:sz w:val="24"/>
          <w:szCs w:val="24"/>
          <w:highlight w:val="none"/>
        </w:rPr>
      </w:pPr>
    </w:p>
    <w:p>
      <w:pPr>
        <w:pStyle w:val="11"/>
        <w:ind w:left="63" w:right="63"/>
        <w:rPr>
          <w:rFonts w:hint="eastAsia" w:ascii="宋体" w:hAnsi="宋体" w:eastAsia="宋体" w:cs="宋体"/>
          <w:color w:val="auto"/>
          <w:highlight w:val="none"/>
        </w:rPr>
      </w:pPr>
    </w:p>
    <w:p>
      <w:pPr>
        <w:numPr>
          <w:ilvl w:val="0"/>
          <w:numId w:val="0"/>
        </w:numPr>
        <w:spacing w:line="360" w:lineRule="auto"/>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bookmarkStart w:id="374" w:name="_Toc23708"/>
      <w:r>
        <w:rPr>
          <w:rFonts w:hint="eastAsia" w:ascii="宋体" w:hAnsi="宋体" w:eastAsia="宋体" w:cs="宋体"/>
          <w:b/>
          <w:bCs/>
          <w:color w:val="auto"/>
          <w:sz w:val="24"/>
          <w:highlight w:val="none"/>
          <w:lang w:eastAsia="zh-CN"/>
        </w:rPr>
        <w:t>附件</w:t>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监狱企业证明文件（监狱企业的提供）</w:t>
      </w:r>
      <w:bookmarkEnd w:id="374"/>
    </w:p>
    <w:p>
      <w:pPr>
        <w:spacing w:line="360" w:lineRule="auto"/>
        <w:jc w:val="center"/>
        <w:rPr>
          <w:rFonts w:hint="eastAsia" w:ascii="宋体" w:hAnsi="宋体" w:eastAsia="宋体" w:cs="宋体"/>
          <w:color w:val="auto"/>
          <w:sz w:val="24"/>
          <w:szCs w:val="24"/>
          <w:highlight w:val="none"/>
        </w:rPr>
      </w:pP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pPr>
        <w:spacing w:line="360" w:lineRule="auto"/>
        <w:jc w:val="center"/>
        <w:rPr>
          <w:rFonts w:hint="eastAsia" w:ascii="宋体" w:hAnsi="宋体" w:eastAsia="宋体" w:cs="宋体"/>
          <w:color w:val="auto"/>
          <w:sz w:val="24"/>
          <w:highlight w:val="none"/>
        </w:rPr>
      </w:pP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p>
    <w:p>
      <w:pPr>
        <w:numPr>
          <w:ilvl w:val="0"/>
          <w:numId w:val="0"/>
        </w:numPr>
        <w:spacing w:line="360" w:lineRule="auto"/>
        <w:jc w:val="left"/>
        <w:outlineLvl w:val="9"/>
        <w:rPr>
          <w:rFonts w:hint="eastAsia" w:ascii="宋体" w:hAnsi="宋体" w:eastAsia="宋体" w:cs="宋体"/>
          <w:b/>
          <w:bCs/>
          <w:color w:val="auto"/>
          <w:sz w:val="24"/>
          <w:szCs w:val="24"/>
          <w:highlight w:val="none"/>
        </w:rPr>
      </w:pPr>
      <w:bookmarkStart w:id="375" w:name="_Toc11091"/>
      <w:r>
        <w:rPr>
          <w:rFonts w:hint="eastAsia" w:ascii="宋体" w:hAnsi="宋体" w:cs="宋体"/>
          <w:b/>
          <w:bCs/>
          <w:color w:val="auto"/>
          <w:sz w:val="24"/>
          <w:szCs w:val="24"/>
          <w:highlight w:val="none"/>
          <w:lang w:eastAsia="zh-CN"/>
        </w:rPr>
        <w:t>附件</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残疾人福利性单位声明函（残疾人福利性单位提供）</w:t>
      </w:r>
      <w:bookmarkEnd w:id="375"/>
    </w:p>
    <w:p>
      <w:pPr>
        <w:ind w:left="1021"/>
        <w:jc w:val="center"/>
        <w:rPr>
          <w:rFonts w:hint="eastAsia" w:ascii="宋体" w:hAnsi="宋体" w:eastAsia="宋体" w:cs="宋体"/>
          <w:color w:val="auto"/>
          <w:spacing w:val="6"/>
          <w:sz w:val="24"/>
          <w:szCs w:val="24"/>
          <w:highlight w:val="none"/>
        </w:rPr>
      </w:pPr>
      <w:bookmarkStart w:id="376" w:name="_Toc8020"/>
      <w:bookmarkStart w:id="377" w:name="_Toc14437"/>
      <w:bookmarkStart w:id="378" w:name="_Toc2484"/>
      <w:bookmarkStart w:id="379" w:name="_Toc30279"/>
      <w:r>
        <w:rPr>
          <w:rFonts w:hint="eastAsia" w:ascii="宋体" w:hAnsi="宋体" w:eastAsia="宋体" w:cs="宋体"/>
          <w:b/>
          <w:color w:val="auto"/>
          <w:spacing w:val="6"/>
          <w:sz w:val="24"/>
          <w:szCs w:val="24"/>
          <w:highlight w:val="none"/>
        </w:rPr>
        <w:t>残疾人福利性单位声明函</w:t>
      </w:r>
      <w:bookmarkEnd w:id="376"/>
      <w:bookmarkEnd w:id="377"/>
      <w:bookmarkEnd w:id="378"/>
      <w:bookmarkEnd w:id="379"/>
    </w:p>
    <w:p>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〔2017〕 141</w:t>
      </w:r>
      <w:r>
        <w:rPr>
          <w:rFonts w:hint="eastAsia" w:ascii="宋体" w:hAnsi="宋体" w:eastAsia="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pPr>
        <w:spacing w:line="360" w:lineRule="auto"/>
        <w:ind w:firstLine="504" w:firstLineChars="200"/>
        <w:rPr>
          <w:rFonts w:hint="eastAsia" w:ascii="宋体" w:hAnsi="宋体" w:eastAsia="宋体" w:cs="宋体"/>
          <w:color w:val="auto"/>
          <w:spacing w:val="6"/>
          <w:sz w:val="24"/>
          <w:szCs w:val="24"/>
          <w:highlight w:val="none"/>
        </w:rPr>
      </w:pPr>
    </w:p>
    <w:p>
      <w:pPr>
        <w:spacing w:line="360" w:lineRule="auto"/>
        <w:ind w:firstLine="504" w:firstLineChars="200"/>
        <w:rPr>
          <w:rFonts w:hint="eastAsia" w:ascii="宋体" w:hAnsi="宋体" w:eastAsia="宋体" w:cs="宋体"/>
          <w:color w:val="auto"/>
          <w:spacing w:val="6"/>
          <w:sz w:val="24"/>
          <w:szCs w:val="24"/>
          <w:highlight w:val="none"/>
        </w:rPr>
      </w:pPr>
    </w:p>
    <w:p>
      <w:pPr>
        <w:tabs>
          <w:tab w:val="left" w:pos="4860"/>
        </w:tabs>
        <w:spacing w:line="588" w:lineRule="exact"/>
        <w:ind w:right="1560" w:firstLine="504" w:firstLineChars="20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w:t>
      </w:r>
      <w:bookmarkStart w:id="380" w:name="_Toc6443"/>
      <w:bookmarkStart w:id="381" w:name="_Toc3362"/>
      <w:bookmarkStart w:id="382" w:name="_Toc6936"/>
      <w:r>
        <w:rPr>
          <w:rFonts w:hint="eastAsia" w:ascii="宋体" w:hAnsi="宋体" w:eastAsia="宋体" w:cs="宋体"/>
          <w:color w:val="auto"/>
          <w:spacing w:val="6"/>
          <w:sz w:val="24"/>
          <w:szCs w:val="24"/>
          <w:highlight w:val="none"/>
        </w:rPr>
        <w:t>单位名称(加盖供应商电子公章)：</w:t>
      </w:r>
      <w:bookmarkEnd w:id="380"/>
      <w:bookmarkEnd w:id="381"/>
      <w:bookmarkEnd w:id="382"/>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 </w:t>
      </w:r>
    </w:p>
    <w:p>
      <w:pPr>
        <w:tabs>
          <w:tab w:val="left" w:pos="4860"/>
        </w:tabs>
        <w:spacing w:line="360" w:lineRule="auto"/>
        <w:ind w:right="1560" w:firstLine="504" w:firstLineChars="200"/>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w:t>
      </w:r>
      <w:bookmarkStart w:id="383" w:name="_Toc23045"/>
      <w:bookmarkStart w:id="384" w:name="_Toc14542"/>
      <w:bookmarkStart w:id="385" w:name="_Toc1718"/>
      <w:r>
        <w:rPr>
          <w:rFonts w:hint="eastAsia" w:ascii="宋体" w:hAnsi="宋体" w:eastAsia="宋体" w:cs="宋体"/>
          <w:color w:val="auto"/>
          <w:spacing w:val="6"/>
          <w:sz w:val="24"/>
          <w:szCs w:val="24"/>
          <w:highlight w:val="none"/>
        </w:rPr>
        <w:t>日   期：</w:t>
      </w:r>
      <w:bookmarkEnd w:id="383"/>
      <w:bookmarkEnd w:id="384"/>
      <w:bookmarkEnd w:id="385"/>
      <w:r>
        <w:rPr>
          <w:rFonts w:hint="eastAsia" w:ascii="宋体" w:hAnsi="宋体" w:eastAsia="宋体" w:cs="宋体"/>
          <w:color w:val="auto"/>
          <w:spacing w:val="6"/>
          <w:sz w:val="24"/>
          <w:szCs w:val="24"/>
          <w:highlight w:val="none"/>
          <w:u w:val="single"/>
        </w:rPr>
        <w:t xml:space="preserve">              </w:t>
      </w:r>
    </w:p>
    <w:p>
      <w:pPr>
        <w:spacing w:line="588" w:lineRule="exact"/>
        <w:rPr>
          <w:rFonts w:hint="eastAsia" w:ascii="宋体" w:hAnsi="宋体" w:eastAsia="宋体" w:cs="宋体"/>
          <w:color w:val="auto"/>
          <w:sz w:val="24"/>
          <w:szCs w:val="24"/>
          <w:highlight w:val="none"/>
        </w:rPr>
      </w:pPr>
    </w:p>
    <w:p>
      <w:pPr>
        <w:spacing w:line="588"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中标供应商为残疾人福利性单位的，其《残疾人福利性单位声明函》将随中标结果同时公告，接受社会监督。供应商提供的《残疾人福利性单位声明函》与事实不符的，依照《政府采购法》第七十七条第一款的规定追究法律责任。</w:t>
      </w:r>
    </w:p>
    <w:p>
      <w:pPr>
        <w:spacing w:line="360" w:lineRule="auto"/>
        <w:ind w:left="420" w:leftChars="200"/>
        <w:rPr>
          <w:rFonts w:hint="eastAsia" w:ascii="宋体" w:hAnsi="宋体" w:eastAsia="宋体" w:cs="宋体"/>
          <w:b/>
          <w:bCs/>
          <w:color w:val="auto"/>
          <w:sz w:val="24"/>
          <w:szCs w:val="24"/>
          <w:highlight w:val="none"/>
        </w:rPr>
      </w:pPr>
    </w:p>
    <w:p>
      <w:pPr>
        <w:spacing w:line="360" w:lineRule="auto"/>
        <w:rPr>
          <w:rFonts w:hint="eastAsia" w:ascii="宋体" w:hAnsi="宋体" w:eastAsia="宋体" w:cs="宋体"/>
          <w:b/>
          <w:bCs/>
          <w:color w:val="auto"/>
          <w:sz w:val="24"/>
          <w:highlight w:val="none"/>
        </w:rPr>
      </w:pPr>
    </w:p>
    <w:p>
      <w:pPr>
        <w:spacing w:line="360" w:lineRule="auto"/>
        <w:rPr>
          <w:rFonts w:hint="eastAsia" w:ascii="宋体" w:hAnsi="宋体" w:eastAsia="宋体" w:cs="宋体"/>
          <w:b/>
          <w:bCs/>
          <w:color w:val="auto"/>
          <w:sz w:val="24"/>
          <w:highlight w:val="none"/>
        </w:rPr>
      </w:pPr>
    </w:p>
    <w:p>
      <w:pPr>
        <w:spacing w:line="360" w:lineRule="auto"/>
        <w:rPr>
          <w:rFonts w:hint="eastAsia" w:ascii="宋体" w:hAnsi="宋体" w:eastAsia="宋体" w:cs="宋体"/>
          <w:b/>
          <w:bCs/>
          <w:color w:val="auto"/>
          <w:sz w:val="24"/>
          <w:highlight w:val="none"/>
        </w:rPr>
      </w:pPr>
    </w:p>
    <w:p>
      <w:pPr>
        <w:spacing w:line="360" w:lineRule="auto"/>
        <w:rPr>
          <w:rFonts w:hint="eastAsia" w:ascii="宋体" w:hAnsi="宋体" w:eastAsia="宋体" w:cs="宋体"/>
          <w:b/>
          <w:bCs/>
          <w:color w:val="auto"/>
          <w:sz w:val="24"/>
          <w:highlight w:val="none"/>
        </w:rPr>
      </w:pPr>
    </w:p>
    <w:p>
      <w:pPr>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0"/>
        <w:rPr>
          <w:rStyle w:val="48"/>
          <w:rFonts w:hint="eastAsia" w:ascii="宋体" w:hAnsi="宋体" w:eastAsia="宋体" w:cs="宋体"/>
          <w:color w:val="auto"/>
          <w:szCs w:val="24"/>
          <w:highlight w:val="none"/>
          <w:lang w:val="en-US" w:eastAsia="zh-CN" w:bidi="ar-SA"/>
        </w:rPr>
      </w:pPr>
      <w:bookmarkStart w:id="386" w:name="_Toc3959"/>
      <w:bookmarkStart w:id="387" w:name="_Toc678"/>
      <w:bookmarkStart w:id="388" w:name="_Toc21315"/>
      <w:bookmarkStart w:id="389" w:name="_Toc30669"/>
      <w:bookmarkStart w:id="390" w:name="_Toc2223"/>
      <w:bookmarkStart w:id="391" w:name="_Toc12928"/>
      <w:r>
        <w:rPr>
          <w:rStyle w:val="48"/>
          <w:rFonts w:hint="eastAsia" w:ascii="宋体" w:hAnsi="宋体" w:eastAsia="宋体" w:cs="宋体"/>
          <w:color w:val="auto"/>
          <w:szCs w:val="24"/>
          <w:highlight w:val="none"/>
          <w:lang w:val="en-US" w:eastAsia="zh-CN" w:bidi="ar-SA"/>
        </w:rPr>
        <w:br w:type="page"/>
      </w:r>
      <w:bookmarkStart w:id="392" w:name="_Toc6504"/>
      <w:r>
        <w:rPr>
          <w:rStyle w:val="48"/>
          <w:rFonts w:hint="eastAsia" w:ascii="宋体" w:hAnsi="宋体" w:eastAsia="宋体" w:cs="宋体"/>
          <w:color w:val="auto"/>
          <w:szCs w:val="24"/>
          <w:highlight w:val="none"/>
          <w:lang w:val="en-US" w:eastAsia="zh-CN" w:bidi="ar-SA"/>
        </w:rPr>
        <w:t>第六章</w:t>
      </w:r>
      <w:r>
        <w:rPr>
          <w:rStyle w:val="48"/>
          <w:rFonts w:hint="eastAsia" w:ascii="宋体" w:hAnsi="宋体" w:cs="宋体"/>
          <w:color w:val="auto"/>
          <w:szCs w:val="24"/>
          <w:highlight w:val="none"/>
          <w:lang w:val="en-US" w:eastAsia="zh-CN" w:bidi="ar-SA"/>
        </w:rPr>
        <w:t xml:space="preserve"> </w:t>
      </w:r>
      <w:r>
        <w:rPr>
          <w:rStyle w:val="48"/>
          <w:rFonts w:hint="eastAsia" w:ascii="宋体" w:hAnsi="宋体" w:eastAsia="宋体" w:cs="宋体"/>
          <w:color w:val="auto"/>
          <w:szCs w:val="24"/>
          <w:highlight w:val="none"/>
          <w:lang w:val="en-US" w:eastAsia="zh-CN" w:bidi="ar-SA"/>
        </w:rPr>
        <w:t>采购需求</w:t>
      </w:r>
      <w:bookmarkEnd w:id="386"/>
      <w:bookmarkEnd w:id="387"/>
      <w:bookmarkEnd w:id="388"/>
      <w:bookmarkEnd w:id="389"/>
      <w:bookmarkEnd w:id="390"/>
      <w:bookmarkEnd w:id="392"/>
    </w:p>
    <w:bookmarkEnd w:id="391"/>
    <w:tbl>
      <w:tblPr>
        <w:tblStyle w:val="31"/>
        <w:tblW w:w="1006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0"/>
        <w:gridCol w:w="517"/>
        <w:gridCol w:w="1112"/>
        <w:gridCol w:w="660"/>
        <w:gridCol w:w="675"/>
        <w:gridCol w:w="65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0069"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sz w:val="28"/>
                <w:szCs w:val="28"/>
                <w:u w:val="none"/>
              </w:rPr>
              <w:t>曲靖市消防救援支队2024年度支队集中采购器材装备项目</w:t>
            </w:r>
          </w:p>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b/>
                <w:bCs/>
                <w:i w:val="0"/>
                <w:iCs w:val="0"/>
                <w:color w:val="auto"/>
                <w:sz w:val="28"/>
                <w:szCs w:val="28"/>
                <w:u w:val="none"/>
                <w:lang w:val="en-US" w:eastAsia="zh-CN"/>
              </w:rPr>
              <w:t>1</w:t>
            </w:r>
            <w:r>
              <w:rPr>
                <w:rFonts w:hint="eastAsia" w:ascii="宋体" w:hAnsi="宋体" w:eastAsia="宋体" w:cs="宋体"/>
                <w:b/>
                <w:bCs/>
                <w:i w:val="0"/>
                <w:iCs w:val="0"/>
                <w:color w:val="auto"/>
                <w:sz w:val="28"/>
                <w:szCs w:val="28"/>
                <w:u w:val="none"/>
              </w:rPr>
              <w:t>标包项目明细表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0069"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项目名称</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主要性能参数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特种防护装备</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消防员隔热防护服</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157</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1.符合XF634-2015《消防员隔热服》要求</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 xml:space="preserve"> </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★2.分体式设计，有隔热上衣、隔热裤、隔热头罩，五指隔热手套以及隔热脚盖等组成。空呼外置式设计。</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3.外层：阻燃性能：损毁长度≤80mm，续燃时间0s。 </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4.断裂强力：经向≥400N；纬向：≥300N；撕破强力（经向）：≥100N。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5.剥离强力：经纬向剥离强力≥9N/30mm。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6.耐静水性能：耐静水压≥17kPa。</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7.整体抗辐射热渗透性能：在40kW/㎡辐射热源下，照射60s后，其内表面温升≤24℃。</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8.质量：≤6kg。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66"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消防员避火防护服</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1、符合XF 634-2015《消防员隔热防护服》和XF 633-2006《消防员抢险救援防护服装》标准</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2、组成：由防火外层、防隔热辐射层、防火棉布层、耐热防水透气层、舒适层、隔热防火层、纯棉衬里等面料组成</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3、组成部分：上衣，背带裤，防火手套，防火靴，大视野防紫外线头罩，空呼器背囊。可以在避火服内佩戴空气呼吸器。</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防火外层性能：</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4.阻燃性能（高温保护层）：</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5.续燃时间：≤0s，损毁长度：经向为≤15mm，纬向为≤15mm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6.撕破强力（面料）N:经向：≥86N，纬向：≥69N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7.整套服装重量：≤10kg</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二级化学防护服</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1.符合GB24539-2021《防护服装 化学防护服》标准要求。 </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2.主要结构特征：由连体服,防化手套,防化靴组成，具有阻燃、耐热老化、耐寒性能。 </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3.撕破强力：经向、纬向≥30N。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4.阻燃性能：有焰燃烧时间：≤10s，无焰燃烧时间：≤10s；损毁长度:≤10cm；耐热老化、耐寒性能。</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5.靴底耐穿刺性能≥900N。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6.电绝缘性能：击穿电压≥5000V。</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7.耐渗水性能：不渗透。</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8.全套质量: ≤5kg。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一级化学防护服</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1.符合GB24539-2021《防护服装 化学防护服》标准要求。 </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2.可内置空气呼吸器和无线通信系统。面屏为硬质透明材料，具有防割、防水雾、阻燃、耐热老化、耐寒等性能。</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3.撕破强力：经向、纬向≥50N。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4.阻燃性能:有焰燃烧时间≤10s；无焰燃烧时间≤10s。损毁长度:≤10cm。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5.靴底耐穿刺性能：≥1100N。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6.电绝缘性能：击穿电压≥5000V。</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7.整体性能：耐渗水。</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8.质量：≤8kg。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特级化学防护服</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1.符合GB24539-2021《防护服装 化学防护服》标准要求。</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2.全密封连体式结构，由带大视窗的连体头罩、化学防护服、正压式消防空气呼吸器背囊、化学防护靴、化学防护手套等组成。</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3.撕裂强力：≥100Ｎ。</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4.拉伸强度：≥18KＮ/m。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5.阻燃性能：续燃时间（有焰燃烧时间）≤5s。</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6.阴燃时间（无焰燃烧时间）≤5s且无熔滴。</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7.损毁长度≤5cm。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8.接缝强度≥300N。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9.化学防护靴的击穿电压不应小于5000V，且泄露电流应小于3mA。</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10.鞋底防穿刺≥1500N。</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11.防化手套：耐穿刺力≤22N，灵巧性能2级以上。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核沾染防护服</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1.适用环境轻度污染区及中度污染区，核气溶胶，放射性尘埃β，α射线，碘131，防粉尘、防磷本化学物。</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2.套件组成至少包括：Z2核防护服，防核全面罩，碘过滤盒2盒，15mil橡胶手套2双，防护靴，碘化钾片6片，辐射剂量仪，防核胶带，废物垃圾袋2个，便携包。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化学防护手套</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49</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1.符合GB24539-2021《防护服装 化学防护服》标准要求，提供经认证的检测机构出具的检验（检测）报告</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2.适用于消防员处置化学灾害事故现场作业时的手部和腕部防护</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3.性能要求：</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3.1阻燃、耐热、绝缘；</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3.2防水防酸、碱、盐及各种溶剂；</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3.3能有效抵御芳烃、卤代物、植物油、动物油、有机酸等各种有机物的危害；</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3.4耐穿刺力≥22N；</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3.5灵巧性能：实验条件下，抓取的测试棒最小直径为5mm，性能等级为5级；</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3.6耐寒性能：在≤-25℃温度下冷冻下5分钟，手套表面无裂纹；</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3.7耐老化性能：温度≥125℃的老化实验箱经24小时后手套表面无发粘、发脆现象。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内置劳动保护手套</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1.符合GB/T12624-2009《手部防护 通用技术条件测试方法》标准</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 xml:space="preserve">                                                                                                                                                                 2.适用消防员在可燃气体、粉尘、蒸汽等易燃易爆场所作业时手部防护</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3.材质：高密度棉纱</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4.手套灵巧性≥3级。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防高温手套</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1.符合GB/T 38306-2019《手部防护 防热伤害手套》标准</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2.用途：用于高温作业时手部的防护，具备隔热、耐高温、阻燃和手掌防切割、穿刺等性能。</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3.耐热温度＞450℃。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消防员防蜂服</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1.技术性能符合XF3008-2020《消防员防蜂服》标准要求</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2.主要部件：头罩 （带内置头盔）、护目镜、服装、运动式防蜂靴。头罩面网由成型不锈钢网制成，头罩面纱视野大，纱眼细小，具有耐折、耐压、回弹性好、通透舒适等特点，能很好地保护穿着者的面部。手套与服装一体式设计，防蛰刺效果好。运动式防蜂靴，轻便合脚舒适。</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3.整体抗穿刺性能：≥0.4N。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4.撕裂强力：≥60N。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5.外层面料耐磨性能：试样经100圈磨损后无破洞。 </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6.手套耐切割性能：≥2N。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7.靴子防滑性能：摩擦系数后跟向前滑动≥0.4、水平向前滑动≥0.4。</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8.靴底电绝缘性能：≥5000V。</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9.规格尺寸：S:165-170CM,M:170-175CM,L:175-180CM,XL:180-185CM。根据甲方需求供货。</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10.重量：整套防蜂服重量≤4.5kg。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电绝缘装具</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1.符合Q/321203CXA028-2002《电绝缘服》标准。</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2.高电压危险场所作业时的全身防护。</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3.具备阻燃、绝缘性能。</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4.由电绝缘帽、垫肩、上衣、裤子、手套、绝缘鞋组成。</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5.具备耐油、耐酸、耐臭氧和耐低温、强机械抗性能。</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6.整套服装耐直流电压≥5000V，交流≥1000V。</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防静电服</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技术性能符合 GB 12014-2009《防静电服》的标准要求</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2.可燃气体、粉尘、蒸汽等易燃易爆场所作业时的全身外层防护</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采用优质纯棉与金属化合物复合导电纤维交织而成，并经防静电助剂等特殊工艺技术处理</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具有较强防静电功效、能有效防阻高粉尘状态下带电粒子产生的静电</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5.具有吸湿、透气、舒适等特点</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6.服装带电电荷量：≤0.50μC/件</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7.衬里应采用防静电织物，非防静电织物的衣袋、加固布面积应小于防静电服内面积的20％</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8.服装接缝力≥100N</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消防阻燃毛衣</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58</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件</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技术性能符合XF1274-2015《消防员防护辅助装备阻燃毛衣》标准要求</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2.具有阻燃、保暖、轻便、舒适等性能</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采用阻燃腈纶、羊毛、导电纤维混纺面成</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4.辅料采用永久阻燃芳纶纤维面料，增加关键部位防磨和阻燃性能</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 xml:space="preserve">                                                                                                                                                                   5.阻燃要求：经火焰燃烧后直接炭化，无熔融滴落现象</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6.续燃时间：≤2s</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7.阴燃时间：≤0s</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8.尺寸型号：按照甲方要求供货。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消防员降温背心</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件</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符合XF1265－2015《蓄冷型消防员降温背心》的标准要求</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2.工作时间：≥3 小时</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整套装备质量≤2Kg</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4.面料阻燃性能：经、纬向损毁长度≤100mm,续燃时间0s</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5.面料断裂强力：经向≥350N，纬向≥350N</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6.面料撕破强力：经向≥50N，纬向≥30N</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7.面料热稳定性尺寸变化率：≤1.0%</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8.蓄冷剂相变热：≥200KJ/kg</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9.尺寸型号：按照甲方要求供货。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移动供气源</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1.符合XF124-2013《消防员正压式空气呼吸器》标准及XF1261-2015《长管空气呼吸器》标准。</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2.组成部分：气瓶、导气长管卷筒及携带箱、气源分配器、减压器、高压压力表、中压表、压力报警器、供气阀、全面罩及腰带等。</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3.可单人背负也可置于地面推行，便于行动。</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4.中压导管的总长≧50米（可根据需要调节长度）。</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5.面罩需防雾及硬化处理。</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6.供气阀可与面罩360度快速插接。</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7.具备高压报警功能。</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8.可同时供两人同时使用</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9.额定工作压力≥30MPa，报警压力4-6MPa。</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10.采用9L双瓶设计，碳纤维复合气瓶。</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11.使用过程中更换一只气瓶时，不影响另一只气瓶使用。</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12.气密性优良：在气密性能试验后，压力指示值在1 min内的下降不应大于2 MPa。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消防过滤式综合防毒面具</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1.符合GB2890-2009《呼吸防护自吸过滤式防毒面具》要求。</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2、全景式呼吸全面罩，内置式半面罩带有2个空气环流阀，防止面屏滑动，配有单向式呼气阀。5点式可快速调节头带，配一个滤罐，主体材料为橡胶。</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3、面罩阻燃性：续燃时间≤5s</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4、面罩呼气阀气密性：呼气阀动作气密性良好，当减压至-1180Pa时，全面罩呼气阀于45s内负压值下降≤500Pa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5、面罩对空气流的阻力：吸气阻力＜40Pa 呼气阻力＜100Pa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6、面罩观察眼窗：视物真实且有保明设施；镜片的透光率（透光比）≥85%</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7、面罩视野：（大眼窗）总视野≥70%，双目视野≥55%，下方视野≥35%；（双眼窗）总视野≥65%，双目视野≥25%，下方视野≥35%</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、面罩泄漏率：≤0、05%</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9、面罩死腔：≤1%。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消防用救生衣</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件</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1.采用固有浮力材料与充气气囊复合配置浮力的方式，固有浮力不小于75N，总浮力不小于150N。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2.救生衣上所配置的气胀式救生圈提供的浮力≥120N。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3.在安全气囊未充气状态下，救生衣在淡水中浸泡24h后，其浮力损失≤5%。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4.安全气囊充气后，救生衣在淡水中浸泡24h后，其浮力损失为≤3%。</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5.气胀式救生圈充气后在淡水中浸泡24h后,其浮力损失为≤2.5%。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6.在水中支持直立和后仰两种浮态。</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7.救生衣气囊手动充气时间不大于3秒。</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8.具有防止在水中窜动的裆带。</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9.配备示位灯、哨笛、包装袋等属具；配备不小于36g二氧化碳钢瓶至少6支。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2"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消防全身式安全吊带</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1.符合XF494-2004《消防用防坠落装备》标准要求，具有国家消防装备质量监督检验中心出具的检验报告</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用于消防员救援作业，后腰部位有3个器材挂环，单个承重≥15kg；配备5个吊挂点，5个吊挂点分别位于前胸部位、腰部前方、背部、腰部两侧，吊带有大、中、小三种尺寸型号可选，并备有1个专用存储袋，连体结构（带胸式上升器）</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3.设计负荷≥2.65kN，正立方向静负荷性能≥22 kN，倒立方向静负荷性能≥10 kN，水平方向静负荷性能≥10 kN，抗冲击性能冲击高度为≥1m，承重织带宽度不应小于40mm且不大于70mm,腰环尺寸70-130cm,脚环尺寸45-75cm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4.安全吊带上的带扣和调节装置滑移距离不应超过10mm，而且安全吊带不应出现影响其安全性的明显损伤；腿部固定带配有飞机扣设计。</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5.耐高温性能，安全吊带的织带和缝线不应出现熔融、焦化现象</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6.安全带的带扣的边角半径不应小于6mm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7.背部D环设计，配置1个安全背包。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4"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消防轻型安全绳</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符合XF 494-2004《消防用防坠落装备》标准</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2.安全绳的最小破断强度≥24KN</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3.当承重达到最小破断强度的10%时，安全绳的延伸率≤6.0%</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4.安全绳的直径≥9.5mm且＜12.5mm，长度20米</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5.经≥204℃±5℃的耐高温性能时，安全绳不会出现融熔、焦化现象</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消防通用安全绳</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1.符合XF 494-2004《消防用防坠落装备》标准</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2.直径：≥12.5mm且≤16.0mm，长度≥50米</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3.破断强度：≥40KN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★4.延伸率：当承重达到破断强度的10%时，安全绳的延伸率＞1%且＜10%</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5.耐高温性能：经≥（204±5）℃ 耐高温性能试验后，未出现熔融、焦化现象。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5"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消防防坠落辅助部件</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1.符合XF494-2004《消防用防坠落装备》的要求；</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配置：三段自锁D型安全钩≥2个，三段自锁O型安全钩≥2个，手式上升器≥1对，III类吊带（含胸式上升器）1套，脚式上升器≥1对，抓绳器≥1个，下降器≥1个，万向双滑轮≥1个，万向单滑轮≥1个，扁带环≥4个，救助手套≥1双，绳索保护套≥2个，绳包≥1个，器材包≥1个，静力绳≥1条，便携式固定装置≥1个；</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3.三段自锁D型安全钩：铝合金材质，长轴负重力：≥27kN；短轴负重力：≥8kN；闸门开度：≥15mm；闸门开启负重力：≥8kN；横向受力≥8kN；</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4.三段自锁O型安全钩：铝合金材质，负重力：≥27kN；闸门开度：≥15mm；闸门开启负重力：≥8kN；横向受力≥8kN；</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5.手式上升器：铝合金材质，左右手各1个手式上升器，配合用绳索直径不小于10.5毫米，握手处加塑，护手绝缘作用；                                                                                                                                        </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6.III类吊带（含胸式上升器）：符合GA494-2004《消防用防坠落装备》的标准要求；                                                              </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7.脚式上升器：左、右脚上升器各1个；高强度铝合金材料，棘牙为不锈钢。内含长≥12cm高强度织带，配合不小于10.5毫米单绳使用；</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8.抓绳器：开口式滑动导向防坠制动器，铝合金材质，可配合直径为10-16毫米的定位锚绳使用，双重关闭系统；                                                                                                                           </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9.下降器：铝合金材质，最大下降速度约为2米/秒，配合用绳索直径不小于10.5毫米；                                                                                                                                                  10.万向双滑轮：铝合金材质，断裂负荷不小于30KN，配合使用8-13毫米绳索；                                                                                                                                                           11.万向单滑轮：铝合金材质，断裂负荷不小于30KN，配合使用8-13毫米绳索；                                                                                                                                                                                                                                                                                                                    </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12.静力绳：聚酰胺材质，直径10.5毫米；两端带套管封口；抗破坏强度：≥30KN；延伸率：≤5%；长度：≥100米；</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13.扁带环：涤纶材质，静力强度≥22KN，规格：60cm/120cm各2个；                                                                                                                                                                14.救助手套：高品质专业绳索作业皮手套，具有超强耐磨性能，手背采用网状透气材料；                                                                                                                                                   15.绳包：具有袋口收紧功能，颜色根据招标人需求定制；                                                                                                                                                                         16.器材包：符合人体工程学的背带设计，缝制透气衬垫，提高穿着舒适度，配置方便的连接器安装系统，底部可拆卸；                                                                                                                     </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17.绳索保护套：采用牛皮制作，适用于绳索保护，防止绳索磨损；                                                                                                                                                                18.便携式固定装置：承载连接部件均应能承受≥13KN的符合且装置无故障；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手提式强光照明灯</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96</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盏</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1.总体性能符合《GB30734-2014消防员照明灯标准》的要求</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2.具有优良在恶劣环境适应能力，灯具在低温-25±2℃或者高温55±2℃持续2小时试验后，灯具应能正常进行开、关和强、弱光切换</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3.常温环境下，灯具带电端子与外壳间的绝缘电阻应不小于20MΩ,交变湿热后应不小于5MΩ（消防检测报告中有体现）</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4.灯具应能耐受频率为50 Hz±0.5 Hz，交流电压为500 V±50 V，历时60 s±5 s的耐电压试验。试验过程中，灯具不应出现表面飞弧和击穿现象。试验结束后，灯具应能正常进行开、关和强、弱光切换（消防检测报告中有体现）</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5.防爆执行标准符合GB3836.1-2010.GB3836.4-2010.GB12476.1-2013.GB12476.4-2010国家标准，防爆等级：Ex ib IIC T4 Gb/Ex ibD 21 T130℃（防爆检测报告内有体现）</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6.灯具外壳防护等级应满足GB4208-2008规定的≥IP66的要求</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7.灯具2m处光斑中心照度，强光平均值≥500lx，弱光平均值≥230lx；照射距离不小于200米</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8.充电孔和充电器：灯筒上应设计有通用Type-C充电口孔位，支持市场通用的USB接口充电;每个灯配备一个插头交直流转换器分离式结构充电器</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9.电源开关：为方便消防员戴手套按压开关，手提部位采用白色透明按钮式大开关设计，尾部红色方位灯用于方位指示</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10.额定功率为3W,电额定电压为DC3.7V，电池应采用可充电锂电池，额定容量不小于1.9Ah。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消防用荧光棒</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1.技术性能符合XF/T1428-2017《消防用荧光棒》标准，提供经认证的检测机构出具的检验（检测）报告</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2.适用于各种场合：户外救援、探险信号标识等等；一次性使用</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3.特点：小巧轻便 使用简单</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4.尺寸：≥30cm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5.发光时间≥1.5小时</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水域救援漂浮救生绳（100米）</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总体性能符合市场准入标准要求，提供国家专业机构检测报告。</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2.可漂浮于水面，标识明显反光处理，不吸水，拉力强，抗老化，防腐蚀，采用复合高强轻质纤维双层编织</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3.长度：≥100 米；直径：≥12mm</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4.断裂强度≥35kN</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5.当承重达到最小断裂强度的10%时，延伸率≥1%且＜10%</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水域救援个人携行包</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1.1680D尼龙防水+里布210DPU涂层；材料布料经过专业测试，横向拉力≥54kg,竖向拉力≥78kg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2.巨齿型防腐蚀塑钢拉链；采用箱包专用拉链，经过专业测试拉链使用次数不低于10000次</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3.可容纳整套潜水装备（气瓶除外）</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4.伸缩拉杆及大型PU轮，可拖可提方便运输</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5.容量：≥70L。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水域救援手套</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1.总体性能符合市场准入标准要求，提供国家专业机构检测报告。</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2.材质：氯丁橡胶，手指部分采用高强度耐磨材料。</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3.厚度：≥3MM具有保暖内衬。</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4.五指分离式结构，有弹性可紧贴手部，便于穿戴。灵巧性能大于等于3级。</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5.手套主体应做防水处理，具备防寒保暖性能。</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6.手掌和手指部位采用耐磨防滑设计。</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7.手腕为束紧设计，自动调节束紧，且能保证手腕的灵活度。</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8.手套袖筒长度应超出腕骨不少于25 mm，袖筒与干式水域救援服袖口宜做密封处理。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救生器材</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躯体固定气囊</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1.总体性能符合市场准入标准要求，提供国家专业机构检测报告。</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2.承重：≥130kg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3.躯体固定气囊外层材料采用阻燃材料，内衬高强离子，配有专用抽气筒</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4.尺寸：展开后≥2000mm×1000mm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5.可进行X光成像及磁共振检查</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6.抽气筒与装备连接部位设置掩藏式排气开关</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7.增加颈部固定。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肢体固定气囊</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1.总体性能符合市场准入标准要求，提供国家专业机构检测报告。</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2.分躯体、肢干、颈椎固定。</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3.表面织物为聚氯乙烯加以特殊涂层加工面成，内充物为无毒，无味聚苯乙烯高分子颗粒</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4.躯干脊椎尺寸≥970mm×600mm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5.上肢尺寸：≥400mm×350mm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6.下肢尺寸：≥700mm×510mm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7.可进行X光成像及磁共振检查。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消防过滤式自救呼吸器</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1.性能符合《消防过滤式自救呼吸器》GB21976.7-2012的要求。</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2.事故现场被救人员呼吸防护。</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3.携带型，防护时间≥30分钟。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救生照明线</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1.符合GB26783—2011《消防救生照明线》技术标准要求。</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2.救生照明线应由供电系统、发光线体、绕线转盘等组成。</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3.照明线长度≥100米，360度立体发光，在连续工作时间内，照明线的发光亮度应不小于10cd/平方米，闪烁型照明线闪烁频率应为1-2Hz，发光线使用时间：12小时（电池充满电） 发光线使用寿命：3000小时。</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照明线最少具备常亮或（和）闪亮2种模式，应配备能连接救生照明线的移动电源（锂电池），移动电源（锂电池），供电常亮模式下使用时间≥8小时，闪烁模式下使用时间≥16小时。移动电源（锂电池）应能显示电量、电压等信息，同时配备充电设备。</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救生照明线应采用卷盘固定，照明线与卷盘连接牢固，卷盘需设扶手便于收线，可以反复折叠弯曲，打结不影响发光性能；照明线线体质量不大于13kg。照明线应具有导向功能，线体每间隔2±0.1m应有一个清晰可见的方向标志。在连续工作时间内，照明线体表面温度不大于60摄氏度。救生照明线在60±2摄氏度的环境中连续工作2小时不得出现粘连、脆化现象，照明线应能正常工作。</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6.救生照明线部分线段短路故障时不能影响整条照明线的正常使用。</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7.反复折叠弯曲打结不影响发光性能。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折叠式担架</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副</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1.总体性能符合市场准入标准要求，提供国家专业机构检测报告。</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2.结构：框架采用优质铝合金材料，担架面是牛津布，轻便灵活</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3.可折叠带锁定装置，方便摆放，具备人员固定功能</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4.尺寸为≥180*50*15CM，承重≥150Kg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5.折叠后尺寸≤95*50*10CM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6.质量≤10Kg。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伤员固定抬板</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1.总体性能符合市场准入标准要求，提供国家专业机构检测报告。</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2.材质：PE塑料材质，坚固耐用</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3.抬板四周有提手扣，可提、抬、扛，配有4条卡扣式伤员固定带</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4.尺寸：不小于1800*440*60mm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5.承重：≥150kg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6.抬板质量：≤10kg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7.从4m高度自由落体不破裂，水中不下沉</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8.可以进行X光透视。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多功能担架</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副</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1.总体性能符合市场准入标准要求，提供国家专业机构检测报告。</w:t>
            </w:r>
          </w:p>
          <w:p>
            <w:pPr>
              <w:keepNext w:val="0"/>
              <w:keepLines w:val="0"/>
              <w:widowControl/>
              <w:suppressLineNumbers w:val="0"/>
              <w:spacing w:line="240" w:lineRule="auto"/>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2.材料：多功能担架采用特殊塑料复合而成</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spacing w:line="240" w:lineRule="auto"/>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3.规格：≥2400*800㎜</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spacing w:line="240" w:lineRule="auto"/>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4.颜色：橙色。</w:t>
            </w:r>
          </w:p>
          <w:p>
            <w:pPr>
              <w:keepNext w:val="0"/>
              <w:keepLines w:val="0"/>
              <w:widowControl/>
              <w:suppressLineNumbers w:val="0"/>
              <w:spacing w:line="240" w:lineRule="auto"/>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5.载重：≥150kg。</w:t>
            </w:r>
          </w:p>
          <w:p>
            <w:pPr>
              <w:keepNext w:val="0"/>
              <w:keepLines w:val="0"/>
              <w:widowControl/>
              <w:suppressLineNumbers w:val="0"/>
              <w:spacing w:line="240"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6.耐温：-20℃</w:t>
            </w:r>
            <w:r>
              <w:rPr>
                <w:rFonts w:hint="eastAsia" w:ascii="宋体" w:hAnsi="宋体" w:eastAsia="宋体" w:cs="宋体"/>
                <w:i w:val="0"/>
                <w:iCs w:val="0"/>
                <w:color w:val="auto"/>
                <w:kern w:val="0"/>
                <w:sz w:val="21"/>
                <w:szCs w:val="21"/>
                <w:u w:val="none"/>
                <w:lang w:val="en-US" w:eastAsia="zh-CN" w:bidi="ar"/>
              </w:rPr>
              <w:sym w:font="Symbol" w:char="007E"/>
            </w:r>
            <w:r>
              <w:rPr>
                <w:rFonts w:hint="eastAsia" w:ascii="宋体" w:hAnsi="宋体" w:eastAsia="宋体" w:cs="宋体"/>
                <w:i w:val="0"/>
                <w:iCs w:val="0"/>
                <w:color w:val="auto"/>
                <w:kern w:val="0"/>
                <w:sz w:val="21"/>
                <w:szCs w:val="21"/>
                <w:u w:val="none"/>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消防救生气垫</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1、符合XF631-2006《消防救生气垫》标准</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2、展开后长宽高：≥8m*6m*2.5m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3、面料耐磨、耐油。</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4、拉伸强度：≥20KN/m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5、耐老化性能：面料经热空气老化后，拉伸强度降低值≤35%；橡胶部件扯断强度降低值≤35%</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6、充气时间≤60s，补气时间≤30s</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7、减速度值：头部≤80g，胸部≤60g，骨盆≤60g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8、整体质量：≤90Kg。</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9、配备有充气装置。</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10、气垫八个顶角有固定绳索装置且有不少于10米φ10mm的绳索。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医药急救箱</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急救箱中包括：防水创可贴18个、医用酒精棉片10片、弹性绷带1条、医用胶带1卷、烧伤敷料3块、安全别针4个、三角巾1条、无菌纱布片11片、乳胶止血带2个、高分子急救夹板1个、医用剪刀1把、消毒喷雾1瓶、医用镊子1把、烧伤膏1瓶、一次性乳胶手套2双、带单向阀的人工呼吸面罩1个、应急手电筒1把、急救毯1条、急救产品说明书1本、急救手册1本。</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2.以上器材和物资符合国家相关技术标准。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气动起重气垫</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1.提供国家消防装备质量检验检测中心出具的检测报告</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2.气垫材质具备抗静电、抗裂、耐磨、耐油、抗老化和自熄灭特性</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3.每套包含球形起重气垫2块：1块最大举升力≥10T，最大举升高度≥210mm，1块最大举升力≥25T，最大举升高度≥360mm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4.配备1套减压器，1套操作控制仪，2根充气导管，每根≥5m，配有安全阀门的截流单元</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5.环境温度：-30℃～＋60℃。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救援支架</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副</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1.符合：XF3009-2020 《救援三脚架》标准，总体性能符合市场准入标准要求，提供国家专业机构检测报告。</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2.重量：≤25kg。</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3.使用拆卸式支架管组成，管径小于等于6cm，带快速式插拔插销方便调节固定支架高度和长度。</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4.使用无缝钛合金管制造，支架顶部为组合式结构，有扇形角度调节块可调节使用角度，扇形角度调节块内有孔洞设置，方便器材挂接和规定；支架底座有平角头和尖脚两种并能拆卸替换，平角头底座为万向结构，方便支架角度调节，平角头和尖脚有固定孔洞，用于支架之间互相连接稳定支架结构。 </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5.手持绞盘有自锁装置，分配防坠装备，长度≥30m。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2"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救生抛投器</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符合GB/T27906-2011《救生抛投器》标准，总体性能符合市场准入标准要求，提供国家专业机构检测报告。</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2.主要器材组成： </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基本发射组件1套，安全防护箱1套、底座1套、高尔夫携行包2个；</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陆用救援弹2个（内置250米6000N的拉力绳索），水用救援弹(内置遇水自动充气救生圈、100米6000N的拉力绳索）)2个，绳包2个（内置不少于2000米6000N的拉力绳索,2000米拉力绳共划分为十份，200米1份，总计10份）、训练弹1个、救援用发射导管2个、训练用发射导管1个；</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气瓶充绳器1套，收绳器1个，触发剂4个，水用保护套2套；</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0.8L气瓶1个，气瓶工作压力30Mpa；</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维修工具一套、装备使用密封圈2套。</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3.主要技术参数：</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（1）使用压缩空气，工作压力：≥6.5MPa，重量3KG（净重），抛射质量≥1.8KG，能连续发射≥6次；</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（2）抛射距离：水用时抛射自动充气救生圈距离≥120米，水用抛绳破断力≥6000N，陆用时抛射距离≥180米，陆用抛绳破断力为≥3000N；锚钩抛射距离≥80米；</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（3）陆用救援弹与水用救援弹采用高强度工程塑料为主材,弹体颜色易于识别的橙红色，固定尾翼内置铝合金骨架确保弹头飞行姿态稳定,弹头带发光器；</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（4）陆用救援弹、水用救援弹和自动充气救圈可重复使用,救援弹入水5秒内自动充气成为救生圈, 产生≥8公斤的浮力；</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（5）产品带有折叠枪托、前置握把，手把带有保险开关，配备斜度仪</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39</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机动橡皮舟（含舷外机）</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艘</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橡皮艇部分：</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1.应为本质防腐材料，具备较强耐磨、防撞、抗老化性能。船体材料撕裂强力≥75N，粘合强度≥40N/25mm，在—20℃~60℃工作温度范围内，保持其全部的使用性能。</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2.长度≥410cm，总宽≥175cm，舷直径≥45，气囊数≥8个，且均应设置安全阀，最大允许乘员数≥6人，最大装载能力≥800kg。结构：船底“V”型充气拉丝底板，M型艇底，配船底保护垫。</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3.采用充气式底板；艇身设有360度防撞弦，防撞弦以下部位采用耐磨材料或加装耐磨层。</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4.船艉板应设置有2个单向止回功能的泄水孔。</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5.船艉板应设置舷外机挂架护板，船艉板应有舷外机、油箱和拖船固定装置。船艇两侧应设有反光条。</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6.船身周围配有安全索，船艏应设置拖曳装置，艇的内外设置金属环≥8个。</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7.船艇静态稳定性应≤20°；船艇干舷高度≥300mm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8.配备船桨≥4个，舟艇维修工具包1个，翻舟绳2根，内含船艇修补工具、气瓶充气转换接头（可连接消防员正压式空气呼吸器气瓶）、充气压力显示表等。</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舷外机部分：</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1.配合橡皮艇作为动力使用。</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2.油箱24L以上。</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 2冲程，执行标准：GJB9001CC-2017标准。</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4.功率≥30马力，短轴。</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5.缸体2缸。</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6.冷却系统：水冷。</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7.启动方式：手起动。</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8.操控系统：操舵。</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9.润滑系统：汽油＆机油。</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10.配有舷外机装防护罩，并配备备用油箱1个、备用油管1根和维修工具包1个，内含螺丝刀、钳子、火花塞套筒、火花塞扳手、火花塞、打火绳等。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2"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敛尸袋</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1.尺寸：大于210*80cm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2.承重范围：60至150kg（正确使用操作内）</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3.材料规格：外层为覆膜专用无纺布，中间层为专用无纺布，内层为低密度高压聚乙烯材料，防水防漏</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4.外层底部特定位置设有捆系带和提手</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5.袋子正面上方设置透明标签袋放置标示卡，便于登记运输等操作。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41</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气垫船(橡皮艇)</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艘</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1.应为本质防腐材料，具备较强耐磨、防撞、抗老化性能。船体材料撕裂强力≥75N，粘合强度≥40N/25mm，在—20℃~60℃工作温度范围内，保持其全部的使用性能。</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★2.长度≥410cm，总宽≥175cm，舷直径≥45，气囊数≥8个，且均应设置安全阀，最大允许乘员数≥6人，最大装载能力≥800kg。结构：船底“V”型充气拉丝底板，M型艇底。</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3.采用充气式底板；艇身设有360度防撞弦，防撞弦以下部位采用耐磨材料或加装耐磨层。</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★4.船艉板应设置有2个单向止回功能的泄水孔。</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★5.船艉板应设置舷外机挂架护板，船艉板应有舷外机、油箱和拖船固定装置。船艇两侧应设有反光条。</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6.船身周围配有安全索，船艏应设置拖曳装置，艇的内外设置金属环≥8个。</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7.船艇静态稳定性应≤20°；船艇干舷高度≥300mm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8.配备船桨≥4个，舟艇维修工具包1个，翻舟绳2根，内含船艇修补工具、气瓶充气转换接头（可连接消防员正压式空气呼吸器气瓶），电动充气机、充气压力显示表等。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脚踏绳</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1.材质：大力马纤维，长度：≥143cm，调节长度：≥35cm-145cm，直径：≤6mm，重量：≤50g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2.可调节长度脚踏圈，连接多类上升器，脚底接触扁绳具有极高的抗磨损性同时具有一定硬度便于踩踏弹性带保证脚始终在环中</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3.可调节高度，所以适合所有类型的鞋子，同时方便储藏。卡扣可简单快速调节长度。</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4.承载力≥300kg。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43</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漂浮担架</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副</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1.充气方式分钢瓶充气与充气泵充气两种，在特别紧急情况下可直接拉动钢瓶，1min钟内成型；充气泵充气2min钟内成型</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2.材料采用TPU双面涂层布，强度高，气密性好</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3.充气担架设有把手及可调节紧固带，安全性高，适用于不同体型的人</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4.可承受150KG以上的重量</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5.充气担架长≥2m，宽≥0.7m，采用高强材料热合成型，可配备脚踏泵或储气钢瓶进行充气</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6.担架浮力：≥1600N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7.织带拉力：≥5000N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8.提手拉力：≥3000N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9.充气系统：手动充气装置/储气瓶充气</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10.气囊工作气压：15-20KPa。</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11.担架重量：≤3.4Kg</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锚点扁带</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1.认证：具备国际或国家级认证（如：EN、CE、GB）</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2.组成：由60cm，80cm，120cm，200cm扁带环各8条，共32条组成。</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3.扁带宽度：≤20mm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4.承载：≥20KN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5.断裂负荷：＞20kN</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绳索保护垫</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用于绳索救援和山岳救援时对绳索摩擦部位进行保护，避免绳索受损</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帆布和棉麻混纺材质，保证垫布耐磨性。</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垫布四个角有孔洞并用金属件套洞方便进行固定。</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厚度不小于4mm，长×宽：≥1*1m。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绳索保护器滑轮组</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1.认证：具备国际或国家级认证（如：EN、CE、GB）</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2.尺寸：≥39×12×5CM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3.重量：＜1000g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★4.结构设计：链条式设计（可级联），4角设置有系辅绳固定用挂点。收纳体积小，展开保护面积大；可组合不同长度，围柱，直角，斜坡等环境均适合使用</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★5.有效承重：≥320KG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★6.滚轮数：≥4，为轴承式结构。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47</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水域救援拦截网</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幅</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★1.规格：≥5米×1米。</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2.织带宽≥5cm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3.网孔：≤50×50mm。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4.适用缓流/急流。</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★5.最小断裂强度：≥14KN。</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6.带有连接扣锁≥9个</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★7.配有水面漂浮救援绳一根，长度≥20m，直径10.5mm~12mm，断裂强度≥22KN。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水域抛绳包</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1.绳包为桶型设计，表面带有网布，显著位置标有内置绳索长度。</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2.包内绳索长度≥20m、直径不应小于7 mm且不应大于9.5 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3.包内绳索破断强度≥13kn，漂浮时间≥48 h。</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4.绳索应为包芯绳结构，主承重部分应由连续纤维制成。</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5.绳包顶部带有收口设计，防止绳索散落，尾部带有排水孔。</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6.绳包应设有反光标志带，增加夜间可视性。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侦检器材</w:t>
            </w: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49</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有毒气体探测仪</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便携泵吸式检测仪，可在现场实时检测空气中的6种以上气体的浓度。</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2.测量范围：根据检测气体类型确定。</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3.LCD大屏幕同时显示四种气体检测浓度；自动校准和归零，低光/报警时自动背光。</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4.传感器：类型包括但不限于电化学、催化燃烧、红外、热导、PID光离子其中的一种，根据采购方需求配不同的传感器。报警指示：清晰地以听觉和视觉两种方式指示警报级别。</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5.视觉报警：闪烁的广角警报透镜和两个红色的LED警示灯和LCD读数及警报级别。听觉报警：距探测仪0.3米处高达95分贝的声脉冲。</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6.TWA/STEL：记录STEL和TWA暴露值显示。峰值：可按要求记录和显示气体的暴露峰值。报警设置：自动激活时显示或启动探测仪时显示。测试：启动时（自动）全功能自测试。</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7.一般规格：坚固的复合材料及完整的防冲击保护层。工作湿度：5%~95%RH(非冷凝)，工作温度：-20~+50℃，电池工作时间：16~18小时（两节NiMH充电电池），传感器使用寿命：CO/H2S，SO2，LEL≥3年 O2≥2年。使用方便、快捷、耐用、精确度高。</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8.本质防爆型，防爆等级≥ExibⅡB。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8"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可燃气体检测仪</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1、探测范围：可燃气</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2、检测原理： 使用电化学或催化燃烧、红外传感器的其中一种</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3、显示方式：彩色液晶屏显示或LCD显示屏</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4、测量范围：可燃气：0-100%LEL； O2:0-25%VOL； CH4:0-1000ppm；CO：0-500ppm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5、报警方式：声光报警，震动报警，声音≥70dB</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6、工作温度：≥-20℃-50℃</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7、气体采集形式：自吸式或扩散式</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8、具有国家防爆标志，本质安全防爆型</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9、防护等级：≥IP65。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51</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无线复合气体探测仪</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整套设备包含：复合气体探测仪（采集端）和无线接收终端</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（一）采集端</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★1.检测气体：O2、LEL、CO以及其他有毒可燃气体（H2S、HCN、SO2、Cl2、NH3），检测气体模块≥6类（中标后由需求方选定6类模块）；</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★2.采样方式：泵吸式；</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3.工作温度：-20℃~60℃</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4.工作时间：≥10小时；</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5.报警：具备声光报警功能，报警值可设置，同时具有默认数值。</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★6.信号传输：信号传输距离≥500m；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7.配有稳固检测仪的支架；</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8.探测头使用寿命≥2年，质保期内免费标定。</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9.防爆等级≥ExiaⅡCT4。</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10防护等级：≥IP68，提供防护等级证书。</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（二）接收端</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1.带有显示屏和操作按键可实时监测数据，下载和同步报警，屏幕分辨率≥1024*600P。</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2、数据储存。连续数据记录，可根据需要自行配置数据记录间隔，数据记录存储时间≥60天。</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3、提供权威机构出具的检测报告、产品防爆、防水合格证。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52</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消防用红外热像仪</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1.手持式设计，符合XF/t635-2006消防用红外热像仪标准</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2.探测器类型：长波红外非致冷焦平面阵列，免维护型</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3.温度测量范围：不低于-40℃~1200℃</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4.内置激光定位器，可以在屏幕上显示方向,激光指针可指示危险区域，图像冻结功能能够快速可靠地检查、核实难以进入的区域</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5.具有火场中全屏自动最高温及最低温指针搜寻模式，并同时显示最高及最低温度，便于火场中快速定位及冷热追踪</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6.分辨率≥384*288</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7.波长范围：8-14μm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8.热灵敏度：≤0.1℃（30℃时）</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9.电池：拆卸式可充电防爆锂电池，一用两备（共3块），单块电池使用时间＞4 小时</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10.存储卡≥32GB高速闪存卡，可存储不低于3000张照片和10小时视频；录像：可连续录制不低于4小时以上视频</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11.抗电磁干扰，防护等级≥IP67</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12.跌落性能≥检验报告1米</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13.高温环境工作时长：80℃时可工作≥30分钟，120℃可使用≥10分钟，260℃可使用≥5分钟</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14.设备集成了红外热像仪及智能侦检指挥终端，热像仪具备后场无线传输功能，热像仪主机可将热图无线传输到智能侦检指挥终端实时同步观测，以便于指挥员掌握现场的实时情况</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15.提供取得中国合格评定国家认可委员会（CNAS）认证认可或中国计量认证（CMA）的检测机构出具的检测报告</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16.增加图存影像功能</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17.显示屏分辨率： ≥ 640×480</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18.显示屏 ≥1.8英寸</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19.焦距 ≥6mm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20.测温精度 ±2%或±2℃。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53</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漏电探测仪</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件</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1.探测电压:120V/60Hz或220V/50Hz;7.2Kv/50Hz或15kV/50Hz</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 具有高灵敏度、低灵敏度和目标前置，可调灵敏度:≥2种</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3.信号指示:声、光</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4.测试频率大于等于20～100Hz区间</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5.电池寿命≥300h</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6.持续使用时间≥48h</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7.工作温度大于等于-20℃～50℃区间</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8.检测时无须接触电源，随着与漏电电源距离的接近，报警频率增加</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9.可探测安全距离范围内的交流泄漏电源，能迅速地找到漏电源头，及时离开危险区域或开展救援作业。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54</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测温仪</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测量范围：-30～1100℃</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测量精度：±1.5%或±1.5℃</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测量物距比：12:1</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响应时间：≤500ms</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具有高温/低温报警功能</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具有数据锁定和数据存储功能</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电池连续工作时间≥12h。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手持式声纳探测仪</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闻</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1.采用声纳技术和水下视频相结合方式，可同时显示声纳图像和视频图像</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2.声纳功率≥1000W</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3.使用温度：-15-+55℃</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4.水下声纳探测仪液晶屏尺寸≥9寸，高度≥1200Nits；声纳测深结构下扫≥90米，结构两侧扫≥180米，可视角度80度上/下、80度左/右</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5.水下视频生命探测仪液晶屏尺寸≥9寸，监控深度≥50米，可视距离15cm-60cm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6.电池续航时间≥25小时，外接直流电压12VAC可实现续航</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防水等级≥IPX6。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56</w:t>
            </w:r>
          </w:p>
        </w:tc>
        <w:tc>
          <w:tcPr>
            <w:tcW w:w="11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定位浮标</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5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1.浮标为柱状，配备定位线轮，线轮长度≥50m。</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2.快吹气嘴；吹饱后可按压吹嘴使其缩回隐藏</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3.内置单向阀，不易跑气</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4.底部有挂孔，可系绳连接潜水员，底部有沙孔，如有需要可灌沙，以达到不倒翁效果，保持柱体直立</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5.柱体直径≥10cm；长度≥100cm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6.外观颜色醒目。</w:t>
            </w:r>
          </w:p>
        </w:tc>
      </w:tr>
    </w:tbl>
    <w:p>
      <w:pPr>
        <w:keepNext w:val="0"/>
        <w:keepLines w:val="0"/>
        <w:widowControl/>
        <w:suppressLineNumbers w:val="0"/>
        <w:jc w:val="center"/>
        <w:textAlignment w:val="center"/>
        <w:rPr>
          <w:rFonts w:hint="default" w:ascii="方正黑体_GBK" w:hAnsi="方正黑体_GBK" w:eastAsia="方正黑体_GBK" w:cs="方正黑体_GBK"/>
          <w:i w:val="0"/>
          <w:iCs w:val="0"/>
          <w:color w:val="auto"/>
          <w:kern w:val="0"/>
          <w:sz w:val="32"/>
          <w:szCs w:val="32"/>
          <w:u w:val="none"/>
          <w:lang w:val="en-US" w:eastAsia="zh-CN" w:bidi="ar"/>
        </w:rPr>
      </w:pPr>
      <w:r>
        <w:rPr>
          <w:rFonts w:hint="default" w:ascii="方正黑体_GBK" w:hAnsi="方正黑体_GBK" w:eastAsia="方正黑体_GBK" w:cs="方正黑体_GBK"/>
          <w:i w:val="0"/>
          <w:iCs w:val="0"/>
          <w:color w:val="auto"/>
          <w:kern w:val="0"/>
          <w:sz w:val="32"/>
          <w:szCs w:val="32"/>
          <w:u w:val="none"/>
          <w:lang w:val="en-US" w:eastAsia="zh-CN" w:bidi="ar"/>
        </w:rPr>
        <w:br w:type="page"/>
      </w:r>
    </w:p>
    <w:p>
      <w:pPr>
        <w:keepNext w:val="0"/>
        <w:keepLines w:val="0"/>
        <w:widowControl/>
        <w:suppressLineNumbers w:val="0"/>
        <w:jc w:val="center"/>
        <w:textAlignment w:val="center"/>
        <w:rPr>
          <w:rFonts w:hint="default" w:ascii="方正黑体_GBK" w:hAnsi="方正黑体_GBK" w:eastAsia="方正黑体_GBK" w:cs="方正黑体_GBK"/>
          <w:i w:val="0"/>
          <w:iCs w:val="0"/>
          <w:color w:val="auto"/>
          <w:kern w:val="0"/>
          <w:sz w:val="32"/>
          <w:szCs w:val="32"/>
          <w:u w:val="none"/>
          <w:lang w:val="en-US" w:eastAsia="zh-CN" w:bidi="ar"/>
        </w:rPr>
      </w:pPr>
    </w:p>
    <w:tbl>
      <w:tblPr>
        <w:tblStyle w:val="31"/>
        <w:tblW w:w="1003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2"/>
        <w:gridCol w:w="708"/>
        <w:gridCol w:w="1256"/>
        <w:gridCol w:w="784"/>
        <w:gridCol w:w="756"/>
        <w:gridCol w:w="55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0036"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sz w:val="28"/>
                <w:szCs w:val="28"/>
                <w:u w:val="none"/>
              </w:rPr>
              <w:t>曲靖市消防救援支队2024年度支队集中采购器材装备项目</w:t>
            </w:r>
          </w:p>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b/>
                <w:bCs/>
                <w:i w:val="0"/>
                <w:iCs w:val="0"/>
                <w:color w:val="auto"/>
                <w:sz w:val="28"/>
                <w:szCs w:val="28"/>
                <w:u w:val="none"/>
                <w:lang w:val="en-US" w:eastAsia="zh-CN"/>
              </w:rPr>
              <w:t>3</w:t>
            </w:r>
            <w:r>
              <w:rPr>
                <w:rFonts w:hint="eastAsia" w:ascii="宋体" w:hAnsi="宋体" w:eastAsia="宋体" w:cs="宋体"/>
                <w:b/>
                <w:bCs/>
                <w:i w:val="0"/>
                <w:iCs w:val="0"/>
                <w:color w:val="auto"/>
                <w:sz w:val="28"/>
                <w:szCs w:val="28"/>
                <w:u w:val="none"/>
              </w:rPr>
              <w:t>标包项目明细表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0036"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项目名称</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5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主要性能参数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破拆器材</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手动破拆工具组</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符合行业标准</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2.组成：伸缩冲击臂、宽錾刀、尖凿、撬皮器、破锁拔钉器、十字头、接杆等</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3.冲击臂总长度：≥1100mm；收缩长度：≤720mm，冲击行程：≥420mm，重量：≤5.3kg</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4.宽錾刀：≥50mm：≥280mm，重量：≤1kg，可破碎混泥土</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5.尖凿长：≥380mm，重量：≤1.5kg，可用于在木板和铁皮上打孔</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6.破锁拔钉器长：≥160mm，重量：≤0.8kg，可用于拔出钉子</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7.撬皮器长：≥180mm，重量：≤0.8kg，可切割铁皮</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8.十字头长：≥120mm，重量：≤1kg，可用于撬起重物、打孔。</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9.材质要求：永不生锈，无镀层。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液压破拆工具组</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1.执行标准。整套重型液压破拆工具组（含动力源）必须符合GB/T17906-1999《液压破拆工具通用技术条件》标准。须提供国家消防装备质量监督检验中心或者应急管理部上海消防研究所出具的检测报告。</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配置要求。整套重型液压破拆工具组需包含不少于以下组件：剪断器、扩张器、撑顶器、剪扩器、液压机动泵、液压软管，动力源为液压机动泵，各部件为同一品牌产品，可配套使用；破拆工具的外表面应光滑平整，无毛刺及加工缺陷，金属表面应进行防锈处理。</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3.剪切器。</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★3.1 开口距离≥200mm；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★3.2 剪切圆钢直径≥40mm（环形刀口）；</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★3.3 剪切钢板厚度≥15mm（直形刀口）；</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★3.4 质量≤20kg；</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3.5 操控简单直观，把手处经防滑处理， 有明显的指示标志，配备肩带。</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4.扩张器。</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4.1 配备可快速更换扩张头，扩张臂内置防滑挤压板。</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★4.2 最小扩张力≥50KN；</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★4.3 扩张距离≥700mm；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★4.4 质量≤20kg；    </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 4.5 操控简单直观，把手处经防滑处理，有明显的指示标志，配备肩带。</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 5.撑顶器。</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 5.1 配备可快速更换的两端防滑齿；</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★5.2 顶杆两端的防滑齿可360°自由旋转；</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★5.3 一级顶撑行程≥370mm；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★5.4 二级顶撑行程≥350mm；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★5.5 一级撑顶力≥230KN；</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★5.6 二级撑顶力≥110KN；</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★5.7 质量≤21kg。</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5.8 操控简单直观，把手处经防滑处理，有明显的指示标志，配备肩带。</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6.剪扩器。</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6.1 配备可快速更换扩张挤压头；</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★6.2 剪切圆钢直径≥35mm；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★6.3 剪切板材厚度≥16mm；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★6.4 剪切开口距离≥320mm；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★6.5 最小扩张力≥35KN；</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★6.6 扩张距离≥360mm；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★6.7 质量≤15kg；</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6.8 操控简单直观，把手处经防滑处理，有明显的指示标志，配备肩带。</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7.动力源。</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7.1 为内燃机液压机动泵；</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★7.2 四冲程汽油机，油管接口形式为快速接口，可同时连接不少于两件工具同时使用；</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★7.3 可根据工作强度手动或自动调整发动机转速；</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7.4 内置型油箱，各部位操作标识采用直观的图标；</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★7.5 功率≥2.2KW；</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★7.4 额定工作压力≥70MPa；</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★7.5 2路同时输出时，每1路输出流量≥0.55L/min；</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★7.6 配备2条大于等于10米的液压油管，采用双油管单接口连接，液压管接口可旋转，可带压插拔；</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★7.7 重量≤33kg。</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8.标志包装。产品应设有铭牌，铭牌上字体应清晰并有以下标志: 产品名称、商标；产品型号；产品基本参数；制造日期、编号；厂名。产品包装箱应牢固可靠，并有防潮措施。包装箱上应标有产品名称、商标、产品型号、制造日期、生产厂名、厂址、 外形尺寸、净重、毛重及向上、防潮标志。包装箱内应附有产品说明书及产品合格证，产品说明书应有产品的主要技术参数、操作程序、注意事项、故障排除及维护保养等内容。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双轮异向切割锯</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1、符合相关标准要求</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2、主要用于钢材、钢管、电缆、铝材、木材、墙板、塑料、玻璃等材料的切割</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3、主要技术参数：</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3.1怠速≥2500rpm；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3.2空转最大转速≥12000rpm；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3.3功率≥3.5kw；</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3.4燃油油箱≥0.7L；</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3.5锯片直径≥315mm；</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3.6切割深度≥110mm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4、配备有专用工具箱、比例油桶、护目镜、防护手套、锯片等附件</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5、重量（不含锯片和燃油）≤16kg。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机动链锯</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1.组成：链条、机体、启动拉绳、油箱</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2.导板长度：≥330mm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3.功率：≥2.3kw</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4.标准怠速：2600-2800rpm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5.发动机最大转速：≥9000rpm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6.油箱容量：≥0.45L。</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7.产品要求：除标配2条链条外，增配原装5条链条。</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8.配备有专用工具箱、比例油桶、护目镜、防护手套等附件</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无齿锯</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1、符合GB32460-2015《消防应急救援装备破拆机具通用技术条件》标准要求</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2、组成：锯片、机体、启动拉绳、油箱</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3、锯片直径：≥400mm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4、切割深度：≥130mm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5、功率：≥5.5kw</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6、无负荷最大转速：≥9000rpm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7、油箱容量：≥0.7L</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8、机油容量：≥0.25L</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9、产品要求：标配1片混凝土锯片、1片砂轮锯片。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气动切割刀</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1.基本参数</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1.1破拆刀头数量≥4个</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1.2动力：高压空气</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1.3工作压力：≥5bar</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1.4破拆枪冲击频率：≥1500次/min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1.5破拆枪内径：≥1.8cm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1.6冲击距离≥8cm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2.破拆枪全长：≥230cm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3.配件：≥5米气管1根，减压阀1个，破拆枪1个，气瓶1个。</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4.符合国家相关技术标准，经检验合格产品。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凿岩机</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1.符合国家相关标准要求。</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2.机体内部采用活塞缓冲减震，整体采用弹性减震。</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3.采用二冲程或四冲程发动机，排量：≥180cc。</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★4.功率：≥2Kw。</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5.主机重量：≤30 kg（不含钻头等）。</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6.燃油消耗量：每小时≤2升。</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7.配备两种型号钻头。</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8.轻便一体机。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玻璃破碎器</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1.符合国家相关标准要求。</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产品包含不少于以下器材：玻璃切割机1台，玻璃切割片3片，充电式电钻1台，大理石玻璃钻头Ф100mm1个、Ф50mm3个、Ф25mm3个，玻璃强力钳1把，单爪玻璃吸盘1个，自控注油玻璃刀1个，金刚石玻璃圆锉1把（8×200mm），金刚石玻璃平锉1把（8×200mm），玻璃破碎锤1把，充电电池2块，充电器1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手持式钢筋速断器</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1.手持式钢筋速断器自带电池，把手处配有夜间照明LED灯，方便光线暗的场所使用。</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2.刀头：可360°旋转</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3.重 量（含电池及液压油）：≤15KG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4.剪切力：≥10T</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5.电池：充电锂电池</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6.充电时间：≤200分钟</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7.最大割切：≥22mm（圆钢）</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8.配件：主机1台、充电器1个、锂电池2块、工具袋1包、备用油壶1瓶，工具箱1个</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9.认证：具备国际或国家级认证（GB）</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5"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液压开门器</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1.主要用于卷帘门、金属防盗门的破拆作业。包括液压泵、开门器、小型扩张器、多功能撬棍等工具。其中开门器最大升限≥150mm，最大挺举力为≥60kN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2.手动液压泵：额定输出压力：≥60Mpa；额定输出流量≥0.8ml/次；液压油油箱容量≥2.0L;最大手柄力≤350N；质量≤4kg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3.微型扩张器：额定输出压力≥60Mpa；开启距离≥150mm；扩张力≥40KN；质量≤3.6kg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4.液压开门器： 额定分离力KN:≥60，闭合长度mm: ≥360，开启高度mm: ≥560，行程mm: ≥200，质量Kg:≤6.5；</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5.多功能撬棍：长度≥455mm质量≤2 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6.专用仪器储运箱，防水、防尘、防撞击。中文使用维护保养说明书</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7.提供相关检测报告复印件</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毁锁器</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充电式电钻速度：一级齿轮：0-450转/分；二级齿轮：0-1400转/分；三级齿轮：0-1800转/分</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最大钻距≥47牛顿/米；钻夹头≤13毫米；钢材/木材/混凝土最大钻孔能力分别为≥13/45/14毫米</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重量（不含电池组）≤2千克</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充电电池组：重量≤0.7千克；充电时间≤60分钟，充电器重量≤0.5千克。</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外包装尺寸≤660×500×210mm，毛量≤10千克。</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专用特种钻头螺丝，锁芯拔除器、锁芯切断器、换向扳手、专用电钻、电池、充电器、锁舌转换器、除锈润滑剂、定位器、辅助工具、可锁防水防尘工程塑料箱。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堵漏器材</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外封式堵漏袋</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1.用于管道、容器、油罐车或油槽车、油桶与储罐罐体 外部的堵漏作业；</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★2.外封式堵漏袋由高强度橡胶和增强材料复合制成，厚度小于15mm。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3.可封堵泄漏介质的最大压力应不小于0.15MPa。</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4、重量≤15kg，密封面积约500×300mm，1个带安全压力表的脚踏高压气泵。</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5、适用于在地形复杂的狭窄空间内密封直径在50~480mm的管道及圆形容器的裂缝。</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6、组件：堵漏袋一个、脚踏泵一套(带安全压力表)、充气软管一条、10m捆绑带（带有棘轮）、充气操控阀一套、放气阀一个、铝合金工具箱一只，配备可连接压缩空气瓶使用接口一个。                                                                                                                               7.认证：具备国际或国家级认证（GB）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捆绑式堵漏袋</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适用于管道堵漏、封堵管道裂缝。其肯有耐化学腐蚀、耐油性好，耐热性能稳定、抗老化、油罐车、液罐车及储存罐裂缝。捆绑式堵漏工具由高强度橡胶和增强材料复合制成，厚度小于15毫米，适用于封堵罐状类容器窄缝状裂口及孔洞。是消防抢险救援必备堵漏工具。</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适用封堵范围：Φ50㎜—Φ200㎜的管道，裂缝长度小于120㎜的容器，面积小于270㎜×370㎜的泄漏孔洞。</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工作压力：0.15—0.2Mpa</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系统压力：0.15Mpa</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环境温度：-30℃—+60℃</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充气时间：≤0.15S</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背压：0.15Mpa</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堵漏袋最大工作压力：0.2Mpa</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脚踏气泵最大工作压力：0.2Mpa</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长×宽：700×340mm（小）</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        1000×235mm（大）</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包装尺寸：75×44×21cm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金属堵漏套管</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本套工具是抢险堵漏的必备专用器材，具有管径适应范围广，堵漏面积大，安装便捷，重复使用，密封性能优良，耐震动等特点。用于各种金属管道裂缝的密封堵漏，每套不少于9种管径规格。</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1．适用管道直径：12-100mm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2．堵漏压力：2-5㎏f/cm2</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3．耐老化、耐油、耐弱酸弱减，适用温度：-20—+100℃</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4．用途：油、水、天然气、管线等。</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5.包装尺寸：610×415×220mm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装箱配置清单</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不锈钢板1/2″(13mm)  1个 105x80x0.5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不锈钢板3/4″(19mm)  1个 120x80x0.5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不锈钢板1″(25mm)     1个 140x80x0.5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密封垫1/2″(13mm)     1个 76x38x3</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密封垫3/4″(19mm)     1个 76x53x3</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密封垫1″(25mm)      1个 76x70x3</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固定架 17个 铸钢件</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锁紧架 17个 铸钢件</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六角螺母 17个 M10</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平垫圈     17个 10</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加强半圆头方颈螺栓 17个   M10x75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不锈钢板1-1/4″(32mm) 1个   156x156x0.5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不锈钢板1-1/2″(38mm) 1个   176x156x0.5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不锈钢板2″(51mm)     1个   200x156x0.5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不锈钢板2-1/2″(64mm) 1个  240x156x0.5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不锈钢板3″(76mm)     1个  280x156x0.5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不锈钢板3-1/2″(89mm) 1个  320x156x0.5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不锈钢板4″(102mm)     1个   360x156x0.5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密封垫1-1/4″(32mm)   1个  150x95x4.5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密封垫1-1/2″(38mm)  1个  150x112x4.5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密封垫2″(51mm)      1个  152x150x4.5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密封垫2-1/2″(64mm)     1个  192x150x4.5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密封垫3″(76mm)         1个  232x150x4.5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密封垫3-1/2″(89mm)     1个  272x150x4.5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密封垫4″(102mm)      1个  310x150x4.5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金属堵漏套管箱          1个  560x360x180</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可逆式棘轮扳手          1个  12.5x250</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手动套筒扳手套筒      1个  12.5x40-17</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双头呆扳手              1个  14x17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阀门堵漏套具</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可堵介质：液化气、石油、水、化学试剂等。温 度：-50摄氏度—+170摄氏度；压 力：-1.0 ∽ +1.2MPa。阀兰堵漏工具：直径95、105、115、135、145、160、180、195、200、230、250、270mm工具各一个。（12件/套）主要用途：阀门泄漏堵漏作业</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注入式堵漏工具</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注入式堵漏工具由手动高压泵、注胶枪及一组注胶接头组成。 </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注入式堵漏工具适用介质温度在-200至750℃、压力大于30MPa的泄漏。手动高压泵最高压力≥75MPa。</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注入式堵漏工具整套包含：孔径25mm自动注胶枪（枪膛19或25组合体），手动液压泵（附快速接头）、高压油管（附快速接头、60MPa防震压力表）1根、配套铁合金无火花材料制作的注射阀、换向接头、注射弯头、螺栓孔注胶螺母接头、专用注胶螺栓等26个配件，松锈剂、胶棒、ABS防爆塑料专用工具箱。 </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注入式堵漏工具工具包括：</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1、高压注胶枪≥1把，材质：合金钢</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2、堵漏胶（10支/盒）≥3盒，根据需求方订制</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3、手动高压油泵（附快速接头、60MPa防震压力表、表座接头）1台</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4、专用高压油管（附快速接头）≥1根</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5、旋塞阀（M12）≥4只，材质：合金钢</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6、角向接头（45°、90°）各≥1只，材质：合金钢</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7、注射弯头（M12）≥1只，材质：合金钢</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8、注胶螺母（M12、M14、M16、M18、M20、M22、M24各≥1只），材质：合金钢</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9、注胶螺杆（M12、M14、M16、M18、M20、M22、M24各≥1只），材质：不锈钢材质</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10、专用润滑松动喷剂≥1罐</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11、专用扳手≥1把</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12、便携式铝合金工具箱1只。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气动吸盘式堵漏器</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1.稍拱形与平滑结构的裂缝密封，不需拉伸带，用于油罐、液柜、大型容器与储油罐。</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2.直径≥50厘米，排流箱直径≥20厘米，最高真空操作压力≥6bar，操作压力≥1bar，需气≥200L/s，重量≤5.5kg。</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3.包括：吸盘一只、排流系统一套、真空系统一套、排流管一根、充气软管一根、铝合金工具箱一只。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无火花工具</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1.材质采用优质青铜材料。</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2.抗拉强度＞105kgf/mm2  硬度HRC≥35。</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3.全套含：管钳、克丝钳、锤子、防爆铲、F型扳手、活动扳手、梅花扳手、开口扳手、螺丝刀、锯子、錾子等不少于21件，铝合金工具箱包装。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输转器材</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防爆输转泵</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1.动力源为消防高压水源，安全防爆；</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2.工作压力：2~14 bar；</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3.最大流量≥15m³/h；</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4.最大输出压力（扬程）≥2bar；</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5.自吸高度≥5.5m；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6.持续工作时间：≥8小时 ；</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7.重量≤45kg；                                                                                                                                      ★8.产品具有第三方出具的防爆合格证，提供国家认可的检测机构出具的产品检测报告复印件。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消防水带</w:t>
            </w:r>
          </w:p>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（20型,65mm,彩色,20m,快口)</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GB6246-2011《有衬里消防水带性能要求和实验方法》标准。水带在端部附近中心线两侧有印产品名称、设计工作压力、规格（公称内径及长度）、经线、纬线及衬里材质、生产厂名、注册商标、生产日期。织物层编织均匀、表面整洁，无跳双径、断双径、跳纬及划伤。厚度均匀，表面光洁平整，无折皱和其他缺陷。聚氨脂材料制成。</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2.内径：63.5 mm±0.5mm。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3.长度：20m±0.5m。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3.单位长度质量：≤200g/m。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4.爆破压力≥7MPa。</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5.延伸率≤3%。</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6.膨胀率≤5%。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7.附着强度≥40N/25mm。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8.扯断伸长率≥300%。</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9.扯断强度≥26MPa。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消防水带</w:t>
            </w:r>
          </w:p>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（20型,80mm,彩色,20m,快口）</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符合GB6246-2011《有衬里消防水带性能要求和实验方法》标准。水带在端部附近中心线两侧有印产品名称、设计工作压力、规格（公称内径及长度）、经线、纬线及衬里材质、生产厂名、注册商标、生产日期。织物层编织均匀、表面整洁，无跳双径、断双径、跳纬及划伤。厚度均匀，表面光洁平整，无折皱和其他缺陷。</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内径：76.0mm±0.5mm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长度：20m±0.5mm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单位长度质量：250g/m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爆破压力≥7MPa</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延伸率≤7%</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膨胀率≤5%</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附着强度≥35N/25mm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扯断伸长率≥300%</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扯断强度≥25MPa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洗消器材</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公众洗消站</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主要构成：洗消帐篷、电动充排气泵、全自动洗消一体机（集供水、供压、升温、洗消液配比，排污于一体），暖风发生器、喷淋系统、洗消废水回收袋、自升式水袋等，各部件之间采用模块化装配与设计，可以快速的组建整套系统，所有管路配备统一快接接头，可临时相互转换，组建时间≤10分钟，帐篷面积≥30㎡。</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帐篷可分为双通道，帐篷内部安装洗消喷淋系统、进排水系统、照明系统。框架材料：PVC气柱，帐篷内供人员进行洗消喷淋，双通道设计。喷淋区设有药剂喷淋头≥6个及清水淋浴头≥2个，两路喷淋系统配合洗消水加热器独立运行。洗消加热器，流量：500 L/h、最高供水温度：60 ℃，出水流量：10～50L/min，工作压力≥120 bar，发热功率：≥85KW。排污泵，排污流量：≥50L/min，排污功率：≥1.2KW。</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3.洗消废水回收袋：配备进出水口，进水口能与排污泵快速连接使用。安全阀门方便废水的回收与排放，容量≥250L。</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4.自升式水袋：可与洗消供水泵快速连接使用，接头2卡式快速接头可直接对接供水泵，容量≥1000L</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5.管路连接：所有管路均为2卡式接头，无需多余的工具辅助连接。全部管路都可以自由对接。</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6.帐篷篷布材料断裂拉力为（径向≥2000N；纬向≥1200N），帐篷气柱材料断裂拉力为（径向≥3000N；纬向≥2500N）提供对应国家级检测中心检测报告。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照明排烟器材</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移动式排烟机</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 GB27901-2011《移动式消防排烟机》标准和要求</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2.主要用于灭火救援的排烟作业</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3.带双轮可推拉，方便消防人员灵活使用，风量调节器，可快速调节风机风向</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4.重量≤25KG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5.内燃机额定输出功率：≧2.5kw</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6.额定转速：≧3500r/min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7.额定风量≥9500m³/h</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8.低温启动：≤30s</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9.排烟管长度 ≥15m，共3节，单节≥5m。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移动照明灯组</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组</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1、光源：LED（≥2*60W） ；</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2、工作时间：泛光+聚光≥10h  聚光≥30h  泛光≥15h ； </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3、功能：聚光、泛光、喊话、红蓝警示光、扩音 ； </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4、升起高度：≥2.0m  ；</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5、防护等级：IP65；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移动发电机</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频率 50HZ</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额定电压 220V</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额定功率 ≥6.5KW</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最大功率 ≥7KW</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直流输出  12V</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额定电流  23A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相数   单相</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噪音水平(7M)  70</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起动方式  手启动/电启动</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油箱容积  25L</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净重(KG)＜ 85</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其他器材</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大流量移动消防炮</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u w:val="none"/>
                <w:lang w:val="en-US" w:eastAsia="zh-CN" w:bidi="ar"/>
              </w:rPr>
              <w:t>1. 遥控炮技术性能符合GB19156-2019《消防炮》标准。</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 遥控炮含炮头重量不超过35kg。</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 遥控炮可编程控制系统。可根据需要设定任意角度、任意范围、任意方式的自摆路径。</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u w:val="none"/>
                <w:lang w:val="en-US" w:eastAsia="zh-CN" w:bidi="ar"/>
              </w:rPr>
              <w:t>4. 遥控炮流量≥80L/s，射程≥90m，进水口≥3个。</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u w:val="none"/>
                <w:lang w:val="en-US" w:eastAsia="zh-CN" w:bidi="ar"/>
              </w:rPr>
              <w:t>5.遥控炮遥控距离≥200米。</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 360°可旋转进水口接头，防止水带打结。</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7.应设有四只可折叠支撑脚，拉开脚撑可定位作业，且脚撑拉开、折叠都应有弹簧卡扣定位。</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8.脚撑上都应装有防滑钨钢钉，防止水炮在作业过程中滑动，且钨钢钉内部应带有弹簧减震机构，在不平坦的路面上可自动调整。</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9.最大喷雾角度≥130°；水平旋转角度≥90°；最小仰角范围≥30°到80°。</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10.应设有自动排水阀门。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空气充填泵</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1、充气量:315 L/min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2、充气压力：225/300 bar</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3、尺 寸≤880×640×480mm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4、电 源：380VAC/50Hz</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5、功 率： 5.5~6.6kw</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6、可达压力330Bar(4700Psi)</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7、充气时间≤15min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8、符合 ISO3746 标准认定</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9、重 量≤110Kg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10、可同时充装气瓶数量≥2</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折叠式救援梯</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1.梯子全部打开长度≥7m；</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2.折叠长度≤1.5m；</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3.重量≤16kg；</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4.承载能力：最大负荷≥200Kg；</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5.材质：高强度铝合金。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消防机动泵</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发动机型式：单缸风冷四冲程汽油机</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启动方式：电启动/自回式手拉绳</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最大功率≥9.6KW(13马力)</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引水方式：旋片真空泵引水</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吸    深≥7m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最大流量≥13L/s</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额定压力：≥0.55Mpa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最大扬程≥70m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泵进水口：65mm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泵出水口：65mm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产品质量≤60kg</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高倍数泡沫发生器</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工作水压：0.3-1.0Mpa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发泡倍数：高倍</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混合比：6％</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驱动形式：水力驱动，叶轮数量≥4</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重量≤20公斤</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具有便携式把手</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多功能消防水枪</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1.符合《消防水枪GB 8181—2005》标准</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2.接口型式：KY65</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3.喷射方式：直流、开花、喷雾</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4.直流射程≥32m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5.喷射压力：0.60MPa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6.额定喷射压力0.60MPa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7.喷雾角最小调节范围：0-120°。</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8.铝合金材质，流量多档可调。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直流水枪</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1.符合《消防水枪GB 8181—2005》标准，铝合金材质</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2.进水口径65mm，出水口径19mm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3.直流射程≥28m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4.额定流量7.5±0.6L/s</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5.喷射压力：0.35MPa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6.带开关。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移动式细水雾灭火装置</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1.由气瓶、水箱、高压软管、可调枪头、背负系统、加强型背带等组成。</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2.产品重量≤20kg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3.灭火级别：可用于扑救A、B类火灾</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4.灭火介质：水或水与添加剂的混合溶液</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5.喷射距离：直流≥12m 喷雾≥7m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6.有效喷射时间≥40S</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7.水箱容积≥12L</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8.工作压力0.8MPA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9.储气瓶压力30MPA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10.气瓶容积≥6.8L，与消防员正压式空气呼吸器气瓶一致。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单兵图像传输设备</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  5G单兵图传</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1.1与DV配合，对灾害现场直播和视频采集场景；</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★1.2确保接入全国消防指挥视频调度系统，在全国消防指挥视频调度系统中实现音视频传输功能，可在综合图像平台中直接进行目录树中拖拉操作；</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1.3支持GB/T28181协议/RTMP/RTSP/Onvif标准流，可接入标准的第三方平台；</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1.4设备为视频编码设备，非 Android 手机类产品。支持H.265/H.264视频压缩格式，双流编码带宽自适应；</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1.5尺寸（mm，长*宽*高）≤ 150*90*60；重量≤ 0.7kg；</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1.6支持 OLED 状态显示屏，可显示系统工作状态、网络状态、定位信息、剩余电量、存储状态等，便于维护；</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1.7支持移动、联通、电信等运营商通信网络，支持双卡（1个5G全网通,1个4G全网通），支持Wifi通讯，支持扩展有线网卡；</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1.8支持并提供1个蓝牙耳机，可与蓝牙耳机配合实现无线对讲；</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★1.9视频接口支持1路HDMI 高清输入接口，支持1080P视频输入；</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1.10内置北斗定位模块，支持单北斗定位，提供地理定位信息；</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★1.11内置锂电池供电，连续工作时间≥6h；</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1.12网络适应性支持智能的动态码率调整；</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1.13兼容性：支持新购或已购的各类摄像机通过有线等方式接入；</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1.14配件要求（不低于以下标准）：安全箱×1，单兵背包×1，电源适配器和USB线×1，三脚架，带PPT功能按键的耳机×1，入耳式蓝牙耳机_蓝牙4.0×1，HDMI视频线×1，热靴支架×1，数据线×1，知名品牌20000mAh充电宝×1，TF卡≧128G×2，Type-C数据线1根（一端USB2.0接口，一端Type-C接口，线长1000±10mm（包含端子）。</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　高清摄像机</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2.1外观：尺寸≦170×170×335mm，重量≦2.85kg。</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2.2传感器类型：MOS，最大像素≥500万。</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2.3变焦比率 15≥倍光学变焦；</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2.4液晶屏尺寸：≥3英寸，16:9模式触摸屏</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2.5 焦距 f= 9.3-111.6mm；</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2.6 光圈 F2.8-F11自动/手动</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2.7 影像稳定器 位移镜头，开关可选，内置麦克风</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2.8 有效像素≥1400万像素，最高支持4K@25p视频录制；</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2.9 输出/输入 支持BNC、HDMI（A型）接口输出，图像兼容主流单兵图传设备；</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2.10 配件（交流适配器+交流电源线+可充电电池组+眼罩+遮光罩），配2张容量≧128GB高速SD卡，另配2块原装电池、1个携行包；</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★2.11机身上部自带固定安装卡槽，具备5G单兵图传上装功能。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中压分水器</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符合XF868-2010《分水器和集水器》标准要求。</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进水口</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（1）接口型式：卡式</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（2）公称通径：80mm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出水口</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（1）接口型式：卡式</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（2）公称通径：65×3mm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压力≥2.5MPa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开启力≤200N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质量≤8kg。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异型异径接口（套，含8个）</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满足GB12514.1-2005消防接口通用技术条件要求</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各类接口的基本尺寸应符合相应标准的要求。</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具有重量轻、强度高、耐腐蚀、连接灵活等特点</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工作压力1.6MPa。在1.5倍公称压力下，不应出现裂缝或断裂现象</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适用介质：水、泡沫混合液。</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应含80mm转65mm，卡式转内扣式。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消防水带带压堵漏装置</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1、符合国家相关标准要求。</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2、该套装置分为抽芯铆钉式和捆绑式堵漏装置，可针对不同尺寸的泄漏口进行封堵。</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3、装置包括抽芯铆钉式堵漏装置、捆绑式堵漏装置、标准金属锥和工具箱</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★4、小于6mm小孔使用抽芯铆钉式堵漏装置，＞6mm的泄漏口使用捆绑式堵漏装置。</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★5、抽芯铆钉式：</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5.1封堵压力：≤1.6MPa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5.2封堵孔洞尺寸：5mm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5.3封堵时间：≤10S</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6捆绑式水带堵漏装置：</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6.1封堵压力：≤1.6MPa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6.2封堵孔洞尺寸：≤8mm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6.3封堵时间：≤40S</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消防拉梯</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1.符合XF-137-2007标准</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2.工作长度：6000±200mm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3.收缩长度：3800±100mm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4.收缩厚度：140mm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5.收缩宽度：420mm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6.最小梯宽：300±3mm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7.梯蹬间距：280±2mm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8.水平弯曲残余变形比值：≤0.3%</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9.梯橙弯曲残余变形比值：≤0.16%</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10.侧摇摆曲残余变形比值:≤ 0.15%</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11.质量：不大于30kg；材质：竹制。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39</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消防用小型飞行器</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1.符合国家相关技术标准，经检验合格产品。</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2.飞行器平台：裸机重量≤950g，最大起飞重量≥1000g，采用耐高温材料，外部尽量没有可见线路，可搭载喊话器、照明灯等配件</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3.控制系统：满足自主导航、智能返航、全向感知避障，具备人工遥控、航线飞行等多种飞行模式</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4.安全性：具备在GPS信号丢失、控制失灵等情况下自动返航降落的功能</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5.抗风能力：≥6级</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6.最大飞行高度：≥1200m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7.最大飞行速度：≥15m/s</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8.带负载续航时间：≥40min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9.设备载荷能力：≥100g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10.工作温度：-10℃~+40℃</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11.挂舱：可根据需要扩展喊话、照明等模块</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12.云台：配备三轴机械云台，可搭载热成像相机、高清相机等</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13.图传模块：能通过Mesh、4G公网等网络将图像传输至后方指挥部图像综合管理平台，图像采用H.264编码方式，传输带宽≥10Mbps，最大能支持传输1080P@30帧码流视频图像，传输距离≥8km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14.高清相机：有效像素≥1000万，变焦倍率≥8倍，支持H.264编码，支持4K及FHD视频拍摄；相机存储容量≥64GB；热成像相机：支持点测温、区域测温，测试范围0℃ 至 500℃，测温精度±2℃ 或 ±2%；相机存储容量≥64GB</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15.喊话器：可储存多条语音，并支持自动循环播放。有效广播距离≥100m@70dB</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16.遥控器：遥控距离≥8km，机身自带电池，续航时间≥3h，机身存储容量≥32GB，能在线监视无人机飞行期间的卫星信号状况、飞行高度、飞行速度和告警信息、电池余量、相机画面等；支持一建全景、建图航拍；支持HDMI信号输出，视频兼容现有图传设备</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17.配件：包含硬质手提箱，具有防水、防尘功能、抗跌落冲击等功能，能够同时容纳飞行器、遥控器、备用电池、便携充电器等；包含备用电池及专用充电器，备用电池数量≥4块（含4块）；专用螺旋桨≥5对。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自选器材</w:t>
            </w: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浮艇泵</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额定工作压力0.4MPa。</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额定流量≥12.5L/ s 。</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额定扬程≥40m。</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进水口径≥80mm，出水口径≥65mm。出水口为卡式雌接口。</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整机重量≤30kg。</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发动机最大功率≥6kw。</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启动性能≤15s</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41</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森林消防泵</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1、需提供国家级检验报告；</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2、整机质量：≤15kg；</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3、发动机：两冲程；</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4、启动方式：手/电启动；</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5、泵体类型：三级离心泵；</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6、额定流量：180L/min，额定压力：≥0.7MPa；</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7、引水时间：≤30s；</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8、连续工作时间≥7h，泵体在横向、纵向倾斜25°的条件下，连续运转1h，泵体正常工作；</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9、最大扬程≥150m；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10、吸水口直径≥2寸，出水口直径≥1.5寸；</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11、整套配水带100米，主机1台，枪头1个，吸水管1根，维修工具1套、水带修补环1套，止水钳子2个、扳手2个、快速 接头2个、止回式底阀与滤器1个。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轻型消防水炮</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射流形式：直流</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 xml:space="preserve">流量≥25L/S。 </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喷射额定工作压力≥0.8MPA。</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 xml:space="preserve">射程≥30m。 </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炮整体重量≤6kg。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43</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挂钩梯</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1.工作长度4±0.1m，最小梯宽250±1mm，梯蹬间距340±1mm，整梯质量≤8.5kg。</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2.水平弯曲出残余变形比值（%）：≤0.20，梯蹬弯曲出残余变形比值（%）：≤0.25。</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3.材质：铝合金</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分水器（65mm转40mm）</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工作压力和耐压强度：分水器阀体具有2.5MPa工作压力强度和最高6.0MPa爆破压力强度，无出现断裂、漏水或脱扣等问题，保障了分水器在高压条件下的安全可靠性。</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整体重量：4.0kg，适中的重量有助于操作稳定性和携带便利性。</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防自锁装置：手柄底部装置有锁止机构，以防止在高压过水使球阀形成涡流阀球自动关闭</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稳流装置：进水口位置增设稳流装置，有助于减轻分水器后座力，保持分水器在高压过水无腾空现象并防止前后移动。此外，分水器进水方向设计无阻力，确保分水器过水面光滑无阻塞，有利于高压水流迅速通过。</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附加功能：分水器装置压力表用于及时了解各分线的水压情况，以保障枪炮的稳定供压。</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旋转功能：雄进水口增设360度旋转功能，防止水带扭曲打结，减少分水器侧翻和过水带阻力。这有助于保持分水器的稳定性和高效性</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阀门开启力（N）≤85</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分水器（80mm转65mm）</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工作压力和耐压强度：分水器阀体具有2.5MPa工作压力强度和最高6.0MPa爆破压力强度，无出现断裂、漏水或脱扣等问题，保障了分水器在高压条件下的安全可靠性。</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整体重量：4.0kg，适中的重量有助于操作稳定性和携带便利性。</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防自锁装置：手柄底部装置有锁止机构，以防止在高压过水使球阀形成涡流阀球自动关闭</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稳流装置：进水口位置增设稳流装置，有助于减轻分水器后座力，保持分水器在高压过水无腾空现象并防止前后移动。此外，分水器进水方向设计无阻力，确保分水器过水面光滑无阻塞，有利于高压水流迅速通过。</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旋转功能：雄进水口增设360度旋转功能，防止水带扭曲打结，减少分水器侧翻和过水带阻力。这有助于保持分水器的稳定性和高效性</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阀门开启力（N）≤85</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二分水器</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工作压力和耐压强度：分水器阀体具有2.5MPa工作压力强度和最高6.0MPa爆破压力强度，无出现断裂、漏水或脱扣等问题，保障了分水器在高压条件下的安全可靠性。</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整体重量：3.0kg，适中的重量有助于操作稳定性和携带便利性。</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附加功能：分水器装置压力表用于及时了解各分线的水压情况，以保障枪炮的稳定供压。</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稳流装置：进水口位置增设稳流装置，有助于减轻分水器后座力，保持分水器在高压过水无腾空现象并防止前后移动。此外，分水器进水方向设计无阻力，确保分水器过水面光滑无阻塞，有利于高压水流迅速通过。</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阀门开启力（N）≤110</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47</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止水器</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1、符合标准：产品符合GA868-2010标准，接口、手柄采用铝镁合金材质，表面需做防腐工艺处理，球体采用铜合金材质，公口增设360旋转功能，防止水带打结。</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2、工作压力：≥2.5Mpa</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3、重量≤1.5KG</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4、阀门开启力≤80N</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5、阀门通孔直径：≥55mm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6、快插式接口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砂轮锯片</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片</w:t>
            </w:r>
          </w:p>
        </w:tc>
        <w:tc>
          <w:tcPr>
            <w:tcW w:w="5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规格型号：锯片直径≥350mm,孔径≥25.4mm，双层网格防爆裂。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49</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金刚石锯片</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片</w:t>
            </w:r>
          </w:p>
        </w:tc>
        <w:tc>
          <w:tcPr>
            <w:tcW w:w="5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锯片直径400mm。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泡沫钩管</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1.泡沫溶液流量≥16L/S</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2.泡沫倍数：低倍</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3.五节变径。</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4.快速接口（公口）</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51</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泡沫管枪</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 xml:space="preserve">混合比：6% </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额定工作压力:0.8MPa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额定流量:16L/s</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发泡倍数:低倍</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快速接口（公口）</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52</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水带挂钩</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1.挂钩总长度：80cm±5cm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2.拉力≥300斤</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3.重量≤450g</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53</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训练假人</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重量：60kg。</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表面材质：为硬质双层PU材料，硬体、带四肢</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高度：1.70m左右</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材质:双层加厚皮革内衬牛津布，具有一定防水性，耐磨抗撕裂</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固定装置：整体贯穿拉力织带加牢加固，填充裁剪碎布和负重小沙包</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54</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速差器</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1、重量≤15kg。 </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 xml:space="preserve">2、承重≥150kg  </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3、钢绳长度≥25m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4、拉力大于等于8900N</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5、绳索材质≥3.2mm（钢丝）</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6、锁止临界速度：≤1m/s;锁止距离≤0.2m；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7、符合标准：GB24544-2009；CE EN360:2002.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AED</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1．采用单相波或双相波技术</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2．支持成人和小孩模式</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3．输出能量：成人最大除颤能量≥200J</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4．整机重量≤5kg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5．防尘防水级别不低于IP24</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56</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4米短绳</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材质:杜邦丝尼龙，锦纶材质</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强度和耐久性： 救援用动力绳通常采用高强度的材料制成，如聚酯纤维、尼龙等，以确保在救援过程中承受较大的拉力和重量。这使得绳索具有耐久性，能够在恶劣环境中使用。</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伸缩性：动力绳通常具有一定的伸缩性，这有助于吸收冲击力，减轻突然施加在绳索上的压力，保护救援人员和受援者的安全。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57</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消防水带</w:t>
            </w:r>
          </w:p>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（20型，40mm，30m，快口）</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水带编织层:涤纶材料，斜纹环形编织而成，编织均匀、无跳双经、断双经、跳纬及划伤、无折皱等特点</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内衬材料：聚氨酯。具有耐高压、耐油、耐腐蚀、耐磨损、不渗水、不霉变、特别轻、使用柔软方便易卷缠、表面光滑平整</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水带长度：30m±0.5m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标准工作压力≥2.0MPa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爆破压力≥5.20MPa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轴向延伸率≤0.8％</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直径膨胀率≤2％</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58</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多功能消防水枪（40mm）</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射程≥22m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额定喷射压力≥0.6MPa</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水枪流量≥1L/s，流量充许误差±8% 以内</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开花水流要求；开花水流应无明显的不均匀。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59</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转换接口（65mm转40mm）</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弹簧疲劳寿命不低于10000次</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表面金色氧化，耐腐蚀性好</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 xml:space="preserve">. </w:t>
            </w:r>
            <w:r>
              <w:rPr>
                <w:rFonts w:hint="eastAsia" w:ascii="宋体" w:hAnsi="宋体" w:eastAsia="宋体" w:cs="宋体"/>
                <w:i w:val="0"/>
                <w:iCs w:val="0"/>
                <w:color w:val="auto"/>
                <w:kern w:val="0"/>
                <w:sz w:val="21"/>
                <w:szCs w:val="21"/>
                <w:u w:val="none"/>
                <w:lang w:val="en-US" w:eastAsia="zh-CN" w:bidi="ar"/>
              </w:rPr>
              <w:t>1.5米高自由落下5次，无损坏</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 xml:space="preserve">. </w:t>
            </w:r>
            <w:r>
              <w:rPr>
                <w:rFonts w:hint="eastAsia" w:ascii="宋体" w:hAnsi="宋体" w:eastAsia="宋体" w:cs="宋体"/>
                <w:i w:val="0"/>
                <w:iCs w:val="0"/>
                <w:color w:val="auto"/>
                <w:kern w:val="0"/>
                <w:sz w:val="21"/>
                <w:szCs w:val="21"/>
                <w:u w:val="none"/>
                <w:lang w:val="en-US" w:eastAsia="zh-CN" w:bidi="ar"/>
              </w:rPr>
              <w:t>1.5倍公称压力水压下无可见裂缝或断裂，试验后正常操作</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 xml:space="preserve">. </w:t>
            </w:r>
            <w:r>
              <w:rPr>
                <w:rFonts w:hint="eastAsia" w:ascii="宋体" w:hAnsi="宋体" w:eastAsia="宋体" w:cs="宋体"/>
                <w:i w:val="0"/>
                <w:iCs w:val="0"/>
                <w:color w:val="auto"/>
                <w:kern w:val="0"/>
                <w:sz w:val="21"/>
                <w:szCs w:val="21"/>
                <w:u w:val="none"/>
                <w:lang w:val="en-US" w:eastAsia="zh-CN" w:bidi="ar"/>
              </w:rPr>
              <w:t>0.30MPa水压下不渗漏。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船型担架</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副</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1.主要功能：高空绳索调运和山地转运伤员。</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2.整体要求：船型结构，工程塑料+不锈钢材质；担架底部配置伤员隔离减震垫；担架内配置固定带和快速提升带。</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★3.最大承重量：≥150 kg，</w:t>
            </w:r>
            <w:r>
              <w:rPr>
                <w:rFonts w:hint="eastAsia" w:ascii="宋体" w:hAnsi="宋体" w:cs="宋体"/>
                <w:i w:val="0"/>
                <w:iCs w:val="0"/>
                <w:color w:val="auto"/>
                <w:kern w:val="0"/>
                <w:sz w:val="21"/>
                <w:szCs w:val="21"/>
                <w:u w:val="none"/>
                <w:lang w:val="en-US" w:eastAsia="zh-CN" w:bidi="ar"/>
              </w:rPr>
              <w:t>净</w:t>
            </w:r>
            <w:r>
              <w:rPr>
                <w:rFonts w:hint="eastAsia" w:ascii="宋体" w:hAnsi="宋体" w:eastAsia="宋体" w:cs="宋体"/>
                <w:i w:val="0"/>
                <w:iCs w:val="0"/>
                <w:color w:val="auto"/>
                <w:kern w:val="0"/>
                <w:sz w:val="21"/>
                <w:szCs w:val="21"/>
                <w:u w:val="none"/>
                <w:lang w:val="en-US" w:eastAsia="zh-CN" w:bidi="ar"/>
              </w:rPr>
              <w:t>重量≤15kg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4.固定点≥5个，单个承重重量≥150kg。</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其他要求：具有防火、耐磨损和防腐蚀功能；配可调节脚部安全机械装置，安全带等。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61</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冲锋衣裤</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仿棉感聚酯纤维纱线织造,斜纹结构,表面细腻,背面复合防水膜,防水达1000OM,持久防泼水保证在雨雪环境下布面不会被浸湿，颜色持久如新。</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1.专业户外版型,腋下连片设计,满足户外等高强度运动的需求</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2.合体的帽型设计,扭转头部不遮挡视线</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3.高手位插袋,满足背包时的储物需求</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4.简洁款式,适合多场景穿搭</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5.颜色多种选择，专业的同时不失时尚感。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62</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抓绒衣</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件</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轻溥版双刷双摇抓绒面料,轻薄又不失挺括,柔软舒适,抗静电功能。</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半拉链设计,内搭穿着保暖舒适。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63</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长袖速干衣</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件</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涤氨混纺磨毛双面布,织造时加入氨纶丝,使面料弹力较大.通过背面磨毛压花工艺使整体布面柔软舒适。</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1.立领简洁款式,适合大运动量时的内层穿着</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2.合体版型，运动舒适</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3.极窄的门襟拉链细节,精致易拉。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64</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短袖速干衣</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件</w:t>
            </w:r>
          </w:p>
        </w:tc>
        <w:tc>
          <w:tcPr>
            <w:tcW w:w="5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速干训练上衣</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65</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高帮登山鞋</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1.牛皮革+织物＋橡塑＋合成革，结合防水科技，结合鞋面多材质工艺，层次丰富，彰显机能和户外风格</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2.防水透湿袜套，提供防水保护性</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3.橡胶鞋底，干地湿地，强力抓地</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4.3M提高夜行安全系数</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5.快速系带科技，快速穿脱</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6.头层牛皮具有耐磨、透气、耐老化、舒适的性能。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66</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低帮登山鞋</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反毛皮拼接PU和软壳材质</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2.防滑耐磨橡胶大底</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3水晶绒内里。</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设计卖点:</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1.反毛皮拼接PU和软壳材质，柔软舒适耐穿</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2.防滑而磨橡胶底片</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3.3M提高夜行安全系数</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4.前掌冰面防滑材质,耐磨防滑</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5.绒面内里保暖舒适</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67</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头灯</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1.连续照明时间≥70h</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2.产品重量≤450克（含电池）。</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3.最高亮度≥3000流明，最远射距≥250m。</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4.通用Type-C充电接口，可快速充电。</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5.防护等级≥IP65。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68</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山岳救援头盔</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1.提供省级（含）以上或国家级检测机构出具的检测报告</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2.主要用于保护佩戴者免受坠落物体的直接撞击；适用于坠落危险高于头盔掉落危险的工作环境；带有护目镜</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3.防震ABS外壳，六点悬浮扁带系统，头盔有10个通风孔，内垫完全可拆卸，完全可调的头带，带有两个侧面和两个后部调节套，下颌带可根据不同用途调节强度；头盔内部塑料扣4个</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4.须兼容头灯、护目镜、听力保护设备、摄像机等配件，可自由组合</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5.两侧带反光条。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69</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救援手套</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用于绳索救援、日常攀爬训练,分大小码数。</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1.手掌使用山羊头层皮制造，柔软耐磨。</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2.掌心、食指、母指工作部位双层防磨补强，补强车缝使用黄色耐磨芳纶线。</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4.手背使用弹力涤纶面料，手指自由弯曲灵活工作。</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5.手碗对称17mm锁孔，方便用锁挂起挂于安全带上，随手拿取使用。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70</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可调挽索</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规格：固定端长50cm  可调端长30-126cm</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2.材质：纺织品-尼龙   金属配件—铝合金</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3.破断负荷：10kN</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4.需提供CE EN 354-2010 认证</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高强度的绳索和月牙调节器组合制作而成。具有轻便、强度高，属于个人保护装置，在固定保护点上，可以任意调节挽索长度，当长度调节至适合的工作面时，可以放开双手，起到制停保护作用,也可作为延长下降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71</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脚踏带</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规格:织带宽31mm*厚2.2mm</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2.抗拉力：15kN</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3.产品材质：尼龙</w:t>
            </w:r>
            <w:r>
              <w:rPr>
                <w:rFonts w:hint="eastAsia" w:ascii="宋体" w:hAnsi="宋体" w:cs="宋体"/>
                <w:i w:val="0"/>
                <w:iCs w:val="0"/>
                <w:color w:val="auto"/>
                <w:kern w:val="0"/>
                <w:sz w:val="21"/>
                <w:szCs w:val="21"/>
                <w:u w:val="none"/>
                <w:lang w:val="en-US" w:eastAsia="zh-CN" w:bidi="ar"/>
              </w:rPr>
              <w:t>。</w:t>
            </w:r>
          </w:p>
          <w:p>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4.脚带是由高强尼龙织带、调节扣、抗磨擦的脚踏圈组成</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72</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个人装备包</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材质：聚氯乙烯（pvc）夹网布+织物</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容量≥55L</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执行标准： QB/T1333-2018</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用于绳索救援，存放装备或绳索，耐磨、大容量，可桶装，可平铺展开。</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1.产品使用YKK拉链，及UTX扣具，内置拉链分装袋，通铺隔断式网袋，主锁挂点，绳索固定扣带，顶包有头盔固定链接，实现模块化分装。</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2.低吸水带有衬垫背负，加厚腰带和肩带的舒适性，适合长距离承重背负，包面设有ID卡位及12个实用挂点</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73</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单滑轮</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材质：铝合金</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破断负荷≥36kN    工作负荷≥10KN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适用绳径：单绳8mm≤Ø≤13mm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产品需提供该设备由国家消防装备质量监督检验中心的检验报告和产品标准GA494-2004 的 消防产品认证证书和欧盟CE EN 12278:2007 认证</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74</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双滑轮</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滑轮直径：45mm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材质：铝合金</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断裂负荷≥2×9KN×2=36kN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工作负荷≥2×2.5KN×2=10KN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适用绳径： 单绳8mm≤Ø≤13mm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产品需提供该设备由国家消防装备质量监督检验中心的检验报告和产品标准GA494-2004 的 消防产品认证证书和欧盟CE EN 12278:2007 认证</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75</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安全钩</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1.开锁方式：三段自动锁。</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2.最大拉力：长轴≥27KN，短轴≥7KN，开门≥7KN，重量≤90g。</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3.符合国际通用认证，符合XF494-2004《消防用防坠落装备》标准。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76</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班组装备包</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容量≥120L</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执行标准： QB/T 1333-2018</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产品使用YKK拉链，大开口主仓，包盖内设有拉链网袋，正右侧有1个独立仓，两侧提手，底部双层结构外层尼龙面料防磨加强，可两人抬行；设有可拆装背包带，可变背包；有ID卡片窗。</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具有防水性能</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77</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200米静力绳</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产品材质：锦纶（高强尼龙）</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直径：10.5mm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抗拉力≥27KN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静力延展率≤5%</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缩水率≤ 1%</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经200℃±5℃的耐高温性能试验后，安全绳不应出现融熔、焦化现象</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产品需提供该设备由国家消防装备质量监督检验中心的检验报告和产品标准GA494-2004 的 消防产品认证证书和欧盟CE EN 1891 EN365 认证</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颜色：白色</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78</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100米静力绳</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产品材质：锦纶（高强尼龙）</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直径：10.5mm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抗拉力≥27KN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静力延展率≤5%</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缩水率≤ 1%</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经200℃±5℃的耐高温性能试验后，安全绳不应出现融熔、焦化现象</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产品需提供该设备由国家消防装备质量监督检验中心的检验报告和产品标准GA494-2004 的 消防产品认证证书和欧盟CE EN 1891 EN365 认证</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颜色：黄色</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79</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50米静力绳</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产品材质：锦纶（高强尼龙）</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直径：10.5mm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抗拉力≥27KN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静力延展率≤5%</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缩水率≤ 1%</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经200℃±5℃的耐高温性能试验后，安全绳不应出现融熔、焦化现象</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产品需提供该设备由国家消防装备质量监督检验中心的检验报告和产品标准GA494-2004 的 消防产品认证证书和欧盟CE EN 1891 EN365 认证</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颜色：黑色</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30米静力绳</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产品材质：锦纶（高强尼龙）</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直径：10.5mm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抗拉力≥27KN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静力延展率≤5%</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缩水率≤ 1%</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经200℃±5℃的耐高温性能试验后，安全绳不应出现融熔、焦化现象</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产品需提供该设备由国家消防装备质量监督检验中心的检验报告和产品标准GA494-2004 的 消防产品认证证书和欧盟CE EN 1891 EN365 认证</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颜色：橙色</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81</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绳包（含50m静力绳）</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材质:聚氯乙烯（pvc）夹网布+织物</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容量≥45L</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执行标准： QB/T 1333-2018  </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聚氯乙烯（pvc）夹网布，高周波压合，坚固耐磨；6.5cm柔软舒适轻水带有衬垫可调节肩带</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袋口搭型扣，实现快速开关操作功能，结实耐用</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桶型设计，兼顾不同用途，包内备有2个绳头个挂点，1个吊包挂点，方便提拉吊运</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4.袋口有防漏档盖，预防小件漏出；档盖置有1名片卡位；产品使用UTX扣具。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82</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扁带（80cm）</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规格： 80cm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 xml:space="preserve">扁带环厚宽≥宽20mm*2mm </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破断负荷：22kN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材质：高强尼龙</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产品提供该设备由国家消防装备质量监督检验中心的检验报告和产品标准GA494-2004 的 消防产品认证证书和欧盟CE EN 566 认证</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83</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扁带（120cm）</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规格： 120cm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 xml:space="preserve">扁带环厚宽≥宽20mm*2mm </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破断负荷：22kN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材质：高强尼龙</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产品提供该设备由国家消防装备质量监督检验中心的检验报告和产品标准GA494-2004 的 消防产品认证证书和欧盟CE EN 566 认证</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84</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100米扁带卷</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卷</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抗拉力1300KG 材质高强尼龙</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断裂强度≥100KN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拉力≥24KN</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85</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100米6毫米抓绳</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1.产品材质：锦纶（高强尼龙）</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2.产品颜色：随机 </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3.线轴数：24轴</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4.直径：6mm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5.抗拉力：420KG，强度≥9KN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6.每米重量≤24g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7.需提供CE EN564:2014认证</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100米8毫米抓绳</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1.产品材质：锦纶（高强尼龙）</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2.产品颜色：随机 </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3.线轴数：24轴</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4.直径：8mm</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5.抗拉力：420KG，强度≥10KN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6.每米重量≤32g</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7.需提供CE EN564:2014认证</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87</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分力板（大）</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材质：铝合金</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破断强度：45kn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执行标准：</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用于架设锚点时增加锚点挂载空间，实现锚点多向受力的功能。</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连接孔位数15个。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88</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机械抓结</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材质: 铝合金</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承载负荷：5kN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适用绳径：单绳8mm-13mm</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产品需提供该设备由国家消防装备质量监督检验中心的检验报告和产品标准GA494-2004 的 消防产品认证证书和欧盟CE EN 567:1997 认证</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抓绳器向上易于滑动，向下易于制停。有快速下降保护功能发生坠落时能自动锁紧绳索，并能吸收大部分坠落时产生的冲击力</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89</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过结滑轮</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总体性能符合XF494-2004《消防用防坠落装备》标准，提供国家消防装备质量检验检测中心出具的检测报告</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用于架空横渡、救援、高空作业等活动，也可作为锚点使用。具有超大的内部空间，能够容许绳结通过，或者同时进行数条绳索作业</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材质：高强度合金或更优材质</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 xml:space="preserve"> </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单边最大工作负荷≥10kN；断裂负荷≥40kN</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兼容绳索≤19mm</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90</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滑轮组救援提拉套装</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总体性能符合XF494-2004《消防用防坠落装备》标准,提供省级（含）以上或国家级检测机构出具的检测报告</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可实现4：1或5:1滑轮省力系统</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最大工作负荷≥36kN。</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材质：高强度合金或更优材质</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91</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救援三角安全吊带</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承载负荷：15kN</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产品材质：尼龙</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需提供CE EN1498:2006  EN1497:2007认证</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三角带由肩带、织带、 三角带布、 系缚环等组成。用作快速疏散、 拯救没有救生设备的人的一种理想装备,三角带备有两条肩带，可以防止身体往后仰脱落</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92</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绳索保护垫</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材质：100%棉</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执行标准：GB/T 411-2017 、 GB 18401-2010  </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用于救援时，铺垫于地面，有效隔离器材与地面的直接磨擦。</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100%耐高温棉帆；双层16安加密面料车缝结构坚固耐磨，充份保护。</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多个304不锈钢17mm孔径气眼，可直接挂主锁固定，实现快速多个垫拼接</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保护面积大，特别适合不规则的环境使用。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93</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绳索保护器</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材质：侧板/轴筒铝合金滚珠轴心</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执行标准：GB /T228.1-2010 </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用于保护绳索，避免建筑物的棱角、墙角、岩石等粗糙尖锐突起部份预防磨损绳索。</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它装有4道共16个可单独转动滚珠轴承轮，拖拉时可多绳不同速比操作，可以对向滚动，提高转动效率。</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链条式设计（可级联），4角设置有系辅绳固定用挂点。</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收纳体积小，展开保护面积大；可组合不同长度，围柱，直角，斜坡等环境均适合使用</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有效承重350kg</w:t>
            </w:r>
            <w:r>
              <w:rPr>
                <w:rFonts w:hint="eastAsia" w:ascii="宋体" w:hAnsi="宋体" w:cs="宋体"/>
                <w:i w:val="0"/>
                <w:iCs w:val="0"/>
                <w:color w:val="auto"/>
                <w:kern w:val="0"/>
                <w:sz w:val="21"/>
                <w:szCs w:val="21"/>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94</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篮式担架</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5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材质：304不锈钢 （配件：聚乙稀、PE、涤纶）</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有效负载:水平 300kg；垂直:300kg</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执行标淮：参照ASTM F2812-15检测 </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用于救援工作中伤员转移使用，体积能通过60cm的救援管道。</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1.管材一体成型弯管，副管满焊，强度大，共有5个挂点分布在两侧及尾部正中，适合不同的悬吊方式，四点式悬吊，担架平稳舒适，三点式悬吊，担架可快速调整姿态</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.配置背部支撑耐用聚乙稀背板长至小腿部，更舒适，13mm格阻燃网衬，四条快拆装功能的固定带。</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.主管直径24mm方便抓握，架连接采用主管螺纹连接、底部七字互扣，结构强度大，可实现快速拆装</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.本担架可用于垂直、平移、斜坡等多种角度环境使用</w:t>
            </w:r>
            <w:r>
              <w:rPr>
                <w:rFonts w:hint="eastAsia" w:ascii="宋体" w:hAnsi="宋体" w:cs="宋体"/>
                <w:i w:val="0"/>
                <w:iCs w:val="0"/>
                <w:color w:val="auto"/>
                <w:kern w:val="0"/>
                <w:sz w:val="21"/>
                <w:szCs w:val="21"/>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.担架采用分体结构，两段可套叠起来，存储、运输更便利。</w:t>
            </w:r>
          </w:p>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套装配置包括： 担架1套，担架专用脚踏1副，担架包1个</w:t>
            </w:r>
            <w:r>
              <w:rPr>
                <w:rFonts w:hint="eastAsia" w:ascii="宋体" w:hAnsi="宋体" w:cs="宋体"/>
                <w:i w:val="0"/>
                <w:iCs w:val="0"/>
                <w:color w:val="auto"/>
                <w:kern w:val="0"/>
                <w:sz w:val="21"/>
                <w:szCs w:val="21"/>
                <w:u w:val="none"/>
                <w:lang w:val="en-US" w:eastAsia="zh-CN" w:bidi="ar"/>
              </w:rPr>
              <w:t>。</w:t>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jc w:val="center"/>
        <w:outlineLvl w:val="0"/>
        <w:rPr>
          <w:rStyle w:val="48"/>
          <w:rFonts w:hint="eastAsia" w:ascii="宋体" w:hAnsi="宋体" w:eastAsia="宋体" w:cs="宋体"/>
          <w:color w:val="auto"/>
          <w:highlight w:val="none"/>
        </w:rPr>
      </w:pPr>
      <w:bookmarkStart w:id="393" w:name="_Toc1368"/>
      <w:bookmarkStart w:id="394" w:name="_Toc20442"/>
      <w:bookmarkStart w:id="395" w:name="_Toc12812"/>
      <w:bookmarkStart w:id="396" w:name="_Toc24837"/>
      <w:bookmarkStart w:id="397" w:name="_Toc24253"/>
      <w:bookmarkStart w:id="398" w:name="_Toc201"/>
      <w:r>
        <w:rPr>
          <w:rStyle w:val="48"/>
          <w:rFonts w:hint="eastAsia" w:ascii="宋体" w:hAnsi="宋体" w:eastAsia="宋体" w:cs="宋体"/>
          <w:color w:val="auto"/>
          <w:highlight w:val="none"/>
        </w:rPr>
        <w:t>第七章 电子投标注意事项</w:t>
      </w:r>
      <w:bookmarkEnd w:id="393"/>
      <w:bookmarkEnd w:id="394"/>
      <w:bookmarkEnd w:id="395"/>
      <w:bookmarkEnd w:id="396"/>
      <w:bookmarkEnd w:id="397"/>
      <w:bookmarkEnd w:id="398"/>
    </w:p>
    <w:p>
      <w:pPr>
        <w:suppressAutoHyphens/>
        <w:wordWrap w:val="0"/>
        <w:jc w:val="center"/>
        <w:outlineLvl w:val="0"/>
        <w:rPr>
          <w:color w:val="auto"/>
          <w:highlight w:val="none"/>
        </w:rPr>
      </w:pPr>
      <w:bookmarkStart w:id="399" w:name="_Toc19598"/>
      <w:bookmarkStart w:id="400" w:name="_Toc9523"/>
      <w:bookmarkStart w:id="401" w:name="_Toc13403"/>
      <w:r>
        <w:rPr>
          <w:rFonts w:hint="eastAsia" w:ascii="宋体" w:hAnsi="宋体" w:cs="宋体"/>
          <w:b/>
          <w:bCs/>
          <w:color w:val="auto"/>
          <w:sz w:val="28"/>
          <w:szCs w:val="28"/>
          <w:highlight w:val="none"/>
          <w:lang w:eastAsia="zh-CN"/>
        </w:rPr>
        <w:t>一、</w:t>
      </w:r>
      <w:r>
        <w:rPr>
          <w:rFonts w:hint="eastAsia" w:ascii="宋体" w:hAnsi="宋体" w:eastAsia="宋体" w:cs="宋体"/>
          <w:b/>
          <w:bCs/>
          <w:color w:val="auto"/>
          <w:sz w:val="28"/>
          <w:szCs w:val="28"/>
          <w:highlight w:val="none"/>
        </w:rPr>
        <w:t>电子交易需注意事项</w:t>
      </w:r>
      <w:bookmarkEnd w:id="399"/>
      <w:bookmarkEnd w:id="400"/>
      <w:bookmarkEnd w:id="401"/>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02" w:name="_Toc8180"/>
      <w:bookmarkStart w:id="403" w:name="_Toc27552"/>
      <w:bookmarkStart w:id="404" w:name="_Toc26389"/>
      <w:r>
        <w:rPr>
          <w:rFonts w:hint="eastAsia" w:ascii="宋体" w:hAnsi="宋体" w:eastAsia="宋体" w:cs="宋体"/>
          <w:b/>
          <w:color w:val="auto"/>
          <w:sz w:val="22"/>
          <w:szCs w:val="22"/>
          <w:highlight w:val="none"/>
        </w:rPr>
        <w:t>1、电子招标文件获取</w:t>
      </w:r>
      <w:bookmarkEnd w:id="402"/>
      <w:bookmarkEnd w:id="403"/>
      <w:bookmarkEnd w:id="404"/>
    </w:p>
    <w:p>
      <w:pPr>
        <w:keepNext w:val="0"/>
        <w:keepLines w:val="0"/>
        <w:pageBreakBefore w:val="0"/>
        <w:widowControl/>
        <w:kinsoku/>
        <w:overflowPunct/>
        <w:topLinePunct w:val="0"/>
        <w:bidi w:val="0"/>
        <w:adjustRightInd w:val="0"/>
        <w:snapToGrid w:val="0"/>
        <w:spacing w:line="520" w:lineRule="exact"/>
        <w:ind w:firstLine="440" w:firstLineChars="20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凡有意参加投标者，请于报名截止时间前（北京时间，下同），进入</w:t>
      </w:r>
      <w:r>
        <w:rPr>
          <w:rFonts w:hint="eastAsia" w:ascii="宋体" w:hAnsi="宋体" w:eastAsia="宋体" w:cs="宋体"/>
          <w:color w:val="auto"/>
          <w:sz w:val="22"/>
          <w:szCs w:val="22"/>
          <w:highlight w:val="none"/>
        </w:rPr>
        <w:t>曲靖市公共资源交易电子服务系统（须进入http://ggzy.yn.gov.cn/#/homePage网站选择“曲靖市”跳转进入曲靖市公共资源交易电子服务系统）</w:t>
      </w:r>
      <w:r>
        <w:rPr>
          <w:rFonts w:hint="eastAsia" w:ascii="宋体" w:hAnsi="宋体" w:eastAsia="宋体" w:cs="宋体"/>
          <w:color w:val="auto"/>
          <w:kern w:val="0"/>
          <w:sz w:val="22"/>
          <w:szCs w:val="22"/>
          <w:highlight w:val="none"/>
        </w:rPr>
        <w:t>，凭企业数字证书（CA）在网上获取招标文件及其它招标资料（电子招标文件，格式为*.ZC</w:t>
      </w:r>
      <w:r>
        <w:rPr>
          <w:rFonts w:hint="eastAsia" w:ascii="宋体" w:hAnsi="宋体" w:eastAsia="宋体" w:cs="宋体"/>
          <w:color w:val="auto"/>
          <w:kern w:val="0"/>
          <w:sz w:val="22"/>
          <w:szCs w:val="22"/>
          <w:highlight w:val="none"/>
          <w:lang w:val="en-US" w:eastAsia="zh-CN"/>
        </w:rPr>
        <w:t>Z</w:t>
      </w:r>
      <w:r>
        <w:rPr>
          <w:rFonts w:hint="eastAsia" w:ascii="宋体" w:hAnsi="宋体" w:eastAsia="宋体" w:cs="宋体"/>
          <w:color w:val="auto"/>
          <w:kern w:val="0"/>
          <w:sz w:val="22"/>
          <w:szCs w:val="22"/>
          <w:highlight w:val="none"/>
        </w:rPr>
        <w:t>BJ），数字证书（CA）详见其办理流程。</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05" w:name="_Toc997"/>
      <w:bookmarkStart w:id="406" w:name="_Toc29531"/>
      <w:bookmarkStart w:id="407" w:name="_Toc4519"/>
      <w:r>
        <w:rPr>
          <w:rFonts w:hint="eastAsia" w:ascii="宋体" w:hAnsi="宋体" w:eastAsia="宋体" w:cs="宋体"/>
          <w:b/>
          <w:color w:val="auto"/>
          <w:sz w:val="22"/>
          <w:szCs w:val="22"/>
          <w:highlight w:val="none"/>
        </w:rPr>
        <w:t>2、电子投标文件的递交</w:t>
      </w:r>
      <w:bookmarkEnd w:id="405"/>
      <w:bookmarkEnd w:id="406"/>
      <w:bookmarkEnd w:id="407"/>
    </w:p>
    <w:p>
      <w:pPr>
        <w:keepNext w:val="0"/>
        <w:keepLines w:val="0"/>
        <w:pageBreakBefore w:val="0"/>
        <w:widowControl/>
        <w:kinsoku/>
        <w:overflowPunct/>
        <w:topLinePunct w:val="0"/>
        <w:bidi w:val="0"/>
        <w:adjustRightInd w:val="0"/>
        <w:snapToGrid w:val="0"/>
        <w:spacing w:line="520" w:lineRule="exact"/>
        <w:ind w:firstLine="42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在投标文件递交的截止时间（</w:t>
      </w:r>
      <w:r>
        <w:rPr>
          <w:rFonts w:hint="eastAsia" w:ascii="宋体" w:hAnsi="宋体" w:eastAsia="宋体" w:cs="宋体"/>
          <w:color w:val="auto"/>
          <w:kern w:val="0"/>
          <w:sz w:val="22"/>
          <w:szCs w:val="22"/>
          <w:highlight w:val="none"/>
          <w:lang w:eastAsia="zh-CN"/>
        </w:rPr>
        <w:t>申请截止时间</w:t>
      </w:r>
      <w:r>
        <w:rPr>
          <w:rFonts w:hint="eastAsia" w:ascii="宋体" w:hAnsi="宋体" w:eastAsia="宋体" w:cs="宋体"/>
          <w:color w:val="auto"/>
          <w:kern w:val="0"/>
          <w:sz w:val="22"/>
          <w:szCs w:val="22"/>
          <w:highlight w:val="none"/>
        </w:rPr>
        <w:t>，下同）前，需在网上递交投标文件和现场递交光盘</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如要求</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，具体要求：</w:t>
      </w:r>
    </w:p>
    <w:p>
      <w:pPr>
        <w:keepNext w:val="0"/>
        <w:keepLines w:val="0"/>
        <w:pageBreakBefore w:val="0"/>
        <w:widowControl/>
        <w:kinsoku/>
        <w:wordWrap w:val="0"/>
        <w:overflowPunct/>
        <w:topLinePunct w:val="0"/>
        <w:autoSpaceDE/>
        <w:autoSpaceDN/>
        <w:bidi w:val="0"/>
        <w:adjustRightInd w:val="0"/>
        <w:snapToGrid w:val="0"/>
        <w:spacing w:line="520" w:lineRule="exact"/>
        <w:ind w:firstLine="420"/>
        <w:jc w:val="left"/>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网上递交：网上递交需登录</w:t>
      </w:r>
      <w:r>
        <w:rPr>
          <w:rFonts w:hint="eastAsia" w:ascii="宋体" w:hAnsi="宋体" w:eastAsia="宋体" w:cs="宋体"/>
          <w:color w:val="auto"/>
          <w:sz w:val="22"/>
          <w:szCs w:val="22"/>
          <w:highlight w:val="none"/>
        </w:rPr>
        <w:t>曲靖市公共资源交易电子服务系统（须进入http://ggzy.yn.gov.cn/#/homePage网站选择“曲靖市”跳转进入曲靖市公共资源交易电子服务系统）</w:t>
      </w:r>
      <w:r>
        <w:rPr>
          <w:rFonts w:hint="eastAsia" w:ascii="宋体" w:hAnsi="宋体" w:eastAsia="宋体" w:cs="宋体"/>
          <w:color w:val="auto"/>
          <w:kern w:val="0"/>
          <w:sz w:val="22"/>
          <w:szCs w:val="22"/>
          <w:highlight w:val="none"/>
        </w:rPr>
        <w:t>，</w:t>
      </w:r>
      <w:r>
        <w:rPr>
          <w:rFonts w:hint="eastAsia" w:ascii="宋体" w:hAnsi="宋体" w:eastAsia="宋体" w:cs="宋体"/>
          <w:color w:val="auto"/>
          <w:kern w:val="0"/>
          <w:sz w:val="22"/>
          <w:szCs w:val="22"/>
          <w:highlight w:val="none"/>
          <w:lang w:eastAsia="zh-CN"/>
        </w:rPr>
        <w:t>申请人</w:t>
      </w:r>
      <w:r>
        <w:rPr>
          <w:rFonts w:hint="eastAsia" w:ascii="宋体" w:hAnsi="宋体" w:eastAsia="宋体" w:cs="宋体"/>
          <w:color w:val="auto"/>
          <w:kern w:val="0"/>
          <w:sz w:val="22"/>
          <w:szCs w:val="22"/>
          <w:highlight w:val="none"/>
        </w:rPr>
        <w:t>须在</w:t>
      </w:r>
      <w:r>
        <w:rPr>
          <w:rFonts w:hint="eastAsia" w:ascii="宋体" w:hAnsi="宋体" w:eastAsia="宋体" w:cs="宋体"/>
          <w:color w:val="auto"/>
          <w:kern w:val="0"/>
          <w:sz w:val="22"/>
          <w:szCs w:val="22"/>
          <w:highlight w:val="none"/>
          <w:lang w:eastAsia="zh-CN"/>
        </w:rPr>
        <w:t>申请截止时间</w:t>
      </w:r>
      <w:r>
        <w:rPr>
          <w:rFonts w:hint="eastAsia" w:ascii="宋体" w:hAnsi="宋体" w:eastAsia="宋体" w:cs="宋体"/>
          <w:color w:val="auto"/>
          <w:kern w:val="0"/>
          <w:sz w:val="22"/>
          <w:szCs w:val="22"/>
          <w:highlight w:val="none"/>
        </w:rPr>
        <w:t>前完成所有电子投标文件的上传，网上确认电子签名，并打印“上传投标文件回执”，</w:t>
      </w:r>
      <w:r>
        <w:rPr>
          <w:rFonts w:hint="eastAsia" w:ascii="宋体" w:hAnsi="宋体" w:eastAsia="宋体" w:cs="宋体"/>
          <w:color w:val="auto"/>
          <w:kern w:val="0"/>
          <w:sz w:val="22"/>
          <w:szCs w:val="22"/>
          <w:highlight w:val="none"/>
          <w:lang w:eastAsia="zh-CN"/>
        </w:rPr>
        <w:t>申请截止时间</w:t>
      </w:r>
      <w:r>
        <w:rPr>
          <w:rFonts w:hint="eastAsia" w:ascii="宋体" w:hAnsi="宋体" w:eastAsia="宋体" w:cs="宋体"/>
          <w:color w:val="auto"/>
          <w:kern w:val="0"/>
          <w:sz w:val="22"/>
          <w:szCs w:val="22"/>
          <w:highlight w:val="none"/>
        </w:rPr>
        <w:t>前未完成投标文件传输的，视为撤回投标文件。</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08" w:name="_Toc4501"/>
      <w:bookmarkStart w:id="409" w:name="_Toc4565"/>
      <w:bookmarkStart w:id="410" w:name="_Toc8860"/>
      <w:r>
        <w:rPr>
          <w:rFonts w:hint="eastAsia" w:ascii="宋体" w:hAnsi="宋体" w:eastAsia="宋体" w:cs="宋体"/>
          <w:b/>
          <w:color w:val="auto"/>
          <w:sz w:val="22"/>
          <w:szCs w:val="22"/>
          <w:highlight w:val="none"/>
        </w:rPr>
        <w:t>3、电子招标文件澄清与答疑</w:t>
      </w:r>
      <w:bookmarkEnd w:id="408"/>
      <w:bookmarkEnd w:id="409"/>
      <w:bookmarkEnd w:id="410"/>
    </w:p>
    <w:p>
      <w:pPr>
        <w:keepNext w:val="0"/>
        <w:keepLines w:val="0"/>
        <w:pageBreakBefore w:val="0"/>
        <w:widowControl/>
        <w:kinsoku/>
        <w:overflowPunct/>
        <w:topLinePunct w:val="0"/>
        <w:bidi w:val="0"/>
        <w:adjustRightInd w:val="0"/>
        <w:snapToGrid w:val="0"/>
        <w:spacing w:line="520" w:lineRule="exact"/>
        <w:ind w:firstLine="435"/>
        <w:jc w:val="left"/>
        <w:textAlignment w:val="auto"/>
        <w:rPr>
          <w:rFonts w:hint="eastAsia" w:ascii="宋体" w:hAnsi="宋体" w:eastAsia="宋体" w:cs="宋体"/>
          <w:b/>
          <w:bCs/>
          <w:color w:val="auto"/>
          <w:kern w:val="0"/>
          <w:sz w:val="22"/>
          <w:szCs w:val="22"/>
          <w:highlight w:val="none"/>
        </w:rPr>
      </w:pP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应仔细阅读和检查招标文件的全部内容。如发现缺页或附件不全，应及时向招标人提出，以便补齐。如有疑问，应在</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须知前附表规定的时间前以在线不署名提交，要求招标人对招标文件予以澄清。</w:t>
      </w:r>
    </w:p>
    <w:p>
      <w:pPr>
        <w:keepNext w:val="0"/>
        <w:keepLines w:val="0"/>
        <w:pageBreakBefore w:val="0"/>
        <w:widowControl/>
        <w:kinsoku/>
        <w:overflowPunct/>
        <w:topLinePunct w:val="0"/>
        <w:bidi w:val="0"/>
        <w:adjustRightInd w:val="0"/>
        <w:snapToGrid w:val="0"/>
        <w:spacing w:line="520" w:lineRule="exact"/>
        <w:ind w:firstLine="435"/>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所有获取了招标文件的潜在</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凭企业数字证书（CA）登录曲靖市公共资源交易电子服务系统（须进入http://ggzy.yn.gov.cn/#/homePage网站选择“曲靖市”跳转进入曲靖市公共资源交易电子服务系统），通过在线方式进行不署名提问。</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11" w:name="_Toc43"/>
      <w:bookmarkStart w:id="412" w:name="_Toc29419"/>
      <w:bookmarkStart w:id="413" w:name="_Toc343"/>
      <w:r>
        <w:rPr>
          <w:rFonts w:hint="eastAsia" w:ascii="宋体" w:hAnsi="宋体" w:eastAsia="宋体" w:cs="宋体"/>
          <w:b/>
          <w:color w:val="auto"/>
          <w:sz w:val="22"/>
          <w:szCs w:val="22"/>
          <w:highlight w:val="none"/>
        </w:rPr>
        <w:t>4、电子招标文件的修改</w:t>
      </w:r>
      <w:bookmarkEnd w:id="411"/>
      <w:bookmarkEnd w:id="412"/>
      <w:bookmarkEnd w:id="413"/>
    </w:p>
    <w:p>
      <w:pPr>
        <w:keepNext w:val="0"/>
        <w:keepLines w:val="0"/>
        <w:pageBreakBefore w:val="0"/>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（1）招标人对招标文件中的涉及评标办法、评审项目等重要评审内容做出变更，将同时发布补遗文件进行说明以保证各</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都能重新下载并用于编制电子投标文件。</w:t>
      </w:r>
    </w:p>
    <w:p>
      <w:pPr>
        <w:keepNext w:val="0"/>
        <w:keepLines w:val="0"/>
        <w:pageBreakBefore w:val="0"/>
        <w:widowControl w:val="0"/>
        <w:kinsoku/>
        <w:wordWrap w:val="0"/>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应在</w:t>
      </w:r>
      <w:r>
        <w:rPr>
          <w:rFonts w:hint="eastAsia" w:ascii="宋体" w:hAnsi="宋体" w:eastAsia="宋体" w:cs="宋体"/>
          <w:color w:val="auto"/>
          <w:sz w:val="22"/>
          <w:szCs w:val="22"/>
          <w:highlight w:val="none"/>
          <w:lang w:eastAsia="zh-CN"/>
        </w:rPr>
        <w:t>申请截止时间</w:t>
      </w:r>
      <w:r>
        <w:rPr>
          <w:rFonts w:hint="eastAsia" w:ascii="宋体" w:hAnsi="宋体" w:eastAsia="宋体" w:cs="宋体"/>
          <w:color w:val="auto"/>
          <w:sz w:val="22"/>
          <w:szCs w:val="22"/>
          <w:highlight w:val="none"/>
        </w:rPr>
        <w:t>前及时登录曲靖市公共资源交易电子服务系统（须进入http://ggzy.yn.gov.cn/#/homePage网站选择“曲靖市”跳转进入曲靖市公共资源交易电子服务系统）中查看有关该</w:t>
      </w:r>
      <w:r>
        <w:rPr>
          <w:rFonts w:hint="eastAsia" w:ascii="宋体" w:hAnsi="宋体" w:eastAsia="宋体" w:cs="宋体"/>
          <w:color w:val="auto"/>
          <w:sz w:val="22"/>
          <w:szCs w:val="22"/>
          <w:highlight w:val="none"/>
          <w:lang w:eastAsia="zh-CN"/>
        </w:rPr>
        <w:t>项目</w:t>
      </w:r>
      <w:r>
        <w:rPr>
          <w:rFonts w:hint="eastAsia" w:ascii="宋体" w:hAnsi="宋体" w:eastAsia="宋体" w:cs="宋体"/>
          <w:color w:val="auto"/>
          <w:sz w:val="22"/>
          <w:szCs w:val="22"/>
          <w:highlight w:val="none"/>
        </w:rPr>
        <w:t>招标文件的答疑、补遗内容。否则，后果自负。</w:t>
      </w:r>
    </w:p>
    <w:p>
      <w:pPr>
        <w:keepNext w:val="0"/>
        <w:keepLines w:val="0"/>
        <w:pageBreakBefore w:val="0"/>
        <w:widowControl/>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（3）招标文件澄清、招标文件修改文件内容均以网上电子文件为准，当招标文件、招标文件澄清、招标文件修改文件内容后前相互矛盾时，以最后发出的为准。</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14" w:name="_Toc24807"/>
      <w:bookmarkStart w:id="415" w:name="_Toc6374"/>
      <w:bookmarkStart w:id="416" w:name="_Toc20014"/>
      <w:r>
        <w:rPr>
          <w:rFonts w:hint="eastAsia" w:ascii="宋体" w:hAnsi="宋体" w:eastAsia="宋体" w:cs="宋体"/>
          <w:b/>
          <w:color w:val="auto"/>
          <w:sz w:val="22"/>
          <w:szCs w:val="22"/>
          <w:highlight w:val="none"/>
        </w:rPr>
        <w:t>5、电子投标文件的组成及要求</w:t>
      </w:r>
      <w:bookmarkEnd w:id="414"/>
      <w:bookmarkEnd w:id="415"/>
      <w:bookmarkEnd w:id="416"/>
    </w:p>
    <w:p>
      <w:pPr>
        <w:keepNext w:val="0"/>
        <w:keepLines w:val="0"/>
        <w:pageBreakBefore w:val="0"/>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（1）投标文件全部采用电子文档，格式为*.ZCTBJ，应使用《云南省</w:t>
      </w:r>
      <w:r>
        <w:rPr>
          <w:rFonts w:hint="eastAsia" w:ascii="宋体" w:hAnsi="宋体" w:eastAsia="宋体" w:cs="宋体"/>
          <w:color w:val="auto"/>
          <w:sz w:val="22"/>
          <w:szCs w:val="22"/>
          <w:highlight w:val="none"/>
          <w:lang w:eastAsia="zh-CN"/>
        </w:rPr>
        <w:t>政府采购</w:t>
      </w:r>
      <w:r>
        <w:rPr>
          <w:rFonts w:hint="eastAsia" w:ascii="宋体" w:hAnsi="宋体" w:eastAsia="宋体" w:cs="宋体"/>
          <w:color w:val="auto"/>
          <w:sz w:val="22"/>
          <w:szCs w:val="22"/>
          <w:highlight w:val="none"/>
        </w:rPr>
        <w:t>投标文件编制系统》制作，并进行电子签名及加密。</w:t>
      </w:r>
    </w:p>
    <w:p>
      <w:pPr>
        <w:keepNext w:val="0"/>
        <w:keepLines w:val="0"/>
        <w:pageBreakBefore w:val="0"/>
        <w:widowControl/>
        <w:kinsoku/>
        <w:overflowPunct/>
        <w:topLinePunct w:val="0"/>
        <w:bidi w:val="0"/>
        <w:adjustRightInd w:val="0"/>
        <w:snapToGrid w:val="0"/>
        <w:spacing w:line="520" w:lineRule="exact"/>
        <w:jc w:val="left"/>
        <w:textAlignment w:val="auto"/>
        <w:rPr>
          <w:rFonts w:hint="eastAsia" w:ascii="宋体" w:hAnsi="宋体" w:eastAsia="宋体" w:cs="宋体"/>
          <w:b/>
          <w:bCs/>
          <w:color w:val="auto"/>
          <w:kern w:val="0"/>
          <w:sz w:val="22"/>
          <w:szCs w:val="22"/>
          <w:highlight w:val="none"/>
        </w:rPr>
      </w:pPr>
      <w:r>
        <w:rPr>
          <w:rFonts w:hint="eastAsia" w:ascii="宋体" w:hAnsi="宋体" w:eastAsia="宋体" w:cs="宋体"/>
          <w:color w:val="auto"/>
          <w:sz w:val="22"/>
          <w:szCs w:val="22"/>
          <w:highlight w:val="none"/>
        </w:rPr>
        <w:t>（2）在编制标投标文件时，粘贴图片建议使用JPG格式的文件，并且每张图片的分辨率应小于100dpi。</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17" w:name="_Toc7913"/>
      <w:bookmarkStart w:id="418" w:name="_Toc24836"/>
      <w:bookmarkStart w:id="419" w:name="_Toc16621"/>
      <w:r>
        <w:rPr>
          <w:rFonts w:hint="eastAsia" w:ascii="宋体" w:hAnsi="宋体" w:eastAsia="宋体" w:cs="宋体"/>
          <w:b/>
          <w:color w:val="auto"/>
          <w:sz w:val="22"/>
          <w:szCs w:val="22"/>
          <w:highlight w:val="none"/>
        </w:rPr>
        <w:t>6、电子投标文件的编制</w:t>
      </w:r>
      <w:bookmarkEnd w:id="417"/>
      <w:bookmarkEnd w:id="418"/>
      <w:bookmarkEnd w:id="419"/>
    </w:p>
    <w:p>
      <w:pPr>
        <w:keepNext w:val="0"/>
        <w:keepLines w:val="0"/>
        <w:pageBreakBefore w:val="0"/>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（1）电子投标文件应使用《云南省</w:t>
      </w:r>
      <w:r>
        <w:rPr>
          <w:rFonts w:hint="eastAsia" w:ascii="宋体" w:hAnsi="宋体" w:eastAsia="宋体" w:cs="宋体"/>
          <w:color w:val="auto"/>
          <w:sz w:val="22"/>
          <w:szCs w:val="22"/>
          <w:highlight w:val="none"/>
          <w:lang w:eastAsia="zh-CN"/>
        </w:rPr>
        <w:t>政府采购</w:t>
      </w:r>
      <w:r>
        <w:rPr>
          <w:rFonts w:hint="eastAsia" w:ascii="宋体" w:hAnsi="宋体" w:eastAsia="宋体" w:cs="宋体"/>
          <w:color w:val="auto"/>
          <w:sz w:val="22"/>
          <w:szCs w:val="22"/>
          <w:highlight w:val="none"/>
        </w:rPr>
        <w:t>投标文件编制系统》制作（电子投标文件格式为*.ZCTBJ）。编制要求见附件《电子投标文件编制及报送要求》。</w:t>
      </w:r>
    </w:p>
    <w:p>
      <w:pPr>
        <w:keepNext w:val="0"/>
        <w:keepLines w:val="0"/>
        <w:pageBreakBefore w:val="0"/>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（2）如</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提交的电子标书不符合（1）要求或开标时无法读取导入或解密，其投标文件将不予受理。</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20" w:name="_Toc7905"/>
      <w:bookmarkStart w:id="421" w:name="_Toc6688"/>
      <w:bookmarkStart w:id="422" w:name="_Toc21294"/>
      <w:r>
        <w:rPr>
          <w:rFonts w:hint="eastAsia" w:ascii="宋体" w:hAnsi="宋体" w:eastAsia="宋体" w:cs="宋体"/>
          <w:b/>
          <w:color w:val="auto"/>
          <w:sz w:val="22"/>
          <w:szCs w:val="22"/>
          <w:highlight w:val="none"/>
        </w:rPr>
        <w:t>7、电子投标文件的递交及份数</w:t>
      </w:r>
      <w:bookmarkEnd w:id="420"/>
      <w:bookmarkEnd w:id="421"/>
      <w:bookmarkEnd w:id="422"/>
    </w:p>
    <w:p>
      <w:pPr>
        <w:keepNext w:val="0"/>
        <w:keepLines w:val="0"/>
        <w:pageBreakBefore w:val="0"/>
        <w:widowControl w:val="0"/>
        <w:kinsoku/>
        <w:wordWrap w:val="0"/>
        <w:overflowPunct/>
        <w:topLinePunct w:val="0"/>
        <w:autoSpaceDE w:val="0"/>
        <w:autoSpaceDN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（1）网上递交：网上递交需登录曲靖市公共资源交易电子服务系统（须进入http://ggzy.yn.gov.cn/#/homePage网站选择“曲靖市”跳转进入曲靖市公共资源交易电子服务系统），</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须在</w:t>
      </w:r>
      <w:r>
        <w:rPr>
          <w:rFonts w:hint="eastAsia" w:ascii="宋体" w:hAnsi="宋体" w:eastAsia="宋体" w:cs="宋体"/>
          <w:color w:val="auto"/>
          <w:sz w:val="22"/>
          <w:szCs w:val="22"/>
          <w:highlight w:val="none"/>
          <w:lang w:eastAsia="zh-CN"/>
        </w:rPr>
        <w:t>申请截止时间</w:t>
      </w:r>
      <w:r>
        <w:rPr>
          <w:rFonts w:hint="eastAsia" w:ascii="宋体" w:hAnsi="宋体" w:eastAsia="宋体" w:cs="宋体"/>
          <w:color w:val="auto"/>
          <w:sz w:val="22"/>
          <w:szCs w:val="22"/>
          <w:highlight w:val="none"/>
        </w:rPr>
        <w:t>前完成所有投标文件的上传，网上确认电子签名，并打印“上传投标文件回执”，</w:t>
      </w:r>
      <w:r>
        <w:rPr>
          <w:rFonts w:hint="eastAsia" w:ascii="宋体" w:hAnsi="宋体" w:eastAsia="宋体" w:cs="宋体"/>
          <w:color w:val="auto"/>
          <w:sz w:val="22"/>
          <w:szCs w:val="22"/>
          <w:highlight w:val="none"/>
          <w:lang w:eastAsia="zh-CN"/>
        </w:rPr>
        <w:t>申请截止时间</w:t>
      </w:r>
      <w:r>
        <w:rPr>
          <w:rFonts w:hint="eastAsia" w:ascii="宋体" w:hAnsi="宋体" w:eastAsia="宋体" w:cs="宋体"/>
          <w:color w:val="auto"/>
          <w:sz w:val="22"/>
          <w:szCs w:val="22"/>
          <w:highlight w:val="none"/>
        </w:rPr>
        <w:t>前未完成投标文件传输的，视为撤回投标文件。</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23" w:name="_Toc31623"/>
      <w:bookmarkStart w:id="424" w:name="_Toc32431"/>
      <w:bookmarkStart w:id="425" w:name="_Toc16611"/>
      <w:r>
        <w:rPr>
          <w:rFonts w:hint="eastAsia" w:ascii="宋体" w:hAnsi="宋体" w:eastAsia="宋体" w:cs="宋体"/>
          <w:b/>
          <w:color w:val="auto"/>
          <w:sz w:val="22"/>
          <w:szCs w:val="22"/>
          <w:highlight w:val="none"/>
        </w:rPr>
        <w:t>8、电子投标文件的密封和标记</w:t>
      </w:r>
      <w:bookmarkEnd w:id="423"/>
      <w:bookmarkEnd w:id="424"/>
      <w:bookmarkEnd w:id="425"/>
    </w:p>
    <w:p>
      <w:pPr>
        <w:keepNext w:val="0"/>
        <w:keepLines w:val="0"/>
        <w:pageBreakBefore w:val="0"/>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（1）网上递交的投标文件需要对投标文件进行加密。</w:t>
      </w:r>
    </w:p>
    <w:p>
      <w:pPr>
        <w:keepNext w:val="0"/>
        <w:keepLines w:val="0"/>
        <w:pageBreakBefore w:val="0"/>
        <w:widowControl/>
        <w:kinsoku/>
        <w:overflowPunct/>
        <w:topLinePunct w:val="0"/>
        <w:bidi w:val="0"/>
        <w:adjustRightInd w:val="0"/>
        <w:snapToGrid w:val="0"/>
        <w:spacing w:line="520" w:lineRule="exact"/>
        <w:jc w:val="left"/>
        <w:textAlignment w:val="auto"/>
        <w:rPr>
          <w:rFonts w:hint="eastAsia" w:ascii="宋体" w:hAnsi="宋体" w:eastAsia="宋体" w:cs="宋体"/>
          <w:b/>
          <w:bCs/>
          <w:color w:val="auto"/>
          <w:kern w:val="0"/>
          <w:sz w:val="22"/>
          <w:szCs w:val="22"/>
          <w:highlight w:val="none"/>
        </w:rPr>
      </w:pPr>
      <w:r>
        <w:rPr>
          <w:rFonts w:hint="eastAsia" w:ascii="宋体" w:hAnsi="宋体" w:eastAsia="宋体" w:cs="宋体"/>
          <w:color w:val="auto"/>
          <w:sz w:val="22"/>
          <w:szCs w:val="22"/>
          <w:highlight w:val="none"/>
        </w:rPr>
        <w:t>（2）未按本章第（1）项要求密封和加写标记的投标文件，招标人不予受理。</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26" w:name="_Toc8576"/>
      <w:bookmarkStart w:id="427" w:name="_Toc10672"/>
      <w:bookmarkStart w:id="428" w:name="_Toc7320"/>
      <w:r>
        <w:rPr>
          <w:rFonts w:hint="eastAsia" w:ascii="宋体" w:hAnsi="宋体" w:eastAsia="宋体" w:cs="宋体"/>
          <w:b/>
          <w:color w:val="auto"/>
          <w:sz w:val="22"/>
          <w:szCs w:val="22"/>
          <w:highlight w:val="none"/>
        </w:rPr>
        <w:t>9、电子投标文件的修改与撤回</w:t>
      </w:r>
      <w:bookmarkEnd w:id="426"/>
      <w:bookmarkEnd w:id="427"/>
      <w:bookmarkEnd w:id="428"/>
    </w:p>
    <w:p>
      <w:pPr>
        <w:keepNext w:val="0"/>
        <w:keepLines w:val="0"/>
        <w:pageBreakBefore w:val="0"/>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（1）在</w:t>
      </w:r>
      <w:r>
        <w:rPr>
          <w:rFonts w:hint="eastAsia" w:ascii="宋体" w:hAnsi="宋体" w:eastAsia="宋体" w:cs="宋体"/>
          <w:color w:val="auto"/>
          <w:sz w:val="22"/>
          <w:szCs w:val="22"/>
          <w:highlight w:val="none"/>
          <w:lang w:eastAsia="zh-CN"/>
        </w:rPr>
        <w:t>申请截止时间</w:t>
      </w:r>
      <w:r>
        <w:rPr>
          <w:rFonts w:hint="eastAsia" w:ascii="宋体" w:hAnsi="宋体" w:eastAsia="宋体" w:cs="宋体"/>
          <w:color w:val="auto"/>
          <w:sz w:val="22"/>
          <w:szCs w:val="22"/>
          <w:highlight w:val="none"/>
        </w:rPr>
        <w:t>前，</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可以修改或撤回已在网上递交的投标文件，无须书面形式通知招标人。</w:t>
      </w:r>
    </w:p>
    <w:p>
      <w:pPr>
        <w:keepNext w:val="0"/>
        <w:keepLines w:val="0"/>
        <w:pageBreakBefore w:val="0"/>
        <w:widowControl/>
        <w:kinsoku/>
        <w:overflowPunct/>
        <w:topLinePunct w:val="0"/>
        <w:bidi w:val="0"/>
        <w:adjustRightInd w:val="0"/>
        <w:snapToGrid w:val="0"/>
        <w:spacing w:line="520" w:lineRule="exact"/>
        <w:jc w:val="left"/>
        <w:textAlignment w:val="auto"/>
        <w:rPr>
          <w:rFonts w:hint="eastAsia" w:ascii="宋体" w:hAnsi="宋体" w:eastAsia="宋体" w:cs="宋体"/>
          <w:b/>
          <w:bCs/>
          <w:color w:val="auto"/>
          <w:kern w:val="0"/>
          <w:sz w:val="22"/>
          <w:szCs w:val="22"/>
          <w:highlight w:val="none"/>
        </w:rPr>
      </w:pPr>
      <w:r>
        <w:rPr>
          <w:rFonts w:hint="eastAsia" w:ascii="宋体" w:hAnsi="宋体" w:eastAsia="宋体" w:cs="宋体"/>
          <w:color w:val="auto"/>
          <w:sz w:val="22"/>
          <w:szCs w:val="22"/>
          <w:highlight w:val="none"/>
        </w:rPr>
        <w:t>（2）修改的投标文件应按照《电子投标文件编制及报送要求》规定进行编制、密封、标记和递交。</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bCs/>
          <w:color w:val="auto"/>
          <w:kern w:val="0"/>
          <w:sz w:val="22"/>
          <w:szCs w:val="22"/>
          <w:highlight w:val="none"/>
        </w:rPr>
      </w:pPr>
      <w:bookmarkStart w:id="429" w:name="_Toc24428"/>
      <w:bookmarkStart w:id="430" w:name="_Toc19667"/>
      <w:bookmarkStart w:id="431" w:name="_Toc28021"/>
      <w:r>
        <w:rPr>
          <w:rFonts w:hint="eastAsia" w:ascii="宋体" w:hAnsi="宋体" w:eastAsia="宋体" w:cs="宋体"/>
          <w:b/>
          <w:color w:val="auto"/>
          <w:sz w:val="22"/>
          <w:szCs w:val="22"/>
          <w:highlight w:val="none"/>
        </w:rPr>
        <w:t>10、电子开标及投标文件解密</w:t>
      </w:r>
      <w:bookmarkEnd w:id="429"/>
      <w:bookmarkEnd w:id="430"/>
      <w:bookmarkEnd w:id="431"/>
    </w:p>
    <w:p>
      <w:pPr>
        <w:keepNext w:val="0"/>
        <w:keepLines w:val="0"/>
        <w:pageBreakBefore w:val="0"/>
        <w:widowControl/>
        <w:kinsoku/>
        <w:overflowPunct/>
        <w:topLinePunct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bCs/>
          <w:color w:val="auto"/>
          <w:kern w:val="0"/>
          <w:sz w:val="22"/>
          <w:szCs w:val="22"/>
          <w:highlight w:val="none"/>
        </w:rPr>
        <w:t>（</w:t>
      </w:r>
      <w:r>
        <w:rPr>
          <w:rFonts w:hint="eastAsia" w:ascii="宋体" w:hAnsi="宋体" w:eastAsia="宋体" w:cs="宋体"/>
          <w:bCs/>
          <w:color w:val="auto"/>
          <w:kern w:val="0"/>
          <w:sz w:val="22"/>
          <w:szCs w:val="22"/>
          <w:highlight w:val="none"/>
          <w:lang w:val="en-US" w:eastAsia="zh-CN"/>
        </w:rPr>
        <w:t>1</w:t>
      </w:r>
      <w:r>
        <w:rPr>
          <w:rFonts w:hint="eastAsia" w:ascii="宋体" w:hAnsi="宋体" w:eastAsia="宋体" w:cs="宋体"/>
          <w:bCs/>
          <w:color w:val="auto"/>
          <w:kern w:val="0"/>
          <w:sz w:val="22"/>
          <w:szCs w:val="22"/>
          <w:highlight w:val="none"/>
        </w:rPr>
        <w:t>）</w:t>
      </w:r>
      <w:r>
        <w:rPr>
          <w:rFonts w:hint="eastAsia" w:ascii="宋体" w:hAnsi="宋体" w:eastAsia="宋体" w:cs="宋体"/>
          <w:color w:val="auto"/>
          <w:sz w:val="22"/>
          <w:szCs w:val="22"/>
          <w:highlight w:val="none"/>
        </w:rPr>
        <w:t>电子文件开标顺序：按照交易平台自动提取所有</w:t>
      </w:r>
      <w:r>
        <w:rPr>
          <w:rFonts w:hint="eastAsia" w:ascii="宋体" w:hAnsi="宋体" w:eastAsia="宋体" w:cs="宋体"/>
          <w:color w:val="auto"/>
          <w:sz w:val="22"/>
          <w:szCs w:val="22"/>
          <w:highlight w:val="none"/>
          <w:lang w:eastAsia="zh-CN"/>
        </w:rPr>
        <w:t>申请人</w:t>
      </w:r>
      <w:r>
        <w:rPr>
          <w:rFonts w:hint="eastAsia" w:ascii="宋体" w:hAnsi="宋体" w:eastAsia="宋体" w:cs="宋体"/>
          <w:color w:val="auto"/>
          <w:sz w:val="22"/>
          <w:szCs w:val="22"/>
          <w:highlight w:val="none"/>
        </w:rPr>
        <w:t>的顺序当众开标。</w:t>
      </w:r>
    </w:p>
    <w:p>
      <w:pPr>
        <w:keepNext w:val="0"/>
        <w:keepLines w:val="0"/>
        <w:pageBreakBefore w:val="0"/>
        <w:widowControl/>
        <w:kinsoku/>
        <w:overflowPunct/>
        <w:topLinePunct w:val="0"/>
        <w:bidi w:val="0"/>
        <w:adjustRightInd w:val="0"/>
        <w:snapToGrid w:val="0"/>
        <w:spacing w:line="520" w:lineRule="exact"/>
        <w:jc w:val="left"/>
        <w:textAlignment w:val="auto"/>
        <w:rPr>
          <w:rFonts w:hint="eastAsia" w:ascii="宋体" w:hAnsi="宋体" w:eastAsia="宋体" w:cs="宋体"/>
          <w:bCs/>
          <w:color w:val="auto"/>
          <w:kern w:val="0"/>
          <w:sz w:val="22"/>
          <w:szCs w:val="22"/>
          <w:highlight w:val="none"/>
        </w:rPr>
      </w:pPr>
      <w:r>
        <w:rPr>
          <w:rFonts w:hint="eastAsia" w:ascii="宋体" w:hAnsi="宋体" w:eastAsia="宋体" w:cs="宋体"/>
          <w:bCs/>
          <w:color w:val="auto"/>
          <w:kern w:val="0"/>
          <w:sz w:val="22"/>
          <w:szCs w:val="22"/>
          <w:highlight w:val="none"/>
        </w:rPr>
        <w:t>（</w:t>
      </w:r>
      <w:r>
        <w:rPr>
          <w:rFonts w:hint="eastAsia" w:ascii="宋体" w:hAnsi="宋体" w:eastAsia="宋体" w:cs="宋体"/>
          <w:bCs/>
          <w:color w:val="auto"/>
          <w:kern w:val="0"/>
          <w:sz w:val="22"/>
          <w:szCs w:val="22"/>
          <w:highlight w:val="none"/>
          <w:lang w:val="en-US" w:eastAsia="zh-CN"/>
        </w:rPr>
        <w:t>2</w:t>
      </w:r>
      <w:r>
        <w:rPr>
          <w:rFonts w:hint="eastAsia" w:ascii="宋体" w:hAnsi="宋体" w:eastAsia="宋体" w:cs="宋体"/>
          <w:bCs/>
          <w:color w:val="auto"/>
          <w:kern w:val="0"/>
          <w:sz w:val="22"/>
          <w:szCs w:val="22"/>
          <w:highlight w:val="none"/>
        </w:rPr>
        <w:t>）招标人宣布开启电子投标文件后，</w:t>
      </w:r>
      <w:r>
        <w:rPr>
          <w:rFonts w:hint="eastAsia" w:ascii="宋体" w:hAnsi="宋体" w:eastAsia="宋体" w:cs="宋体"/>
          <w:bCs/>
          <w:color w:val="auto"/>
          <w:kern w:val="0"/>
          <w:sz w:val="22"/>
          <w:szCs w:val="22"/>
          <w:highlight w:val="none"/>
          <w:lang w:eastAsia="zh-CN"/>
        </w:rPr>
        <w:t>申请人</w:t>
      </w:r>
      <w:r>
        <w:rPr>
          <w:rFonts w:hint="eastAsia" w:ascii="宋体" w:hAnsi="宋体" w:eastAsia="宋体" w:cs="宋体"/>
          <w:bCs/>
          <w:color w:val="auto"/>
          <w:kern w:val="0"/>
          <w:sz w:val="22"/>
          <w:szCs w:val="22"/>
          <w:highlight w:val="none"/>
        </w:rPr>
        <w:t>按照电子文件的开标顺序上前，使用</w:t>
      </w:r>
      <w:r>
        <w:rPr>
          <w:rFonts w:hint="eastAsia" w:ascii="宋体" w:hAnsi="宋体" w:eastAsia="宋体" w:cs="宋体"/>
          <w:bCs/>
          <w:color w:val="auto"/>
          <w:kern w:val="0"/>
          <w:sz w:val="22"/>
          <w:szCs w:val="22"/>
          <w:highlight w:val="none"/>
          <w:lang w:eastAsia="zh-CN"/>
        </w:rPr>
        <w:t>申请人</w:t>
      </w:r>
      <w:r>
        <w:rPr>
          <w:rFonts w:hint="eastAsia" w:ascii="宋体" w:hAnsi="宋体" w:eastAsia="宋体" w:cs="宋体"/>
          <w:bCs/>
          <w:color w:val="auto"/>
          <w:kern w:val="0"/>
          <w:sz w:val="22"/>
          <w:szCs w:val="22"/>
          <w:highlight w:val="none"/>
        </w:rPr>
        <w:t>编制投标文件时的加密数字证书对投标文件进行解密。</w:t>
      </w:r>
    </w:p>
    <w:p>
      <w:pPr>
        <w:keepNext w:val="0"/>
        <w:keepLines w:val="0"/>
        <w:pageBreakBefore w:val="0"/>
        <w:kinsoku/>
        <w:overflowPunct/>
        <w:topLinePunct w:val="0"/>
        <w:bidi w:val="0"/>
        <w:adjustRightInd w:val="0"/>
        <w:snapToGrid w:val="0"/>
        <w:spacing w:line="520" w:lineRule="exact"/>
        <w:jc w:val="left"/>
        <w:textAlignment w:val="auto"/>
        <w:outlineLvl w:val="0"/>
        <w:rPr>
          <w:rFonts w:hint="eastAsia" w:ascii="宋体" w:hAnsi="宋体" w:eastAsia="宋体" w:cs="宋体"/>
          <w:b/>
          <w:color w:val="auto"/>
          <w:sz w:val="22"/>
          <w:szCs w:val="22"/>
          <w:highlight w:val="none"/>
        </w:rPr>
      </w:pPr>
      <w:bookmarkStart w:id="432" w:name="_Toc12521"/>
      <w:bookmarkStart w:id="433" w:name="_Toc481"/>
      <w:bookmarkStart w:id="434" w:name="_Toc11026"/>
      <w:r>
        <w:rPr>
          <w:rFonts w:hint="eastAsia" w:ascii="宋体" w:hAnsi="宋体" w:eastAsia="宋体" w:cs="宋体"/>
          <w:b/>
          <w:color w:val="auto"/>
          <w:sz w:val="22"/>
          <w:szCs w:val="22"/>
          <w:highlight w:val="none"/>
        </w:rPr>
        <w:t>11、技术支持</w:t>
      </w:r>
      <w:bookmarkEnd w:id="432"/>
      <w:bookmarkEnd w:id="433"/>
      <w:bookmarkEnd w:id="434"/>
    </w:p>
    <w:p>
      <w:pPr>
        <w:keepNext w:val="0"/>
        <w:keepLines w:val="0"/>
        <w:pageBreakBefore w:val="0"/>
        <w:widowControl/>
        <w:kinsoku/>
        <w:overflowPunct/>
        <w:topLinePunct w:val="0"/>
        <w:bidi w:val="0"/>
        <w:adjustRightInd w:val="0"/>
        <w:snapToGrid w:val="0"/>
        <w:spacing w:line="520" w:lineRule="exact"/>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交易平台技术支持</w:t>
      </w:r>
    </w:p>
    <w:p>
      <w:pPr>
        <w:keepNext w:val="0"/>
        <w:keepLines w:val="0"/>
        <w:pageBreakBefore w:val="0"/>
        <w:widowControl/>
        <w:kinsoku/>
        <w:overflowPunct/>
        <w:topLinePunct w:val="0"/>
        <w:bidi w:val="0"/>
        <w:adjustRightInd w:val="0"/>
        <w:snapToGrid w:val="0"/>
        <w:spacing w:line="520" w:lineRule="exact"/>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服务电话：400-9618-998</w:t>
      </w:r>
    </w:p>
    <w:p>
      <w:pPr>
        <w:keepNext w:val="0"/>
        <w:keepLines w:val="0"/>
        <w:pageBreakBefore w:val="0"/>
        <w:widowControl/>
        <w:kinsoku/>
        <w:overflowPunct/>
        <w:topLinePunct w:val="0"/>
        <w:bidi w:val="0"/>
        <w:adjustRightInd w:val="0"/>
        <w:snapToGrid w:val="0"/>
        <w:spacing w:line="520" w:lineRule="exact"/>
        <w:ind w:firstLine="440" w:firstLineChars="20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在线服务QQ：4009618998</w:t>
      </w:r>
    </w:p>
    <w:p>
      <w:pPr>
        <w:keepNext w:val="0"/>
        <w:keepLines w:val="0"/>
        <w:pageBreakBefore w:val="0"/>
        <w:suppressAutoHyphens/>
        <w:kinsoku/>
        <w:wordWrap w:val="0"/>
        <w:overflowPunct/>
        <w:topLinePunct w:val="0"/>
        <w:bidi w:val="0"/>
        <w:spacing w:line="52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附件：</w:t>
      </w:r>
    </w:p>
    <w:p>
      <w:pPr>
        <w:suppressAutoHyphens/>
        <w:wordWrap w:val="0"/>
        <w:ind w:firstLine="315" w:firstLineChars="150"/>
        <w:rPr>
          <w:rFonts w:ascii="仿宋" w:hAnsi="仿宋" w:eastAsia="仿宋"/>
          <w:color w:val="auto"/>
          <w:sz w:val="24"/>
          <w:highlight w:val="none"/>
        </w:rPr>
      </w:pPr>
      <w:r>
        <w:rPr>
          <w:color w:val="auto"/>
          <w:highlight w:val="none"/>
        </w:rPr>
        <w:drawing>
          <wp:inline distT="0" distB="0" distL="114300" distR="114300">
            <wp:extent cx="5266055" cy="3002280"/>
            <wp:effectExtent l="0" t="0" r="698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a:stretch>
                      <a:fillRect/>
                    </a:stretch>
                  </pic:blipFill>
                  <pic:spPr>
                    <a:xfrm>
                      <a:off x="0" y="0"/>
                      <a:ext cx="5266055" cy="3002280"/>
                    </a:xfrm>
                    <a:prstGeom prst="rect">
                      <a:avLst/>
                    </a:prstGeom>
                    <a:noFill/>
                    <a:ln>
                      <a:noFill/>
                    </a:ln>
                  </pic:spPr>
                </pic:pic>
              </a:graphicData>
            </a:graphic>
          </wp:inline>
        </w:drawing>
      </w:r>
    </w:p>
    <w:p>
      <w:pPr>
        <w:suppressAutoHyphens/>
        <w:wordWrap w:val="0"/>
        <w:rPr>
          <w:rFonts w:ascii="仿宋" w:hAnsi="仿宋" w:eastAsia="仿宋"/>
          <w:color w:val="auto"/>
          <w:sz w:val="24"/>
          <w:highlight w:val="none"/>
        </w:rPr>
      </w:pPr>
      <w:r>
        <w:rPr>
          <w:rFonts w:hint="eastAsia" w:ascii="仿宋" w:hAnsi="仿宋" w:eastAsia="仿宋"/>
          <w:color w:val="auto"/>
          <w:sz w:val="24"/>
          <w:highlight w:val="none"/>
        </w:rPr>
        <w:drawing>
          <wp:anchor distT="0" distB="0" distL="114300" distR="114300" simplePos="0" relativeHeight="251660288" behindDoc="1" locked="0" layoutInCell="1" allowOverlap="1">
            <wp:simplePos x="0" y="0"/>
            <wp:positionH relativeFrom="column">
              <wp:posOffset>204470</wp:posOffset>
            </wp:positionH>
            <wp:positionV relativeFrom="paragraph">
              <wp:posOffset>176530</wp:posOffset>
            </wp:positionV>
            <wp:extent cx="5267325" cy="2691130"/>
            <wp:effectExtent l="0" t="0" r="5715" b="6350"/>
            <wp:wrapNone/>
            <wp:docPr id="1" name="图片 9" descr="电子招投标文件格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descr="电子招投标文件格式"/>
                    <pic:cNvPicPr>
                      <a:picLocks noChangeAspect="1"/>
                    </pic:cNvPicPr>
                  </pic:nvPicPr>
                  <pic:blipFill>
                    <a:blip r:embed="rId12"/>
                    <a:stretch>
                      <a:fillRect/>
                    </a:stretch>
                  </pic:blipFill>
                  <pic:spPr>
                    <a:xfrm>
                      <a:off x="0" y="0"/>
                      <a:ext cx="5267325" cy="2691130"/>
                    </a:xfrm>
                    <a:prstGeom prst="rect">
                      <a:avLst/>
                    </a:prstGeom>
                    <a:noFill/>
                    <a:ln>
                      <a:noFill/>
                    </a:ln>
                  </pic:spPr>
                </pic:pic>
              </a:graphicData>
            </a:graphic>
          </wp:anchor>
        </w:drawing>
      </w:r>
    </w:p>
    <w:p>
      <w:pPr>
        <w:jc w:val="center"/>
        <w:rPr>
          <w:rFonts w:hint="eastAsia" w:ascii="宋体" w:hAnsi="宋体" w:cs="宋体"/>
          <w:b/>
          <w:bCs/>
          <w:color w:val="auto"/>
          <w:sz w:val="28"/>
          <w:szCs w:val="28"/>
          <w:highlight w:val="none"/>
        </w:rPr>
      </w:pPr>
    </w:p>
    <w:p>
      <w:pPr>
        <w:keepNext w:val="0"/>
        <w:keepLines w:val="0"/>
        <w:pageBreakBefore w:val="0"/>
        <w:kinsoku/>
        <w:overflowPunct/>
        <w:topLinePunct w:val="0"/>
        <w:autoSpaceDE w:val="0"/>
        <w:autoSpaceDN w:val="0"/>
        <w:bidi w:val="0"/>
        <w:adjustRightInd w:val="0"/>
        <w:snapToGrid w:val="0"/>
        <w:spacing w:line="520" w:lineRule="exact"/>
        <w:jc w:val="center"/>
        <w:textAlignment w:val="auto"/>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44"/>
          <w:szCs w:val="44"/>
          <w:highlight w:val="none"/>
        </w:rPr>
        <w:br w:type="page"/>
      </w:r>
      <w:bookmarkStart w:id="435" w:name="_Toc11866"/>
      <w:bookmarkStart w:id="436" w:name="_Toc1539"/>
      <w:bookmarkStart w:id="437" w:name="_Toc26104"/>
      <w:bookmarkStart w:id="438" w:name="_Toc2509"/>
      <w:r>
        <w:rPr>
          <w:rFonts w:hint="eastAsia" w:ascii="宋体" w:hAnsi="宋体" w:eastAsia="宋体" w:cs="宋体"/>
          <w:b/>
          <w:bCs/>
          <w:color w:val="auto"/>
          <w:sz w:val="28"/>
          <w:szCs w:val="28"/>
          <w:highlight w:val="none"/>
          <w:lang w:eastAsia="zh-CN"/>
        </w:rPr>
        <w:t>二、</w:t>
      </w:r>
      <w:r>
        <w:rPr>
          <w:rFonts w:hint="eastAsia" w:ascii="宋体" w:hAnsi="宋体" w:eastAsia="宋体" w:cs="宋体"/>
          <w:b/>
          <w:bCs/>
          <w:color w:val="auto"/>
          <w:sz w:val="28"/>
          <w:szCs w:val="28"/>
          <w:highlight w:val="none"/>
        </w:rPr>
        <w:t>电子投标文件编制及上传要求</w:t>
      </w:r>
      <w:bookmarkEnd w:id="435"/>
      <w:bookmarkEnd w:id="436"/>
      <w:bookmarkEnd w:id="437"/>
      <w:bookmarkEnd w:id="438"/>
    </w:p>
    <w:p>
      <w:pPr>
        <w:keepNext w:val="0"/>
        <w:keepLines w:val="0"/>
        <w:pageBreakBefore w:val="0"/>
        <w:kinsoku/>
        <w:overflowPunct/>
        <w:topLinePunct w:val="0"/>
        <w:autoSpaceDE w:val="0"/>
        <w:autoSpaceDN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电子投标文件的制作应使用《政府采购投标文件编制系统》，生成电子签名的投标文件，格式为*.ZCTBJ（此文件须网上递交）。</w:t>
      </w:r>
    </w:p>
    <w:p>
      <w:pPr>
        <w:keepNext w:val="0"/>
        <w:keepLines w:val="0"/>
        <w:pageBreakBefore w:val="0"/>
        <w:kinsoku/>
        <w:overflowPunct/>
        <w:topLinePunct w:val="0"/>
        <w:autoSpaceDE w:val="0"/>
        <w:autoSpaceDN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政府采购投标文件编制系统》提供数字证书（CA）对投标文件进行加密功能。申请人对网上递交的投标文件应加密，现场光盘递交的投标文件，由申请人自行选择是否对投标文件进行数字证书（CA）加密。如果申请人使用某个数字证书（CA）对投标文件进行了数字证书（CA）加密，需要在开标时使用该数字证书（CA）进行解密，才能读取或导入投标文件，因申请人原因造成投标文件未解密的，视为撤回其投标文件。</w:t>
      </w:r>
    </w:p>
    <w:p>
      <w:pPr>
        <w:keepNext w:val="0"/>
        <w:keepLines w:val="0"/>
        <w:pageBreakBefore w:val="0"/>
        <w:kinsoku/>
        <w:overflowPunct/>
        <w:topLinePunct w:val="0"/>
        <w:autoSpaceDE w:val="0"/>
        <w:autoSpaceDN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网上递交投标文件应根据招标文件要求，在申请截止时间前将电子投标文件通过曲靖市公共资源交易电子服务系统（须进入http://ggzy.yn.gov.cn/#/homePage网站选择“曲靖市”跳转进入曲靖市公共资源交易电子服务系统）上传至指定的开标项目，并打印“上传投标文件回执”，以表明上传成功。同时，应自行核验下载上传成功的投标文件，并进行查看和解密以确保上传投标文件的正确性。</w:t>
      </w:r>
    </w:p>
    <w:p>
      <w:pPr>
        <w:keepNext w:val="0"/>
        <w:keepLines w:val="0"/>
        <w:pageBreakBefore w:val="0"/>
        <w:kinsoku/>
        <w:overflowPunct/>
        <w:topLinePunct w:val="0"/>
        <w:autoSpaceDE w:val="0"/>
        <w:autoSpaceDN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申请人投标时，须按本附件“电子投标文件编制及报送要求”规定编制及网上递交电子投标文件，按规定到开标现场递交光盘（如需），如果申请人没有按规定网上递交电子投标文件，视为投标无效，现场光盘不再接收。网上递交投标文件、现场光盘内容必须完全一致，如网上递交与现场递交（如要求）不一致，以网上递交为准。</w:t>
      </w:r>
    </w:p>
    <w:p>
      <w:pPr>
        <w:keepNext w:val="0"/>
        <w:keepLines w:val="0"/>
        <w:pageBreakBefore w:val="0"/>
        <w:kinsoku/>
        <w:overflowPunct/>
        <w:topLinePunct w:val="0"/>
        <w:autoSpaceDE w:val="0"/>
        <w:autoSpaceDN w:val="0"/>
        <w:bidi w:val="0"/>
        <w:adjustRightInd w:val="0"/>
        <w:snapToGrid w:val="0"/>
        <w:spacing w:line="52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6、该投标文件制作及报送要求如果与招标文件规定不一致，以此投标文件制作及报送要求为准。</w:t>
      </w:r>
    </w:p>
    <w:p>
      <w:pPr>
        <w:suppressAutoHyphens/>
        <w:wordWrap w:val="0"/>
        <w:ind w:firstLine="330" w:firstLineChars="150"/>
        <w:rPr>
          <w:rFonts w:hint="eastAsia" w:ascii="宋体" w:hAnsi="宋体" w:eastAsia="宋体" w:cs="宋体"/>
          <w:color w:val="auto"/>
          <w:sz w:val="24"/>
          <w:highlight w:val="none"/>
        </w:rPr>
      </w:pPr>
      <w:bookmarkStart w:id="439" w:name="_Toc16988"/>
      <w:r>
        <w:rPr>
          <w:rFonts w:hint="eastAsia" w:ascii="宋体" w:hAnsi="宋体" w:eastAsia="宋体" w:cs="宋体"/>
          <w:color w:val="auto"/>
          <w:sz w:val="22"/>
          <w:szCs w:val="22"/>
          <w:highlight w:val="none"/>
        </w:rPr>
        <w:t>7、在编制技术标投标文件时，粘贴图片使用JPG格式的文件，并且每张图片的分辨率应小于100dpi，最终的每份标书文件所占用的磁盘空间必须小于50M。</w:t>
      </w:r>
      <w:bookmarkEnd w:id="439"/>
    </w:p>
    <w:p>
      <w:pPr>
        <w:suppressAutoHyphens/>
        <w:wordWrap w:val="0"/>
        <w:ind w:firstLine="360" w:firstLineChars="150"/>
        <w:rPr>
          <w:rFonts w:hint="eastAsia" w:ascii="宋体" w:hAnsi="宋体" w:eastAsia="宋体" w:cs="宋体"/>
          <w:color w:val="auto"/>
          <w:sz w:val="24"/>
          <w:highlight w:val="none"/>
        </w:rPr>
      </w:pPr>
    </w:p>
    <w:p>
      <w:pPr>
        <w:spacing w:line="360" w:lineRule="auto"/>
        <w:ind w:firstLine="422" w:firstLineChars="200"/>
        <w:rPr>
          <w:rFonts w:hint="eastAsia" w:ascii="宋体" w:hAnsi="宋体" w:eastAsia="宋体" w:cs="宋体"/>
          <w:b/>
          <w:bCs/>
          <w:color w:val="auto"/>
          <w:sz w:val="36"/>
          <w:szCs w:val="36"/>
          <w:highlight w:val="none"/>
        </w:rPr>
      </w:pPr>
      <w:r>
        <w:rPr>
          <w:rFonts w:hint="eastAsia" w:ascii="宋体" w:hAnsi="宋体" w:eastAsia="宋体" w:cs="宋体"/>
          <w:b/>
          <w:color w:val="auto"/>
          <w:szCs w:val="28"/>
          <w:highlight w:val="none"/>
        </w:rPr>
        <w:br w:type="page"/>
      </w:r>
      <w:bookmarkStart w:id="440" w:name="_Toc26715"/>
      <w:bookmarkStart w:id="441" w:name="_Toc7369"/>
      <w:bookmarkStart w:id="442" w:name="_Toc3904"/>
      <w:bookmarkStart w:id="443" w:name="_Toc10509"/>
      <w:bookmarkStart w:id="444" w:name="_Toc7066"/>
      <w:r>
        <w:rPr>
          <w:rFonts w:hint="eastAsia" w:ascii="宋体" w:hAnsi="宋体" w:eastAsia="宋体" w:cs="宋体"/>
          <w:b/>
          <w:bCs/>
          <w:color w:val="auto"/>
          <w:sz w:val="36"/>
          <w:szCs w:val="36"/>
          <w:highlight w:val="none"/>
        </w:rPr>
        <w:t>三、云南省公共资源交易电子化平台智能开标系统</w:t>
      </w:r>
      <w:bookmarkEnd w:id="440"/>
      <w:bookmarkEnd w:id="441"/>
      <w:bookmarkEnd w:id="442"/>
      <w:bookmarkEnd w:id="443"/>
      <w:bookmarkEnd w:id="444"/>
    </w:p>
    <w:p>
      <w:pPr>
        <w:spacing w:before="160" w:beforeLines="50" w:after="160" w:afterLines="50"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操作手册</w:t>
      </w:r>
    </w:p>
    <w:p>
      <w:pPr>
        <w:widowControl/>
        <w:spacing w:before="160" w:beforeLines="50" w:after="160" w:afterLines="50"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kern w:val="0"/>
          <w:sz w:val="36"/>
          <w:szCs w:val="36"/>
          <w:highlight w:val="none"/>
        </w:rPr>
        <w:t>（适用投标人/供应商）</w:t>
      </w:r>
    </w:p>
    <w:p>
      <w:pPr>
        <w:widowControl/>
        <w:spacing w:before="160" w:beforeLines="50" w:after="160" w:afterLines="50" w:line="360" w:lineRule="auto"/>
        <w:jc w:val="left"/>
        <w:rPr>
          <w:rFonts w:hint="eastAsia" w:ascii="宋体" w:hAnsi="宋体" w:eastAsia="宋体" w:cs="宋体"/>
          <w:b/>
          <w:color w:val="auto"/>
          <w:sz w:val="24"/>
          <w:highlight w:val="none"/>
        </w:rPr>
      </w:pPr>
      <w:bookmarkStart w:id="445" w:name="_Toc346183627"/>
      <w:bookmarkStart w:id="446" w:name="_Toc33472579"/>
      <w:bookmarkStart w:id="447" w:name="_Toc404765182"/>
      <w:bookmarkStart w:id="448" w:name="_Toc346701609"/>
      <w:bookmarkStart w:id="449" w:name="_Toc45635793"/>
      <w:bookmarkStart w:id="450" w:name="_Toc404243487"/>
      <w:bookmarkStart w:id="451" w:name="_Toc404764406"/>
      <w:r>
        <w:rPr>
          <w:rFonts w:hint="eastAsia" w:ascii="宋体" w:hAnsi="宋体" w:eastAsia="宋体" w:cs="宋体"/>
          <w:b/>
          <w:color w:val="auto"/>
          <w:sz w:val="24"/>
          <w:highlight w:val="none"/>
        </w:rPr>
        <w:t>一、开标准备</w:t>
      </w:r>
      <w:bookmarkEnd w:id="445"/>
      <w:bookmarkEnd w:id="446"/>
      <w:bookmarkEnd w:id="447"/>
      <w:bookmarkEnd w:id="448"/>
      <w:bookmarkEnd w:id="449"/>
      <w:bookmarkEnd w:id="450"/>
      <w:bookmarkEnd w:id="451"/>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（一）各工程建设投标人及政府采购供应商（以下简称：投标人或供应商）自行准备参与对应项目</w:t>
      </w:r>
      <w:bookmarkStart w:id="452" w:name="_Hlk34232239"/>
      <w:r>
        <w:rPr>
          <w:rFonts w:hint="eastAsia" w:ascii="宋体" w:hAnsi="宋体" w:eastAsia="宋体" w:cs="宋体"/>
          <w:color w:val="auto"/>
          <w:kern w:val="0"/>
          <w:sz w:val="24"/>
          <w:highlight w:val="none"/>
        </w:rPr>
        <w:t>远程在线开标</w:t>
      </w:r>
      <w:bookmarkEnd w:id="452"/>
      <w:r>
        <w:rPr>
          <w:rFonts w:hint="eastAsia" w:ascii="宋体" w:hAnsi="宋体" w:eastAsia="宋体" w:cs="宋体"/>
          <w:color w:val="auto"/>
          <w:kern w:val="0"/>
          <w:sz w:val="24"/>
          <w:highlight w:val="none"/>
        </w:rPr>
        <w:t>的电脑、音频设备（如需语音提示），并确保设施设备运行状况良好、网络状况良好。建议采用</w:t>
      </w:r>
      <w:r>
        <w:rPr>
          <w:rFonts w:hint="eastAsia" w:ascii="宋体" w:hAnsi="宋体" w:eastAsia="宋体" w:cs="宋体"/>
          <w:color w:val="auto"/>
          <w:sz w:val="24"/>
          <w:highlight w:val="none"/>
        </w:rPr>
        <w:t>IE10及以上浏览器、360浏览器（极速模式）、谷歌浏览器，</w:t>
      </w:r>
      <w:r>
        <w:rPr>
          <w:rFonts w:hint="eastAsia" w:ascii="宋体" w:hAnsi="宋体" w:eastAsia="宋体" w:cs="宋体"/>
          <w:color w:val="auto"/>
          <w:kern w:val="0"/>
          <w:sz w:val="24"/>
          <w:highlight w:val="none"/>
        </w:rPr>
        <w:t>同时确保电脑能正常登录云南省公共资源交易信息网（网址：http://ggzy.yn.gov.cn/#/homePage）。</w:t>
      </w:r>
    </w:p>
    <w:p>
      <w:pPr>
        <w:spacing w:before="160" w:beforeLines="50" w:after="160" w:afterLines="50" w:line="360" w:lineRule="auto"/>
        <w:ind w:firstLine="482" w:firstLineChars="200"/>
        <w:jc w:val="left"/>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rPr>
        <w:t>注：</w:t>
      </w:r>
      <w:r>
        <w:rPr>
          <w:rFonts w:hint="eastAsia" w:ascii="宋体" w:hAnsi="宋体" w:eastAsia="宋体" w:cs="宋体"/>
          <w:color w:val="auto"/>
          <w:kern w:val="0"/>
          <w:sz w:val="24"/>
          <w:highlight w:val="none"/>
        </w:rPr>
        <w:t>尽量使用制作并加密对应项目电子投标文件的电脑进行远程在线开标。</w:t>
      </w:r>
    </w:p>
    <w:p>
      <w:pPr>
        <w:widowControl/>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（二）投标人或供应商提前准备好投标的机构数字证书及对应项目投标文件的加密证书。</w:t>
      </w:r>
      <w:bookmarkStart w:id="453" w:name="_Toc45635794"/>
    </w:p>
    <w:p>
      <w:pPr>
        <w:widowControl/>
        <w:spacing w:before="160" w:beforeLines="50" w:after="160" w:after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二、注意事项</w:t>
      </w:r>
      <w:bookmarkEnd w:id="453"/>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（一）招标人（招标代理机构，下同）通过远程在线开标系统下达</w:t>
      </w:r>
      <w:r>
        <w:rPr>
          <w:rFonts w:hint="eastAsia" w:ascii="宋体" w:hAnsi="宋体" w:eastAsia="宋体" w:cs="宋体"/>
          <w:color w:val="auto"/>
          <w:sz w:val="24"/>
          <w:highlight w:val="none"/>
        </w:rPr>
        <w:t>“网上解密”指令后，</w:t>
      </w:r>
      <w:r>
        <w:rPr>
          <w:rFonts w:hint="eastAsia" w:ascii="宋体" w:hAnsi="宋体" w:eastAsia="宋体" w:cs="宋体"/>
          <w:color w:val="auto"/>
          <w:kern w:val="0"/>
          <w:sz w:val="24"/>
          <w:highlight w:val="none"/>
        </w:rPr>
        <w:t>投标人或供应商应在招标人规定的投标文件解密时间（不得少于30分钟）内，使用对本项目投标文件进行加密的数字证书完成本单位所有投标文件解密操作（即，点击解密、输入密码、密码确认）。如若未在规定的解密时间内完成解密操作或因投标人自身原因致使其投标文件未成功解密的投标视为无效投标。</w:t>
      </w:r>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投标人在对应项目开标过程中，应及时登录云南省公共资源电子交易系统→建设工程（政府采购）→“开标会”模块，选择投标项目并实时关注项目开标信息。因投标人未及时查看相关信息或未按要求处理，且影响其开标结果的，由投标人自行承担一切不利后果。</w:t>
      </w:r>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（三）投标人或供应商若对本项目在线开标过程有任何异议，应在开标结束指令下达前提出。否则，视为投标人对本项目开标过程无任何异议。投标人未参加本项目远程在线开标的，视同认可开标结果。</w:t>
      </w:r>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（四）相关单位和个人如需咨询智能开标系统相关事宜，欢迎在工作日上班时间内（上午9:00—12:00，下午14:00—18:00），随时致电北京筑龙信息技术有限公司010—86483801垂询。</w:t>
      </w:r>
    </w:p>
    <w:p>
      <w:pPr>
        <w:widowControl/>
        <w:spacing w:before="160" w:beforeLines="50" w:after="160" w:afterLines="50" w:line="360" w:lineRule="auto"/>
        <w:jc w:val="left"/>
        <w:rPr>
          <w:rFonts w:hint="eastAsia" w:ascii="宋体" w:hAnsi="宋体" w:eastAsia="宋体" w:cs="宋体"/>
          <w:b/>
          <w:color w:val="auto"/>
          <w:sz w:val="24"/>
          <w:highlight w:val="none"/>
        </w:rPr>
      </w:pPr>
      <w:bookmarkStart w:id="454" w:name="_Toc45635795"/>
      <w:r>
        <w:rPr>
          <w:rFonts w:hint="eastAsia" w:ascii="宋体" w:hAnsi="宋体" w:eastAsia="宋体" w:cs="宋体"/>
          <w:b/>
          <w:color w:val="auto"/>
          <w:sz w:val="24"/>
          <w:highlight w:val="none"/>
        </w:rPr>
        <w:t>三、网上开标远程解密流程图</w:t>
      </w:r>
      <w:bookmarkEnd w:id="454"/>
    </w:p>
    <w:p>
      <w:pPr>
        <w:spacing w:before="160" w:beforeLines="50" w:after="160" w:afterLines="50" w:line="360" w:lineRule="auto"/>
        <w:jc w:val="center"/>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object>
          <v:shape id="_x0000_i1026" o:spt="75" type="#_x0000_t75" style="height:402pt;width:412.6pt;" o:ole="t" filled="f" o:preferrelative="t" stroked="f" coordsize="21600,21600">
            <v:path/>
            <v:fill on="f" focussize="0,0"/>
            <v:stroke on="f"/>
            <v:imagedata r:id="rId10" o:title=""/>
            <o:lock v:ext="edit" aspectratio="t"/>
            <w10:wrap type="none"/>
            <w10:anchorlock/>
          </v:shape>
          <o:OLEObject Type="Embed" ProgID="Visio.Drawing.15" ShapeID="_x0000_i1026" DrawAspect="Content" ObjectID="_1468075726" r:id="rId13">
            <o:LockedField>false</o:LockedField>
          </o:OLEObject>
        </w:object>
      </w:r>
    </w:p>
    <w:p>
      <w:pPr>
        <w:widowControl/>
        <w:spacing w:before="160" w:beforeLines="50" w:after="160" w:afterLines="50" w:line="360" w:lineRule="auto"/>
        <w:jc w:val="left"/>
        <w:rPr>
          <w:rFonts w:hint="eastAsia" w:ascii="宋体" w:hAnsi="宋体" w:eastAsia="宋体" w:cs="宋体"/>
          <w:b/>
          <w:color w:val="auto"/>
          <w:sz w:val="24"/>
          <w:highlight w:val="none"/>
        </w:rPr>
      </w:pPr>
      <w:bookmarkStart w:id="455" w:name="_Toc34264067"/>
      <w:bookmarkStart w:id="456" w:name="_Toc45635796"/>
      <w:r>
        <w:rPr>
          <w:rFonts w:hint="eastAsia" w:ascii="宋体" w:hAnsi="宋体" w:eastAsia="宋体" w:cs="宋体"/>
          <w:b/>
          <w:color w:val="auto"/>
          <w:sz w:val="24"/>
          <w:highlight w:val="none"/>
        </w:rPr>
        <w:t>四、系统操作流程</w:t>
      </w:r>
      <w:bookmarkEnd w:id="455"/>
      <w:bookmarkEnd w:id="456"/>
    </w:p>
    <w:p>
      <w:pPr>
        <w:widowControl/>
        <w:spacing w:before="160" w:beforeLines="50" w:after="160" w:afterLines="50" w:line="360" w:lineRule="auto"/>
        <w:ind w:left="333" w:leftChars="7" w:hanging="318" w:hangingChars="132"/>
        <w:outlineLvl w:val="9"/>
        <w:rPr>
          <w:rFonts w:hint="eastAsia" w:ascii="宋体" w:hAnsi="宋体" w:eastAsia="宋体" w:cs="宋体"/>
          <w:b/>
          <w:color w:val="auto"/>
          <w:sz w:val="24"/>
          <w:highlight w:val="none"/>
        </w:rPr>
      </w:pPr>
      <w:bookmarkStart w:id="457" w:name="_Toc4431318"/>
      <w:bookmarkStart w:id="458" w:name="_Toc34264068"/>
      <w:bookmarkStart w:id="459" w:name="_Toc45635797"/>
      <w:bookmarkStart w:id="460" w:name="_Toc4429352"/>
      <w:r>
        <w:rPr>
          <w:rFonts w:hint="eastAsia" w:ascii="宋体" w:hAnsi="宋体" w:eastAsia="宋体" w:cs="宋体"/>
          <w:b/>
          <w:color w:val="auto"/>
          <w:sz w:val="24"/>
          <w:highlight w:val="none"/>
        </w:rPr>
        <w:t>1.系统入口介绍</w:t>
      </w:r>
      <w:bookmarkEnd w:id="457"/>
      <w:bookmarkEnd w:id="458"/>
      <w:bookmarkEnd w:id="459"/>
      <w:bookmarkEnd w:id="460"/>
    </w:p>
    <w:p>
      <w:pPr>
        <w:widowControl/>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打开云南省公共资源交易系统，从投标方入口进行登录，点击【登录】按钮，输入数字证书密码即可登录系统。</w:t>
      </w:r>
    </w:p>
    <w:p>
      <w:pPr>
        <w:widowControl/>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（温馨提示：请在开标时间前登录系统做好准备。）</w:t>
      </w:r>
    </w:p>
    <w:p>
      <w:pPr>
        <w:widowControl/>
        <w:spacing w:before="160" w:beforeLines="50" w:after="160" w:afterLines="50"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501265"/>
            <wp:effectExtent l="0" t="0" r="9525" b="133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4"/>
                    <a:stretch>
                      <a:fillRect/>
                    </a:stretch>
                  </pic:blipFill>
                  <pic:spPr>
                    <a:xfrm>
                      <a:off x="0" y="0"/>
                      <a:ext cx="5248275" cy="2501265"/>
                    </a:xfrm>
                    <a:prstGeom prst="rect">
                      <a:avLst/>
                    </a:prstGeom>
                    <a:noFill/>
                    <a:ln>
                      <a:noFill/>
                    </a:ln>
                  </pic:spPr>
                </pic:pic>
              </a:graphicData>
            </a:graphic>
          </wp:inline>
        </w:drawing>
      </w:r>
    </w:p>
    <w:p>
      <w:pPr>
        <w:widowControl/>
        <w:spacing w:before="160" w:beforeLines="50" w:after="160" w:afterLines="50" w:line="360" w:lineRule="auto"/>
        <w:outlineLvl w:val="9"/>
        <w:rPr>
          <w:rFonts w:hint="eastAsia" w:ascii="宋体" w:hAnsi="宋体" w:eastAsia="宋体" w:cs="宋体"/>
          <w:b/>
          <w:color w:val="auto"/>
          <w:sz w:val="24"/>
          <w:highlight w:val="none"/>
        </w:rPr>
      </w:pPr>
      <w:bookmarkStart w:id="461" w:name="_Toc12269"/>
      <w:bookmarkStart w:id="462" w:name="_Toc4429353"/>
      <w:bookmarkStart w:id="463" w:name="_Toc474413595"/>
      <w:bookmarkStart w:id="464" w:name="_Toc4431319"/>
      <w:bookmarkStart w:id="465" w:name="_Toc45635798"/>
      <w:bookmarkStart w:id="466" w:name="_Toc34264069"/>
      <w:r>
        <w:rPr>
          <w:rFonts w:hint="eastAsia" w:ascii="宋体" w:hAnsi="宋体" w:eastAsia="宋体" w:cs="宋体"/>
          <w:b/>
          <w:color w:val="auto"/>
          <w:sz w:val="24"/>
          <w:highlight w:val="none"/>
        </w:rPr>
        <w:t>2.</w:t>
      </w:r>
      <w:bookmarkEnd w:id="461"/>
      <w:bookmarkEnd w:id="462"/>
      <w:bookmarkEnd w:id="463"/>
      <w:bookmarkEnd w:id="464"/>
      <w:r>
        <w:rPr>
          <w:rFonts w:hint="eastAsia" w:ascii="宋体" w:hAnsi="宋体" w:eastAsia="宋体" w:cs="宋体"/>
          <w:b/>
          <w:color w:val="auto"/>
          <w:sz w:val="24"/>
          <w:highlight w:val="none"/>
        </w:rPr>
        <w:t>详细操作流程</w:t>
      </w:r>
      <w:bookmarkEnd w:id="465"/>
      <w:bookmarkEnd w:id="466"/>
    </w:p>
    <w:p>
      <w:pPr>
        <w:widowControl/>
        <w:spacing w:before="160" w:beforeLines="50" w:after="160" w:afterLines="50" w:line="360" w:lineRule="auto"/>
        <w:ind w:left="567" w:hanging="567"/>
        <w:outlineLvl w:val="9"/>
        <w:rPr>
          <w:rFonts w:hint="eastAsia" w:ascii="宋体" w:hAnsi="宋体" w:eastAsia="宋体" w:cs="宋体"/>
          <w:b/>
          <w:color w:val="auto"/>
          <w:sz w:val="24"/>
          <w:highlight w:val="none"/>
        </w:rPr>
      </w:pPr>
      <w:bookmarkStart w:id="467" w:name="_Toc34264070"/>
      <w:bookmarkStart w:id="468" w:name="_Toc45635799"/>
      <w:r>
        <w:rPr>
          <w:rFonts w:hint="eastAsia" w:ascii="宋体" w:hAnsi="宋体" w:eastAsia="宋体" w:cs="宋体"/>
          <w:b/>
          <w:color w:val="auto"/>
          <w:sz w:val="24"/>
          <w:highlight w:val="none"/>
        </w:rPr>
        <w:t>2.1进入开标室</w:t>
      </w:r>
      <w:bookmarkEnd w:id="467"/>
      <w:bookmarkEnd w:id="468"/>
    </w:p>
    <w:p>
      <w:pPr>
        <w:spacing w:before="160" w:beforeLines="50" w:after="160" w:afterLines="50" w:line="360" w:lineRule="auto"/>
        <w:ind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2.1.1投标人有三种方式进入开标室：【今天开标】、【我参与的项目】、【开标】。</w:t>
      </w:r>
    </w:p>
    <w:p>
      <w:pPr>
        <w:spacing w:before="160" w:beforeLines="50" w:after="160" w:afterLines="50" w:line="360" w:lineRule="auto"/>
        <w:ind w:firstLine="480" w:firstLineChars="20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（1）【今天开标】：通过【工作台】的【今日开标】，找到需要开标的项目，点击项目卡片，当项目达到截标时间后系统自动跳转进入此项目的【开标准备】界面。</w:t>
      </w:r>
    </w:p>
    <w:p>
      <w:pPr>
        <w:spacing w:before="160" w:beforeLines="50" w:after="160" w:afterLines="50" w:line="360" w:lineRule="auto"/>
        <w:ind w:firstLine="360" w:firstLineChars="150"/>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501265"/>
            <wp:effectExtent l="0" t="0" r="9525" b="133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5"/>
                    <a:stretch>
                      <a:fillRect/>
                    </a:stretch>
                  </pic:blipFill>
                  <pic:spPr>
                    <a:xfrm>
                      <a:off x="0" y="0"/>
                      <a:ext cx="5248275" cy="2501265"/>
                    </a:xfrm>
                    <a:prstGeom prst="rect">
                      <a:avLst/>
                    </a:prstGeom>
                    <a:noFill/>
                    <a:ln>
                      <a:noFill/>
                    </a:ln>
                  </pic:spPr>
                </pic:pic>
              </a:graphicData>
            </a:graphic>
          </wp:inline>
        </w:drawing>
      </w:r>
    </w:p>
    <w:p>
      <w:pPr>
        <w:spacing w:before="160" w:beforeLines="50" w:after="160" w:afterLines="50" w:line="360" w:lineRule="auto"/>
        <w:ind w:firstLine="360" w:firstLineChars="15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（2）【我参与的项目】：投标人选择【我参与的项目】，在需要开标的项目后点击操作【进入项目】。</w:t>
      </w:r>
    </w:p>
    <w:p>
      <w:pPr>
        <w:spacing w:before="160" w:beforeLines="50" w:after="160" w:afterLines="50" w:line="360" w:lineRule="auto"/>
        <w:ind w:firstLine="360" w:firstLineChars="150"/>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501265"/>
            <wp:effectExtent l="0" t="0" r="9525" b="133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6"/>
                    <a:stretch>
                      <a:fillRect/>
                    </a:stretch>
                  </pic:blipFill>
                  <pic:spPr>
                    <a:xfrm>
                      <a:off x="0" y="0"/>
                      <a:ext cx="5248275" cy="2501265"/>
                    </a:xfrm>
                    <a:prstGeom prst="rect">
                      <a:avLst/>
                    </a:prstGeom>
                    <a:noFill/>
                    <a:ln>
                      <a:noFill/>
                    </a:ln>
                  </pic:spPr>
                </pic:pic>
              </a:graphicData>
            </a:graphic>
          </wp:inline>
        </w:drawing>
      </w:r>
    </w:p>
    <w:p>
      <w:pPr>
        <w:spacing w:before="160" w:beforeLines="50" w:after="160" w:afterLines="50" w:line="360" w:lineRule="auto"/>
        <w:ind w:firstLine="360" w:firstLineChars="15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在【开标】节点，点击【进入开标大厅】后，当项目达到截标时间后系统自动跳转进入此项目的【开标准备】界面。</w:t>
      </w:r>
    </w:p>
    <w:p>
      <w:pPr>
        <w:spacing w:before="160" w:beforeLines="50" w:after="160" w:afterLines="50" w:line="360" w:lineRule="auto"/>
        <w:ind w:firstLine="360" w:firstLineChars="150"/>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501265"/>
            <wp:effectExtent l="0" t="0" r="9525" b="133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7"/>
                    <a:stretch>
                      <a:fillRect/>
                    </a:stretch>
                  </pic:blipFill>
                  <pic:spPr>
                    <a:xfrm>
                      <a:off x="0" y="0"/>
                      <a:ext cx="5248275" cy="2501265"/>
                    </a:xfrm>
                    <a:prstGeom prst="rect">
                      <a:avLst/>
                    </a:prstGeom>
                    <a:noFill/>
                    <a:ln>
                      <a:noFill/>
                    </a:ln>
                  </pic:spPr>
                </pic:pic>
              </a:graphicData>
            </a:graphic>
          </wp:inline>
        </w:drawing>
      </w:r>
    </w:p>
    <w:p>
      <w:pPr>
        <w:spacing w:before="160" w:beforeLines="50" w:after="160" w:afterLines="50" w:line="360" w:lineRule="auto"/>
        <w:ind w:firstLine="360" w:firstLineChars="15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（3）【开标】：投标人选择【开标】，列表展示全部待开标项目，点击需要开标项目的【进入】操作，当项目达到截标时间后系统自动跳转进入此项目的【开标准备】界面。</w:t>
      </w:r>
    </w:p>
    <w:p>
      <w:pPr>
        <w:spacing w:before="160" w:beforeLines="50" w:after="160" w:afterLines="50" w:line="360" w:lineRule="auto"/>
        <w:ind w:firstLine="360" w:firstLineChars="15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501265"/>
            <wp:effectExtent l="0" t="0" r="9525" b="133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8"/>
                    <a:stretch>
                      <a:fillRect/>
                    </a:stretch>
                  </pic:blipFill>
                  <pic:spPr>
                    <a:xfrm>
                      <a:off x="0" y="0"/>
                      <a:ext cx="5248275" cy="2501265"/>
                    </a:xfrm>
                    <a:prstGeom prst="rect">
                      <a:avLst/>
                    </a:prstGeom>
                    <a:noFill/>
                    <a:ln>
                      <a:noFill/>
                    </a:ln>
                  </pic:spPr>
                </pic:pic>
              </a:graphicData>
            </a:graphic>
          </wp:inline>
        </w:drawing>
      </w:r>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2.1.2直接进入到云南省智能开标系统界面，投标人可以在右下角看到开标会现场的视频直播：</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610485"/>
            <wp:effectExtent l="0" t="0" r="9525" b="1079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9"/>
                    <a:stretch>
                      <a:fillRect/>
                    </a:stretch>
                  </pic:blipFill>
                  <pic:spPr>
                    <a:xfrm>
                      <a:off x="0" y="0"/>
                      <a:ext cx="5248275" cy="2610485"/>
                    </a:xfrm>
                    <a:prstGeom prst="rect">
                      <a:avLst/>
                    </a:prstGeom>
                    <a:noFill/>
                    <a:ln>
                      <a:noFill/>
                    </a:ln>
                  </pic:spPr>
                </pic:pic>
              </a:graphicData>
            </a:graphic>
          </wp:inline>
        </w:drawing>
      </w:r>
    </w:p>
    <w:p>
      <w:pPr>
        <w:widowControl/>
        <w:spacing w:before="160" w:beforeLines="50" w:after="160" w:afterLines="50" w:line="360" w:lineRule="auto"/>
        <w:ind w:left="567" w:hanging="567"/>
        <w:outlineLvl w:val="9"/>
        <w:rPr>
          <w:rFonts w:hint="eastAsia" w:ascii="宋体" w:hAnsi="宋体" w:eastAsia="宋体" w:cs="宋体"/>
          <w:b/>
          <w:color w:val="auto"/>
          <w:sz w:val="24"/>
          <w:highlight w:val="none"/>
        </w:rPr>
      </w:pPr>
      <w:bookmarkStart w:id="469" w:name="_Toc45635800"/>
      <w:r>
        <w:rPr>
          <w:rFonts w:hint="eastAsia" w:ascii="宋体" w:hAnsi="宋体" w:eastAsia="宋体" w:cs="宋体"/>
          <w:b/>
          <w:color w:val="auto"/>
          <w:sz w:val="24"/>
          <w:highlight w:val="none"/>
        </w:rPr>
        <w:t>2.2进入开标室</w:t>
      </w:r>
      <w:bookmarkEnd w:id="469"/>
    </w:p>
    <w:p>
      <w:pPr>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2.2.1.进入本项目，等待招标人导入招标文件，招标人导入完成后，点击【下一步】。</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486400" cy="231648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0"/>
                    <a:stretch>
                      <a:fillRect/>
                    </a:stretch>
                  </pic:blipFill>
                  <pic:spPr>
                    <a:xfrm>
                      <a:off x="0" y="0"/>
                      <a:ext cx="5486400" cy="2316480"/>
                    </a:xfrm>
                    <a:prstGeom prst="rect">
                      <a:avLst/>
                    </a:prstGeom>
                    <a:noFill/>
                    <a:ln>
                      <a:noFill/>
                    </a:ln>
                  </pic:spPr>
                </pic:pic>
              </a:graphicData>
            </a:graphic>
          </wp:inline>
        </w:drawing>
      </w:r>
    </w:p>
    <w:p>
      <w:pPr>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2.2.2进入解密界面，等待招标人下达解密指令解密指令下达后，点击【确定】。</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438400"/>
            <wp:effectExtent l="0" t="0" r="952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1"/>
                    <a:stretch>
                      <a:fillRect/>
                    </a:stretch>
                  </pic:blipFill>
                  <pic:spPr>
                    <a:xfrm>
                      <a:off x="0" y="0"/>
                      <a:ext cx="5248275" cy="2438400"/>
                    </a:xfrm>
                    <a:prstGeom prst="rect">
                      <a:avLst/>
                    </a:prstGeom>
                    <a:noFill/>
                    <a:ln>
                      <a:noFill/>
                    </a:ln>
                  </pic:spPr>
                </pic:pic>
              </a:graphicData>
            </a:graphic>
          </wp:inline>
        </w:drawing>
      </w:r>
    </w:p>
    <w:p>
      <w:pPr>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2.2.3在电脑上插入加密电子投标文件的数字证书，点击【解密】，输入密码并确认，或使用密码串进行解密。</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501265"/>
            <wp:effectExtent l="0" t="0" r="9525" b="1333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2"/>
                    <a:stretch>
                      <a:fillRect/>
                    </a:stretch>
                  </pic:blipFill>
                  <pic:spPr>
                    <a:xfrm>
                      <a:off x="0" y="0"/>
                      <a:ext cx="5248275" cy="2501265"/>
                    </a:xfrm>
                    <a:prstGeom prst="rect">
                      <a:avLst/>
                    </a:prstGeom>
                    <a:noFill/>
                    <a:ln>
                      <a:noFill/>
                    </a:ln>
                  </pic:spPr>
                </pic:pic>
              </a:graphicData>
            </a:graphic>
          </wp:inline>
        </w:drawing>
      </w:r>
    </w:p>
    <w:p>
      <w:pPr>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2.2.4解密完成后，等待系统自动导入投标文件。</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501265"/>
            <wp:effectExtent l="0" t="0" r="9525" b="1333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23"/>
                    <a:stretch>
                      <a:fillRect/>
                    </a:stretch>
                  </pic:blipFill>
                  <pic:spPr>
                    <a:xfrm>
                      <a:off x="0" y="0"/>
                      <a:ext cx="5248275" cy="2501265"/>
                    </a:xfrm>
                    <a:prstGeom prst="rect">
                      <a:avLst/>
                    </a:prstGeom>
                    <a:noFill/>
                    <a:ln>
                      <a:noFill/>
                    </a:ln>
                  </pic:spPr>
                </pic:pic>
              </a:graphicData>
            </a:graphic>
          </wp:inline>
        </w:drawing>
      </w:r>
    </w:p>
    <w:p>
      <w:pPr>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2.2.5所有文件导入成功即，解密完成，并点击【下一步】。</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457450"/>
            <wp:effectExtent l="0" t="0" r="9525" b="1143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24"/>
                    <a:stretch>
                      <a:fillRect/>
                    </a:stretch>
                  </pic:blipFill>
                  <pic:spPr>
                    <a:xfrm>
                      <a:off x="0" y="0"/>
                      <a:ext cx="5248275" cy="2457450"/>
                    </a:xfrm>
                    <a:prstGeom prst="rect">
                      <a:avLst/>
                    </a:prstGeom>
                    <a:noFill/>
                    <a:ln>
                      <a:noFill/>
                    </a:ln>
                  </pic:spPr>
                </pic:pic>
              </a:graphicData>
            </a:graphic>
          </wp:inline>
        </w:drawing>
      </w:r>
    </w:p>
    <w:p>
      <w:pPr>
        <w:spacing w:before="160" w:beforeLines="50" w:after="160" w:afterLines="50"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2.2.6进入唱标界面，查看本次开标内容，可点击“开始语音播报”，系统将自动语音唱标，播报过程中可暂停/恢复，播报完成后也可重新进行播报。</w:t>
      </w:r>
      <w:r>
        <w:rPr>
          <w:rFonts w:hint="eastAsia" w:ascii="宋体" w:hAnsi="宋体" w:eastAsia="宋体" w:cs="宋体"/>
          <w:color w:val="auto"/>
          <w:sz w:val="24"/>
          <w:highlight w:val="none"/>
        </w:rPr>
        <w:drawing>
          <wp:inline distT="0" distB="0" distL="114300" distR="114300">
            <wp:extent cx="5248275" cy="3585845"/>
            <wp:effectExtent l="0" t="0" r="9525" b="1079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5"/>
                    <a:stretch>
                      <a:fillRect/>
                    </a:stretch>
                  </pic:blipFill>
                  <pic:spPr>
                    <a:xfrm>
                      <a:off x="0" y="0"/>
                      <a:ext cx="5248275" cy="3585845"/>
                    </a:xfrm>
                    <a:prstGeom prst="rect">
                      <a:avLst/>
                    </a:prstGeom>
                    <a:noFill/>
                    <a:ln>
                      <a:noFill/>
                    </a:ln>
                  </pic:spPr>
                </pic:pic>
              </a:graphicData>
            </a:graphic>
          </wp:inline>
        </w:drawing>
      </w:r>
    </w:p>
    <w:p>
      <w:pPr>
        <w:spacing w:before="160" w:beforeLines="50" w:after="160" w:afterLines="50"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2.2.7当招标方发起对本次开标过程是否有异议询问，请及时回复是否有异议。</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910" cy="3603625"/>
            <wp:effectExtent l="0" t="0" r="8890" b="825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6"/>
                    <a:stretch>
                      <a:fillRect/>
                    </a:stretch>
                  </pic:blipFill>
                  <pic:spPr>
                    <a:xfrm>
                      <a:off x="0" y="0"/>
                      <a:ext cx="5248910" cy="3603625"/>
                    </a:xfrm>
                    <a:prstGeom prst="rect">
                      <a:avLst/>
                    </a:prstGeom>
                    <a:noFill/>
                    <a:ln>
                      <a:noFill/>
                    </a:ln>
                  </pic:spPr>
                </pic:pic>
              </a:graphicData>
            </a:graphic>
          </wp:inline>
        </w:drawing>
      </w:r>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对本次开标过程有异议的，点击“有异议”，进入异议界面，投标人在开标过程中也可点击“异议”功能及时提出异议。</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8275" cy="2446655"/>
            <wp:effectExtent l="0" t="0" r="9525" b="698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7"/>
                    <a:stretch>
                      <a:fillRect/>
                    </a:stretch>
                  </pic:blipFill>
                  <pic:spPr>
                    <a:xfrm>
                      <a:off x="0" y="0"/>
                      <a:ext cx="5248275" cy="2446655"/>
                    </a:xfrm>
                    <a:prstGeom prst="rect">
                      <a:avLst/>
                    </a:prstGeom>
                    <a:noFill/>
                    <a:ln>
                      <a:noFill/>
                    </a:ln>
                  </pic:spPr>
                </pic:pic>
              </a:graphicData>
            </a:graphic>
          </wp:inline>
        </w:drawing>
      </w:r>
    </w:p>
    <w:p>
      <w:pPr>
        <w:spacing w:before="160" w:beforeLines="50" w:after="160" w:afterLines="50" w:line="360" w:lineRule="auto"/>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kern w:val="0"/>
          <w:sz w:val="24"/>
          <w:highlight w:val="none"/>
        </w:rPr>
        <w:t>特别说明：</w:t>
      </w:r>
      <w:r>
        <w:rPr>
          <w:rFonts w:hint="eastAsia" w:ascii="宋体" w:hAnsi="宋体" w:eastAsia="宋体" w:cs="宋体"/>
          <w:color w:val="auto"/>
          <w:kern w:val="0"/>
          <w:sz w:val="24"/>
          <w:highlight w:val="none"/>
        </w:rPr>
        <w:t>开标端发起对本次开标过程是否有异议询问后，不确认或不及时提出异议，视为对本次开标过程无异议。</w:t>
      </w:r>
    </w:p>
    <w:p>
      <w:pPr>
        <w:widowControl/>
        <w:spacing w:before="160" w:beforeLines="50" w:after="160" w:afterLines="50" w:line="360" w:lineRule="auto"/>
        <w:ind w:left="567" w:hanging="567"/>
        <w:outlineLvl w:val="9"/>
        <w:rPr>
          <w:rFonts w:hint="eastAsia" w:ascii="宋体" w:hAnsi="宋体" w:eastAsia="宋体" w:cs="宋体"/>
          <w:b/>
          <w:color w:val="auto"/>
          <w:sz w:val="24"/>
          <w:highlight w:val="none"/>
        </w:rPr>
      </w:pPr>
      <w:bookmarkStart w:id="470" w:name="_Toc45635801"/>
      <w:r>
        <w:rPr>
          <w:rFonts w:hint="eastAsia" w:ascii="宋体" w:hAnsi="宋体" w:eastAsia="宋体" w:cs="宋体"/>
          <w:b/>
          <w:color w:val="auto"/>
          <w:sz w:val="24"/>
          <w:highlight w:val="none"/>
        </w:rPr>
        <w:t>2.3开标结束</w:t>
      </w:r>
      <w:bookmarkEnd w:id="470"/>
    </w:p>
    <w:p>
      <w:pPr>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招标方在开标端点击“开标结束”按钮，结束开标。投标人或供应商可自行选择是否打印开标一览表。</w:t>
      </w:r>
    </w:p>
    <w:p>
      <w:pPr>
        <w:spacing w:before="160" w:beforeLines="50" w:after="160" w:afterLines="50"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5247005" cy="3763010"/>
            <wp:effectExtent l="0" t="0" r="10795" b="127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8"/>
                    <a:stretch>
                      <a:fillRect/>
                    </a:stretch>
                  </pic:blipFill>
                  <pic:spPr>
                    <a:xfrm>
                      <a:off x="0" y="0"/>
                      <a:ext cx="5247005" cy="3763010"/>
                    </a:xfrm>
                    <a:prstGeom prst="rect">
                      <a:avLst/>
                    </a:prstGeom>
                    <a:noFill/>
                    <a:ln>
                      <a:noFill/>
                    </a:ln>
                  </pic:spPr>
                </pic:pic>
              </a:graphicData>
            </a:graphic>
          </wp:inline>
        </w:drawing>
      </w:r>
    </w:p>
    <w:p>
      <w:pPr>
        <w:widowControl/>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br w:type="page"/>
      </w:r>
      <w:bookmarkStart w:id="471" w:name="_Toc45635802"/>
      <w:r>
        <w:rPr>
          <w:rFonts w:hint="eastAsia" w:ascii="宋体" w:hAnsi="宋体" w:eastAsia="宋体" w:cs="宋体"/>
          <w:b/>
          <w:color w:val="auto"/>
          <w:sz w:val="24"/>
          <w:highlight w:val="none"/>
        </w:rPr>
        <w:t>五、技术支持</w:t>
      </w:r>
      <w:bookmarkEnd w:id="471"/>
    </w:p>
    <w:p>
      <w:pPr>
        <w:widowControl/>
        <w:snapToGrid w:val="0"/>
        <w:spacing w:before="160" w:beforeLines="50" w:after="16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云南省电子化平台由北京筑龙信息技术有限责任公司提供技术支持。</w:t>
      </w:r>
    </w:p>
    <w:p>
      <w:pPr>
        <w:widowControl/>
        <w:snapToGrid w:val="0"/>
        <w:spacing w:before="160" w:beforeLines="50" w:after="160" w:afterLines="50" w:line="360" w:lineRule="auto"/>
        <w:ind w:firstLine="480" w:firstLineChars="200"/>
        <w:jc w:val="left"/>
        <w:rPr>
          <w:rFonts w:hint="eastAsia" w:ascii="宋体" w:hAnsi="宋体" w:eastAsia="宋体" w:cs="宋体"/>
          <w:b/>
          <w:color w:val="auto"/>
          <w:sz w:val="24"/>
          <w:highlight w:val="none"/>
        </w:rPr>
      </w:pPr>
      <w:r>
        <w:rPr>
          <w:rFonts w:hint="eastAsia" w:ascii="宋体" w:hAnsi="宋体" w:eastAsia="宋体" w:cs="宋体"/>
          <w:bCs/>
          <w:color w:val="auto"/>
          <w:kern w:val="0"/>
          <w:sz w:val="24"/>
          <w:highlight w:val="none"/>
        </w:rPr>
        <w:t>咨询服务电话：</w:t>
      </w:r>
      <w:r>
        <w:rPr>
          <w:rFonts w:hint="eastAsia" w:ascii="宋体" w:hAnsi="宋体" w:eastAsia="宋体" w:cs="宋体"/>
          <w:b/>
          <w:color w:val="auto"/>
          <w:sz w:val="24"/>
          <w:highlight w:val="none"/>
        </w:rPr>
        <w:t>010-86483801</w:t>
      </w:r>
    </w:p>
    <w:p>
      <w:pPr>
        <w:spacing w:before="160" w:beforeLines="50" w:after="160" w:afterLines="50" w:line="360" w:lineRule="auto"/>
        <w:rPr>
          <w:rFonts w:hint="eastAsia" w:ascii="宋体" w:hAnsi="宋体" w:eastAsia="宋体" w:cs="宋体"/>
          <w:color w:val="auto"/>
          <w:sz w:val="28"/>
          <w:szCs w:val="28"/>
          <w:highlight w:val="none"/>
        </w:rPr>
      </w:pPr>
    </w:p>
    <w:p>
      <w:pPr>
        <w:spacing w:before="160" w:beforeLines="50" w:after="160" w:afterLines="50"/>
        <w:rPr>
          <w:rFonts w:hint="eastAsia" w:ascii="宋体" w:hAnsi="宋体" w:eastAsia="宋体" w:cs="宋体"/>
          <w:color w:val="auto"/>
          <w:sz w:val="28"/>
          <w:szCs w:val="28"/>
          <w:highlight w:val="none"/>
        </w:rPr>
      </w:pPr>
    </w:p>
    <w:p>
      <w:pPr>
        <w:widowControl/>
        <w:snapToGrid w:val="0"/>
        <w:spacing w:line="360" w:lineRule="auto"/>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-368935</wp:posOffset>
                </wp:positionH>
                <wp:positionV relativeFrom="paragraph">
                  <wp:posOffset>8091805</wp:posOffset>
                </wp:positionV>
                <wp:extent cx="6212840" cy="1238250"/>
                <wp:effectExtent l="4445" t="5080" r="15875" b="6350"/>
                <wp:wrapNone/>
                <wp:docPr id="20" name="矩形 3"/>
                <wp:cNvGraphicFramePr/>
                <a:graphic xmlns:a="http://schemas.openxmlformats.org/drawingml/2006/main">
                  <a:graphicData uri="http://schemas.microsoft.com/office/word/2010/wordprocessingShape">
                    <wps:wsp>
                      <wps:cNvSpPr/>
                      <wps:spPr>
                        <a:xfrm>
                          <a:off x="0" y="0"/>
                          <a:ext cx="6212840" cy="1238250"/>
                        </a:xfrm>
                        <a:prstGeom prst="rect">
                          <a:avLst/>
                        </a:prstGeom>
                        <a:solidFill>
                          <a:srgbClr val="FFFFFF"/>
                        </a:solidFill>
                        <a:ln w="3175" cap="flat" cmpd="sng">
                          <a:solidFill>
                            <a:srgbClr val="FFFFFF"/>
                          </a:solidFill>
                          <a:prstDash val="solid"/>
                          <a:miter/>
                          <a:headEnd type="none" w="med" len="med"/>
                          <a:tailEnd type="none" w="med" len="med"/>
                        </a:ln>
                      </wps:spPr>
                      <wps:txbx>
                        <w:txbxContent>
                          <w:p/>
                        </w:txbxContent>
                      </wps:txbx>
                      <wps:bodyPr upright="1"/>
                    </wps:wsp>
                  </a:graphicData>
                </a:graphic>
              </wp:anchor>
            </w:drawing>
          </mc:Choice>
          <mc:Fallback>
            <w:pict>
              <v:rect id="矩形 3" o:spid="_x0000_s1026" o:spt="1" style="position:absolute;left:0pt;margin-left:-29.05pt;margin-top:637.15pt;height:97.5pt;width:489.2pt;z-index:251659264;mso-width-relative:page;mso-height-relative:page;" fillcolor="#FFFFFF" filled="t" stroked="t" coordsize="21600,21600" o:gfxdata="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kpbAxtwAAAANAQAADwAAAAAAAAABACAAAAAiAAAAZHJz&#10;L2Rvd25yZXYueG1sUEsBAhQAFAAAAAgAh07iQCGWYS0AAgAAKwQAAA4AAAAAAAAAAQAgAAAAKwEA&#10;AGRycy9lMm9Eb2MueG1sUEsFBgAAAAAGAAYAWQEAAJ0FAAAAAA==&#10;">
                <v:fill on="t" focussize="0,0"/>
                <v:stroke weight="0.25pt" color="#FFFFFF" joinstyle="miter"/>
                <v:imagedata o:title=""/>
                <o:lock v:ext="edit" aspectratio="f"/>
                <v:textbox>
                  <w:txbxContent>
                    <w:p/>
                  </w:txbxContent>
                </v:textbox>
              </v:rect>
            </w:pict>
          </mc:Fallback>
        </mc:AlternateContent>
      </w:r>
    </w:p>
    <w:p>
      <w:pPr>
        <w:rPr>
          <w:rFonts w:hint="eastAsia" w:ascii="宋体" w:hAnsi="宋体" w:eastAsia="宋体" w:cs="宋体"/>
          <w:color w:val="auto"/>
          <w:sz w:val="24"/>
          <w:highlight w:val="none"/>
        </w:rPr>
      </w:pPr>
    </w:p>
    <w:p>
      <w:pPr>
        <w:pStyle w:val="11"/>
        <w:rPr>
          <w:rFonts w:hint="eastAsia"/>
          <w:color w:val="auto"/>
        </w:rPr>
      </w:pPr>
    </w:p>
    <w:sectPr>
      <w:footerReference r:id="rId4" w:type="default"/>
      <w:pgSz w:w="11906" w:h="16838"/>
      <w:pgMar w:top="1440" w:right="1080" w:bottom="1440" w:left="1080" w:header="851" w:footer="992" w:gutter="0"/>
      <w:pgNumType w:fmt="decimal" w:start="1"/>
      <w:cols w:space="708"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939BE64-FCC7-47F0-BC6D-BC0E004ACA87}"/>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6EF3F96-5D83-4955-BBD8-0BBE9970734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20A77006-D4E4-4856-9595-80A45DA764AA}"/>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Monaco">
    <w:altName w:val="Courier New"/>
    <w:panose1 w:val="020B0509030404040204"/>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Helvetica">
    <w:altName w:val="Arial"/>
    <w:panose1 w:val="020B0604020202020204"/>
    <w:charset w:val="00"/>
    <w:family w:val="swiss"/>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Dialog . plain">
    <w:altName w:val="微软雅黑"/>
    <w:panose1 w:val="00000000000000000000"/>
    <w:charset w:val="00"/>
    <w:family w:val="auto"/>
    <w:pitch w:val="default"/>
    <w:sig w:usb0="00000000" w:usb1="00000000" w:usb2="00000000" w:usb3="00000000" w:csb0="00040001" w:csb1="00000000"/>
  </w:font>
  <w:font w:name="方正小标宋_GBK">
    <w:panose1 w:val="03000509000000000000"/>
    <w:charset w:val="86"/>
    <w:family w:val="script"/>
    <w:pitch w:val="default"/>
    <w:sig w:usb0="00000001" w:usb1="080E0000" w:usb2="00000000" w:usb3="00000000" w:csb0="00040000" w:csb1="00000000"/>
    <w:embedRegular r:id="rId4" w:fontKey="{8828C424-0798-4CEB-B1EE-3120B978B925}"/>
  </w:font>
  <w:font w:name="方正仿宋_GBK">
    <w:panose1 w:val="03000509000000000000"/>
    <w:charset w:val="86"/>
    <w:family w:val="script"/>
    <w:pitch w:val="default"/>
    <w:sig w:usb0="00000001" w:usb1="080E0000" w:usb2="00000000" w:usb3="00000000" w:csb0="00040000" w:csb1="00000000"/>
    <w:embedRegular r:id="rId5" w:fontKey="{07B86303-4234-4153-B58E-D101978FE961}"/>
  </w:font>
  <w:font w:name="Wingdings 2">
    <w:panose1 w:val="05020102010507070707"/>
    <w:charset w:val="02"/>
    <w:family w:val="roman"/>
    <w:pitch w:val="default"/>
    <w:sig w:usb0="00000000" w:usb1="00000000" w:usb2="00000000" w:usb3="00000000" w:csb0="80000000" w:csb1="00000000"/>
    <w:embedRegular r:id="rId6" w:fontKey="{2615F50A-A9BD-4E9B-B722-5CD2B212D8D0}"/>
  </w:font>
  <w:font w:name="方正黑体_GBK">
    <w:panose1 w:val="03000509000000000000"/>
    <w:charset w:val="86"/>
    <w:family w:val="auto"/>
    <w:pitch w:val="default"/>
    <w:sig w:usb0="00000001" w:usb1="080E0000" w:usb2="00000000" w:usb3="00000000" w:csb0="00040000" w:csb1="00000000"/>
    <w:embedRegular r:id="rId7" w:fontKey="{72E839DF-6C8B-4AAC-B986-20A428DD6DCA}"/>
  </w:font>
  <w:font w:name="仿宋">
    <w:panose1 w:val="02010609060101010101"/>
    <w:charset w:val="86"/>
    <w:family w:val="auto"/>
    <w:pitch w:val="default"/>
    <w:sig w:usb0="800002BF" w:usb1="38CF7CFA" w:usb2="00000016" w:usb3="00000000" w:csb0="00040001" w:csb1="00000000"/>
    <w:embedRegular r:id="rId8" w:fontKey="{D02E35B8-2CED-46B4-9A66-FDB39D06E5BA}"/>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firstLine="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60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86940A"/>
    <w:multiLevelType w:val="singleLevel"/>
    <w:tmpl w:val="9E86940A"/>
    <w:lvl w:ilvl="0" w:tentative="0">
      <w:start w:val="5"/>
      <w:numFmt w:val="chineseCounting"/>
      <w:suff w:val="space"/>
      <w:lvlText w:val="第%1章"/>
      <w:lvlJc w:val="left"/>
      <w:rPr>
        <w:rFonts w:hint="eastAsia"/>
      </w:rPr>
    </w:lvl>
  </w:abstractNum>
  <w:abstractNum w:abstractNumId="1">
    <w:nsid w:val="18EC34F7"/>
    <w:multiLevelType w:val="singleLevel"/>
    <w:tmpl w:val="18EC34F7"/>
    <w:lvl w:ilvl="0" w:tentative="0">
      <w:start w:val="1"/>
      <w:numFmt w:val="decimal"/>
      <w:suff w:val="nothing"/>
      <w:lvlText w:val="（%1）"/>
      <w:lvlJc w:val="left"/>
    </w:lvl>
  </w:abstractNum>
  <w:abstractNum w:abstractNumId="2">
    <w:nsid w:val="27215942"/>
    <w:multiLevelType w:val="multilevel"/>
    <w:tmpl w:val="27215942"/>
    <w:lvl w:ilvl="0" w:tentative="0">
      <w:start w:val="1"/>
      <w:numFmt w:val="decimal"/>
      <w:pStyle w:val="72"/>
      <w:lvlText w:val="%1."/>
      <w:lvlJc w:val="left"/>
      <w:pPr>
        <w:ind w:left="425" w:hanging="425"/>
      </w:pPr>
    </w:lvl>
    <w:lvl w:ilvl="1" w:tentative="0">
      <w:start w:val="1"/>
      <w:numFmt w:val="decimal"/>
      <w:pStyle w:val="64"/>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yZjc4ODg4YjgxZTNjNmE0NDRmMWMzYmZhOGEzMzEifQ=="/>
  </w:docVars>
  <w:rsids>
    <w:rsidRoot w:val="00CF6FF0"/>
    <w:rsid w:val="00013956"/>
    <w:rsid w:val="000526C5"/>
    <w:rsid w:val="00055CE2"/>
    <w:rsid w:val="000A5D71"/>
    <w:rsid w:val="000B3966"/>
    <w:rsid w:val="000D2B9A"/>
    <w:rsid w:val="000D5443"/>
    <w:rsid w:val="000F1663"/>
    <w:rsid w:val="00125E55"/>
    <w:rsid w:val="0014285E"/>
    <w:rsid w:val="001720EE"/>
    <w:rsid w:val="00180756"/>
    <w:rsid w:val="001A65AF"/>
    <w:rsid w:val="002153DE"/>
    <w:rsid w:val="00267101"/>
    <w:rsid w:val="002A2ED2"/>
    <w:rsid w:val="002D7C73"/>
    <w:rsid w:val="003333EE"/>
    <w:rsid w:val="00396C9A"/>
    <w:rsid w:val="003F2954"/>
    <w:rsid w:val="003F386B"/>
    <w:rsid w:val="00416153"/>
    <w:rsid w:val="00441444"/>
    <w:rsid w:val="00477FF4"/>
    <w:rsid w:val="004D090C"/>
    <w:rsid w:val="004E39DF"/>
    <w:rsid w:val="005127DA"/>
    <w:rsid w:val="00557DFE"/>
    <w:rsid w:val="00577D28"/>
    <w:rsid w:val="005E2882"/>
    <w:rsid w:val="00653E5E"/>
    <w:rsid w:val="0066235B"/>
    <w:rsid w:val="0066795B"/>
    <w:rsid w:val="006851ED"/>
    <w:rsid w:val="006E1A6C"/>
    <w:rsid w:val="0073410E"/>
    <w:rsid w:val="00734F96"/>
    <w:rsid w:val="007C6914"/>
    <w:rsid w:val="007D03F7"/>
    <w:rsid w:val="008344E0"/>
    <w:rsid w:val="008420CE"/>
    <w:rsid w:val="008533CB"/>
    <w:rsid w:val="00865FD9"/>
    <w:rsid w:val="008900A7"/>
    <w:rsid w:val="0089060C"/>
    <w:rsid w:val="008E2D7D"/>
    <w:rsid w:val="00900F39"/>
    <w:rsid w:val="00915787"/>
    <w:rsid w:val="00916164"/>
    <w:rsid w:val="009829DF"/>
    <w:rsid w:val="00A22117"/>
    <w:rsid w:val="00A945F9"/>
    <w:rsid w:val="00B13443"/>
    <w:rsid w:val="00B5587C"/>
    <w:rsid w:val="00BD1761"/>
    <w:rsid w:val="00BF0E19"/>
    <w:rsid w:val="00C065C5"/>
    <w:rsid w:val="00C309B1"/>
    <w:rsid w:val="00C318F1"/>
    <w:rsid w:val="00C557D7"/>
    <w:rsid w:val="00C63E3F"/>
    <w:rsid w:val="00C9028C"/>
    <w:rsid w:val="00CA24E2"/>
    <w:rsid w:val="00CA3C28"/>
    <w:rsid w:val="00CD7279"/>
    <w:rsid w:val="00CE7672"/>
    <w:rsid w:val="00CF6FF0"/>
    <w:rsid w:val="00D429CB"/>
    <w:rsid w:val="00D93E9E"/>
    <w:rsid w:val="00DD56B3"/>
    <w:rsid w:val="00DF4444"/>
    <w:rsid w:val="00E03B72"/>
    <w:rsid w:val="00E327C6"/>
    <w:rsid w:val="00F01B55"/>
    <w:rsid w:val="00F106B0"/>
    <w:rsid w:val="00F37542"/>
    <w:rsid w:val="00F404D1"/>
    <w:rsid w:val="00F902C1"/>
    <w:rsid w:val="00FE084D"/>
    <w:rsid w:val="00FE3BD0"/>
    <w:rsid w:val="0123584C"/>
    <w:rsid w:val="01364EEF"/>
    <w:rsid w:val="018502B5"/>
    <w:rsid w:val="019D1C21"/>
    <w:rsid w:val="019E037D"/>
    <w:rsid w:val="01A4468C"/>
    <w:rsid w:val="01D134FA"/>
    <w:rsid w:val="01DF01CF"/>
    <w:rsid w:val="0216715F"/>
    <w:rsid w:val="02203B3A"/>
    <w:rsid w:val="023149C2"/>
    <w:rsid w:val="02CB6106"/>
    <w:rsid w:val="02EE3C38"/>
    <w:rsid w:val="02FC45A7"/>
    <w:rsid w:val="031D67F8"/>
    <w:rsid w:val="03237D85"/>
    <w:rsid w:val="032B29FD"/>
    <w:rsid w:val="034F1378"/>
    <w:rsid w:val="03724869"/>
    <w:rsid w:val="03A85635"/>
    <w:rsid w:val="03E2554B"/>
    <w:rsid w:val="03EC03B7"/>
    <w:rsid w:val="04365445"/>
    <w:rsid w:val="04447572"/>
    <w:rsid w:val="04477AA3"/>
    <w:rsid w:val="04671EF4"/>
    <w:rsid w:val="046D04E5"/>
    <w:rsid w:val="047E256F"/>
    <w:rsid w:val="048605CC"/>
    <w:rsid w:val="04F56EDF"/>
    <w:rsid w:val="04F91753"/>
    <w:rsid w:val="050931BE"/>
    <w:rsid w:val="052C3669"/>
    <w:rsid w:val="052D4FF2"/>
    <w:rsid w:val="053F716F"/>
    <w:rsid w:val="055762BA"/>
    <w:rsid w:val="05BF5FED"/>
    <w:rsid w:val="05C17627"/>
    <w:rsid w:val="05CC64B2"/>
    <w:rsid w:val="05D97573"/>
    <w:rsid w:val="05E23BE7"/>
    <w:rsid w:val="061F3C35"/>
    <w:rsid w:val="06263E89"/>
    <w:rsid w:val="064D6B9F"/>
    <w:rsid w:val="06856661"/>
    <w:rsid w:val="06B807E5"/>
    <w:rsid w:val="06CB1739"/>
    <w:rsid w:val="06E31D05"/>
    <w:rsid w:val="06EE06AA"/>
    <w:rsid w:val="06F37774"/>
    <w:rsid w:val="070457D8"/>
    <w:rsid w:val="071A7A1A"/>
    <w:rsid w:val="071B1241"/>
    <w:rsid w:val="071F0864"/>
    <w:rsid w:val="07504EC1"/>
    <w:rsid w:val="0751386E"/>
    <w:rsid w:val="079B5995"/>
    <w:rsid w:val="07BB058C"/>
    <w:rsid w:val="07BF024E"/>
    <w:rsid w:val="07F41CF0"/>
    <w:rsid w:val="082D0782"/>
    <w:rsid w:val="084116EE"/>
    <w:rsid w:val="087846CF"/>
    <w:rsid w:val="089035C9"/>
    <w:rsid w:val="08915791"/>
    <w:rsid w:val="08940DDD"/>
    <w:rsid w:val="08962DA7"/>
    <w:rsid w:val="08A059D4"/>
    <w:rsid w:val="08C4784C"/>
    <w:rsid w:val="08C94D1B"/>
    <w:rsid w:val="091518C3"/>
    <w:rsid w:val="092C7268"/>
    <w:rsid w:val="09343921"/>
    <w:rsid w:val="094B2CA8"/>
    <w:rsid w:val="09716CE3"/>
    <w:rsid w:val="09C474A0"/>
    <w:rsid w:val="09D015F8"/>
    <w:rsid w:val="09DF5CC2"/>
    <w:rsid w:val="09EB3477"/>
    <w:rsid w:val="0A206DCD"/>
    <w:rsid w:val="0A391C3C"/>
    <w:rsid w:val="0AAE43D8"/>
    <w:rsid w:val="0AB94B2B"/>
    <w:rsid w:val="0AB96709"/>
    <w:rsid w:val="0ADE581B"/>
    <w:rsid w:val="0AE95411"/>
    <w:rsid w:val="0B100BEF"/>
    <w:rsid w:val="0B357B6B"/>
    <w:rsid w:val="0B436A06"/>
    <w:rsid w:val="0B835EE6"/>
    <w:rsid w:val="0B984EA0"/>
    <w:rsid w:val="0BA53989"/>
    <w:rsid w:val="0BBF3986"/>
    <w:rsid w:val="0BED24F2"/>
    <w:rsid w:val="0C152235"/>
    <w:rsid w:val="0C3A6343"/>
    <w:rsid w:val="0C4072B2"/>
    <w:rsid w:val="0C452B1A"/>
    <w:rsid w:val="0C5B40EC"/>
    <w:rsid w:val="0C786EC3"/>
    <w:rsid w:val="0C882A07"/>
    <w:rsid w:val="0CB04EA9"/>
    <w:rsid w:val="0CE5077E"/>
    <w:rsid w:val="0D5F193A"/>
    <w:rsid w:val="0D782A7C"/>
    <w:rsid w:val="0D814026"/>
    <w:rsid w:val="0DBF68FD"/>
    <w:rsid w:val="0DDA0A7F"/>
    <w:rsid w:val="0DDB12BF"/>
    <w:rsid w:val="0DDE4FF7"/>
    <w:rsid w:val="0DE10621"/>
    <w:rsid w:val="0DF021C5"/>
    <w:rsid w:val="0E323572"/>
    <w:rsid w:val="0E3F4C05"/>
    <w:rsid w:val="0E794941"/>
    <w:rsid w:val="0E7B2823"/>
    <w:rsid w:val="0E9D2978"/>
    <w:rsid w:val="0EA16002"/>
    <w:rsid w:val="0EBA6396"/>
    <w:rsid w:val="0F075642"/>
    <w:rsid w:val="0F092204"/>
    <w:rsid w:val="0F1F0848"/>
    <w:rsid w:val="0F3020A2"/>
    <w:rsid w:val="0F4C3058"/>
    <w:rsid w:val="0FA43FFC"/>
    <w:rsid w:val="0FAD2FF6"/>
    <w:rsid w:val="0FCE3C0C"/>
    <w:rsid w:val="0FD3139E"/>
    <w:rsid w:val="0FFB4D92"/>
    <w:rsid w:val="10073D7B"/>
    <w:rsid w:val="10087E4D"/>
    <w:rsid w:val="101E1471"/>
    <w:rsid w:val="107C4C7E"/>
    <w:rsid w:val="10BB1CF2"/>
    <w:rsid w:val="10C5247C"/>
    <w:rsid w:val="10C75BED"/>
    <w:rsid w:val="10D0497D"/>
    <w:rsid w:val="10E56F0E"/>
    <w:rsid w:val="114207A3"/>
    <w:rsid w:val="114E06C3"/>
    <w:rsid w:val="11744968"/>
    <w:rsid w:val="118934CC"/>
    <w:rsid w:val="11A07DC0"/>
    <w:rsid w:val="11BC7DA1"/>
    <w:rsid w:val="11CB205D"/>
    <w:rsid w:val="11EC514B"/>
    <w:rsid w:val="11FF19BD"/>
    <w:rsid w:val="121A0B3B"/>
    <w:rsid w:val="12220394"/>
    <w:rsid w:val="122434AC"/>
    <w:rsid w:val="12274A70"/>
    <w:rsid w:val="12320CAD"/>
    <w:rsid w:val="12331667"/>
    <w:rsid w:val="124243B3"/>
    <w:rsid w:val="124A70DD"/>
    <w:rsid w:val="12754228"/>
    <w:rsid w:val="127D762D"/>
    <w:rsid w:val="127E723A"/>
    <w:rsid w:val="12811AED"/>
    <w:rsid w:val="12977E48"/>
    <w:rsid w:val="12C16637"/>
    <w:rsid w:val="12D11379"/>
    <w:rsid w:val="1328519F"/>
    <w:rsid w:val="13613870"/>
    <w:rsid w:val="13750189"/>
    <w:rsid w:val="13A97E33"/>
    <w:rsid w:val="13D34EB0"/>
    <w:rsid w:val="13F866C4"/>
    <w:rsid w:val="14392305"/>
    <w:rsid w:val="149D322A"/>
    <w:rsid w:val="14A5550E"/>
    <w:rsid w:val="14D41A75"/>
    <w:rsid w:val="14D56A06"/>
    <w:rsid w:val="14D939DC"/>
    <w:rsid w:val="14E9095E"/>
    <w:rsid w:val="14FC3F92"/>
    <w:rsid w:val="154222ED"/>
    <w:rsid w:val="1549248C"/>
    <w:rsid w:val="15501C42"/>
    <w:rsid w:val="15847EC3"/>
    <w:rsid w:val="158A77F0"/>
    <w:rsid w:val="159D0BDB"/>
    <w:rsid w:val="15A533B3"/>
    <w:rsid w:val="15C64088"/>
    <w:rsid w:val="15D94FC4"/>
    <w:rsid w:val="15E60B7D"/>
    <w:rsid w:val="15FF1F8C"/>
    <w:rsid w:val="16016036"/>
    <w:rsid w:val="161A5018"/>
    <w:rsid w:val="162B0FD3"/>
    <w:rsid w:val="167F05A4"/>
    <w:rsid w:val="16AF396B"/>
    <w:rsid w:val="16B118B2"/>
    <w:rsid w:val="17053322"/>
    <w:rsid w:val="170757B0"/>
    <w:rsid w:val="17454CCE"/>
    <w:rsid w:val="174F0F27"/>
    <w:rsid w:val="1752258F"/>
    <w:rsid w:val="17BD41A9"/>
    <w:rsid w:val="17F40B89"/>
    <w:rsid w:val="17FA6EAF"/>
    <w:rsid w:val="18184DB5"/>
    <w:rsid w:val="182E4460"/>
    <w:rsid w:val="183E7A44"/>
    <w:rsid w:val="184613C6"/>
    <w:rsid w:val="186417B0"/>
    <w:rsid w:val="18B2778A"/>
    <w:rsid w:val="192640BC"/>
    <w:rsid w:val="192B4E77"/>
    <w:rsid w:val="19676A95"/>
    <w:rsid w:val="19AA66B3"/>
    <w:rsid w:val="19CD414F"/>
    <w:rsid w:val="19D73071"/>
    <w:rsid w:val="19D75E59"/>
    <w:rsid w:val="1A2A1CF6"/>
    <w:rsid w:val="1A2A3350"/>
    <w:rsid w:val="1A51244B"/>
    <w:rsid w:val="1A5B5BFF"/>
    <w:rsid w:val="1A6D0E0C"/>
    <w:rsid w:val="1AB32990"/>
    <w:rsid w:val="1AB72A62"/>
    <w:rsid w:val="1AC45813"/>
    <w:rsid w:val="1AD50F34"/>
    <w:rsid w:val="1B09565B"/>
    <w:rsid w:val="1B1900F2"/>
    <w:rsid w:val="1B1C70FB"/>
    <w:rsid w:val="1B3B681C"/>
    <w:rsid w:val="1B3F2E2B"/>
    <w:rsid w:val="1B416A2C"/>
    <w:rsid w:val="1B491C24"/>
    <w:rsid w:val="1B493004"/>
    <w:rsid w:val="1B4E6805"/>
    <w:rsid w:val="1B6610FC"/>
    <w:rsid w:val="1B6C6564"/>
    <w:rsid w:val="1B6C69B2"/>
    <w:rsid w:val="1B6D0299"/>
    <w:rsid w:val="1B6D765C"/>
    <w:rsid w:val="1B7A20B5"/>
    <w:rsid w:val="1B7C407F"/>
    <w:rsid w:val="1B8432A6"/>
    <w:rsid w:val="1B980E3B"/>
    <w:rsid w:val="1BAC18EE"/>
    <w:rsid w:val="1BB81400"/>
    <w:rsid w:val="1BD16179"/>
    <w:rsid w:val="1BDC7D8D"/>
    <w:rsid w:val="1BF105C9"/>
    <w:rsid w:val="1BF919E5"/>
    <w:rsid w:val="1C081BD7"/>
    <w:rsid w:val="1C0E6B90"/>
    <w:rsid w:val="1C141C5D"/>
    <w:rsid w:val="1C3B6E20"/>
    <w:rsid w:val="1C6C1ADC"/>
    <w:rsid w:val="1C6D310B"/>
    <w:rsid w:val="1C707CD3"/>
    <w:rsid w:val="1C762D14"/>
    <w:rsid w:val="1C763FEA"/>
    <w:rsid w:val="1CBA3014"/>
    <w:rsid w:val="1CD35F20"/>
    <w:rsid w:val="1CE31750"/>
    <w:rsid w:val="1CFB2A86"/>
    <w:rsid w:val="1D022362"/>
    <w:rsid w:val="1D30774C"/>
    <w:rsid w:val="1D45701B"/>
    <w:rsid w:val="1D554B87"/>
    <w:rsid w:val="1D5D57EA"/>
    <w:rsid w:val="1D614E09"/>
    <w:rsid w:val="1D7E7537"/>
    <w:rsid w:val="1D7E7C3A"/>
    <w:rsid w:val="1D873528"/>
    <w:rsid w:val="1DA13929"/>
    <w:rsid w:val="1DE32193"/>
    <w:rsid w:val="1DEF28E6"/>
    <w:rsid w:val="1DF47EFC"/>
    <w:rsid w:val="1DF97310"/>
    <w:rsid w:val="1E096AAC"/>
    <w:rsid w:val="1E1C48F2"/>
    <w:rsid w:val="1E2702D2"/>
    <w:rsid w:val="1E493690"/>
    <w:rsid w:val="1E5310C7"/>
    <w:rsid w:val="1E5A248F"/>
    <w:rsid w:val="1E623046"/>
    <w:rsid w:val="1E77796A"/>
    <w:rsid w:val="1E9951A3"/>
    <w:rsid w:val="1E9D3CD2"/>
    <w:rsid w:val="1EB11208"/>
    <w:rsid w:val="1EB63E60"/>
    <w:rsid w:val="1ECE2E43"/>
    <w:rsid w:val="1EE66BB9"/>
    <w:rsid w:val="1EF04B68"/>
    <w:rsid w:val="1F3233D2"/>
    <w:rsid w:val="1F43795A"/>
    <w:rsid w:val="1F5F584A"/>
    <w:rsid w:val="1F6119D9"/>
    <w:rsid w:val="1F781F2A"/>
    <w:rsid w:val="1F9B4485"/>
    <w:rsid w:val="1FAC181D"/>
    <w:rsid w:val="1FB23020"/>
    <w:rsid w:val="1FBA65DB"/>
    <w:rsid w:val="1FD578E3"/>
    <w:rsid w:val="1FF64400"/>
    <w:rsid w:val="1FFD05A3"/>
    <w:rsid w:val="202A40A9"/>
    <w:rsid w:val="20596C47"/>
    <w:rsid w:val="206437F0"/>
    <w:rsid w:val="20943C19"/>
    <w:rsid w:val="20B427EC"/>
    <w:rsid w:val="20BA614C"/>
    <w:rsid w:val="20D57916"/>
    <w:rsid w:val="20FF3271"/>
    <w:rsid w:val="20FF5536"/>
    <w:rsid w:val="21224762"/>
    <w:rsid w:val="21225AE8"/>
    <w:rsid w:val="213B4094"/>
    <w:rsid w:val="214B2529"/>
    <w:rsid w:val="21503488"/>
    <w:rsid w:val="215869F4"/>
    <w:rsid w:val="215C66D7"/>
    <w:rsid w:val="216C24A0"/>
    <w:rsid w:val="21917324"/>
    <w:rsid w:val="219F2B7E"/>
    <w:rsid w:val="21BF0821"/>
    <w:rsid w:val="21C30BD5"/>
    <w:rsid w:val="21E11013"/>
    <w:rsid w:val="21F07F32"/>
    <w:rsid w:val="21FA4D56"/>
    <w:rsid w:val="22170EC4"/>
    <w:rsid w:val="2220494A"/>
    <w:rsid w:val="225A150C"/>
    <w:rsid w:val="225C1473"/>
    <w:rsid w:val="22631D20"/>
    <w:rsid w:val="226F7C8D"/>
    <w:rsid w:val="228E7026"/>
    <w:rsid w:val="229E2B2D"/>
    <w:rsid w:val="22B20386"/>
    <w:rsid w:val="22CB58FB"/>
    <w:rsid w:val="22E303BE"/>
    <w:rsid w:val="230371D0"/>
    <w:rsid w:val="232770B5"/>
    <w:rsid w:val="23384D2F"/>
    <w:rsid w:val="23522415"/>
    <w:rsid w:val="235A4CA6"/>
    <w:rsid w:val="235A7016"/>
    <w:rsid w:val="23614F24"/>
    <w:rsid w:val="237C6DD0"/>
    <w:rsid w:val="23ED78C8"/>
    <w:rsid w:val="24011C93"/>
    <w:rsid w:val="24174EFF"/>
    <w:rsid w:val="241E5CD3"/>
    <w:rsid w:val="242641B0"/>
    <w:rsid w:val="242833A6"/>
    <w:rsid w:val="24401F5B"/>
    <w:rsid w:val="244E0A04"/>
    <w:rsid w:val="24523BCF"/>
    <w:rsid w:val="24601A73"/>
    <w:rsid w:val="246B6A3F"/>
    <w:rsid w:val="24737D58"/>
    <w:rsid w:val="247606A8"/>
    <w:rsid w:val="24D8658E"/>
    <w:rsid w:val="24EE1B79"/>
    <w:rsid w:val="25276704"/>
    <w:rsid w:val="252C14EA"/>
    <w:rsid w:val="253F4153"/>
    <w:rsid w:val="25AE72ED"/>
    <w:rsid w:val="25B04DD3"/>
    <w:rsid w:val="25DC5E46"/>
    <w:rsid w:val="25F969F8"/>
    <w:rsid w:val="260733C5"/>
    <w:rsid w:val="26080EB0"/>
    <w:rsid w:val="260B0113"/>
    <w:rsid w:val="26166B1D"/>
    <w:rsid w:val="26413EFB"/>
    <w:rsid w:val="2657371E"/>
    <w:rsid w:val="26573BF8"/>
    <w:rsid w:val="2658203C"/>
    <w:rsid w:val="265E73F2"/>
    <w:rsid w:val="26837D06"/>
    <w:rsid w:val="269645DA"/>
    <w:rsid w:val="26DC3C24"/>
    <w:rsid w:val="2750610B"/>
    <w:rsid w:val="2761680A"/>
    <w:rsid w:val="2767798D"/>
    <w:rsid w:val="27807087"/>
    <w:rsid w:val="279938C3"/>
    <w:rsid w:val="27B67318"/>
    <w:rsid w:val="27CF2FBE"/>
    <w:rsid w:val="27D710DC"/>
    <w:rsid w:val="27DA4607"/>
    <w:rsid w:val="27E159A4"/>
    <w:rsid w:val="27FF7BCA"/>
    <w:rsid w:val="280519ED"/>
    <w:rsid w:val="2806476B"/>
    <w:rsid w:val="28135FA7"/>
    <w:rsid w:val="281D505E"/>
    <w:rsid w:val="282910EA"/>
    <w:rsid w:val="28307B03"/>
    <w:rsid w:val="2840754D"/>
    <w:rsid w:val="284321AC"/>
    <w:rsid w:val="2852251E"/>
    <w:rsid w:val="285D746B"/>
    <w:rsid w:val="285F2D5E"/>
    <w:rsid w:val="286C4045"/>
    <w:rsid w:val="287872A9"/>
    <w:rsid w:val="28924926"/>
    <w:rsid w:val="289A78F2"/>
    <w:rsid w:val="289C366A"/>
    <w:rsid w:val="289F5637"/>
    <w:rsid w:val="28A95D87"/>
    <w:rsid w:val="28C20C5C"/>
    <w:rsid w:val="28D42E04"/>
    <w:rsid w:val="28E70315"/>
    <w:rsid w:val="28F01E17"/>
    <w:rsid w:val="28F973BF"/>
    <w:rsid w:val="292721E8"/>
    <w:rsid w:val="294F692F"/>
    <w:rsid w:val="29510A3C"/>
    <w:rsid w:val="297E01B4"/>
    <w:rsid w:val="29A21AC5"/>
    <w:rsid w:val="29A8113A"/>
    <w:rsid w:val="29BB5D72"/>
    <w:rsid w:val="29C64906"/>
    <w:rsid w:val="29C837D8"/>
    <w:rsid w:val="29CF3886"/>
    <w:rsid w:val="2A094049"/>
    <w:rsid w:val="2A403FBB"/>
    <w:rsid w:val="2A6A7029"/>
    <w:rsid w:val="2A6B1546"/>
    <w:rsid w:val="2A846E77"/>
    <w:rsid w:val="2AEC3A3B"/>
    <w:rsid w:val="2B01262C"/>
    <w:rsid w:val="2B280842"/>
    <w:rsid w:val="2B287437"/>
    <w:rsid w:val="2B2F3998"/>
    <w:rsid w:val="2B444C6F"/>
    <w:rsid w:val="2B4C47E1"/>
    <w:rsid w:val="2B62296D"/>
    <w:rsid w:val="2B7E276F"/>
    <w:rsid w:val="2B8E1990"/>
    <w:rsid w:val="2BCE4483"/>
    <w:rsid w:val="2BD559B4"/>
    <w:rsid w:val="2C275941"/>
    <w:rsid w:val="2C491D5B"/>
    <w:rsid w:val="2C4C53A8"/>
    <w:rsid w:val="2C526E62"/>
    <w:rsid w:val="2C58554A"/>
    <w:rsid w:val="2C714E0E"/>
    <w:rsid w:val="2C7D37B3"/>
    <w:rsid w:val="2C862667"/>
    <w:rsid w:val="2CA90CA7"/>
    <w:rsid w:val="2CAD1E3D"/>
    <w:rsid w:val="2CB74AD7"/>
    <w:rsid w:val="2CB928AC"/>
    <w:rsid w:val="2CCC6551"/>
    <w:rsid w:val="2D0F08AF"/>
    <w:rsid w:val="2D2500D2"/>
    <w:rsid w:val="2D2B320F"/>
    <w:rsid w:val="2D34793B"/>
    <w:rsid w:val="2D402BD8"/>
    <w:rsid w:val="2D7740A4"/>
    <w:rsid w:val="2E271C28"/>
    <w:rsid w:val="2E496043"/>
    <w:rsid w:val="2E4A42FF"/>
    <w:rsid w:val="2E5977D4"/>
    <w:rsid w:val="2EB32116"/>
    <w:rsid w:val="2ECB2EFB"/>
    <w:rsid w:val="2ED420CE"/>
    <w:rsid w:val="2EDF69A7"/>
    <w:rsid w:val="2EF12EFF"/>
    <w:rsid w:val="2F436A1D"/>
    <w:rsid w:val="2F5723BC"/>
    <w:rsid w:val="2F5B5C3E"/>
    <w:rsid w:val="2F601896"/>
    <w:rsid w:val="2F644883"/>
    <w:rsid w:val="2F6623BB"/>
    <w:rsid w:val="2F740D2D"/>
    <w:rsid w:val="2FCC431A"/>
    <w:rsid w:val="2FCD68D5"/>
    <w:rsid w:val="2FE96F5F"/>
    <w:rsid w:val="2FF629A1"/>
    <w:rsid w:val="2FFE4D66"/>
    <w:rsid w:val="303A20E7"/>
    <w:rsid w:val="30427416"/>
    <w:rsid w:val="304376ED"/>
    <w:rsid w:val="30466CDD"/>
    <w:rsid w:val="30491410"/>
    <w:rsid w:val="305930D3"/>
    <w:rsid w:val="306762FB"/>
    <w:rsid w:val="307C39D1"/>
    <w:rsid w:val="309D2676"/>
    <w:rsid w:val="30A1102E"/>
    <w:rsid w:val="30C145B6"/>
    <w:rsid w:val="30C26E9F"/>
    <w:rsid w:val="30C4251D"/>
    <w:rsid w:val="30D27A06"/>
    <w:rsid w:val="30E67B79"/>
    <w:rsid w:val="30EB0288"/>
    <w:rsid w:val="31172428"/>
    <w:rsid w:val="3125515C"/>
    <w:rsid w:val="315076E8"/>
    <w:rsid w:val="316012BB"/>
    <w:rsid w:val="31791CD3"/>
    <w:rsid w:val="31963EAA"/>
    <w:rsid w:val="31E254C0"/>
    <w:rsid w:val="322611E9"/>
    <w:rsid w:val="322C5F68"/>
    <w:rsid w:val="322D2928"/>
    <w:rsid w:val="32A41A99"/>
    <w:rsid w:val="32B211FA"/>
    <w:rsid w:val="32CE6B16"/>
    <w:rsid w:val="32D5088B"/>
    <w:rsid w:val="32EA3F1B"/>
    <w:rsid w:val="32FB3683"/>
    <w:rsid w:val="33763209"/>
    <w:rsid w:val="33DB73AB"/>
    <w:rsid w:val="34025C60"/>
    <w:rsid w:val="341449FD"/>
    <w:rsid w:val="342A2472"/>
    <w:rsid w:val="3431735D"/>
    <w:rsid w:val="343D03F7"/>
    <w:rsid w:val="34624A67"/>
    <w:rsid w:val="347C459C"/>
    <w:rsid w:val="349016F5"/>
    <w:rsid w:val="34990BF3"/>
    <w:rsid w:val="34A75871"/>
    <w:rsid w:val="34A75AD7"/>
    <w:rsid w:val="34CA02EE"/>
    <w:rsid w:val="34CC6AF3"/>
    <w:rsid w:val="34ED629F"/>
    <w:rsid w:val="34FE548F"/>
    <w:rsid w:val="350475A8"/>
    <w:rsid w:val="35125470"/>
    <w:rsid w:val="35470E02"/>
    <w:rsid w:val="355E658A"/>
    <w:rsid w:val="355F439E"/>
    <w:rsid w:val="35601C8A"/>
    <w:rsid w:val="35666314"/>
    <w:rsid w:val="358C2592"/>
    <w:rsid w:val="35C248EF"/>
    <w:rsid w:val="35C619C3"/>
    <w:rsid w:val="36214BA8"/>
    <w:rsid w:val="36237179"/>
    <w:rsid w:val="362D57E8"/>
    <w:rsid w:val="363D4742"/>
    <w:rsid w:val="363F11E1"/>
    <w:rsid w:val="36590DED"/>
    <w:rsid w:val="36820344"/>
    <w:rsid w:val="36A54032"/>
    <w:rsid w:val="36B55CDA"/>
    <w:rsid w:val="36C26992"/>
    <w:rsid w:val="36C60E8C"/>
    <w:rsid w:val="36CB6E86"/>
    <w:rsid w:val="36F079A3"/>
    <w:rsid w:val="370F41F0"/>
    <w:rsid w:val="375973DD"/>
    <w:rsid w:val="37641514"/>
    <w:rsid w:val="37907361"/>
    <w:rsid w:val="37C0108E"/>
    <w:rsid w:val="37DA5EE7"/>
    <w:rsid w:val="37DC0C0F"/>
    <w:rsid w:val="37E666B0"/>
    <w:rsid w:val="38073355"/>
    <w:rsid w:val="3807501A"/>
    <w:rsid w:val="380D0B1E"/>
    <w:rsid w:val="38104F44"/>
    <w:rsid w:val="381C35FB"/>
    <w:rsid w:val="382161B2"/>
    <w:rsid w:val="382715A3"/>
    <w:rsid w:val="383F43FB"/>
    <w:rsid w:val="384502F0"/>
    <w:rsid w:val="385F1FBB"/>
    <w:rsid w:val="38734149"/>
    <w:rsid w:val="38781940"/>
    <w:rsid w:val="38787C50"/>
    <w:rsid w:val="38A722E3"/>
    <w:rsid w:val="38C76001"/>
    <w:rsid w:val="38C8511B"/>
    <w:rsid w:val="38DB1F8D"/>
    <w:rsid w:val="38FD0DA8"/>
    <w:rsid w:val="390C6A77"/>
    <w:rsid w:val="39227BBC"/>
    <w:rsid w:val="39250143"/>
    <w:rsid w:val="393B2A2C"/>
    <w:rsid w:val="39495F3F"/>
    <w:rsid w:val="39874CA1"/>
    <w:rsid w:val="398E0DAD"/>
    <w:rsid w:val="39EB6200"/>
    <w:rsid w:val="39FA5820"/>
    <w:rsid w:val="3A0A0D7C"/>
    <w:rsid w:val="3A287454"/>
    <w:rsid w:val="3A864BA2"/>
    <w:rsid w:val="3A9163E1"/>
    <w:rsid w:val="3AAF722D"/>
    <w:rsid w:val="3B424545"/>
    <w:rsid w:val="3B56085F"/>
    <w:rsid w:val="3B5D137F"/>
    <w:rsid w:val="3B81185E"/>
    <w:rsid w:val="3B857B69"/>
    <w:rsid w:val="3BB54D17"/>
    <w:rsid w:val="3BCB62E9"/>
    <w:rsid w:val="3BCE5DD9"/>
    <w:rsid w:val="3BD10D36"/>
    <w:rsid w:val="3BDB04C0"/>
    <w:rsid w:val="3BF55699"/>
    <w:rsid w:val="3C0F2803"/>
    <w:rsid w:val="3C622197"/>
    <w:rsid w:val="3C9C1031"/>
    <w:rsid w:val="3CA64660"/>
    <w:rsid w:val="3CAB7EC8"/>
    <w:rsid w:val="3CBE27E3"/>
    <w:rsid w:val="3CDB255C"/>
    <w:rsid w:val="3CF22704"/>
    <w:rsid w:val="3CF37743"/>
    <w:rsid w:val="3D0F7185"/>
    <w:rsid w:val="3D176A7A"/>
    <w:rsid w:val="3D392A58"/>
    <w:rsid w:val="3D522C69"/>
    <w:rsid w:val="3D5347E8"/>
    <w:rsid w:val="3D765B24"/>
    <w:rsid w:val="3D7A3A9A"/>
    <w:rsid w:val="3D9552FA"/>
    <w:rsid w:val="3DC15BF5"/>
    <w:rsid w:val="3DCE0312"/>
    <w:rsid w:val="3DD57CCC"/>
    <w:rsid w:val="3DF02037"/>
    <w:rsid w:val="3DF8538F"/>
    <w:rsid w:val="3E0E246D"/>
    <w:rsid w:val="3E1C0879"/>
    <w:rsid w:val="3E1C72D0"/>
    <w:rsid w:val="3E463465"/>
    <w:rsid w:val="3E5F07FC"/>
    <w:rsid w:val="3E686071"/>
    <w:rsid w:val="3E725142"/>
    <w:rsid w:val="3E832620"/>
    <w:rsid w:val="3E8D05DF"/>
    <w:rsid w:val="3E9E5F37"/>
    <w:rsid w:val="3EAD435E"/>
    <w:rsid w:val="3ECF512A"/>
    <w:rsid w:val="3ED45851"/>
    <w:rsid w:val="3EE6122F"/>
    <w:rsid w:val="3F9C36FA"/>
    <w:rsid w:val="3FEC7917"/>
    <w:rsid w:val="3FEF48F9"/>
    <w:rsid w:val="3FF13C93"/>
    <w:rsid w:val="3FFB2F15"/>
    <w:rsid w:val="40356ED7"/>
    <w:rsid w:val="406A4560"/>
    <w:rsid w:val="409F5F96"/>
    <w:rsid w:val="40BC28A8"/>
    <w:rsid w:val="40D377DC"/>
    <w:rsid w:val="40EF7540"/>
    <w:rsid w:val="41413EF4"/>
    <w:rsid w:val="41447381"/>
    <w:rsid w:val="415264A2"/>
    <w:rsid w:val="41723D8B"/>
    <w:rsid w:val="41A01357"/>
    <w:rsid w:val="41AB2E98"/>
    <w:rsid w:val="41AC2ECE"/>
    <w:rsid w:val="41BB6E00"/>
    <w:rsid w:val="42156510"/>
    <w:rsid w:val="42470693"/>
    <w:rsid w:val="426C104E"/>
    <w:rsid w:val="427C1DDE"/>
    <w:rsid w:val="4286412E"/>
    <w:rsid w:val="4292152A"/>
    <w:rsid w:val="42C83582"/>
    <w:rsid w:val="42CB0CFC"/>
    <w:rsid w:val="42E3702F"/>
    <w:rsid w:val="42F2554D"/>
    <w:rsid w:val="432659BC"/>
    <w:rsid w:val="43273327"/>
    <w:rsid w:val="43334613"/>
    <w:rsid w:val="436F78CA"/>
    <w:rsid w:val="43722B17"/>
    <w:rsid w:val="43903F2A"/>
    <w:rsid w:val="439B5094"/>
    <w:rsid w:val="43A23DD3"/>
    <w:rsid w:val="43AE09CA"/>
    <w:rsid w:val="43BB1569"/>
    <w:rsid w:val="43D377D3"/>
    <w:rsid w:val="43E12A1B"/>
    <w:rsid w:val="43E7718D"/>
    <w:rsid w:val="43EE7018"/>
    <w:rsid w:val="440F3A8B"/>
    <w:rsid w:val="441E4DA1"/>
    <w:rsid w:val="442E1B0B"/>
    <w:rsid w:val="443A0962"/>
    <w:rsid w:val="443B7D84"/>
    <w:rsid w:val="443F6F60"/>
    <w:rsid w:val="445338BB"/>
    <w:rsid w:val="448313F0"/>
    <w:rsid w:val="448C7083"/>
    <w:rsid w:val="44915BF6"/>
    <w:rsid w:val="44A262B0"/>
    <w:rsid w:val="44F566FF"/>
    <w:rsid w:val="44FC39B7"/>
    <w:rsid w:val="450D7972"/>
    <w:rsid w:val="451C76D5"/>
    <w:rsid w:val="453B75B5"/>
    <w:rsid w:val="45613CFB"/>
    <w:rsid w:val="45700EE7"/>
    <w:rsid w:val="458145DA"/>
    <w:rsid w:val="459B423E"/>
    <w:rsid w:val="459B7838"/>
    <w:rsid w:val="45B62921"/>
    <w:rsid w:val="45B93774"/>
    <w:rsid w:val="45D640B5"/>
    <w:rsid w:val="45FC01D5"/>
    <w:rsid w:val="46252A99"/>
    <w:rsid w:val="462C76BB"/>
    <w:rsid w:val="46552F9B"/>
    <w:rsid w:val="46B07C5B"/>
    <w:rsid w:val="46B22304"/>
    <w:rsid w:val="46B362F7"/>
    <w:rsid w:val="46DA5327"/>
    <w:rsid w:val="470152B5"/>
    <w:rsid w:val="47253C14"/>
    <w:rsid w:val="472E64EB"/>
    <w:rsid w:val="47320EEB"/>
    <w:rsid w:val="47640149"/>
    <w:rsid w:val="47A4115D"/>
    <w:rsid w:val="47BE2E98"/>
    <w:rsid w:val="47C403EA"/>
    <w:rsid w:val="47D11E4A"/>
    <w:rsid w:val="47E55BC7"/>
    <w:rsid w:val="480D76EA"/>
    <w:rsid w:val="483260DA"/>
    <w:rsid w:val="4865210C"/>
    <w:rsid w:val="48686272"/>
    <w:rsid w:val="48A02CB3"/>
    <w:rsid w:val="48CA1757"/>
    <w:rsid w:val="48D24A1A"/>
    <w:rsid w:val="48F7172C"/>
    <w:rsid w:val="48FB5D34"/>
    <w:rsid w:val="49200C0F"/>
    <w:rsid w:val="4923585E"/>
    <w:rsid w:val="492F58E2"/>
    <w:rsid w:val="49547006"/>
    <w:rsid w:val="497942D6"/>
    <w:rsid w:val="49A74D4C"/>
    <w:rsid w:val="49B74350"/>
    <w:rsid w:val="49C851E5"/>
    <w:rsid w:val="49FD1FFE"/>
    <w:rsid w:val="49FE2ACA"/>
    <w:rsid w:val="4A4469AD"/>
    <w:rsid w:val="4A9F7B0D"/>
    <w:rsid w:val="4AC22FAD"/>
    <w:rsid w:val="4AC37EDA"/>
    <w:rsid w:val="4ACE597F"/>
    <w:rsid w:val="4AE65862"/>
    <w:rsid w:val="4B1A4B97"/>
    <w:rsid w:val="4B93576C"/>
    <w:rsid w:val="4B9C37FE"/>
    <w:rsid w:val="4BA12BC2"/>
    <w:rsid w:val="4BBE1169"/>
    <w:rsid w:val="4C0E66CA"/>
    <w:rsid w:val="4C3672F9"/>
    <w:rsid w:val="4C8A19C6"/>
    <w:rsid w:val="4CAC674B"/>
    <w:rsid w:val="4CB07667"/>
    <w:rsid w:val="4CC03AE8"/>
    <w:rsid w:val="4CE0596C"/>
    <w:rsid w:val="4CF73263"/>
    <w:rsid w:val="4D3538C6"/>
    <w:rsid w:val="4D3E1069"/>
    <w:rsid w:val="4D497768"/>
    <w:rsid w:val="4D891B60"/>
    <w:rsid w:val="4DA1635B"/>
    <w:rsid w:val="4DBB2380"/>
    <w:rsid w:val="4DF8457F"/>
    <w:rsid w:val="4DF96CE5"/>
    <w:rsid w:val="4E051CA2"/>
    <w:rsid w:val="4E1F3515"/>
    <w:rsid w:val="4E21448E"/>
    <w:rsid w:val="4E386037"/>
    <w:rsid w:val="4E4733E9"/>
    <w:rsid w:val="4EC04859"/>
    <w:rsid w:val="4EE554BC"/>
    <w:rsid w:val="4EF1118C"/>
    <w:rsid w:val="4EF3021F"/>
    <w:rsid w:val="4F0520BB"/>
    <w:rsid w:val="4F3B6676"/>
    <w:rsid w:val="4F5A1A06"/>
    <w:rsid w:val="4F5D5CD0"/>
    <w:rsid w:val="4F6C68E0"/>
    <w:rsid w:val="4FBF6B89"/>
    <w:rsid w:val="4FC524C0"/>
    <w:rsid w:val="4FCD2918"/>
    <w:rsid w:val="50031FCB"/>
    <w:rsid w:val="501F16EE"/>
    <w:rsid w:val="50342257"/>
    <w:rsid w:val="50BE4216"/>
    <w:rsid w:val="50C03AEB"/>
    <w:rsid w:val="50E10753"/>
    <w:rsid w:val="50EB3F82"/>
    <w:rsid w:val="50F37553"/>
    <w:rsid w:val="50F934A0"/>
    <w:rsid w:val="511F69F4"/>
    <w:rsid w:val="5196484B"/>
    <w:rsid w:val="51A761A8"/>
    <w:rsid w:val="51B20F46"/>
    <w:rsid w:val="51D64B35"/>
    <w:rsid w:val="51EB4853"/>
    <w:rsid w:val="51FD3B6B"/>
    <w:rsid w:val="521477FE"/>
    <w:rsid w:val="523B05C8"/>
    <w:rsid w:val="52435D77"/>
    <w:rsid w:val="5245699D"/>
    <w:rsid w:val="5253273C"/>
    <w:rsid w:val="526C4C7C"/>
    <w:rsid w:val="52A35472"/>
    <w:rsid w:val="52C10201"/>
    <w:rsid w:val="52CA1729"/>
    <w:rsid w:val="52DC2732"/>
    <w:rsid w:val="52EA4BA0"/>
    <w:rsid w:val="531F2730"/>
    <w:rsid w:val="5355267E"/>
    <w:rsid w:val="537F7C8D"/>
    <w:rsid w:val="53CD71B7"/>
    <w:rsid w:val="53D5752F"/>
    <w:rsid w:val="53D94638"/>
    <w:rsid w:val="5403718A"/>
    <w:rsid w:val="540E7263"/>
    <w:rsid w:val="541A1764"/>
    <w:rsid w:val="542A759F"/>
    <w:rsid w:val="543D1B51"/>
    <w:rsid w:val="54714874"/>
    <w:rsid w:val="54933B0C"/>
    <w:rsid w:val="54B90F7D"/>
    <w:rsid w:val="54C067AF"/>
    <w:rsid w:val="54DB621B"/>
    <w:rsid w:val="54F46459"/>
    <w:rsid w:val="551F538E"/>
    <w:rsid w:val="55317970"/>
    <w:rsid w:val="553D56A6"/>
    <w:rsid w:val="554910BB"/>
    <w:rsid w:val="556F3D31"/>
    <w:rsid w:val="55853555"/>
    <w:rsid w:val="55A21A11"/>
    <w:rsid w:val="55A30152"/>
    <w:rsid w:val="55B37AAB"/>
    <w:rsid w:val="55DA0770"/>
    <w:rsid w:val="55E7724B"/>
    <w:rsid w:val="56233B72"/>
    <w:rsid w:val="565862E5"/>
    <w:rsid w:val="565C0DE3"/>
    <w:rsid w:val="565C27F0"/>
    <w:rsid w:val="56835CE6"/>
    <w:rsid w:val="568630E0"/>
    <w:rsid w:val="56D737F9"/>
    <w:rsid w:val="56E46059"/>
    <w:rsid w:val="56EE27E4"/>
    <w:rsid w:val="57014E5D"/>
    <w:rsid w:val="570A1F63"/>
    <w:rsid w:val="570A3D11"/>
    <w:rsid w:val="578E5A07"/>
    <w:rsid w:val="57957632"/>
    <w:rsid w:val="579932E7"/>
    <w:rsid w:val="57996E43"/>
    <w:rsid w:val="57997B21"/>
    <w:rsid w:val="57B32A0E"/>
    <w:rsid w:val="57C40634"/>
    <w:rsid w:val="57C81475"/>
    <w:rsid w:val="57FB0AFA"/>
    <w:rsid w:val="58036411"/>
    <w:rsid w:val="580746F5"/>
    <w:rsid w:val="582901C7"/>
    <w:rsid w:val="582C00E8"/>
    <w:rsid w:val="5833642D"/>
    <w:rsid w:val="58390195"/>
    <w:rsid w:val="58434C8C"/>
    <w:rsid w:val="587402F0"/>
    <w:rsid w:val="58771E1E"/>
    <w:rsid w:val="58F04510"/>
    <w:rsid w:val="591D4E77"/>
    <w:rsid w:val="594B23BF"/>
    <w:rsid w:val="5951303C"/>
    <w:rsid w:val="59955D2A"/>
    <w:rsid w:val="59A96C7F"/>
    <w:rsid w:val="59B9510A"/>
    <w:rsid w:val="59C75EEA"/>
    <w:rsid w:val="59DF76D7"/>
    <w:rsid w:val="59EC5950"/>
    <w:rsid w:val="59FA2292"/>
    <w:rsid w:val="5A514880"/>
    <w:rsid w:val="5AB1599D"/>
    <w:rsid w:val="5ABA3CA0"/>
    <w:rsid w:val="5AE1572B"/>
    <w:rsid w:val="5AE605F2"/>
    <w:rsid w:val="5B137ADE"/>
    <w:rsid w:val="5B435A44"/>
    <w:rsid w:val="5B5714EF"/>
    <w:rsid w:val="5B685B36"/>
    <w:rsid w:val="5B7C2090"/>
    <w:rsid w:val="5B7F445D"/>
    <w:rsid w:val="5B8D6B39"/>
    <w:rsid w:val="5B975D90"/>
    <w:rsid w:val="5BDD659D"/>
    <w:rsid w:val="5C0A5E2D"/>
    <w:rsid w:val="5C3A2476"/>
    <w:rsid w:val="5C8543A2"/>
    <w:rsid w:val="5CBB2533"/>
    <w:rsid w:val="5CBE1B08"/>
    <w:rsid w:val="5CD544A4"/>
    <w:rsid w:val="5CDB79E3"/>
    <w:rsid w:val="5CF50FC0"/>
    <w:rsid w:val="5CFD7E74"/>
    <w:rsid w:val="5D0314B5"/>
    <w:rsid w:val="5D3E7DB5"/>
    <w:rsid w:val="5D3F4BF0"/>
    <w:rsid w:val="5D6D6DA8"/>
    <w:rsid w:val="5D6F59D6"/>
    <w:rsid w:val="5D7F0889"/>
    <w:rsid w:val="5D9D4929"/>
    <w:rsid w:val="5DC2072C"/>
    <w:rsid w:val="5DC37489"/>
    <w:rsid w:val="5DDD4ED4"/>
    <w:rsid w:val="5DE0757A"/>
    <w:rsid w:val="5DE7749A"/>
    <w:rsid w:val="5DEE7FD3"/>
    <w:rsid w:val="5E1B4ED9"/>
    <w:rsid w:val="5E6235EE"/>
    <w:rsid w:val="5E9373CF"/>
    <w:rsid w:val="5EBB1D95"/>
    <w:rsid w:val="5ECF6D9A"/>
    <w:rsid w:val="5ED115B9"/>
    <w:rsid w:val="5EE050AA"/>
    <w:rsid w:val="5F042828"/>
    <w:rsid w:val="5F1D7D3E"/>
    <w:rsid w:val="5F370A5A"/>
    <w:rsid w:val="5F597DB1"/>
    <w:rsid w:val="5F6947FF"/>
    <w:rsid w:val="5F73441E"/>
    <w:rsid w:val="5F851ACB"/>
    <w:rsid w:val="5FBF6CF7"/>
    <w:rsid w:val="5FCA7895"/>
    <w:rsid w:val="5FE12603"/>
    <w:rsid w:val="5FE207B3"/>
    <w:rsid w:val="5FEC48FC"/>
    <w:rsid w:val="5FF57A17"/>
    <w:rsid w:val="602B3033"/>
    <w:rsid w:val="602B6AA7"/>
    <w:rsid w:val="603718EF"/>
    <w:rsid w:val="603911C4"/>
    <w:rsid w:val="603B13E0"/>
    <w:rsid w:val="60530564"/>
    <w:rsid w:val="6071095D"/>
    <w:rsid w:val="607738C6"/>
    <w:rsid w:val="60BD2365"/>
    <w:rsid w:val="61276165"/>
    <w:rsid w:val="615C279E"/>
    <w:rsid w:val="616E0D07"/>
    <w:rsid w:val="61B35798"/>
    <w:rsid w:val="62007435"/>
    <w:rsid w:val="621C616D"/>
    <w:rsid w:val="62257C51"/>
    <w:rsid w:val="622920E7"/>
    <w:rsid w:val="6260061D"/>
    <w:rsid w:val="626B7DF5"/>
    <w:rsid w:val="62717A04"/>
    <w:rsid w:val="62915C3B"/>
    <w:rsid w:val="62C91809"/>
    <w:rsid w:val="62D61044"/>
    <w:rsid w:val="62E418BB"/>
    <w:rsid w:val="62ED51EE"/>
    <w:rsid w:val="62ED5A7A"/>
    <w:rsid w:val="62F8107D"/>
    <w:rsid w:val="62FD0BCE"/>
    <w:rsid w:val="63133F4E"/>
    <w:rsid w:val="63387A88"/>
    <w:rsid w:val="633D721D"/>
    <w:rsid w:val="634A0E15"/>
    <w:rsid w:val="638975D5"/>
    <w:rsid w:val="63CB327E"/>
    <w:rsid w:val="63CB4C26"/>
    <w:rsid w:val="63CF10D9"/>
    <w:rsid w:val="640D40A6"/>
    <w:rsid w:val="640D4E41"/>
    <w:rsid w:val="6428256E"/>
    <w:rsid w:val="643A541E"/>
    <w:rsid w:val="644D348F"/>
    <w:rsid w:val="644F3062"/>
    <w:rsid w:val="645E569D"/>
    <w:rsid w:val="64656A2B"/>
    <w:rsid w:val="6477050C"/>
    <w:rsid w:val="648B44AC"/>
    <w:rsid w:val="64B11C70"/>
    <w:rsid w:val="64B74DAD"/>
    <w:rsid w:val="64BD6233"/>
    <w:rsid w:val="65103ADF"/>
    <w:rsid w:val="65146AB2"/>
    <w:rsid w:val="651673BB"/>
    <w:rsid w:val="651B20D0"/>
    <w:rsid w:val="65402E77"/>
    <w:rsid w:val="65913850"/>
    <w:rsid w:val="65A968D9"/>
    <w:rsid w:val="65DE1895"/>
    <w:rsid w:val="65DF0A5F"/>
    <w:rsid w:val="65EC3F77"/>
    <w:rsid w:val="66336214"/>
    <w:rsid w:val="66353DF9"/>
    <w:rsid w:val="66456111"/>
    <w:rsid w:val="666F3B91"/>
    <w:rsid w:val="66817EF2"/>
    <w:rsid w:val="66967370"/>
    <w:rsid w:val="66C0263F"/>
    <w:rsid w:val="66CD654C"/>
    <w:rsid w:val="672636AE"/>
    <w:rsid w:val="672E5483"/>
    <w:rsid w:val="674142B7"/>
    <w:rsid w:val="67694A84"/>
    <w:rsid w:val="676F305E"/>
    <w:rsid w:val="67806F16"/>
    <w:rsid w:val="67941805"/>
    <w:rsid w:val="67A67CB7"/>
    <w:rsid w:val="67A7484F"/>
    <w:rsid w:val="67B010BC"/>
    <w:rsid w:val="67B3016B"/>
    <w:rsid w:val="67B35CFF"/>
    <w:rsid w:val="67C2753A"/>
    <w:rsid w:val="67E1286C"/>
    <w:rsid w:val="67EE31DB"/>
    <w:rsid w:val="67FF5B5B"/>
    <w:rsid w:val="6808604B"/>
    <w:rsid w:val="68190258"/>
    <w:rsid w:val="681937F3"/>
    <w:rsid w:val="681F3395"/>
    <w:rsid w:val="68266845"/>
    <w:rsid w:val="68664B20"/>
    <w:rsid w:val="68910265"/>
    <w:rsid w:val="68B25FB7"/>
    <w:rsid w:val="68C654A3"/>
    <w:rsid w:val="68C877E1"/>
    <w:rsid w:val="69124CA8"/>
    <w:rsid w:val="6925384B"/>
    <w:rsid w:val="69421F2C"/>
    <w:rsid w:val="696F3EA8"/>
    <w:rsid w:val="69717C20"/>
    <w:rsid w:val="69733998"/>
    <w:rsid w:val="6976772C"/>
    <w:rsid w:val="697B24DA"/>
    <w:rsid w:val="697E40EB"/>
    <w:rsid w:val="69A9560C"/>
    <w:rsid w:val="69AC2A06"/>
    <w:rsid w:val="69B8584F"/>
    <w:rsid w:val="69BA7CE0"/>
    <w:rsid w:val="6A10568B"/>
    <w:rsid w:val="6A2A7FEC"/>
    <w:rsid w:val="6A692710"/>
    <w:rsid w:val="6A7259FE"/>
    <w:rsid w:val="6AA53452"/>
    <w:rsid w:val="6AB208DC"/>
    <w:rsid w:val="6AD82E2B"/>
    <w:rsid w:val="6ADE12E5"/>
    <w:rsid w:val="6B1D240A"/>
    <w:rsid w:val="6B6D4417"/>
    <w:rsid w:val="6B893449"/>
    <w:rsid w:val="6B8D6867"/>
    <w:rsid w:val="6BA33D0E"/>
    <w:rsid w:val="6BF14384"/>
    <w:rsid w:val="6BF57328"/>
    <w:rsid w:val="6C225202"/>
    <w:rsid w:val="6C976DD4"/>
    <w:rsid w:val="6CA2373A"/>
    <w:rsid w:val="6CA42514"/>
    <w:rsid w:val="6CB542C8"/>
    <w:rsid w:val="6D040C67"/>
    <w:rsid w:val="6D1946ED"/>
    <w:rsid w:val="6D3A173E"/>
    <w:rsid w:val="6D5D0B35"/>
    <w:rsid w:val="6D6808F5"/>
    <w:rsid w:val="6D853C9A"/>
    <w:rsid w:val="6DAF6F69"/>
    <w:rsid w:val="6E1D4CAD"/>
    <w:rsid w:val="6E314642"/>
    <w:rsid w:val="6E712470"/>
    <w:rsid w:val="6E8A0DC6"/>
    <w:rsid w:val="6EA46C57"/>
    <w:rsid w:val="6EAE6CC5"/>
    <w:rsid w:val="6EBA5BC5"/>
    <w:rsid w:val="6EBD7464"/>
    <w:rsid w:val="6F084B83"/>
    <w:rsid w:val="6F141779"/>
    <w:rsid w:val="6F207C71"/>
    <w:rsid w:val="6F2D22F5"/>
    <w:rsid w:val="6F2F267F"/>
    <w:rsid w:val="6F3326BD"/>
    <w:rsid w:val="6F402188"/>
    <w:rsid w:val="6F6E53A7"/>
    <w:rsid w:val="6F745D74"/>
    <w:rsid w:val="6F991C7F"/>
    <w:rsid w:val="6FC50FC5"/>
    <w:rsid w:val="6FE034D5"/>
    <w:rsid w:val="6FEA467B"/>
    <w:rsid w:val="6FF356A3"/>
    <w:rsid w:val="6FF94755"/>
    <w:rsid w:val="700E4E8A"/>
    <w:rsid w:val="70121335"/>
    <w:rsid w:val="70134464"/>
    <w:rsid w:val="70190C03"/>
    <w:rsid w:val="701A0506"/>
    <w:rsid w:val="701E3380"/>
    <w:rsid w:val="702D268C"/>
    <w:rsid w:val="70335C2F"/>
    <w:rsid w:val="703A7A12"/>
    <w:rsid w:val="704A6A85"/>
    <w:rsid w:val="704B11CB"/>
    <w:rsid w:val="7055373F"/>
    <w:rsid w:val="70822713"/>
    <w:rsid w:val="709A6050"/>
    <w:rsid w:val="70AA0FC9"/>
    <w:rsid w:val="70B825D8"/>
    <w:rsid w:val="70BF3967"/>
    <w:rsid w:val="70E1568B"/>
    <w:rsid w:val="710650F2"/>
    <w:rsid w:val="710F728C"/>
    <w:rsid w:val="713C6D66"/>
    <w:rsid w:val="71535E5D"/>
    <w:rsid w:val="71754026"/>
    <w:rsid w:val="718030F6"/>
    <w:rsid w:val="71934050"/>
    <w:rsid w:val="71B13657"/>
    <w:rsid w:val="72111E04"/>
    <w:rsid w:val="72230CE6"/>
    <w:rsid w:val="72323CC5"/>
    <w:rsid w:val="724D6B93"/>
    <w:rsid w:val="72516841"/>
    <w:rsid w:val="728D3CD9"/>
    <w:rsid w:val="72A32C3B"/>
    <w:rsid w:val="72A51C4F"/>
    <w:rsid w:val="72C11749"/>
    <w:rsid w:val="72D00517"/>
    <w:rsid w:val="72DB6BEC"/>
    <w:rsid w:val="72F0425F"/>
    <w:rsid w:val="73104006"/>
    <w:rsid w:val="736305DA"/>
    <w:rsid w:val="73724CC1"/>
    <w:rsid w:val="73E36AB4"/>
    <w:rsid w:val="73F73CF2"/>
    <w:rsid w:val="74212243"/>
    <w:rsid w:val="7441165C"/>
    <w:rsid w:val="74F02341"/>
    <w:rsid w:val="75234A86"/>
    <w:rsid w:val="7575355F"/>
    <w:rsid w:val="75921AA3"/>
    <w:rsid w:val="7593637E"/>
    <w:rsid w:val="75C15A8B"/>
    <w:rsid w:val="75D752AF"/>
    <w:rsid w:val="75FE6CDF"/>
    <w:rsid w:val="760616F0"/>
    <w:rsid w:val="76170E62"/>
    <w:rsid w:val="761A0A77"/>
    <w:rsid w:val="76404C02"/>
    <w:rsid w:val="76656D8E"/>
    <w:rsid w:val="766A7ED1"/>
    <w:rsid w:val="7673373E"/>
    <w:rsid w:val="76742C81"/>
    <w:rsid w:val="767C075A"/>
    <w:rsid w:val="76836F37"/>
    <w:rsid w:val="76A00ABD"/>
    <w:rsid w:val="76B90EBE"/>
    <w:rsid w:val="76B92C06"/>
    <w:rsid w:val="76D1521F"/>
    <w:rsid w:val="76E557A9"/>
    <w:rsid w:val="76EA1012"/>
    <w:rsid w:val="76EE465E"/>
    <w:rsid w:val="77145ED7"/>
    <w:rsid w:val="771A5453"/>
    <w:rsid w:val="77333B9D"/>
    <w:rsid w:val="773E0351"/>
    <w:rsid w:val="773F135E"/>
    <w:rsid w:val="774A677B"/>
    <w:rsid w:val="77535678"/>
    <w:rsid w:val="77763076"/>
    <w:rsid w:val="777C610E"/>
    <w:rsid w:val="77864F50"/>
    <w:rsid w:val="779C1699"/>
    <w:rsid w:val="779C5BDA"/>
    <w:rsid w:val="77B45115"/>
    <w:rsid w:val="77C81353"/>
    <w:rsid w:val="77D726AA"/>
    <w:rsid w:val="77DF1373"/>
    <w:rsid w:val="77EC018D"/>
    <w:rsid w:val="77FE7EF9"/>
    <w:rsid w:val="780132C5"/>
    <w:rsid w:val="780B7492"/>
    <w:rsid w:val="785C6BEC"/>
    <w:rsid w:val="7863107C"/>
    <w:rsid w:val="78721D35"/>
    <w:rsid w:val="787E5EB6"/>
    <w:rsid w:val="78830507"/>
    <w:rsid w:val="7884276A"/>
    <w:rsid w:val="789F25E8"/>
    <w:rsid w:val="78A31478"/>
    <w:rsid w:val="78CB296A"/>
    <w:rsid w:val="79144124"/>
    <w:rsid w:val="792737ED"/>
    <w:rsid w:val="79581463"/>
    <w:rsid w:val="79616D2F"/>
    <w:rsid w:val="799139C7"/>
    <w:rsid w:val="79927E6B"/>
    <w:rsid w:val="79A61220"/>
    <w:rsid w:val="79B06543"/>
    <w:rsid w:val="79DE24CD"/>
    <w:rsid w:val="79ED6E4F"/>
    <w:rsid w:val="79FC3536"/>
    <w:rsid w:val="7A22617B"/>
    <w:rsid w:val="7A232871"/>
    <w:rsid w:val="7A2D1941"/>
    <w:rsid w:val="7A335A87"/>
    <w:rsid w:val="7A383EA6"/>
    <w:rsid w:val="7A41013B"/>
    <w:rsid w:val="7A71442E"/>
    <w:rsid w:val="7A735761"/>
    <w:rsid w:val="7A886B78"/>
    <w:rsid w:val="7A8C1270"/>
    <w:rsid w:val="7AAC64FD"/>
    <w:rsid w:val="7AB2124D"/>
    <w:rsid w:val="7ABB6F4D"/>
    <w:rsid w:val="7ACD755B"/>
    <w:rsid w:val="7AD57908"/>
    <w:rsid w:val="7AF366E7"/>
    <w:rsid w:val="7B13572D"/>
    <w:rsid w:val="7B23207B"/>
    <w:rsid w:val="7B2547F2"/>
    <w:rsid w:val="7B450E0A"/>
    <w:rsid w:val="7B4E1B6F"/>
    <w:rsid w:val="7B5353D8"/>
    <w:rsid w:val="7B747F2E"/>
    <w:rsid w:val="7B9A3006"/>
    <w:rsid w:val="7BB57ECA"/>
    <w:rsid w:val="7BED4C7B"/>
    <w:rsid w:val="7BEE64E6"/>
    <w:rsid w:val="7BFC4E41"/>
    <w:rsid w:val="7C1A652F"/>
    <w:rsid w:val="7C275E29"/>
    <w:rsid w:val="7C4A395B"/>
    <w:rsid w:val="7C544B61"/>
    <w:rsid w:val="7C5A3B5D"/>
    <w:rsid w:val="7D10135B"/>
    <w:rsid w:val="7D111BEE"/>
    <w:rsid w:val="7D1312C2"/>
    <w:rsid w:val="7D140B97"/>
    <w:rsid w:val="7D1F32AC"/>
    <w:rsid w:val="7D3C5A67"/>
    <w:rsid w:val="7D43322A"/>
    <w:rsid w:val="7D537911"/>
    <w:rsid w:val="7D575E17"/>
    <w:rsid w:val="7DA0067C"/>
    <w:rsid w:val="7DE40569"/>
    <w:rsid w:val="7DE67B03"/>
    <w:rsid w:val="7DEA3FC2"/>
    <w:rsid w:val="7DF509C8"/>
    <w:rsid w:val="7E1B3E61"/>
    <w:rsid w:val="7E407FB4"/>
    <w:rsid w:val="7E6A5D38"/>
    <w:rsid w:val="7E70110E"/>
    <w:rsid w:val="7E7B3027"/>
    <w:rsid w:val="7E961930"/>
    <w:rsid w:val="7E9E3C4A"/>
    <w:rsid w:val="7EDC1B88"/>
    <w:rsid w:val="7F144E7E"/>
    <w:rsid w:val="7F3868C1"/>
    <w:rsid w:val="7F3A463E"/>
    <w:rsid w:val="7F4C2DEE"/>
    <w:rsid w:val="7F8D5FED"/>
    <w:rsid w:val="7F9979E5"/>
    <w:rsid w:val="7F9D5811"/>
    <w:rsid w:val="7FA51960"/>
    <w:rsid w:val="7FB448B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2"/>
    <w:next w:val="1"/>
    <w:link w:val="48"/>
    <w:qFormat/>
    <w:uiPriority w:val="0"/>
    <w:pPr>
      <w:keepNext/>
      <w:keepLines/>
      <w:spacing w:before="340" w:beforeLines="0" w:beforeAutospacing="0" w:after="330" w:afterLines="0" w:afterAutospacing="0" w:line="240" w:lineRule="auto"/>
      <w:jc w:val="center"/>
      <w:outlineLvl w:val="0"/>
    </w:pPr>
    <w:rPr>
      <w:rFonts w:ascii="Calibri" w:hAnsi="Calibri" w:eastAsia="黑体"/>
      <w:kern w:val="44"/>
      <w:sz w:val="44"/>
      <w:szCs w:val="20"/>
    </w:rPr>
  </w:style>
  <w:style w:type="paragraph" w:styleId="4">
    <w:name w:val="heading 2"/>
    <w:basedOn w:val="1"/>
    <w:next w:val="1"/>
    <w:link w:val="53"/>
    <w:qFormat/>
    <w:uiPriority w:val="0"/>
    <w:pPr>
      <w:keepNext/>
      <w:keepLines/>
      <w:spacing w:before="260" w:after="260" w:line="413" w:lineRule="auto"/>
      <w:outlineLvl w:val="1"/>
    </w:pPr>
    <w:rPr>
      <w:rFonts w:ascii="Arial" w:hAnsi="Arial" w:eastAsia="黑体"/>
      <w:b/>
      <w:bCs/>
      <w:kern w:val="0"/>
      <w:sz w:val="32"/>
      <w:szCs w:val="32"/>
    </w:rPr>
  </w:style>
  <w:style w:type="paragraph" w:styleId="2">
    <w:name w:val="heading 3"/>
    <w:basedOn w:val="1"/>
    <w:next w:val="1"/>
    <w:qFormat/>
    <w:uiPriority w:val="0"/>
    <w:pPr>
      <w:spacing w:before="100" w:beforeAutospacing="1" w:after="100" w:afterAutospacing="1"/>
      <w:jc w:val="left"/>
      <w:outlineLvl w:val="2"/>
    </w:pPr>
    <w:rPr>
      <w:rFonts w:hint="eastAsia" w:ascii="宋体" w:hAnsi="宋体" w:eastAsia="宋体" w:cs="宋体"/>
      <w:b/>
      <w:kern w:val="0"/>
      <w:sz w:val="27"/>
      <w:szCs w:val="27"/>
      <w:lang w:val="en-US" w:eastAsia="zh-CN" w:bidi="ar"/>
    </w:rPr>
  </w:style>
  <w:style w:type="paragraph" w:styleId="5">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character" w:default="1" w:styleId="33">
    <w:name w:val="Default Paragraph Font"/>
    <w:semiHidden/>
    <w:qFormat/>
    <w:uiPriority w:val="0"/>
  </w:style>
  <w:style w:type="table" w:default="1" w:styleId="31">
    <w:name w:val="Normal Table"/>
    <w:semiHidden/>
    <w:qFormat/>
    <w:uiPriority w:val="0"/>
    <w:tblPr>
      <w:tblCellMar>
        <w:top w:w="0" w:type="dxa"/>
        <w:left w:w="108" w:type="dxa"/>
        <w:bottom w:w="0" w:type="dxa"/>
        <w:right w:w="108" w:type="dxa"/>
      </w:tblCellMar>
    </w:tblPr>
  </w:style>
  <w:style w:type="paragraph" w:styleId="6">
    <w:name w:val="table of authorities"/>
    <w:basedOn w:val="1"/>
    <w:next w:val="1"/>
    <w:qFormat/>
    <w:uiPriority w:val="0"/>
    <w:pPr>
      <w:ind w:left="420" w:leftChars="200"/>
    </w:pPr>
    <w:rPr>
      <w:szCs w:val="24"/>
    </w:rPr>
  </w:style>
  <w:style w:type="paragraph" w:styleId="7">
    <w:name w:val="Normal Indent"/>
    <w:basedOn w:val="1"/>
    <w:qFormat/>
    <w:uiPriority w:val="0"/>
    <w:pPr>
      <w:widowControl/>
      <w:ind w:firstLine="420"/>
      <w:jc w:val="left"/>
    </w:pPr>
    <w:rPr>
      <w:kern w:val="0"/>
      <w:sz w:val="20"/>
      <w:szCs w:val="20"/>
    </w:rPr>
  </w:style>
  <w:style w:type="paragraph" w:styleId="8">
    <w:name w:val="Document Map"/>
    <w:basedOn w:val="1"/>
    <w:qFormat/>
    <w:uiPriority w:val="0"/>
    <w:rPr>
      <w:rFonts w:ascii="宋体"/>
      <w:sz w:val="18"/>
      <w:szCs w:val="18"/>
    </w:rPr>
  </w:style>
  <w:style w:type="paragraph" w:styleId="9">
    <w:name w:val="toa heading"/>
    <w:basedOn w:val="1"/>
    <w:next w:val="1"/>
    <w:qFormat/>
    <w:uiPriority w:val="0"/>
    <w:pPr>
      <w:spacing w:before="120" w:beforeLines="0" w:beforeAutospacing="0"/>
    </w:pPr>
    <w:rPr>
      <w:rFonts w:ascii="Arial" w:hAnsi="Arial"/>
      <w:sz w:val="24"/>
    </w:rPr>
  </w:style>
  <w:style w:type="paragraph" w:styleId="10">
    <w:name w:val="annotation text"/>
    <w:basedOn w:val="1"/>
    <w:link w:val="50"/>
    <w:qFormat/>
    <w:uiPriority w:val="0"/>
    <w:pPr>
      <w:jc w:val="left"/>
    </w:pPr>
  </w:style>
  <w:style w:type="paragraph" w:styleId="11">
    <w:name w:val="Body Text"/>
    <w:basedOn w:val="1"/>
    <w:next w:val="12"/>
    <w:qFormat/>
    <w:uiPriority w:val="0"/>
    <w:pPr>
      <w:adjustRightInd w:val="0"/>
      <w:spacing w:after="60" w:line="360" w:lineRule="atLeast"/>
      <w:ind w:left="72" w:leftChars="30" w:right="30" w:rightChars="30"/>
      <w:jc w:val="center"/>
      <w:textAlignment w:val="baseline"/>
    </w:pPr>
    <w:rPr>
      <w:rFonts w:eastAsia="宋体" w:cs="Times New Roman"/>
      <w:kern w:val="0"/>
      <w:sz w:val="20"/>
      <w:szCs w:val="20"/>
    </w:rPr>
  </w:style>
  <w:style w:type="paragraph" w:styleId="12">
    <w:name w:val="Subtitle"/>
    <w:basedOn w:val="1"/>
    <w:next w:val="1"/>
    <w:qFormat/>
    <w:uiPriority w:val="11"/>
    <w:pPr>
      <w:widowControl/>
      <w:spacing w:before="240" w:after="60" w:line="312" w:lineRule="auto"/>
      <w:jc w:val="center"/>
      <w:outlineLvl w:val="1"/>
    </w:pPr>
    <w:rPr>
      <w:rFonts w:ascii="Calibri Light" w:hAnsi="Calibri Light" w:cs="Times New Roman"/>
      <w:b/>
      <w:bCs/>
      <w:kern w:val="28"/>
      <w:sz w:val="32"/>
      <w:szCs w:val="32"/>
    </w:rPr>
  </w:style>
  <w:style w:type="paragraph" w:styleId="13">
    <w:name w:val="Body Text Indent"/>
    <w:basedOn w:val="1"/>
    <w:qFormat/>
    <w:uiPriority w:val="0"/>
    <w:pPr>
      <w:spacing w:line="200" w:lineRule="exact"/>
      <w:ind w:firstLine="301"/>
    </w:pPr>
    <w:rPr>
      <w:rFonts w:ascii="宋体"/>
      <w:spacing w:val="-4"/>
      <w:sz w:val="18"/>
      <w:szCs w:val="20"/>
    </w:rPr>
  </w:style>
  <w:style w:type="paragraph" w:styleId="14">
    <w:name w:val="Block Text"/>
    <w:basedOn w:val="1"/>
    <w:next w:val="1"/>
    <w:unhideWhenUsed/>
    <w:qFormat/>
    <w:uiPriority w:val="99"/>
    <w:pPr>
      <w:spacing w:after="120"/>
      <w:ind w:left="1440" w:leftChars="700" w:right="1440" w:rightChars="700"/>
    </w:pPr>
  </w:style>
  <w:style w:type="paragraph" w:styleId="15">
    <w:name w:val="toc 5"/>
    <w:basedOn w:val="1"/>
    <w:next w:val="1"/>
    <w:semiHidden/>
    <w:qFormat/>
    <w:uiPriority w:val="0"/>
    <w:pPr>
      <w:ind w:left="840"/>
      <w:jc w:val="left"/>
    </w:pPr>
    <w:rPr>
      <w:rFonts w:ascii="Times New Roman"/>
      <w:sz w:val="18"/>
      <w:szCs w:val="18"/>
    </w:rPr>
  </w:style>
  <w:style w:type="paragraph" w:styleId="16">
    <w:name w:val="toc 3"/>
    <w:basedOn w:val="1"/>
    <w:next w:val="1"/>
    <w:qFormat/>
    <w:uiPriority w:val="0"/>
    <w:pPr>
      <w:ind w:left="840" w:leftChars="400"/>
    </w:pPr>
  </w:style>
  <w:style w:type="paragraph" w:styleId="17">
    <w:name w:val="Plain Text"/>
    <w:basedOn w:val="1"/>
    <w:next w:val="1"/>
    <w:qFormat/>
    <w:uiPriority w:val="99"/>
    <w:rPr>
      <w:rFonts w:ascii="宋体"/>
    </w:rPr>
  </w:style>
  <w:style w:type="paragraph" w:styleId="18">
    <w:name w:val="Date"/>
    <w:basedOn w:val="1"/>
    <w:next w:val="1"/>
    <w:qFormat/>
    <w:uiPriority w:val="0"/>
    <w:pPr>
      <w:ind w:left="100" w:leftChars="2500"/>
    </w:pPr>
    <w:rPr>
      <w:rFonts w:ascii="Times New Roman" w:hAnsi="Times New Roman"/>
      <w:kern w:val="0"/>
      <w:sz w:val="20"/>
      <w:szCs w:val="24"/>
    </w:rPr>
  </w:style>
  <w:style w:type="paragraph" w:styleId="19">
    <w:name w:val="Body Text Indent 2"/>
    <w:basedOn w:val="1"/>
    <w:qFormat/>
    <w:uiPriority w:val="0"/>
    <w:pPr>
      <w:spacing w:after="120" w:line="480" w:lineRule="auto"/>
      <w:ind w:left="420"/>
    </w:pPr>
  </w:style>
  <w:style w:type="paragraph" w:styleId="20">
    <w:name w:val="Balloon Text"/>
    <w:basedOn w:val="1"/>
    <w:link w:val="52"/>
    <w:qFormat/>
    <w:uiPriority w:val="0"/>
    <w:rPr>
      <w:sz w:val="18"/>
      <w:szCs w:val="18"/>
    </w:rPr>
  </w:style>
  <w:style w:type="paragraph" w:styleId="21">
    <w:name w:val="footer"/>
    <w:basedOn w:val="1"/>
    <w:qFormat/>
    <w:uiPriority w:val="99"/>
    <w:pPr>
      <w:tabs>
        <w:tab w:val="center" w:pos="4153"/>
        <w:tab w:val="right" w:pos="8306"/>
      </w:tabs>
      <w:snapToGrid w:val="0"/>
      <w:jc w:val="left"/>
    </w:pPr>
    <w:rPr>
      <w:sz w:val="18"/>
      <w:szCs w:val="18"/>
    </w:rPr>
  </w:style>
  <w:style w:type="paragraph" w:styleId="22">
    <w:name w:val="envelope return"/>
    <w:basedOn w:val="1"/>
    <w:qFormat/>
    <w:uiPriority w:val="0"/>
    <w:pPr>
      <w:snapToGrid w:val="0"/>
    </w:pPr>
    <w:rPr>
      <w:rFonts w:ascii="Arial" w:hAnsi="Arial"/>
    </w:rPr>
  </w:style>
  <w:style w:type="paragraph" w:styleId="2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4">
    <w:name w:val="toc 1"/>
    <w:basedOn w:val="1"/>
    <w:next w:val="1"/>
    <w:qFormat/>
    <w:uiPriority w:val="0"/>
  </w:style>
  <w:style w:type="paragraph" w:styleId="25">
    <w:name w:val="table of figures"/>
    <w:basedOn w:val="1"/>
    <w:next w:val="1"/>
    <w:semiHidden/>
    <w:qFormat/>
    <w:uiPriority w:val="0"/>
    <w:pPr>
      <w:widowControl w:val="0"/>
      <w:ind w:left="200" w:leftChars="200" w:hanging="200" w:hangingChars="200"/>
      <w:jc w:val="both"/>
    </w:pPr>
    <w:rPr>
      <w:rFonts w:ascii="Times New Roman" w:hAnsi="Times New Roman"/>
      <w:kern w:val="2"/>
      <w:sz w:val="21"/>
      <w:szCs w:val="24"/>
    </w:rPr>
  </w:style>
  <w:style w:type="paragraph" w:styleId="26">
    <w:name w:val="toc 2"/>
    <w:basedOn w:val="1"/>
    <w:next w:val="1"/>
    <w:qFormat/>
    <w:uiPriority w:val="0"/>
    <w:pPr>
      <w:ind w:left="420" w:leftChars="200"/>
    </w:pPr>
  </w:style>
  <w:style w:type="paragraph" w:styleId="27">
    <w:name w:val="Body Text 2"/>
    <w:basedOn w:val="1"/>
    <w:qFormat/>
    <w:uiPriority w:val="99"/>
    <w:pPr>
      <w:widowControl/>
      <w:jc w:val="left"/>
    </w:pPr>
    <w:rPr>
      <w:rFonts w:ascii="仿宋_GB2312" w:hAnsi="宋体" w:eastAsia="仿宋_GB2312"/>
      <w:color w:val="000000"/>
      <w:kern w:val="0"/>
      <w:sz w:val="20"/>
      <w:szCs w:val="20"/>
    </w:rPr>
  </w:style>
  <w:style w:type="paragraph" w:styleId="28">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9">
    <w:name w:val="annotation subject"/>
    <w:basedOn w:val="10"/>
    <w:next w:val="1"/>
    <w:link w:val="51"/>
    <w:qFormat/>
    <w:uiPriority w:val="0"/>
    <w:rPr>
      <w:b/>
      <w:bCs/>
    </w:rPr>
  </w:style>
  <w:style w:type="paragraph" w:styleId="30">
    <w:name w:val="Body Text First Indent 2"/>
    <w:basedOn w:val="13"/>
    <w:next w:val="1"/>
    <w:qFormat/>
    <w:uiPriority w:val="0"/>
    <w:pPr>
      <w:spacing w:line="360" w:lineRule="auto"/>
      <w:ind w:firstLine="420" w:firstLineChars="200"/>
    </w:pPr>
    <w:rPr>
      <w:rFonts w:hAnsi="宋体"/>
      <w:spacing w:val="0"/>
      <w:sz w:val="21"/>
    </w:r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qFormat/>
    <w:uiPriority w:val="0"/>
    <w:rPr>
      <w:b/>
    </w:rPr>
  </w:style>
  <w:style w:type="character" w:styleId="35">
    <w:name w:val="page number"/>
    <w:qFormat/>
    <w:uiPriority w:val="0"/>
  </w:style>
  <w:style w:type="character" w:styleId="36">
    <w:name w:val="FollowedHyperlink"/>
    <w:qFormat/>
    <w:uiPriority w:val="0"/>
    <w:rPr>
      <w:color w:val="337AB7"/>
      <w:u w:val="single"/>
    </w:rPr>
  </w:style>
  <w:style w:type="character" w:styleId="37">
    <w:name w:val="Emphasis"/>
    <w:qFormat/>
    <w:uiPriority w:val="0"/>
  </w:style>
  <w:style w:type="character" w:styleId="38">
    <w:name w:val="HTML Definition"/>
    <w:qFormat/>
    <w:uiPriority w:val="0"/>
  </w:style>
  <w:style w:type="character" w:styleId="39">
    <w:name w:val="HTML Variable"/>
    <w:qFormat/>
    <w:uiPriority w:val="0"/>
  </w:style>
  <w:style w:type="character" w:styleId="40">
    <w:name w:val="Hyperlink"/>
    <w:qFormat/>
    <w:uiPriority w:val="0"/>
    <w:rPr>
      <w:color w:val="337AB7"/>
      <w:u w:val="single"/>
    </w:rPr>
  </w:style>
  <w:style w:type="character" w:styleId="41">
    <w:name w:val="HTML Code"/>
    <w:qFormat/>
    <w:uiPriority w:val="0"/>
    <w:rPr>
      <w:rFonts w:hint="default" w:ascii="Monaco" w:hAnsi="Monaco" w:eastAsia="Monaco" w:cs="Monaco"/>
      <w:color w:val="C7254E"/>
      <w:sz w:val="21"/>
      <w:szCs w:val="21"/>
      <w:shd w:val="clear" w:color="auto" w:fill="F9F2F4"/>
    </w:rPr>
  </w:style>
  <w:style w:type="character" w:styleId="42">
    <w:name w:val="annotation reference"/>
    <w:qFormat/>
    <w:uiPriority w:val="0"/>
    <w:rPr>
      <w:sz w:val="21"/>
      <w:szCs w:val="21"/>
    </w:rPr>
  </w:style>
  <w:style w:type="character" w:styleId="43">
    <w:name w:val="HTML Cite"/>
    <w:qFormat/>
    <w:uiPriority w:val="0"/>
  </w:style>
  <w:style w:type="character" w:styleId="44">
    <w:name w:val="HTML Keyboard"/>
    <w:qFormat/>
    <w:uiPriority w:val="0"/>
    <w:rPr>
      <w:rFonts w:hint="default" w:ascii="Monaco" w:hAnsi="Monaco" w:eastAsia="Monaco" w:cs="Monaco"/>
      <w:color w:val="FFFFFF"/>
      <w:sz w:val="21"/>
      <w:szCs w:val="21"/>
      <w:shd w:val="clear" w:color="auto" w:fill="333333"/>
    </w:rPr>
  </w:style>
  <w:style w:type="character" w:styleId="45">
    <w:name w:val="HTML Sample"/>
    <w:qFormat/>
    <w:uiPriority w:val="0"/>
    <w:rPr>
      <w:rFonts w:ascii="Monaco" w:hAnsi="Monaco" w:eastAsia="Monaco" w:cs="Monaco"/>
      <w:sz w:val="21"/>
      <w:szCs w:val="21"/>
    </w:rPr>
  </w:style>
  <w:style w:type="paragraph" w:customStyle="1" w:styleId="46">
    <w:name w:val="Default"/>
    <w:basedOn w:val="47"/>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47">
    <w:name w:val="正文1"/>
    <w:basedOn w:val="1"/>
    <w:qFormat/>
    <w:uiPriority w:val="0"/>
    <w:pPr>
      <w:spacing w:line="360" w:lineRule="auto"/>
      <w:ind w:firstLine="200"/>
      <w:jc w:val="left"/>
    </w:pPr>
    <w:rPr>
      <w:rFonts w:eastAsia="Times New Roman" w:cs="宋体"/>
      <w:kern w:val="0"/>
      <w:sz w:val="28"/>
      <w:szCs w:val="20"/>
      <w:lang w:eastAsia="en-US"/>
    </w:rPr>
  </w:style>
  <w:style w:type="character" w:customStyle="1" w:styleId="48">
    <w:name w:val="标题 1 Char"/>
    <w:link w:val="3"/>
    <w:qFormat/>
    <w:uiPriority w:val="0"/>
    <w:rPr>
      <w:rFonts w:ascii="Calibri" w:hAnsi="Calibri" w:eastAsia="黑体"/>
      <w:b/>
      <w:kern w:val="44"/>
      <w:sz w:val="44"/>
    </w:rPr>
  </w:style>
  <w:style w:type="character" w:customStyle="1" w:styleId="49">
    <w:name w:val="标题 2 Char"/>
    <w:link w:val="4"/>
    <w:qFormat/>
    <w:uiPriority w:val="0"/>
    <w:rPr>
      <w:rFonts w:ascii="Arial" w:hAnsi="Arial" w:eastAsia="黑体"/>
      <w:b/>
      <w:bCs/>
      <w:sz w:val="32"/>
      <w:szCs w:val="32"/>
    </w:rPr>
  </w:style>
  <w:style w:type="character" w:customStyle="1" w:styleId="50">
    <w:name w:val="批注文字 Char"/>
    <w:link w:val="10"/>
    <w:qFormat/>
    <w:uiPriority w:val="0"/>
    <w:rPr>
      <w:kern w:val="2"/>
      <w:sz w:val="21"/>
      <w:szCs w:val="24"/>
    </w:rPr>
  </w:style>
  <w:style w:type="character" w:customStyle="1" w:styleId="51">
    <w:name w:val="批注主题 Char"/>
    <w:link w:val="29"/>
    <w:qFormat/>
    <w:uiPriority w:val="0"/>
    <w:rPr>
      <w:b/>
      <w:bCs/>
      <w:kern w:val="2"/>
      <w:sz w:val="21"/>
      <w:szCs w:val="24"/>
    </w:rPr>
  </w:style>
  <w:style w:type="character" w:customStyle="1" w:styleId="52">
    <w:name w:val="批注框文本 Char"/>
    <w:link w:val="20"/>
    <w:qFormat/>
    <w:uiPriority w:val="0"/>
    <w:rPr>
      <w:kern w:val="2"/>
      <w:sz w:val="18"/>
      <w:szCs w:val="18"/>
    </w:rPr>
  </w:style>
  <w:style w:type="character" w:customStyle="1" w:styleId="53">
    <w:name w:val="标题 2 Char1"/>
    <w:link w:val="4"/>
    <w:qFormat/>
    <w:uiPriority w:val="0"/>
    <w:rPr>
      <w:rFonts w:ascii="Arial" w:hAnsi="Arial" w:eastAsia="黑体"/>
      <w:b/>
      <w:bCs/>
      <w:sz w:val="32"/>
      <w:szCs w:val="32"/>
    </w:rPr>
  </w:style>
  <w:style w:type="paragraph" w:customStyle="1" w:styleId="54">
    <w:name w:val="列出段落1"/>
    <w:basedOn w:val="1"/>
    <w:qFormat/>
    <w:uiPriority w:val="34"/>
    <w:pPr>
      <w:widowControl/>
      <w:ind w:firstLine="420" w:firstLineChars="200"/>
      <w:jc w:val="left"/>
    </w:pPr>
    <w:rPr>
      <w:rFonts w:hint="eastAsia" w:ascii="Arial Unicode MS" w:hAnsi="Arial Unicode MS" w:eastAsia="Helvetica" w:cs="Arial Unicode MS"/>
      <w:color w:val="000000"/>
      <w:kern w:val="0"/>
      <w:sz w:val="22"/>
      <w:lang w:val="zh-CN"/>
    </w:rPr>
  </w:style>
  <w:style w:type="character" w:customStyle="1" w:styleId="55">
    <w:name w:val="font51"/>
    <w:qFormat/>
    <w:uiPriority w:val="0"/>
    <w:rPr>
      <w:rFonts w:ascii="Calibri" w:hAnsi="Calibri" w:cs="Calibri"/>
      <w:color w:val="000000"/>
      <w:sz w:val="16"/>
      <w:szCs w:val="16"/>
      <w:u w:val="none"/>
    </w:rPr>
  </w:style>
  <w:style w:type="character" w:customStyle="1" w:styleId="56">
    <w:name w:val="glyphicon4"/>
    <w:qFormat/>
    <w:uiPriority w:val="0"/>
  </w:style>
  <w:style w:type="character" w:customStyle="1" w:styleId="57">
    <w:name w:val="hour_pm"/>
    <w:qFormat/>
    <w:uiPriority w:val="0"/>
  </w:style>
  <w:style w:type="character" w:customStyle="1" w:styleId="58">
    <w:name w:val="old"/>
    <w:qFormat/>
    <w:uiPriority w:val="0"/>
    <w:rPr>
      <w:color w:val="999999"/>
    </w:rPr>
  </w:style>
  <w:style w:type="character" w:customStyle="1" w:styleId="59">
    <w:name w:val="hover1"/>
    <w:qFormat/>
    <w:uiPriority w:val="0"/>
    <w:rPr>
      <w:shd w:val="clear" w:color="auto" w:fill="EEEEEE"/>
    </w:rPr>
  </w:style>
  <w:style w:type="character" w:customStyle="1" w:styleId="60">
    <w:name w:val="hour_am"/>
    <w:qFormat/>
    <w:uiPriority w:val="0"/>
  </w:style>
  <w:style w:type="character" w:customStyle="1" w:styleId="61">
    <w:name w:val="font121"/>
    <w:qFormat/>
    <w:uiPriority w:val="0"/>
    <w:rPr>
      <w:rFonts w:hint="eastAsia" w:ascii="宋体" w:hAnsi="宋体" w:eastAsia="宋体" w:cs="宋体"/>
      <w:b/>
      <w:color w:val="000000"/>
      <w:sz w:val="16"/>
      <w:szCs w:val="16"/>
      <w:u w:val="none"/>
    </w:rPr>
  </w:style>
  <w:style w:type="character" w:customStyle="1" w:styleId="62">
    <w:name w:val="font01"/>
    <w:qFormat/>
    <w:uiPriority w:val="0"/>
    <w:rPr>
      <w:rFonts w:ascii="Calibri" w:hAnsi="Calibri" w:cs="Calibri"/>
      <w:color w:val="000000"/>
      <w:sz w:val="16"/>
      <w:szCs w:val="16"/>
      <w:u w:val="none"/>
    </w:rPr>
  </w:style>
  <w:style w:type="character" w:customStyle="1" w:styleId="63">
    <w:name w:val="glyphicon6"/>
    <w:qFormat/>
    <w:uiPriority w:val="0"/>
  </w:style>
  <w:style w:type="paragraph" w:customStyle="1" w:styleId="64">
    <w:name w:val="手册第二级"/>
    <w:basedOn w:val="65"/>
    <w:qFormat/>
    <w:uiPriority w:val="0"/>
    <w:pPr>
      <w:widowControl/>
      <w:numPr>
        <w:ilvl w:val="1"/>
        <w:numId w:val="1"/>
      </w:numPr>
      <w:ind w:firstLine="0" w:firstLineChars="0"/>
      <w:jc w:val="left"/>
      <w:outlineLvl w:val="1"/>
    </w:pPr>
    <w:rPr>
      <w:b/>
      <w:sz w:val="30"/>
    </w:rPr>
  </w:style>
  <w:style w:type="paragraph" w:styleId="65">
    <w:name w:val="List Paragraph"/>
    <w:basedOn w:val="1"/>
    <w:qFormat/>
    <w:uiPriority w:val="34"/>
    <w:pPr>
      <w:ind w:firstLine="420" w:firstLineChars="200"/>
    </w:pPr>
    <w:rPr>
      <w:rFonts w:ascii="Calibri" w:hAnsi="Calibri" w:eastAsia="宋体" w:cs="Times New Roman"/>
    </w:rPr>
  </w:style>
  <w:style w:type="paragraph" w:customStyle="1" w:styleId="66">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67">
    <w:name w:val="List Paragraph1"/>
    <w:basedOn w:val="1"/>
    <w:qFormat/>
    <w:uiPriority w:val="0"/>
    <w:pPr>
      <w:ind w:firstLine="420" w:firstLineChars="200"/>
    </w:pPr>
  </w:style>
  <w:style w:type="paragraph" w:styleId="68">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9">
    <w:name w:val="Other|1"/>
    <w:basedOn w:val="1"/>
    <w:qFormat/>
    <w:uiPriority w:val="0"/>
    <w:pPr>
      <w:widowControl w:val="0"/>
      <w:shd w:val="clear" w:color="auto" w:fill="auto"/>
      <w:spacing w:line="466" w:lineRule="auto"/>
      <w:ind w:firstLine="400"/>
    </w:pPr>
    <w:rPr>
      <w:rFonts w:ascii="宋体" w:hAnsi="宋体" w:eastAsia="宋体" w:cs="宋体"/>
      <w:sz w:val="20"/>
      <w:szCs w:val="20"/>
      <w:u w:val="none"/>
      <w:shd w:val="clear" w:color="auto" w:fill="auto"/>
      <w:lang w:val="zh-TW" w:eastAsia="zh-TW" w:bidi="zh-TW"/>
    </w:rPr>
  </w:style>
  <w:style w:type="paragraph" w:customStyle="1" w:styleId="70">
    <w:name w:val="PlainText"/>
    <w:basedOn w:val="1"/>
    <w:next w:val="1"/>
    <w:qFormat/>
    <w:uiPriority w:val="0"/>
    <w:pPr>
      <w:textAlignment w:val="baseline"/>
    </w:pPr>
    <w:rPr>
      <w:rFonts w:ascii="宋体" w:hAnsi="Courier New"/>
      <w:szCs w:val="21"/>
    </w:rPr>
  </w:style>
  <w:style w:type="paragraph" w:customStyle="1" w:styleId="71">
    <w:name w:val="Table Paragraph"/>
    <w:basedOn w:val="1"/>
    <w:qFormat/>
    <w:uiPriority w:val="1"/>
    <w:rPr>
      <w:rFonts w:ascii="宋体" w:hAnsi="宋体" w:eastAsia="宋体" w:cs="宋体"/>
      <w:lang w:val="zh-CN" w:bidi="zh-CN"/>
    </w:rPr>
  </w:style>
  <w:style w:type="paragraph" w:customStyle="1" w:styleId="72">
    <w:name w:val="手册第一级"/>
    <w:basedOn w:val="67"/>
    <w:qFormat/>
    <w:uiPriority w:val="0"/>
    <w:pPr>
      <w:widowControl/>
      <w:numPr>
        <w:ilvl w:val="0"/>
        <w:numId w:val="1"/>
      </w:numPr>
      <w:ind w:firstLine="0" w:firstLineChars="0"/>
      <w:jc w:val="left"/>
      <w:outlineLvl w:val="0"/>
    </w:pPr>
    <w:rPr>
      <w:b/>
      <w:sz w:val="32"/>
    </w:rPr>
  </w:style>
  <w:style w:type="character" w:customStyle="1" w:styleId="73">
    <w:name w:val="czc_title"/>
    <w:qFormat/>
    <w:uiPriority w:val="0"/>
    <w:rPr>
      <w:rFonts w:ascii="微软雅黑" w:hAnsi="微软雅黑" w:eastAsia="微软雅黑" w:cs="微软雅黑"/>
      <w:color w:val="333333"/>
      <w:sz w:val="24"/>
      <w:szCs w:val="24"/>
    </w:rPr>
  </w:style>
  <w:style w:type="character" w:customStyle="1" w:styleId="74">
    <w:name w:val="fcdh_title"/>
    <w:qFormat/>
    <w:uiPriority w:val="0"/>
    <w:rPr>
      <w:rFonts w:hint="eastAsia" w:ascii="微软雅黑" w:hAnsi="微软雅黑" w:eastAsia="微软雅黑" w:cs="微软雅黑"/>
      <w:color w:val="FFFFFF"/>
      <w:sz w:val="22"/>
      <w:szCs w:val="22"/>
      <w:shd w:val="clear" w:color="auto" w:fill="B7B7B7"/>
    </w:rPr>
  </w:style>
  <w:style w:type="character" w:customStyle="1" w:styleId="75">
    <w:name w:val="c_f_grey"/>
    <w:qFormat/>
    <w:uiPriority w:val="0"/>
    <w:rPr>
      <w:color w:val="4A6079"/>
    </w:rPr>
  </w:style>
  <w:style w:type="character" w:customStyle="1" w:styleId="76">
    <w:name w:val="inp_title"/>
    <w:qFormat/>
    <w:uiPriority w:val="0"/>
    <w:rPr>
      <w:rFonts w:hint="eastAsia" w:ascii="微软雅黑" w:hAnsi="微软雅黑" w:eastAsia="微软雅黑" w:cs="微软雅黑"/>
      <w:color w:val="414D71"/>
      <w:sz w:val="21"/>
      <w:szCs w:val="21"/>
    </w:rPr>
  </w:style>
  <w:style w:type="character" w:customStyle="1" w:styleId="77">
    <w:name w:val="hl_title"/>
    <w:qFormat/>
    <w:uiPriority w:val="0"/>
    <w:rPr>
      <w:rFonts w:hint="eastAsia" w:ascii="微软雅黑" w:hAnsi="微软雅黑" w:eastAsia="微软雅黑" w:cs="微软雅黑"/>
      <w:b/>
      <w:bCs/>
      <w:color w:val="FFFFFF"/>
      <w:spacing w:val="150"/>
      <w:sz w:val="75"/>
      <w:szCs w:val="75"/>
    </w:rPr>
  </w:style>
  <w:style w:type="character" w:customStyle="1" w:styleId="78">
    <w:name w:val="hl_title1"/>
    <w:qFormat/>
    <w:uiPriority w:val="0"/>
    <w:rPr>
      <w:rFonts w:hint="eastAsia" w:ascii="微软雅黑" w:hAnsi="微软雅黑" w:eastAsia="微软雅黑" w:cs="微软雅黑"/>
      <w:b/>
      <w:bCs/>
      <w:color w:val="FFFFFF"/>
      <w:spacing w:val="150"/>
      <w:sz w:val="75"/>
      <w:szCs w:val="75"/>
    </w:rPr>
  </w:style>
  <w:style w:type="character" w:customStyle="1" w:styleId="79">
    <w:name w:val="hl_title2"/>
    <w:qFormat/>
    <w:uiPriority w:val="0"/>
    <w:rPr>
      <w:spacing w:val="0"/>
      <w:sz w:val="67"/>
      <w:szCs w:val="67"/>
    </w:rPr>
  </w:style>
  <w:style w:type="character" w:customStyle="1" w:styleId="80">
    <w:name w:val="xdtag"/>
    <w:qFormat/>
    <w:uiPriority w:val="0"/>
    <w:rPr>
      <w:color w:val="2577E3"/>
      <w:shd w:val="clear" w:color="auto" w:fill="ECECEC"/>
    </w:rPr>
  </w:style>
  <w:style w:type="character" w:customStyle="1" w:styleId="81">
    <w:name w:val="res_qy_title"/>
    <w:qFormat/>
    <w:uiPriority w:val="0"/>
    <w:rPr>
      <w:rFonts w:hint="eastAsia" w:ascii="微软雅黑" w:hAnsi="微软雅黑" w:eastAsia="微软雅黑" w:cs="微软雅黑"/>
      <w:b/>
      <w:bCs/>
      <w:color w:val="333333"/>
      <w:sz w:val="30"/>
      <w:szCs w:val="30"/>
    </w:rPr>
  </w:style>
  <w:style w:type="character" w:customStyle="1" w:styleId="82">
    <w:name w:val="psx_item"/>
    <w:qFormat/>
    <w:uiPriority w:val="0"/>
    <w:rPr>
      <w:rFonts w:hint="eastAsia" w:ascii="微软雅黑" w:hAnsi="微软雅黑" w:eastAsia="微软雅黑" w:cs="微软雅黑"/>
      <w:color w:val="333333"/>
      <w:sz w:val="24"/>
      <w:szCs w:val="24"/>
    </w:rPr>
  </w:style>
  <w:style w:type="character" w:customStyle="1" w:styleId="83">
    <w:name w:val="pma_info_text"/>
    <w:qFormat/>
    <w:uiPriority w:val="0"/>
    <w:rPr>
      <w:rFonts w:hint="eastAsia" w:ascii="微软雅黑" w:hAnsi="微软雅黑" w:eastAsia="微软雅黑" w:cs="微软雅黑"/>
      <w:color w:val="1364B8"/>
      <w:sz w:val="22"/>
      <w:szCs w:val="22"/>
    </w:rPr>
  </w:style>
  <w:style w:type="character" w:customStyle="1" w:styleId="84">
    <w:name w:val="pma_d_item"/>
    <w:qFormat/>
    <w:uiPriority w:val="0"/>
  </w:style>
  <w:style w:type="character" w:customStyle="1" w:styleId="85">
    <w:name w:val="czc_source"/>
    <w:qFormat/>
    <w:uiPriority w:val="0"/>
    <w:rPr>
      <w:rFonts w:hint="eastAsia" w:ascii="微软雅黑" w:hAnsi="微软雅黑" w:eastAsia="微软雅黑" w:cs="微软雅黑"/>
      <w:color w:val="666666"/>
      <w:sz w:val="24"/>
      <w:szCs w:val="24"/>
    </w:rPr>
  </w:style>
  <w:style w:type="character" w:customStyle="1" w:styleId="86">
    <w:name w:val="czc_date"/>
    <w:qFormat/>
    <w:uiPriority w:val="0"/>
    <w:rPr>
      <w:rFonts w:hint="eastAsia" w:ascii="微软雅黑" w:hAnsi="微软雅黑" w:eastAsia="微软雅黑" w:cs="微软雅黑"/>
      <w:color w:val="BCBEC0"/>
      <w:sz w:val="21"/>
      <w:szCs w:val="21"/>
    </w:rPr>
  </w:style>
  <w:style w:type="character" w:customStyle="1" w:styleId="87">
    <w:name w:val="c_f_red"/>
    <w:qFormat/>
    <w:uiPriority w:val="0"/>
    <w:rPr>
      <w:color w:val="D73535"/>
    </w:rPr>
  </w:style>
  <w:style w:type="character" w:customStyle="1" w:styleId="88">
    <w:name w:val="c_browse"/>
    <w:qFormat/>
    <w:uiPriority w:val="0"/>
    <w:rPr>
      <w:rFonts w:hint="eastAsia" w:ascii="微软雅黑" w:hAnsi="微软雅黑" w:eastAsia="微软雅黑" w:cs="微软雅黑"/>
      <w:color w:val="516793"/>
      <w:sz w:val="19"/>
      <w:szCs w:val="19"/>
    </w:rPr>
  </w:style>
  <w:style w:type="character" w:customStyle="1" w:styleId="89">
    <w:name w:val="c_tag"/>
    <w:qFormat/>
    <w:uiPriority w:val="0"/>
    <w:rPr>
      <w:rFonts w:hint="eastAsia" w:ascii="微软雅黑" w:hAnsi="微软雅黑" w:eastAsia="微软雅黑" w:cs="微软雅黑"/>
      <w:color w:val="FFFFFF"/>
      <w:sz w:val="19"/>
      <w:szCs w:val="19"/>
      <w:shd w:val="clear" w:color="auto" w:fill="F39939"/>
    </w:rPr>
  </w:style>
  <w:style w:type="character" w:customStyle="1" w:styleId="90">
    <w:name w:val="pcon_title"/>
    <w:qFormat/>
    <w:uiPriority w:val="0"/>
    <w:rPr>
      <w:rFonts w:hint="eastAsia" w:ascii="微软雅黑" w:hAnsi="微软雅黑" w:eastAsia="微软雅黑" w:cs="微软雅黑"/>
      <w:color w:val="333333"/>
      <w:sz w:val="36"/>
      <w:szCs w:val="36"/>
    </w:rPr>
  </w:style>
  <w:style w:type="character" w:customStyle="1" w:styleId="91">
    <w:name w:val="ques_title"/>
    <w:qFormat/>
    <w:uiPriority w:val="0"/>
    <w:rPr>
      <w:rFonts w:hint="eastAsia" w:ascii="微软雅黑" w:hAnsi="微软雅黑" w:eastAsia="微软雅黑" w:cs="微软雅黑"/>
      <w:color w:val="666666"/>
      <w:sz w:val="27"/>
      <w:szCs w:val="27"/>
    </w:rPr>
  </w:style>
  <w:style w:type="paragraph" w:customStyle="1" w:styleId="92">
    <w:name w:val="正文 New"/>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paragraph" w:customStyle="1" w:styleId="93">
    <w:name w:val="Indent Normal"/>
    <w:basedOn w:val="1"/>
    <w:qFormat/>
    <w:uiPriority w:val="0"/>
    <w:pPr>
      <w:ind w:firstLine="150" w:firstLineChars="150"/>
    </w:pPr>
    <w:rPr>
      <w:sz w:val="24"/>
    </w:rPr>
  </w:style>
  <w:style w:type="paragraph" w:customStyle="1" w:styleId="94">
    <w:name w:val="TOC Heading"/>
    <w:basedOn w:val="3"/>
    <w:next w:val="1"/>
    <w:unhideWhenUsed/>
    <w:qFormat/>
    <w:uiPriority w:val="39"/>
    <w:pPr>
      <w:widowControl/>
      <w:numPr>
        <w:ilvl w:val="0"/>
        <w:numId w:val="0"/>
      </w:numPr>
      <w:spacing w:before="240" w:after="0" w:line="259" w:lineRule="auto"/>
      <w:jc w:val="left"/>
      <w:outlineLvl w:val="9"/>
    </w:pPr>
    <w:rPr>
      <w:rFonts w:ascii="Cambria" w:hAnsi="Cambria" w:eastAsia="宋体" w:cs="Times New Roman"/>
      <w:color w:val="366091"/>
      <w:kern w:val="0"/>
      <w:szCs w:val="32"/>
    </w:rPr>
  </w:style>
  <w:style w:type="paragraph" w:customStyle="1" w:styleId="95">
    <w:name w:val="样式 20 10 磅"/>
    <w:qFormat/>
    <w:uiPriority w:val="0"/>
    <w:pPr>
      <w:widowControl w:val="0"/>
      <w:jc w:val="both"/>
    </w:pPr>
    <w:rPr>
      <w:rFonts w:ascii="Calibri" w:hAnsi="Calibri" w:eastAsia="宋体" w:cs="Arial"/>
      <w:kern w:val="2"/>
      <w:sz w:val="21"/>
      <w:szCs w:val="24"/>
      <w:lang w:val="en-US" w:eastAsia="zh-CN" w:bidi="ar-SA"/>
    </w:rPr>
  </w:style>
  <w:style w:type="character" w:customStyle="1" w:styleId="96">
    <w:name w:val="font31"/>
    <w:qFormat/>
    <w:uiPriority w:val="0"/>
    <w:rPr>
      <w:rFonts w:hint="eastAsia" w:ascii="楷体" w:hAnsi="楷体" w:eastAsia="楷体" w:cs="楷体"/>
      <w:b/>
      <w:bCs/>
      <w:color w:val="000000"/>
      <w:sz w:val="28"/>
      <w:szCs w:val="28"/>
      <w:u w:val="none"/>
    </w:rPr>
  </w:style>
  <w:style w:type="character" w:customStyle="1" w:styleId="97">
    <w:name w:val="font41"/>
    <w:qFormat/>
    <w:uiPriority w:val="0"/>
    <w:rPr>
      <w:rFonts w:hint="default" w:ascii="方正楷体_GBK" w:hAnsi="方正楷体_GBK" w:eastAsia="方正楷体_GBK" w:cs="方正楷体_GBK"/>
      <w:color w:val="000000"/>
      <w:sz w:val="21"/>
      <w:szCs w:val="21"/>
      <w:u w:val="none"/>
    </w:rPr>
  </w:style>
  <w:style w:type="character" w:customStyle="1" w:styleId="98">
    <w:name w:val="font71"/>
    <w:qFormat/>
    <w:uiPriority w:val="0"/>
    <w:rPr>
      <w:rFonts w:hint="eastAsia" w:ascii="宋体" w:hAnsi="宋体" w:eastAsia="宋体" w:cs="宋体"/>
      <w:color w:val="000000"/>
      <w:sz w:val="18"/>
      <w:szCs w:val="18"/>
      <w:u w:val="none"/>
    </w:rPr>
  </w:style>
  <w:style w:type="character" w:customStyle="1" w:styleId="99">
    <w:name w:val="font61"/>
    <w:qFormat/>
    <w:uiPriority w:val="0"/>
    <w:rPr>
      <w:rFonts w:hint="eastAsia" w:ascii="宋体" w:hAnsi="宋体" w:eastAsia="宋体" w:cs="宋体"/>
      <w:color w:val="000000"/>
      <w:sz w:val="18"/>
      <w:szCs w:val="18"/>
      <w:u w:val="none"/>
    </w:rPr>
  </w:style>
  <w:style w:type="character" w:customStyle="1" w:styleId="100">
    <w:name w:val="font81"/>
    <w:qFormat/>
    <w:uiPriority w:val="0"/>
    <w:rPr>
      <w:rFonts w:ascii="Dialog . plain" w:hAnsi="Dialog . plain" w:eastAsia="Dialog . plain" w:cs="Dialog . plain"/>
      <w:color w:val="000000"/>
      <w:sz w:val="18"/>
      <w:szCs w:val="18"/>
      <w:u w:val="none"/>
    </w:rPr>
  </w:style>
  <w:style w:type="character" w:customStyle="1" w:styleId="101">
    <w:name w:val="font11"/>
    <w:qFormat/>
    <w:uiPriority w:val="0"/>
    <w:rPr>
      <w:rFonts w:hint="default" w:ascii="Dialog . plain" w:hAnsi="Dialog . plain" w:eastAsia="Dialog . plain" w:cs="Dialog . plain"/>
      <w:color w:val="000000"/>
      <w:sz w:val="18"/>
      <w:szCs w:val="18"/>
      <w:u w:val="none"/>
    </w:rPr>
  </w:style>
  <w:style w:type="table" w:customStyle="1" w:styleId="102">
    <w:name w:val="Table Normal"/>
    <w:unhideWhenUsed/>
    <w:qFormat/>
    <w:uiPriority w:val="0"/>
    <w:tblPr>
      <w:tblCellMar>
        <w:top w:w="0" w:type="dxa"/>
        <w:left w:w="0" w:type="dxa"/>
        <w:bottom w:w="0" w:type="dxa"/>
        <w:right w:w="0" w:type="dxa"/>
      </w:tblCellMar>
    </w:tblPr>
  </w:style>
  <w:style w:type="paragraph" w:customStyle="1" w:styleId="103">
    <w:name w:val="默认段落字体 Para Char"/>
    <w:basedOn w:val="1"/>
    <w:qFormat/>
    <w:uiPriority w:val="0"/>
    <w:pPr>
      <w:snapToGrid w:val="0"/>
      <w:spacing w:line="360" w:lineRule="auto"/>
      <w:ind w:firstLine="200" w:firstLineChars="200"/>
    </w:pPr>
    <w:rPr>
      <w:szCs w:val="20"/>
    </w:rPr>
  </w:style>
  <w:style w:type="character" w:customStyle="1" w:styleId="104">
    <w:name w:val="underlinespan"/>
    <w:basedOn w:val="33"/>
    <w:qFormat/>
    <w:uiPriority w:val="0"/>
  </w:style>
  <w:style w:type="paragraph" w:customStyle="1" w:styleId="105">
    <w:name w:val="p1"/>
    <w:basedOn w:val="1"/>
    <w:qFormat/>
    <w:uiPriority w:val="0"/>
    <w:pPr>
      <w:spacing w:before="0" w:beforeAutospacing="0" w:after="0" w:afterAutospacing="0" w:line="30" w:lineRule="atLeast"/>
      <w:ind w:left="0" w:right="0" w:firstLine="0"/>
      <w:jc w:val="center"/>
    </w:pPr>
    <w:rPr>
      <w:rFonts w:hint="eastAsia" w:ascii="宋体" w:hAnsi="宋体" w:eastAsia="宋体" w:cs="宋体"/>
      <w:kern w:val="0"/>
      <w:sz w:val="28"/>
      <w:szCs w:val="28"/>
      <w:lang w:val="en-US" w:eastAsia="zh-CN" w:bidi="ar"/>
    </w:rPr>
  </w:style>
  <w:style w:type="character" w:customStyle="1" w:styleId="106">
    <w:name w:val="font91"/>
    <w:basedOn w:val="33"/>
    <w:qFormat/>
    <w:uiPriority w:val="0"/>
    <w:rPr>
      <w:rFonts w:hint="eastAsia" w:ascii="宋体" w:hAnsi="宋体" w:eastAsia="宋体" w:cs="宋体"/>
      <w:color w:val="000000"/>
      <w:sz w:val="22"/>
      <w:szCs w:val="22"/>
      <w:u w:val="none"/>
    </w:rPr>
  </w:style>
  <w:style w:type="character" w:customStyle="1" w:styleId="107">
    <w:name w:val="font101"/>
    <w:basedOn w:val="33"/>
    <w:qFormat/>
    <w:uiPriority w:val="0"/>
    <w:rPr>
      <w:rFonts w:ascii="Arial" w:hAnsi="Arial" w:cs="Arial"/>
      <w:b/>
      <w:bCs/>
      <w:color w:val="000000"/>
      <w:sz w:val="18"/>
      <w:szCs w:val="18"/>
      <w:u w:val="none"/>
    </w:rPr>
  </w:style>
  <w:style w:type="character" w:customStyle="1" w:styleId="108">
    <w:name w:val="font112"/>
    <w:basedOn w:val="33"/>
    <w:qFormat/>
    <w:uiPriority w:val="0"/>
    <w:rPr>
      <w:rFonts w:hint="default" w:ascii="Times New Roman" w:hAnsi="Times New Roman" w:cs="Times New Roman"/>
      <w:b/>
      <w:bCs/>
      <w:color w:val="000000"/>
      <w:sz w:val="16"/>
      <w:szCs w:val="16"/>
      <w:u w:val="none"/>
    </w:rPr>
  </w:style>
  <w:style w:type="paragraph" w:customStyle="1" w:styleId="109">
    <w:name w:val="00.建设方案正文字体"/>
    <w:basedOn w:val="1"/>
    <w:qFormat/>
    <w:uiPriority w:val="0"/>
    <w:rPr>
      <w:szCs w:val="28"/>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er" Target="footer1.xml"/><Relationship Id="rId29" Type="http://schemas.openxmlformats.org/officeDocument/2006/relationships/customXml" Target="../customXml/item1.xml"/><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oleObject" Target="embeddings/oleObject2.bin"/><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emf"/><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125</Pages>
  <Words>64198</Words>
  <Characters>72461</Characters>
  <Lines>453</Lines>
  <Paragraphs>127</Paragraphs>
  <TotalTime>46</TotalTime>
  <ScaleCrop>false</ScaleCrop>
  <LinksUpToDate>false</LinksUpToDate>
  <CharactersWithSpaces>77761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2022-09-20T12:38:00Z</dcterms:created>
  <dc:creator>Administrator</dc:creator>
  <cp:lastModifiedBy>Administrator</cp:lastModifiedBy>
  <cp:lastPrinted>2023-02-20T07:40:00Z</cp:lastPrinted>
  <dcterms:modified xsi:type="dcterms:W3CDTF">2024-06-21T03:06:32Z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FF1AEBB126A34AC1B8E5667CE76BB519_13</vt:lpwstr>
  </property>
  <property fmtid="{D5CDD505-2E9C-101B-9397-08002B2CF9AE}" pid="3" name="KSOProductBuildVer">
    <vt:lpwstr>2052-12.1.0.16929</vt:lpwstr>
  </property>
</Properties>
</file>