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宋体" w:hAnsi="宋体" w:cs="宋体"/>
          <w:b/>
          <w:sz w:val="36"/>
          <w:szCs w:val="36"/>
          <w:highlight w:val="none"/>
        </w:rPr>
      </w:pPr>
      <w:r>
        <w:rPr>
          <w:rFonts w:hint="eastAsia" w:ascii="宋体" w:hAnsi="宋体" w:cs="宋体"/>
          <w:b/>
          <w:sz w:val="36"/>
          <w:szCs w:val="36"/>
          <w:highlight w:val="none"/>
        </w:rPr>
        <w:t>技术需求书</w:t>
      </w:r>
    </w:p>
    <w:p>
      <w:pPr>
        <w:ind w:right="-18"/>
        <w:jc w:val="left"/>
        <w:rPr>
          <w:rFonts w:ascii="宋体" w:hAnsi="宋体" w:cs="宋体"/>
          <w:b/>
          <w:color w:val="000000"/>
          <w:sz w:val="24"/>
          <w:highlight w:val="none"/>
        </w:rPr>
      </w:pPr>
      <w:r>
        <w:rPr>
          <w:rFonts w:hint="eastAsia" w:ascii="宋体" w:hAnsi="宋体" w:cs="宋体"/>
          <w:b/>
          <w:sz w:val="24"/>
          <w:highlight w:val="none"/>
        </w:rPr>
        <w:t>一</w:t>
      </w:r>
      <w:r>
        <w:rPr>
          <w:rFonts w:ascii="宋体" w:hAnsi="宋体" w:cs="宋体"/>
          <w:b/>
          <w:sz w:val="24"/>
          <w:highlight w:val="none"/>
        </w:rPr>
        <w:t>、</w:t>
      </w:r>
      <w:r>
        <w:rPr>
          <w:rFonts w:hint="eastAsia" w:ascii="宋体" w:hAnsi="宋体" w:cs="宋体"/>
          <w:b/>
          <w:color w:val="000000"/>
          <w:sz w:val="24"/>
          <w:highlight w:val="none"/>
        </w:rPr>
        <w:t>采购需求一览表</w:t>
      </w:r>
    </w:p>
    <w:p>
      <w:pPr>
        <w:rPr>
          <w:rFonts w:ascii="宋体" w:hAnsi="宋体" w:cs="宋体"/>
          <w:b/>
          <w:sz w:val="24"/>
          <w:highlight w:val="none"/>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5"/>
        <w:gridCol w:w="2662"/>
        <w:gridCol w:w="915"/>
        <w:gridCol w:w="885"/>
        <w:gridCol w:w="156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195" w:type="dxa"/>
            <w:shd w:val="clear" w:color="auto" w:fill="FFFFFF"/>
            <w:noWrap w:val="0"/>
            <w:vAlign w:val="center"/>
          </w:tcPr>
          <w:p>
            <w:pPr>
              <w:jc w:val="center"/>
              <w:rPr>
                <w:b/>
                <w:highlight w:val="none"/>
              </w:rPr>
            </w:pPr>
            <w:r>
              <w:rPr>
                <w:rFonts w:hint="eastAsia"/>
                <w:b/>
                <w:highlight w:val="none"/>
              </w:rPr>
              <w:t>序号</w:t>
            </w:r>
          </w:p>
        </w:tc>
        <w:tc>
          <w:tcPr>
            <w:tcW w:w="2662" w:type="dxa"/>
            <w:shd w:val="clear" w:color="auto" w:fill="FFFFFF"/>
            <w:noWrap w:val="0"/>
            <w:vAlign w:val="center"/>
          </w:tcPr>
          <w:p>
            <w:pPr>
              <w:jc w:val="center"/>
              <w:rPr>
                <w:b/>
                <w:highlight w:val="none"/>
              </w:rPr>
            </w:pPr>
            <w:r>
              <w:rPr>
                <w:rFonts w:hint="eastAsia"/>
                <w:b/>
                <w:highlight w:val="none"/>
              </w:rPr>
              <w:t>产品名称</w:t>
            </w:r>
          </w:p>
        </w:tc>
        <w:tc>
          <w:tcPr>
            <w:tcW w:w="915" w:type="dxa"/>
            <w:shd w:val="clear" w:color="auto" w:fill="FFFFFF"/>
            <w:noWrap w:val="0"/>
            <w:vAlign w:val="center"/>
          </w:tcPr>
          <w:p>
            <w:pPr>
              <w:jc w:val="center"/>
              <w:rPr>
                <w:b/>
                <w:highlight w:val="none"/>
              </w:rPr>
            </w:pPr>
            <w:r>
              <w:rPr>
                <w:rFonts w:hint="eastAsia"/>
                <w:b/>
                <w:highlight w:val="none"/>
              </w:rPr>
              <w:t>单位</w:t>
            </w:r>
          </w:p>
        </w:tc>
        <w:tc>
          <w:tcPr>
            <w:tcW w:w="885" w:type="dxa"/>
            <w:shd w:val="clear" w:color="auto" w:fill="FFFFFF"/>
            <w:noWrap w:val="0"/>
            <w:vAlign w:val="center"/>
          </w:tcPr>
          <w:p>
            <w:pPr>
              <w:jc w:val="center"/>
              <w:rPr>
                <w:b/>
                <w:highlight w:val="none"/>
              </w:rPr>
            </w:pPr>
            <w:r>
              <w:rPr>
                <w:rFonts w:hint="eastAsia"/>
                <w:b/>
                <w:highlight w:val="none"/>
              </w:rPr>
              <w:t>数量</w:t>
            </w:r>
          </w:p>
        </w:tc>
        <w:tc>
          <w:tcPr>
            <w:tcW w:w="1566" w:type="dxa"/>
            <w:shd w:val="clear" w:color="auto" w:fill="FFFFFF"/>
            <w:noWrap w:val="0"/>
            <w:vAlign w:val="center"/>
          </w:tcPr>
          <w:p>
            <w:pPr>
              <w:jc w:val="center"/>
              <w:rPr>
                <w:rFonts w:hint="eastAsia"/>
                <w:b/>
                <w:highlight w:val="none"/>
              </w:rPr>
            </w:pPr>
            <w:r>
              <w:rPr>
                <w:rFonts w:hint="eastAsia"/>
                <w:b/>
                <w:highlight w:val="none"/>
              </w:rPr>
              <w:t>是否允许采购</w:t>
            </w:r>
          </w:p>
          <w:p>
            <w:pPr>
              <w:jc w:val="center"/>
              <w:rPr>
                <w:b/>
                <w:highlight w:val="none"/>
              </w:rPr>
            </w:pPr>
            <w:r>
              <w:rPr>
                <w:rFonts w:hint="eastAsia"/>
                <w:b/>
                <w:highlight w:val="none"/>
              </w:rPr>
              <w:t>进口产品</w:t>
            </w:r>
          </w:p>
        </w:tc>
        <w:tc>
          <w:tcPr>
            <w:tcW w:w="992" w:type="dxa"/>
            <w:shd w:val="clear" w:color="auto" w:fill="FFFFFF"/>
            <w:noWrap w:val="0"/>
            <w:vAlign w:val="center"/>
          </w:tcPr>
          <w:p>
            <w:pPr>
              <w:jc w:val="center"/>
              <w:rPr>
                <w:b/>
                <w:highlight w:val="none"/>
              </w:rPr>
            </w:pPr>
            <w:r>
              <w:rPr>
                <w:rFonts w:hint="eastAsia"/>
                <w:b/>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1195" w:type="dxa"/>
            <w:noWrap w:val="0"/>
            <w:vAlign w:val="center"/>
          </w:tcPr>
          <w:p>
            <w:pPr>
              <w:jc w:val="center"/>
              <w:rPr>
                <w:highlight w:val="none"/>
              </w:rPr>
            </w:pPr>
            <w:r>
              <w:rPr>
                <w:rFonts w:hint="eastAsia"/>
                <w:highlight w:val="none"/>
              </w:rPr>
              <w:t>1</w:t>
            </w:r>
          </w:p>
        </w:tc>
        <w:tc>
          <w:tcPr>
            <w:tcW w:w="2662" w:type="dxa"/>
            <w:noWrap w:val="0"/>
            <w:vAlign w:val="center"/>
          </w:tcPr>
          <w:p>
            <w:pPr>
              <w:widowControl/>
              <w:jc w:val="center"/>
              <w:rPr>
                <w:highlight w:val="none"/>
              </w:rPr>
            </w:pPr>
            <w:r>
              <w:rPr>
                <w:rFonts w:hint="eastAsia"/>
                <w:highlight w:val="none"/>
              </w:rPr>
              <w:t>智能型真空超速冷冻样本分离系统</w:t>
            </w:r>
          </w:p>
        </w:tc>
        <w:tc>
          <w:tcPr>
            <w:tcW w:w="915" w:type="dxa"/>
            <w:noWrap w:val="0"/>
            <w:vAlign w:val="center"/>
          </w:tcPr>
          <w:p>
            <w:pPr>
              <w:jc w:val="center"/>
              <w:rPr>
                <w:rFonts w:hint="eastAsia"/>
                <w:highlight w:val="none"/>
              </w:rPr>
            </w:pPr>
            <w:r>
              <w:rPr>
                <w:rFonts w:hint="eastAsia"/>
                <w:highlight w:val="none"/>
              </w:rPr>
              <w:t>套</w:t>
            </w:r>
          </w:p>
        </w:tc>
        <w:tc>
          <w:tcPr>
            <w:tcW w:w="885" w:type="dxa"/>
            <w:noWrap w:val="0"/>
            <w:vAlign w:val="center"/>
          </w:tcPr>
          <w:p>
            <w:pPr>
              <w:jc w:val="center"/>
              <w:rPr>
                <w:rFonts w:hint="eastAsia"/>
                <w:highlight w:val="none"/>
              </w:rPr>
            </w:pPr>
            <w:r>
              <w:rPr>
                <w:rFonts w:hint="eastAsia"/>
                <w:highlight w:val="none"/>
              </w:rPr>
              <w:t>1</w:t>
            </w:r>
          </w:p>
        </w:tc>
        <w:tc>
          <w:tcPr>
            <w:tcW w:w="1566" w:type="dxa"/>
            <w:noWrap w:val="0"/>
            <w:vAlign w:val="center"/>
          </w:tcPr>
          <w:p>
            <w:pPr>
              <w:jc w:val="center"/>
              <w:rPr>
                <w:rFonts w:hint="eastAsia"/>
                <w:highlight w:val="none"/>
              </w:rPr>
            </w:pPr>
            <w:r>
              <w:rPr>
                <w:rFonts w:hint="eastAsia"/>
                <w:highlight w:val="none"/>
              </w:rPr>
              <w:t>允许</w:t>
            </w:r>
          </w:p>
        </w:tc>
        <w:tc>
          <w:tcPr>
            <w:tcW w:w="992" w:type="dxa"/>
            <w:noWrap w:val="0"/>
            <w:vAlign w:val="center"/>
          </w:tcPr>
          <w:p>
            <w:pPr>
              <w:jc w:val="center"/>
              <w:rPr>
                <w:highlight w:val="none"/>
              </w:rPr>
            </w:pPr>
          </w:p>
        </w:tc>
      </w:tr>
    </w:tbl>
    <w:p>
      <w:pPr>
        <w:rPr>
          <w:rFonts w:hint="eastAsia" w:ascii="宋体" w:hAnsi="宋体" w:cs="宋体"/>
          <w:b/>
          <w:sz w:val="24"/>
          <w:highlight w:val="none"/>
        </w:rPr>
      </w:pPr>
    </w:p>
    <w:p>
      <w:pPr>
        <w:rPr>
          <w:rFonts w:hint="eastAsia" w:ascii="宋体" w:hAnsi="宋体" w:cs="宋体"/>
          <w:b/>
          <w:szCs w:val="21"/>
          <w:highlight w:val="none"/>
        </w:rPr>
      </w:pPr>
      <w:r>
        <w:rPr>
          <w:rFonts w:hint="eastAsia" w:ascii="宋体" w:hAnsi="宋体" w:cs="宋体"/>
          <w:b/>
          <w:sz w:val="24"/>
          <w:highlight w:val="none"/>
        </w:rPr>
        <w:t>二、交货时间及地点</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交货时间：合同签订后</w:t>
      </w:r>
      <w:r>
        <w:rPr>
          <w:rFonts w:ascii="宋体" w:hAnsi="宋体" w:cs="宋体"/>
          <w:szCs w:val="21"/>
          <w:highlight w:val="none"/>
          <w:u w:val="single"/>
        </w:rPr>
        <w:t xml:space="preserve">  90 </w:t>
      </w:r>
      <w:r>
        <w:rPr>
          <w:rFonts w:hint="eastAsia" w:ascii="宋体" w:hAnsi="宋体" w:cs="宋体"/>
          <w:szCs w:val="21"/>
          <w:highlight w:val="none"/>
          <w:u w:val="single"/>
        </w:rPr>
        <w:t xml:space="preserve"> </w:t>
      </w:r>
      <w:r>
        <w:rPr>
          <w:rFonts w:hint="eastAsia" w:ascii="宋体" w:hAnsi="宋体" w:cs="宋体"/>
          <w:szCs w:val="21"/>
          <w:highlight w:val="none"/>
        </w:rPr>
        <w:t>天内完成供货。</w:t>
      </w:r>
    </w:p>
    <w:p>
      <w:pPr>
        <w:ind w:firstLine="420" w:firstLineChars="200"/>
        <w:rPr>
          <w:rFonts w:ascii="宋体" w:hAnsi="宋体" w:cs="宋体"/>
          <w:szCs w:val="21"/>
          <w:highlight w:val="none"/>
        </w:rPr>
      </w:pPr>
      <w:r>
        <w:rPr>
          <w:rFonts w:hint="eastAsia" w:ascii="宋体" w:hAnsi="宋体" w:cs="宋体"/>
          <w:szCs w:val="21"/>
          <w:highlight w:val="none"/>
        </w:rPr>
        <w:t>交货地点：甲方指定</w:t>
      </w:r>
      <w:r>
        <w:rPr>
          <w:rFonts w:ascii="宋体" w:hAnsi="宋体" w:cs="宋体"/>
          <w:szCs w:val="21"/>
          <w:highlight w:val="none"/>
        </w:rPr>
        <w:t>地点</w:t>
      </w:r>
    </w:p>
    <w:p>
      <w:pPr>
        <w:rPr>
          <w:highlight w:val="none"/>
        </w:rPr>
      </w:pPr>
    </w:p>
    <w:p>
      <w:pPr>
        <w:rPr>
          <w:rFonts w:hint="eastAsia" w:ascii="宋体" w:hAnsi="宋体" w:cs="宋体"/>
          <w:b/>
          <w:color w:val="000000"/>
          <w:szCs w:val="21"/>
          <w:highlight w:val="none"/>
        </w:rPr>
      </w:pPr>
      <w:r>
        <w:rPr>
          <w:rFonts w:hint="eastAsia" w:ascii="宋体" w:hAnsi="宋体" w:cs="宋体"/>
          <w:b/>
          <w:color w:val="000000"/>
          <w:sz w:val="24"/>
          <w:highlight w:val="none"/>
        </w:rPr>
        <w:t>三、产品指标要求</w:t>
      </w:r>
    </w:p>
    <w:p>
      <w:pPr>
        <w:spacing w:line="360" w:lineRule="auto"/>
        <w:ind w:firstLine="211" w:firstLineChars="100"/>
        <w:rPr>
          <w:rFonts w:ascii="宋体" w:hAnsi="宋体"/>
          <w:b/>
          <w:color w:val="000000"/>
          <w:highlight w:val="none"/>
        </w:rPr>
      </w:pPr>
      <w:r>
        <w:rPr>
          <w:rFonts w:hint="eastAsia" w:ascii="宋体" w:hAnsi="宋体"/>
          <w:b/>
          <w:color w:val="000000"/>
          <w:highlight w:val="none"/>
        </w:rPr>
        <w:t>（1）“★”号标记的为核心技术指标，无响应或不满足，将导致废标。</w:t>
      </w:r>
    </w:p>
    <w:p>
      <w:pPr>
        <w:spacing w:line="360" w:lineRule="auto"/>
        <w:ind w:firstLine="211" w:firstLineChars="100"/>
        <w:rPr>
          <w:rFonts w:ascii="宋体" w:hAnsi="宋体"/>
          <w:b/>
          <w:color w:val="000000"/>
          <w:highlight w:val="none"/>
        </w:rPr>
      </w:pPr>
      <w:r>
        <w:rPr>
          <w:rFonts w:hint="eastAsia" w:ascii="宋体" w:hAnsi="宋体"/>
          <w:b/>
          <w:color w:val="000000"/>
          <w:highlight w:val="none"/>
        </w:rPr>
        <w:t>（2）“#”号标记的为重要技术指标，无响应或不满足，将导致扣分。</w:t>
      </w:r>
    </w:p>
    <w:p>
      <w:pPr>
        <w:spacing w:line="360" w:lineRule="auto"/>
        <w:ind w:firstLine="211" w:firstLineChars="100"/>
        <w:rPr>
          <w:rFonts w:hAnsi="宋体"/>
          <w:b/>
          <w:szCs w:val="21"/>
          <w:highlight w:val="none"/>
        </w:rPr>
      </w:pPr>
      <w:r>
        <w:rPr>
          <w:rFonts w:hint="eastAsia" w:ascii="宋体" w:hAnsi="宋体"/>
          <w:b/>
          <w:color w:val="000000"/>
          <w:highlight w:val="none"/>
        </w:rPr>
        <w:t>（3）★、#号标记的技术指标须提供技术白皮书或彩页或厂家盖章的参数文件证明，否则该指标项按无效响应或扣分处理。</w:t>
      </w:r>
    </w:p>
    <w:p>
      <w:pPr>
        <w:spacing w:line="360" w:lineRule="auto"/>
        <w:ind w:firstLine="422" w:firstLineChars="200"/>
        <w:rPr>
          <w:rFonts w:hint="eastAsia" w:ascii="宋体" w:hAnsi="宋体" w:cs="宋体"/>
          <w:b/>
          <w:bCs/>
          <w:szCs w:val="21"/>
          <w:highlight w:val="none"/>
        </w:rPr>
      </w:pPr>
    </w:p>
    <w:p>
      <w:pPr>
        <w:spacing w:after="163" w:afterLines="50" w:line="360" w:lineRule="auto"/>
        <w:rPr>
          <w:rFonts w:ascii="Arial" w:hAnsi="Arial Black"/>
          <w:b/>
          <w:highlight w:val="none"/>
        </w:rPr>
      </w:pPr>
      <w:r>
        <w:rPr>
          <w:rFonts w:hint="eastAsia" w:ascii="Arial" w:hAnsi="Arial Black"/>
          <w:b/>
          <w:highlight w:val="none"/>
        </w:rPr>
        <w:t>四、配置及要求</w:t>
      </w:r>
    </w:p>
    <w:p>
      <w:pPr>
        <w:pStyle w:val="3"/>
        <w:ind w:firstLine="442" w:firstLineChars="200"/>
        <w:rPr>
          <w:rFonts w:hint="eastAsia" w:ascii="宋体" w:hAnsi="宋体"/>
          <w:b/>
          <w:szCs w:val="28"/>
          <w:highlight w:val="none"/>
        </w:rPr>
      </w:pPr>
      <w:r>
        <w:rPr>
          <w:rFonts w:hint="eastAsia" w:ascii="宋体" w:hAnsi="宋体"/>
          <w:b/>
          <w:color w:val="000000"/>
          <w:sz w:val="22"/>
          <w:highlight w:val="none"/>
        </w:rPr>
        <w:t>1.</w:t>
      </w:r>
      <w:r>
        <w:rPr>
          <w:rFonts w:hint="eastAsia" w:ascii="宋体" w:hAnsi="宋体"/>
          <w:b/>
          <w:szCs w:val="28"/>
          <w:highlight w:val="none"/>
        </w:rPr>
        <w:t>本项目核心产品为：</w:t>
      </w:r>
      <w:r>
        <w:rPr>
          <w:rFonts w:ascii="宋体" w:hAnsi="宋体"/>
          <w:b/>
          <w:szCs w:val="28"/>
          <w:highlight w:val="none"/>
        </w:rPr>
        <w:t xml:space="preserve"> </w:t>
      </w:r>
      <w:r>
        <w:rPr>
          <w:rFonts w:hint="eastAsia" w:ascii="宋体" w:hAnsi="宋体"/>
          <w:b/>
          <w:szCs w:val="28"/>
          <w:highlight w:val="none"/>
        </w:rPr>
        <w:t>智能型真空超速冷冻样本分离系统</w:t>
      </w:r>
    </w:p>
    <w:p>
      <w:pPr>
        <w:pStyle w:val="3"/>
        <w:ind w:firstLine="442" w:firstLineChars="200"/>
        <w:rPr>
          <w:rFonts w:ascii="宋体" w:hAnsi="宋体"/>
          <w:b/>
          <w:color w:val="000000"/>
          <w:sz w:val="22"/>
          <w:highlight w:val="none"/>
        </w:rPr>
      </w:pPr>
      <w:r>
        <w:rPr>
          <w:rFonts w:hint="eastAsia" w:ascii="宋体" w:hAnsi="宋体"/>
          <w:b/>
          <w:color w:val="000000"/>
          <w:sz w:val="22"/>
          <w:highlight w:val="none"/>
        </w:rPr>
        <w:t>2.</w:t>
      </w:r>
      <w:r>
        <w:rPr>
          <w:rFonts w:hint="eastAsia" w:ascii="宋体" w:hAnsi="宋体"/>
          <w:b/>
          <w:szCs w:val="28"/>
          <w:highlight w:val="none"/>
        </w:rPr>
        <w:t xml:space="preserve"> 产品清单及指标</w:t>
      </w:r>
    </w:p>
    <w:p>
      <w:pPr>
        <w:pStyle w:val="3"/>
        <w:ind w:firstLine="440" w:firstLineChars="200"/>
        <w:rPr>
          <w:rFonts w:ascii="宋体" w:hAnsi="宋体" w:cs="宋体"/>
          <w:color w:val="000000"/>
          <w:szCs w:val="21"/>
          <w:highlight w:val="none"/>
        </w:rPr>
      </w:pPr>
      <w:r>
        <w:rPr>
          <w:rFonts w:hint="eastAsia" w:ascii="宋体" w:hAnsi="宋体"/>
          <w:color w:val="000000"/>
          <w:sz w:val="22"/>
          <w:highlight w:val="none"/>
        </w:rPr>
        <w:t>重要性分为“</w:t>
      </w:r>
      <w:r>
        <w:rPr>
          <w:rFonts w:hint="eastAsia" w:ascii="宋体" w:hAnsi="宋体" w:cs="宋体"/>
          <w:color w:val="000000"/>
          <w:sz w:val="22"/>
          <w:szCs w:val="21"/>
          <w:highlight w:val="none"/>
        </w:rPr>
        <w:t>★</w:t>
      </w:r>
      <w:r>
        <w:rPr>
          <w:rFonts w:hint="eastAsia" w:ascii="宋体" w:hAnsi="宋体"/>
          <w:color w:val="000000"/>
          <w:sz w:val="22"/>
          <w:highlight w:val="none"/>
        </w:rPr>
        <w:t>”、“#”。</w:t>
      </w:r>
      <w:r>
        <w:rPr>
          <w:rFonts w:hint="eastAsia" w:ascii="宋体" w:hAnsi="宋体" w:cs="宋体"/>
          <w:b/>
          <w:color w:val="000000"/>
          <w:sz w:val="22"/>
          <w:szCs w:val="21"/>
          <w:highlight w:val="none"/>
        </w:rPr>
        <w:t>★代表最关键指标，不满足该指标项将导致投标被拒绝</w:t>
      </w:r>
      <w:r>
        <w:rPr>
          <w:rFonts w:hint="eastAsia" w:ascii="宋体" w:hAnsi="宋体" w:cs="宋体"/>
          <w:color w:val="000000"/>
          <w:sz w:val="22"/>
          <w:szCs w:val="21"/>
          <w:highlight w:val="none"/>
        </w:rPr>
        <w:t>，#代表重要指标。</w:t>
      </w:r>
    </w:p>
    <w:p>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3．工作条件：</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3.1电源要求:电压180-264V AC, 50/60Hz, 电流20A</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3.2环境温度:10-35℃</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3.3在相应湿度20-85%的环镜下工作</w:t>
      </w:r>
    </w:p>
    <w:p>
      <w:pPr>
        <w:adjustRightInd w:val="0"/>
        <w:snapToGrid w:val="0"/>
        <w:spacing w:line="360" w:lineRule="auto"/>
        <w:ind w:firstLine="422" w:firstLineChars="200"/>
        <w:rPr>
          <w:rFonts w:ascii="宋体" w:hAnsi="宋体" w:cs="宋体"/>
          <w:szCs w:val="21"/>
          <w:highlight w:val="none"/>
        </w:rPr>
      </w:pPr>
      <w:r>
        <w:rPr>
          <w:rFonts w:hint="eastAsia" w:ascii="宋体" w:hAnsi="宋体" w:cs="宋体"/>
          <w:b/>
          <w:szCs w:val="21"/>
          <w:highlight w:val="none"/>
        </w:rPr>
        <w:t>4.技术指标：</w:t>
      </w:r>
    </w:p>
    <w:p>
      <w:pPr>
        <w:spacing w:line="360" w:lineRule="auto"/>
        <w:ind w:firstLine="420" w:firstLineChars="200"/>
        <w:rPr>
          <w:rFonts w:ascii="宋体" w:hAnsi="宋体" w:cs="宋体"/>
          <w:szCs w:val="21"/>
          <w:highlight w:val="none"/>
        </w:rPr>
      </w:pPr>
      <w:r>
        <w:rPr>
          <w:rFonts w:hint="eastAsia" w:ascii="宋体" w:hAnsi="宋体" w:cs="宋体"/>
          <w:color w:val="000000"/>
          <w:szCs w:val="21"/>
          <w:highlight w:val="none"/>
        </w:rPr>
        <w:t xml:space="preserve">★ </w:t>
      </w:r>
      <w:r>
        <w:rPr>
          <w:rFonts w:hint="eastAsia" w:ascii="宋体" w:hAnsi="宋体" w:cs="宋体"/>
          <w:szCs w:val="21"/>
          <w:highlight w:val="none"/>
        </w:rPr>
        <w:t>4.1最高转速≥100,000 RPM；最大相对离心力≥800,000 x g；</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4.2≥12寸触幕式液晶显示屏，界面直观，便于操作；</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4.3电压范围：180VCA-264VCA；</w:t>
      </w:r>
    </w:p>
    <w:p>
      <w:pPr>
        <w:spacing w:line="360" w:lineRule="auto"/>
        <w:ind w:firstLine="422" w:firstLineChars="200"/>
        <w:rPr>
          <w:rFonts w:ascii="宋体" w:hAnsi="宋体" w:cs="宋体"/>
          <w:szCs w:val="21"/>
          <w:highlight w:val="none"/>
        </w:rPr>
      </w:pPr>
      <w:r>
        <w:rPr>
          <w:rFonts w:hint="eastAsia" w:ascii="宋体" w:hAnsi="宋体"/>
          <w:b/>
          <w:bCs/>
          <w:color w:val="000000"/>
          <w:szCs w:val="21"/>
          <w:highlight w:val="none"/>
        </w:rPr>
        <w:t xml:space="preserve"># </w:t>
      </w:r>
      <w:r>
        <w:rPr>
          <w:rFonts w:hint="eastAsia" w:ascii="宋体" w:hAnsi="宋体" w:cs="宋体"/>
          <w:szCs w:val="21"/>
          <w:highlight w:val="none"/>
        </w:rPr>
        <w:t>4.4仪器具备防超速功能和转头动态惯性检测，若发现有超载情况会自动设至最高允许转速；</w:t>
      </w:r>
    </w:p>
    <w:p>
      <w:pPr>
        <w:spacing w:line="360" w:lineRule="auto"/>
        <w:ind w:firstLine="422" w:firstLineChars="200"/>
        <w:rPr>
          <w:rFonts w:ascii="宋体" w:hAnsi="宋体" w:cs="宋体"/>
          <w:szCs w:val="21"/>
          <w:highlight w:val="none"/>
        </w:rPr>
      </w:pPr>
      <w:r>
        <w:rPr>
          <w:rFonts w:hint="eastAsia" w:ascii="宋体" w:hAnsi="宋体"/>
          <w:b/>
          <w:bCs/>
          <w:color w:val="000000"/>
          <w:szCs w:val="21"/>
          <w:highlight w:val="none"/>
        </w:rPr>
        <w:t>#</w:t>
      </w:r>
      <w:r>
        <w:rPr>
          <w:rFonts w:hint="eastAsia" w:ascii="宋体" w:hAnsi="宋体" w:cs="宋体"/>
          <w:szCs w:val="21"/>
          <w:highlight w:val="none"/>
        </w:rPr>
        <w:t xml:space="preserve"> 4.5真空度&lt;0.9Pa，并能数字化实时显示真空度的具体数值；</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4.6目视平衡，样品不平衡容许度≥±5ml或样品体积±10%；不平衡容许度最高可达10mm以上；</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4.7可以使用手机或计算机远程监控仪器状态，确保仪器安全运行；</w:t>
      </w:r>
    </w:p>
    <w:p>
      <w:pPr>
        <w:spacing w:line="360" w:lineRule="auto"/>
        <w:ind w:firstLine="422" w:firstLineChars="200"/>
        <w:rPr>
          <w:rFonts w:ascii="宋体" w:hAnsi="宋体" w:cs="宋体"/>
          <w:szCs w:val="21"/>
          <w:highlight w:val="none"/>
        </w:rPr>
      </w:pPr>
      <w:r>
        <w:rPr>
          <w:rFonts w:hint="eastAsia" w:ascii="宋体" w:hAnsi="宋体"/>
          <w:b/>
          <w:bCs/>
          <w:color w:val="000000"/>
          <w:szCs w:val="21"/>
          <w:highlight w:val="none"/>
        </w:rPr>
        <w:t>#</w:t>
      </w:r>
      <w:r>
        <w:rPr>
          <w:rFonts w:hint="eastAsia" w:ascii="宋体" w:hAnsi="宋体" w:cs="宋体"/>
          <w:szCs w:val="21"/>
          <w:highlight w:val="none"/>
        </w:rPr>
        <w:t xml:space="preserve"> 4.8离心专家软件内置于主机，具备本机进行实验模拟的功能，并可将模拟的离心条件直接下载运行；</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4.9仪器可实时显示运行曲线图，以便于追踪整个实验过程；</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4.10离心时间设定范围为999小时59分，连续离心；</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4.11仪器可本机模拟以下实验过程：颗粒沉降运行，速率区带运行，质粒最佳分离运行，RNA最佳/最快沉降运行，替代转头运行；</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4.12本机具备进行各种计算的功能，包括：转头减速计算，沉降系数计算，沉降时间计算，浓度计算，折射率计算；</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4.13主机具备化学试剂耐受性数据库内置于主机内，便于离心不同样品时离心管的选择；</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4.14具备密码保护功能，要求用户密码锁功能内置于主机软件，并可设置三个级别，方便仪器管理者对不同的使用者进行权限管理；</w:t>
      </w:r>
    </w:p>
    <w:p>
      <w:pPr>
        <w:spacing w:line="360" w:lineRule="auto"/>
        <w:ind w:firstLine="420" w:firstLineChars="200"/>
        <w:rPr>
          <w:rFonts w:ascii="宋体" w:hAnsi="宋体" w:cs="宋体"/>
          <w:szCs w:val="21"/>
          <w:highlight w:val="none"/>
        </w:rPr>
      </w:pPr>
      <w:r>
        <w:rPr>
          <w:rFonts w:hint="eastAsia" w:ascii="宋体" w:hAnsi="宋体" w:cs="宋体"/>
          <w:color w:val="000000"/>
          <w:szCs w:val="21"/>
          <w:highlight w:val="none"/>
        </w:rPr>
        <w:t xml:space="preserve">★ </w:t>
      </w:r>
      <w:r>
        <w:rPr>
          <w:rFonts w:hint="eastAsia" w:ascii="宋体" w:hAnsi="宋体" w:cs="宋体"/>
          <w:szCs w:val="21"/>
          <w:highlight w:val="none"/>
        </w:rPr>
        <w:t>4.1</w:t>
      </w:r>
      <w:r>
        <w:rPr>
          <w:rFonts w:ascii="宋体" w:hAnsi="宋体" w:cs="宋体"/>
          <w:szCs w:val="21"/>
          <w:highlight w:val="none"/>
        </w:rPr>
        <w:t>5</w:t>
      </w:r>
      <w:r>
        <w:rPr>
          <w:rFonts w:hint="eastAsia" w:ascii="宋体" w:hAnsi="宋体" w:cs="宋体"/>
          <w:szCs w:val="21"/>
          <w:highlight w:val="none"/>
        </w:rPr>
        <w:t>离心机主机、转头及适配器由同一厂家生产，以确保仪器的安全使用；</w:t>
      </w:r>
    </w:p>
    <w:p>
      <w:pPr>
        <w:spacing w:line="360" w:lineRule="auto"/>
        <w:ind w:firstLine="422" w:firstLineChars="200"/>
        <w:rPr>
          <w:rFonts w:ascii="宋体" w:hAnsi="宋体" w:cs="宋体"/>
          <w:szCs w:val="21"/>
          <w:highlight w:val="none"/>
        </w:rPr>
      </w:pPr>
      <w:r>
        <w:rPr>
          <w:rFonts w:hint="eastAsia" w:ascii="宋体" w:hAnsi="宋体"/>
          <w:b/>
          <w:bCs/>
          <w:color w:val="000000"/>
          <w:szCs w:val="21"/>
          <w:highlight w:val="none"/>
        </w:rPr>
        <w:t>#</w:t>
      </w:r>
      <w:r>
        <w:rPr>
          <w:rFonts w:hint="eastAsia" w:ascii="宋体" w:hAnsi="宋体" w:cs="宋体"/>
          <w:szCs w:val="21"/>
          <w:highlight w:val="none"/>
        </w:rPr>
        <w:t xml:space="preserve"> 4.1</w:t>
      </w:r>
      <w:r>
        <w:rPr>
          <w:rFonts w:ascii="宋体" w:hAnsi="宋体" w:cs="宋体"/>
          <w:szCs w:val="21"/>
          <w:highlight w:val="none"/>
        </w:rPr>
        <w:t>6</w:t>
      </w:r>
      <w:r>
        <w:rPr>
          <w:rFonts w:hint="eastAsia" w:ascii="宋体" w:hAnsi="宋体" w:cs="宋体"/>
          <w:szCs w:val="21"/>
          <w:highlight w:val="none"/>
        </w:rPr>
        <w:t>主机具备≥8个串联半导体制冷模块，提高制冷效率；</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4.1</w:t>
      </w:r>
      <w:r>
        <w:rPr>
          <w:rFonts w:ascii="宋体" w:hAnsi="宋体" w:cs="宋体"/>
          <w:szCs w:val="21"/>
          <w:highlight w:val="none"/>
        </w:rPr>
        <w:t>7</w:t>
      </w:r>
      <w:r>
        <w:rPr>
          <w:rFonts w:hint="eastAsia" w:ascii="宋体" w:hAnsi="宋体" w:cs="宋体"/>
          <w:szCs w:val="21"/>
          <w:highlight w:val="none"/>
        </w:rPr>
        <w:t>重量≥480kg，稳固可靠；</w:t>
      </w:r>
    </w:p>
    <w:p>
      <w:pPr>
        <w:adjustRightInd w:val="0"/>
        <w:snapToGrid w:val="0"/>
        <w:spacing w:line="360" w:lineRule="auto"/>
        <w:ind w:firstLine="630" w:firstLineChars="300"/>
        <w:rPr>
          <w:rFonts w:ascii="宋体" w:hAnsi="宋体" w:cs="宋体"/>
          <w:szCs w:val="21"/>
          <w:highlight w:val="none"/>
        </w:rPr>
      </w:pPr>
      <w:r>
        <w:rPr>
          <w:rFonts w:hint="eastAsia" w:ascii="宋体" w:hAnsi="宋体" w:cs="宋体"/>
          <w:szCs w:val="21"/>
          <w:highlight w:val="none"/>
        </w:rPr>
        <w:t>4.</w:t>
      </w:r>
      <w:r>
        <w:rPr>
          <w:rFonts w:ascii="宋体" w:hAnsi="宋体" w:cs="宋体"/>
          <w:szCs w:val="21"/>
          <w:highlight w:val="none"/>
        </w:rPr>
        <w:t>18</w:t>
      </w:r>
      <w:r>
        <w:rPr>
          <w:rFonts w:hint="eastAsia" w:ascii="宋体" w:hAnsi="宋体" w:cs="宋体"/>
          <w:szCs w:val="21"/>
          <w:highlight w:val="none"/>
        </w:rPr>
        <w:t>接通电源但未运行时的能量损耗小于60W，以节省能量损耗；</w:t>
      </w:r>
    </w:p>
    <w:p>
      <w:pPr>
        <w:adjustRightInd w:val="0"/>
        <w:snapToGrid w:val="0"/>
        <w:spacing w:line="360" w:lineRule="auto"/>
        <w:ind w:firstLine="422" w:firstLineChars="200"/>
        <w:rPr>
          <w:rFonts w:ascii="宋体" w:hAnsi="宋体" w:cs="宋体"/>
          <w:b/>
          <w:szCs w:val="21"/>
          <w:highlight w:val="none"/>
        </w:rPr>
      </w:pPr>
      <w:r>
        <w:rPr>
          <w:rFonts w:hint="eastAsia" w:ascii="宋体" w:hAnsi="宋体" w:cs="宋体"/>
          <w:b/>
          <w:szCs w:val="21"/>
          <w:highlight w:val="none"/>
        </w:rPr>
        <w:t>5.配置清单：</w:t>
      </w:r>
    </w:p>
    <w:p>
      <w:pPr>
        <w:spacing w:line="360" w:lineRule="auto"/>
        <w:ind w:left="480" w:firstLine="210" w:firstLineChars="100"/>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 xml:space="preserve">.1 </w:t>
      </w:r>
      <w:r>
        <w:rPr>
          <w:rFonts w:hint="eastAsia" w:ascii="宋体" w:hAnsi="宋体" w:cs="宋体"/>
          <w:szCs w:val="21"/>
          <w:highlight w:val="none"/>
        </w:rPr>
        <w:t>主机一台，热封器一套</w:t>
      </w:r>
    </w:p>
    <w:p>
      <w:pPr>
        <w:spacing w:line="360" w:lineRule="auto"/>
        <w:ind w:left="480" w:firstLine="210" w:firstLineChars="100"/>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 xml:space="preserve">.2 </w:t>
      </w:r>
      <w:r>
        <w:rPr>
          <w:rFonts w:hint="eastAsia" w:ascii="宋体" w:hAnsi="宋体" w:cs="宋体"/>
          <w:szCs w:val="21"/>
          <w:highlight w:val="none"/>
        </w:rPr>
        <w:t>钛合金定角转头一个：最大转速≥70,000 rpm,相对离心力≥504,000xg，容量不低于8×3</w:t>
      </w:r>
      <w:r>
        <w:rPr>
          <w:rFonts w:ascii="宋体" w:hAnsi="宋体" w:cs="宋体"/>
          <w:szCs w:val="21"/>
          <w:highlight w:val="none"/>
        </w:rPr>
        <w:t>6</w:t>
      </w:r>
      <w:r>
        <w:rPr>
          <w:rFonts w:hint="eastAsia" w:ascii="宋体" w:hAnsi="宋体" w:cs="宋体"/>
          <w:szCs w:val="21"/>
          <w:highlight w:val="none"/>
        </w:rPr>
        <w:t>ml（转头k因子≤44）；</w:t>
      </w:r>
    </w:p>
    <w:p>
      <w:pPr>
        <w:spacing w:line="360" w:lineRule="auto"/>
        <w:ind w:left="480" w:firstLine="210" w:firstLineChars="100"/>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 xml:space="preserve">.3 </w:t>
      </w:r>
      <w:r>
        <w:rPr>
          <w:rFonts w:hint="eastAsia" w:ascii="宋体" w:hAnsi="宋体" w:cs="宋体"/>
          <w:szCs w:val="21"/>
          <w:highlight w:val="none"/>
        </w:rPr>
        <w:t>原配离心管两百个；</w:t>
      </w:r>
    </w:p>
    <w:p>
      <w:pPr>
        <w:spacing w:line="360" w:lineRule="auto"/>
        <w:ind w:left="480" w:firstLine="210" w:firstLineChars="100"/>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 xml:space="preserve">.4 </w:t>
      </w:r>
      <w:r>
        <w:rPr>
          <w:rFonts w:hint="eastAsia" w:ascii="宋体" w:hAnsi="宋体" w:cs="宋体"/>
          <w:szCs w:val="21"/>
          <w:highlight w:val="none"/>
        </w:rPr>
        <w:t>配套工具一套。</w:t>
      </w:r>
    </w:p>
    <w:p>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6</w:t>
      </w:r>
      <w:r>
        <w:rPr>
          <w:rFonts w:ascii="宋体" w:hAnsi="宋体" w:cs="宋体"/>
          <w:b/>
          <w:szCs w:val="21"/>
          <w:highlight w:val="none"/>
        </w:rPr>
        <w:t>.</w:t>
      </w:r>
      <w:r>
        <w:rPr>
          <w:rFonts w:hint="eastAsia" w:ascii="宋体" w:hAnsi="宋体" w:cs="宋体"/>
          <w:b/>
          <w:szCs w:val="21"/>
          <w:highlight w:val="none"/>
        </w:rPr>
        <w:t xml:space="preserve"> 售后服务及其他</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6.1</w:t>
      </w:r>
      <w:r>
        <w:rPr>
          <w:rFonts w:ascii="宋体" w:hAnsi="宋体" w:cs="宋体"/>
          <w:szCs w:val="21"/>
          <w:highlight w:val="none"/>
        </w:rPr>
        <w:t xml:space="preserve"> </w:t>
      </w:r>
      <w:r>
        <w:rPr>
          <w:rFonts w:hint="eastAsia" w:ascii="宋体" w:hAnsi="宋体" w:cs="宋体"/>
          <w:szCs w:val="21"/>
          <w:highlight w:val="none"/>
        </w:rPr>
        <w:t>卖方免费提供操作手册（中/英文可选）两套；</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6</w:t>
      </w:r>
      <w:r>
        <w:rPr>
          <w:rFonts w:ascii="宋体" w:hAnsi="宋体" w:cs="宋体"/>
          <w:szCs w:val="21"/>
          <w:highlight w:val="none"/>
        </w:rPr>
        <w:t xml:space="preserve">.2 </w:t>
      </w:r>
      <w:r>
        <w:rPr>
          <w:rFonts w:hint="eastAsia" w:ascii="宋体" w:hAnsi="宋体" w:cs="宋体"/>
          <w:szCs w:val="21"/>
          <w:highlight w:val="none"/>
        </w:rPr>
        <w:t>在货物到达后，卖方负责派合格的工程师到现场进行设备安装、调试、运行、性能测试并提供完整的检测报告，保证买方正常使用；</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6</w:t>
      </w:r>
      <w:r>
        <w:rPr>
          <w:rFonts w:ascii="宋体" w:hAnsi="宋体" w:cs="宋体"/>
          <w:szCs w:val="21"/>
          <w:highlight w:val="none"/>
        </w:rPr>
        <w:t xml:space="preserve">.3 </w:t>
      </w:r>
      <w:r>
        <w:rPr>
          <w:rFonts w:hint="eastAsia" w:ascii="宋体" w:hAnsi="宋体" w:cs="宋体"/>
          <w:szCs w:val="21"/>
          <w:highlight w:val="none"/>
        </w:rPr>
        <w:t>在安装调试完毕后，卖方公司将派专业售后技术专家到现场提供技术培训。承诺教会所有的使用人员正常、熟练地操作设备，软件使用和设置以及仪器日常维护保养程序；</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6</w:t>
      </w:r>
      <w:r>
        <w:rPr>
          <w:rFonts w:ascii="宋体" w:hAnsi="宋体" w:cs="宋体"/>
          <w:szCs w:val="21"/>
          <w:highlight w:val="none"/>
        </w:rPr>
        <w:t xml:space="preserve">.4 </w:t>
      </w:r>
      <w:r>
        <w:rPr>
          <w:rFonts w:hint="eastAsia" w:ascii="宋体" w:hAnsi="宋体" w:cs="宋体"/>
          <w:szCs w:val="21"/>
          <w:highlight w:val="none"/>
        </w:rPr>
        <w:t>设备质量保证期自验收合格之日起不少于36个月，在质保期内，由于卖方的原因，设备发生故障或不能使用，卖方应在接到通知后4小时内响应，24小时内派人到现场解决问题，所有费用由卖方承担；质保期内，每年对所供设备提供至少三次现场维护保养，保障设备运行可靠及定量的准确性；</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6</w:t>
      </w:r>
      <w:r>
        <w:rPr>
          <w:rFonts w:ascii="宋体" w:hAnsi="宋体" w:cs="宋体"/>
          <w:szCs w:val="21"/>
          <w:highlight w:val="none"/>
        </w:rPr>
        <w:t>.5</w:t>
      </w:r>
      <w:r>
        <w:rPr>
          <w:rFonts w:hint="eastAsia" w:ascii="宋体" w:hAnsi="宋体" w:cs="宋体"/>
          <w:szCs w:val="21"/>
          <w:highlight w:val="none"/>
        </w:rPr>
        <w:t>卖方公司应用支持可针对用户提出的特殊试验，协助建立实验方案。如果买方单位将来有新的技术应用，厂家可派专业技术人员协助；</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6</w:t>
      </w:r>
      <w:r>
        <w:rPr>
          <w:rFonts w:ascii="宋体" w:hAnsi="宋体" w:cs="宋体"/>
          <w:szCs w:val="21"/>
          <w:highlight w:val="none"/>
        </w:rPr>
        <w:t xml:space="preserve">.6 </w:t>
      </w:r>
      <w:r>
        <w:rPr>
          <w:rFonts w:hint="eastAsia" w:ascii="宋体" w:hAnsi="宋体" w:cs="宋体"/>
          <w:szCs w:val="21"/>
          <w:highlight w:val="none"/>
        </w:rPr>
        <w:t>提供主机软件免费升级服务；</w:t>
      </w:r>
    </w:p>
    <w:p>
      <w:pPr>
        <w:spacing w:line="360" w:lineRule="auto"/>
        <w:ind w:firstLine="630" w:firstLineChars="300"/>
        <w:rPr>
          <w:rFonts w:ascii="宋体" w:hAnsi="宋体" w:cs="宋体"/>
          <w:szCs w:val="21"/>
          <w:highlight w:val="none"/>
        </w:rPr>
      </w:pPr>
      <w:r>
        <w:rPr>
          <w:rFonts w:hint="eastAsia"/>
          <w:szCs w:val="21"/>
          <w:highlight w:val="none"/>
        </w:rPr>
        <w:t>6</w:t>
      </w:r>
      <w:r>
        <w:rPr>
          <w:szCs w:val="21"/>
          <w:highlight w:val="none"/>
          <w:lang w:eastAsia="zh-TW"/>
        </w:rPr>
        <w:t xml:space="preserve">.7 </w:t>
      </w:r>
      <w:r>
        <w:rPr>
          <w:rFonts w:hint="eastAsia"/>
          <w:szCs w:val="21"/>
          <w:highlight w:val="none"/>
          <w:lang w:val="zh-TW" w:eastAsia="zh-TW"/>
        </w:rPr>
        <w:t>卖方在中国境内设有专业的培训中心，为用户提供两个免费培训名额，培训内容为仪器构成、维护、工作原理、基本操作、方法建立及应用，时间</w:t>
      </w:r>
      <w:r>
        <w:rPr>
          <w:rFonts w:hint="eastAsia"/>
          <w:szCs w:val="21"/>
          <w:highlight w:val="none"/>
          <w:lang w:val="zh-CN"/>
        </w:rPr>
        <w:t>不少于</w:t>
      </w:r>
      <w:r>
        <w:rPr>
          <w:rFonts w:hint="eastAsia"/>
          <w:szCs w:val="21"/>
          <w:highlight w:val="none"/>
          <w:lang w:val="zh-TW" w:eastAsia="zh-TW"/>
        </w:rPr>
        <w:t>一周</w:t>
      </w:r>
      <w:r>
        <w:rPr>
          <w:rFonts w:hint="eastAsia"/>
          <w:szCs w:val="21"/>
          <w:highlight w:val="none"/>
          <w:lang w:val="zh-TW"/>
        </w:rPr>
        <w:t>；</w:t>
      </w:r>
      <w:r>
        <w:rPr>
          <w:rFonts w:hint="eastAsia" w:ascii="宋体" w:hAnsi="宋体" w:cs="宋体"/>
          <w:szCs w:val="21"/>
          <w:highlight w:val="none"/>
        </w:rPr>
        <w:t xml:space="preserve"> </w:t>
      </w:r>
    </w:p>
    <w:p>
      <w:pPr>
        <w:spacing w:line="360" w:lineRule="auto"/>
        <w:ind w:firstLine="630" w:firstLineChars="300"/>
        <w:rPr>
          <w:rFonts w:ascii="宋体" w:hAnsi="宋体" w:cs="宋体"/>
          <w:szCs w:val="21"/>
          <w:highlight w:val="none"/>
        </w:rPr>
      </w:pPr>
      <w:r>
        <w:rPr>
          <w:rFonts w:hint="eastAsia" w:ascii="宋体" w:hAnsi="宋体" w:cs="宋体"/>
          <w:szCs w:val="21"/>
          <w:highlight w:val="none"/>
        </w:rPr>
        <w:t>6</w:t>
      </w:r>
      <w:r>
        <w:rPr>
          <w:rFonts w:ascii="宋体" w:hAnsi="宋体" w:cs="宋体"/>
          <w:szCs w:val="21"/>
          <w:highlight w:val="none"/>
        </w:rPr>
        <w:t>.8</w:t>
      </w:r>
      <w:r>
        <w:rPr>
          <w:rFonts w:hint="eastAsia" w:ascii="宋体" w:hAnsi="宋体" w:cs="宋体"/>
          <w:szCs w:val="21"/>
          <w:highlight w:val="none"/>
        </w:rPr>
        <w:t>提供设备易损件及转子、耗材等报价，并承诺在保修期满后按最优价格提供相关配件供应和维修服务。</w:t>
      </w:r>
    </w:p>
    <w:p>
      <w:pPr>
        <w:spacing w:line="360" w:lineRule="auto"/>
        <w:ind w:firstLine="630" w:firstLineChars="300"/>
        <w:rPr>
          <w:rFonts w:ascii="宋体" w:hAnsi="宋体" w:cs="宋体"/>
          <w:szCs w:val="21"/>
          <w:highlight w:val="none"/>
        </w:rPr>
      </w:pPr>
      <w:r>
        <w:rPr>
          <w:rFonts w:hint="eastAsia" w:ascii="宋体" w:hAnsi="宋体" w:cs="宋体"/>
          <w:color w:val="000000"/>
          <w:szCs w:val="21"/>
          <w:highlight w:val="none"/>
        </w:rPr>
        <w:t>★</w:t>
      </w:r>
      <w:r>
        <w:rPr>
          <w:rFonts w:hint="eastAsia" w:ascii="宋体" w:hAnsi="宋体" w:cs="宋体"/>
          <w:szCs w:val="21"/>
          <w:highlight w:val="none"/>
        </w:rPr>
        <w:t>6</w:t>
      </w:r>
      <w:r>
        <w:rPr>
          <w:rFonts w:ascii="宋体" w:hAnsi="宋体" w:cs="宋体"/>
          <w:szCs w:val="21"/>
          <w:highlight w:val="none"/>
        </w:rPr>
        <w:t>.9</w:t>
      </w:r>
      <w:r>
        <w:rPr>
          <w:rFonts w:hint="eastAsia" w:ascii="宋体" w:hAnsi="宋体" w:cs="宋体"/>
          <w:szCs w:val="21"/>
          <w:highlight w:val="none"/>
        </w:rPr>
        <w:t>须</w:t>
      </w:r>
      <w:r>
        <w:rPr>
          <w:rFonts w:ascii="宋体" w:hAnsi="宋体" w:cs="宋体"/>
          <w:szCs w:val="21"/>
          <w:highlight w:val="none"/>
        </w:rPr>
        <w:t>提供</w:t>
      </w:r>
      <w:r>
        <w:rPr>
          <w:rFonts w:hint="eastAsia" w:ascii="宋体" w:hAnsi="宋体" w:cs="宋体"/>
          <w:szCs w:val="21"/>
          <w:highlight w:val="none"/>
        </w:rPr>
        <w:t>制造厂家针对此项目的原厂授权书。</w:t>
      </w:r>
    </w:p>
    <w:p>
      <w:pPr>
        <w:tabs>
          <w:tab w:val="left" w:pos="0"/>
        </w:tabs>
        <w:spacing w:line="360" w:lineRule="auto"/>
        <w:jc w:val="left"/>
        <w:rPr>
          <w:rFonts w:ascii="宋体" w:hAnsi="宋体" w:cs="宋体"/>
          <w:b/>
          <w:szCs w:val="24"/>
          <w:highlight w:val="none"/>
        </w:rPr>
      </w:pPr>
      <w:r>
        <w:rPr>
          <w:rFonts w:hint="eastAsia" w:ascii="宋体" w:hAnsi="宋体" w:cs="宋体"/>
          <w:b/>
          <w:szCs w:val="24"/>
          <w:highlight w:val="none"/>
        </w:rPr>
        <w:t>强制采购节能产品规定：</w:t>
      </w:r>
    </w:p>
    <w:p>
      <w:pPr>
        <w:spacing w:line="360" w:lineRule="auto"/>
        <w:rPr>
          <w:rFonts w:ascii="宋体" w:hAnsi="宋体" w:cs="宋体"/>
          <w:b/>
          <w:szCs w:val="24"/>
          <w:highlight w:val="none"/>
        </w:rPr>
      </w:pPr>
      <w:r>
        <w:rPr>
          <w:rFonts w:hint="eastAsia" w:ascii="宋体" w:hAnsi="宋体" w:cs="宋体"/>
          <w:b/>
          <w:szCs w:val="24"/>
          <w:highlight w:val="none"/>
        </w:rPr>
        <w:t>根据《国务院办公厅关于建立政府强制采购节能产品制度的通知》（国办发[2007]51号）、财政部国家发展改革委关于印发《节能产品政府采购实施意见》的通知（财库[2004]185 号）和《财政部发展改革委关于调整公布节能产品政府采购清单的通知》：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p>
      <w:pPr>
        <w:adjustRightInd w:val="0"/>
        <w:snapToGrid w:val="0"/>
        <w:spacing w:line="360" w:lineRule="auto"/>
        <w:rPr>
          <w:rFonts w:hint="eastAsia" w:ascii="宋体" w:hAnsi="宋体"/>
          <w:szCs w:val="21"/>
          <w:highlight w:val="none"/>
        </w:rPr>
      </w:pPr>
      <w:r>
        <w:rPr>
          <w:rFonts w:hint="eastAsia" w:ascii="宋体" w:hAnsi="宋体" w:cs="宋体"/>
          <w:b/>
          <w:szCs w:val="24"/>
          <w:highlight w:val="none"/>
        </w:rPr>
        <w:t>供应商所投产品被列入市场监管总局向认证结果信息发布平台公布的品目清单中要求强制采购的，应提供所投产品由国家确定的认证机构出具的处于有效期之内的节能产品认证证书，对获得证书的产品实施政府强制采购（复印件加盖公章）。</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 w:name="Arial Black">
    <w:panose1 w:val="020B0A04020102020204"/>
    <w:charset w:val="00"/>
    <w:family w:val="swiss"/>
    <w:pitch w:val="default"/>
    <w:sig w:usb0="A00002AF" w:usb1="400078FB" w:usb2="00000000" w:usb3="00000000" w:csb0="6000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5MmUzOTE0YTc1Y2FjZmU4ODM4ZjUxNWM1NGJhNzAifQ=="/>
  </w:docVars>
  <w:rsids>
    <w:rsidRoot w:val="00000000"/>
    <w:rsid w:val="4A585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9"/>
    <w:pPr>
      <w:keepNext/>
      <w:keepLines/>
      <w:spacing w:line="360" w:lineRule="auto"/>
      <w:ind w:left="964" w:hanging="964"/>
      <w:jc w:val="center"/>
      <w:outlineLvl w:val="1"/>
    </w:pPr>
    <w:rPr>
      <w:rFonts w:hAnsi="Cambria" w:cs="Times New Roman"/>
      <w:b/>
      <w:bCs/>
      <w:kern w:val="0"/>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customStyle="1" w:styleId="6">
    <w:name w:val="正文须知"/>
    <w:basedOn w:val="1"/>
    <w:next w:val="1"/>
    <w:qFormat/>
    <w:uiPriority w:val="0"/>
    <w:pPr>
      <w:ind w:hanging="720" w:hangingChars="300"/>
    </w:pPr>
    <w:rPr>
      <w:rFonts w:hAnsi="Calibri"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mayn</dc:creator>
  <cp:lastModifiedBy>天秤座</cp:lastModifiedBy>
  <dcterms:modified xsi:type="dcterms:W3CDTF">2022-08-23T06:06:13Z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5870F6EC1B504F7DB87E40F16708CB23</vt:lpwstr>
  </property>
</Properties>
</file>