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版本号：JXZB2026-08-3720260828001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黑河水源地应急预警系统运行及维护费项目（视频监控预警系统运维）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JXZB2026-08-37</w:t>
      </w:r>
      <w:r>
        <w:br/>
      </w:r>
      <w:r>
        <w:br/>
      </w:r>
      <w:r>
        <w:br/>
      </w:r>
    </w:p>
    <w:p>
      <w:pPr>
        <w:pStyle w:val="null3"/>
        <w:jc w:val="center"/>
        <w:outlineLvl w:val="2"/>
      </w:pPr>
      <w:r>
        <w:rPr>
          <w:rFonts w:ascii="仿宋_GB2312" w:hAnsi="仿宋_GB2312" w:cs="仿宋_GB2312" w:eastAsia="仿宋_GB2312"/>
          <w:sz w:val="28"/>
          <w:b/>
        </w:rPr>
        <w:t>西安市黑河水源地环境保护管理总站</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西安市黑河水源地环境保护管理总站</w:t>
      </w:r>
      <w:r>
        <w:rPr>
          <w:rFonts w:ascii="仿宋_GB2312" w:hAnsi="仿宋_GB2312" w:cs="仿宋_GB2312" w:eastAsia="仿宋_GB2312"/>
        </w:rPr>
        <w:t>委托，拟对</w:t>
      </w:r>
      <w:r>
        <w:rPr>
          <w:rFonts w:ascii="仿宋_GB2312" w:hAnsi="仿宋_GB2312" w:cs="仿宋_GB2312" w:eastAsia="仿宋_GB2312"/>
        </w:rPr>
        <w:t>黑河水源地应急预警系统运行及维护费项目（视频监控预警系统运维）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JXZB2026-08-37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黑河水源地应急预警系统运行及维护费项目（视频监控预警系统运维）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黑河水源地监控预警系统于2010年运行以来，对保护水源地生态环境安全，发挥着重要的支撑作用。系统运维设施地处秦岭山区，监控站点分布在沿水源地纵深约100公里范围，通信中继站分布在平均海拔1500米以上秦岭山顶，支撑着各类预警数据的传输。设备工作在野外环境，受大风、雷雨、冰雪、滑坡、落石等自然条件影响，运行的设备、线路、信号、供电等工作要素有不同程度的损伤、老化、磨损。建立系统运行维护机制是保证系统正常运行的必要措施，对系统运行各环节定期保养、检修、维护、技术服务，使系统设备工作寿命延长、节约资源、发挥更大的社会经济效益，更好地服务于水源地环境保护工作。 设施分布区域：黑河水源地环境保护管理总站和沿黑河水源地流域陈河、王家河、沙梁子、板房子、厚畛子、老县城区域，设有山顶16处中继站、水源监控站点31处，广播站10处，监控中心1处。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采购包1（黑河水源地应急预警系统运行及维护费项目（视频监控预警系统运维））：属于专门面向中小企业采购。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税务登记证、组织机构代码证（多证合一只提供营业执照，事业单位提供事业单位法人证书，自然人提供本人身份证合法有效）；</w:t>
      </w:r>
    </w:p>
    <w:p>
      <w:pPr>
        <w:pStyle w:val="null3"/>
      </w:pPr>
      <w:r>
        <w:rPr>
          <w:rFonts w:ascii="仿宋_GB2312" w:hAnsi="仿宋_GB2312" w:cs="仿宋_GB2312" w:eastAsia="仿宋_GB2312"/>
        </w:rPr>
        <w:t>2、授权委托书：提供法定代表人授权书（附法定代表人、被授权人身份证复印件）及被授权人身份证原件（法定代表人直接参加投标，须提供法定代表人身份证明及身份证原件）</w:t>
      </w:r>
    </w:p>
    <w:p>
      <w:pPr>
        <w:pStyle w:val="null3"/>
      </w:pPr>
      <w:r>
        <w:rPr>
          <w:rFonts w:ascii="仿宋_GB2312" w:hAnsi="仿宋_GB2312" w:cs="仿宋_GB2312" w:eastAsia="仿宋_GB2312"/>
        </w:rPr>
        <w:t>3、企业资质：供应商具有建设行政主管部门颁发的电子与智能化工程专业承包二级及以上（含二级）资质证书，且具备有效的安全生产许可证；</w:t>
      </w:r>
    </w:p>
    <w:p>
      <w:pPr>
        <w:pStyle w:val="null3"/>
      </w:pPr>
      <w:r>
        <w:rPr>
          <w:rFonts w:ascii="仿宋_GB2312" w:hAnsi="仿宋_GB2312" w:cs="仿宋_GB2312" w:eastAsia="仿宋_GB2312"/>
        </w:rPr>
        <w:t>4、项目负责人资质：拟派项目负责人具有机电专业二级及以上建造师注册证书并提供有效的安全生产考核合格证书（B 类证）及提供在本企业2025年08月份至投标截止时间已缴纳的至少六个月社保缴纳证明，且无在建项目（提供无在建项目承诺书)；</w:t>
      </w:r>
    </w:p>
    <w:p>
      <w:pPr>
        <w:pStyle w:val="null3"/>
      </w:pPr>
      <w:r>
        <w:rPr>
          <w:rFonts w:ascii="仿宋_GB2312" w:hAnsi="仿宋_GB2312" w:cs="仿宋_GB2312" w:eastAsia="仿宋_GB2312"/>
        </w:rPr>
        <w:t>5、财务报告：须提供经会计事务所或审计机构出具的2025年完整的财务审计报告（注：带二维码清晰可查验，提供的财务审计报告需在注册会计师行业统一监管平台（http://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p>
      <w:pPr>
        <w:pStyle w:val="null3"/>
      </w:pPr>
      <w:r>
        <w:rPr>
          <w:rFonts w:ascii="仿宋_GB2312" w:hAnsi="仿宋_GB2312" w:cs="仿宋_GB2312" w:eastAsia="仿宋_GB2312"/>
        </w:rPr>
        <w:t>6、社会保障资金缴纳证明：提供2026年2月至今已缴纳的至少一个月的社会保障资金缴存单据或社保机构开具的社会保险参保缴费情况证明，依法不需要缴纳社会保障资金的单位应提供相关证明材料；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7、税收缴纳证明：提供2026年2月至今已缴纳的至少一个月的纳税证明或完税证明，依法免税的单位应提供相关证明材料；</w:t>
      </w:r>
    </w:p>
    <w:p>
      <w:pPr>
        <w:pStyle w:val="null3"/>
      </w:pPr>
      <w:r>
        <w:rPr>
          <w:rFonts w:ascii="仿宋_GB2312" w:hAnsi="仿宋_GB2312" w:cs="仿宋_GB2312" w:eastAsia="仿宋_GB2312"/>
        </w:rPr>
        <w:t>8、书面声明：参加本次政府采购活动前三年内在经营活动中没有重大违纪的书面声明；</w:t>
      </w:r>
    </w:p>
    <w:p>
      <w:pPr>
        <w:pStyle w:val="null3"/>
      </w:pPr>
      <w:r>
        <w:rPr>
          <w:rFonts w:ascii="仿宋_GB2312" w:hAnsi="仿宋_GB2312" w:cs="仿宋_GB2312" w:eastAsia="仿宋_GB2312"/>
        </w:rPr>
        <w:t>9、书面承诺：履行合同所必需的设备和专业技术能力的承诺；</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11、关联关系：单位负责人为同一人或者存在控股、管理关系的不同单位不得同时投标；</w:t>
      </w:r>
    </w:p>
    <w:p>
      <w:pPr>
        <w:pStyle w:val="null3"/>
      </w:pPr>
      <w:r>
        <w:rPr>
          <w:rFonts w:ascii="仿宋_GB2312" w:hAnsi="仿宋_GB2312" w:cs="仿宋_GB2312" w:eastAsia="仿宋_GB2312"/>
        </w:rPr>
        <w:t>12、本次项目不接受联合体投标：提供非联合体投标承诺书；</w:t>
      </w:r>
    </w:p>
    <w:p>
      <w:pPr>
        <w:pStyle w:val="null3"/>
      </w:pPr>
      <w:r>
        <w:rPr>
          <w:rFonts w:ascii="仿宋_GB2312" w:hAnsi="仿宋_GB2312" w:cs="仿宋_GB2312" w:eastAsia="仿宋_GB2312"/>
        </w:rPr>
        <w:t>13、中小企业声明函：本项目专门面向中小企业采购，仅限符合《政府采购促进中小企业发展管理办法》（ 财库〔2020〕46号）条件的中小企业参与，提供中小企业声明函（残疾人福利性单位、监狱企业视同小、微企业）。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西安市黑河水源地环境保护管理总站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西安市周至县马召镇武家庄村金盆水库大坝交通桥西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西安市黑河水源地环境保护管理总站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029-85108510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雷芳娟、雷春龙，龙素菊，牛立华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18802907639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行办法》的通知（计价格[2002]1980号）和发改办价格[2003]857号规定（不足伍仟元的按伍仟元计取），由各采购包中标人在领取中标通知书时向代理机构缴纳代理服务费。招标代理服务费采用现金、电汇或银行转账方式交纳，不得采用投标保证金抵扣。</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西安市黑河水源地环境保护管理总站</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西安市黑河水源地环境保护管理总站</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西安市黑河水源地环境保护管理总站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符合现行国家、行业“合格”标准，符合采购人要求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联系电话：18802907639</w:t>
      </w:r>
    </w:p>
    <w:p>
      <w:pPr>
        <w:pStyle w:val="null3"/>
      </w:pPr>
      <w:r>
        <w:rPr>
          <w:rFonts w:ascii="仿宋_GB2312" w:hAnsi="仿宋_GB2312" w:cs="仿宋_GB2312" w:eastAsia="仿宋_GB2312"/>
        </w:rPr>
        <w:t>地址：陕西省西安市雁塔区南二环西段208号捷瑞智能大厦东区9楼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黑河水源地监控预警系统于2010年运行以来，对保护水源地生态环境安全，发挥着重要的支撑作用。系统运维设施地处秦岭山区，监控站点分布在沿水源地纵深约100公里范围，通信中继站分布在平均海拔1500米以上秦岭山顶，支撑着各类预警数据的传输。设备工作在野外环境，受大风、雷雨、冰雪、滑坡、落石等自然条件影响，运行的设备、线路、信号、供电等工作要素有不同程度的损伤、老化、磨损。建立系统运行维护机制是保证系统正常运行的必要措施，对系统运行各环节定期保养、检修、维护、技术服务，使系统设备工作寿命延长、节约资源、发挥更大的社会经济效益，更好地服务于水源地环境保护工作。 设施分布区域：黑河水源地环境保护管理总站和沿黑河水源地流域陈河、王家河、沙梁子、板房子、厚畛子、老县城区域，设有山顶16处中继站、水源监控站点31处，广播站10处，监控中心1处。</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445,330.29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黑河水源地应急预警系统运行及维护费项目（视频监控预警系统运维）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标的名称：黑河水源地应急预警系统运行及维护费项目（视频监控预警系统运维）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一、项目概况</w:t>
            </w:r>
          </w:p>
          <w:p>
            <w:pPr>
              <w:pStyle w:val="null3"/>
              <w:ind w:firstLine="420"/>
              <w:jc w:val="both"/>
            </w:pPr>
            <w:r>
              <w:rPr>
                <w:rFonts w:ascii="仿宋_GB2312" w:hAnsi="仿宋_GB2312" w:cs="仿宋_GB2312" w:eastAsia="仿宋_GB2312"/>
                <w:sz w:val="21"/>
              </w:rPr>
              <w:t>黑河水源地监控预警系统于</w:t>
            </w:r>
            <w:r>
              <w:rPr>
                <w:rFonts w:ascii="仿宋_GB2312" w:hAnsi="仿宋_GB2312" w:cs="仿宋_GB2312" w:eastAsia="仿宋_GB2312"/>
                <w:sz w:val="21"/>
              </w:rPr>
              <w:t>2010年运行以来，对保护水源地生态环境安全，发挥着重要的支撑作用。系统运维设施地处秦岭山区，监控站点分布在沿水源地纵深约100公里范围，通信中继站分布在平均海拔1500米以上秦岭山顶，支撑着各类预警数据的传输。设备工作在野外环境，受大风、雷雨、冰雪、滑坡、落石等自然条件影响，运行的设备、线路、信号、供电等工作要素有不同程度的损伤、老化、磨损。建立系统运行维护机制是保证系统正常运行的必要措施，对系统运行各环节定期保养、检修、维护、技术服务，使系统设备工作寿命延长、节约资源、发挥更大的社会经济效益，更好地服务于水源地环境保护工作。</w:t>
            </w:r>
          </w:p>
          <w:p>
            <w:pPr>
              <w:pStyle w:val="null3"/>
            </w:pPr>
            <w:r>
              <w:rPr>
                <w:rFonts w:ascii="仿宋_GB2312" w:hAnsi="仿宋_GB2312" w:cs="仿宋_GB2312" w:eastAsia="仿宋_GB2312"/>
                <w:sz w:val="21"/>
              </w:rPr>
              <w:t>设施分布区域：黑河水源地环境保护管理总站和沿黑河水源地流域陈河、王家河、沙梁子、板房子、厚畛子、老县城区域，设有山顶</w:t>
            </w:r>
            <w:r>
              <w:rPr>
                <w:rFonts w:ascii="仿宋_GB2312" w:hAnsi="仿宋_GB2312" w:cs="仿宋_GB2312" w:eastAsia="仿宋_GB2312"/>
                <w:sz w:val="21"/>
              </w:rPr>
              <w:t>16处中继站、水源监控站点31处，广播站10处，监控中心1处。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二、服务内容（包括工作区域、工作内容等）</w:t>
            </w:r>
          </w:p>
          <w:p>
            <w:pPr>
              <w:pStyle w:val="null3"/>
              <w:ind w:firstLine="420"/>
              <w:jc w:val="both"/>
            </w:pPr>
            <w:r>
              <w:rPr>
                <w:rFonts w:ascii="仿宋_GB2312" w:hAnsi="仿宋_GB2312" w:cs="仿宋_GB2312" w:eastAsia="仿宋_GB2312"/>
                <w:sz w:val="21"/>
              </w:rPr>
              <w:t>2.1、通信中继站点位</w:t>
            </w:r>
          </w:p>
          <w:tbl>
            <w:tblPr>
              <w:tblInd w:type="dxa" w:w="120"/>
              <w:tblBorders>
                <w:top w:val="none" w:color="000000" w:sz="4"/>
                <w:left w:val="none" w:color="000000" w:sz="4"/>
                <w:bottom w:val="none" w:color="000000" w:sz="4"/>
                <w:right w:val="none" w:color="000000" w:sz="4"/>
                <w:insideH w:val="none"/>
                <w:insideV w:val="none"/>
              </w:tblBorders>
            </w:tblPr>
            <w:tblGrid>
              <w:gridCol w:w="319"/>
              <w:gridCol w:w="684"/>
              <w:gridCol w:w="593"/>
              <w:gridCol w:w="957"/>
            </w:tblGrid>
            <w:tr>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中继站编码</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海拔</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作业区域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1100米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1290米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1550米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1390米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975米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1990米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1699米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2023米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1790米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750米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794米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1310米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1405米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13号中继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2210米</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原始高山区域</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总接入</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总站院子</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常规区域</w:t>
                  </w:r>
                </w:p>
              </w:tc>
            </w:tr>
          </w:tbl>
          <w:p>
            <w:pPr>
              <w:pStyle w:val="null3"/>
              <w:ind w:firstLine="420"/>
              <w:jc w:val="both"/>
            </w:pPr>
            <w:r>
              <w:rPr>
                <w:rFonts w:ascii="仿宋_GB2312" w:hAnsi="仿宋_GB2312" w:cs="仿宋_GB2312" w:eastAsia="仿宋_GB2312"/>
                <w:sz w:val="21"/>
              </w:rPr>
              <w:t>说明：包括通信设施、太阳能供电系统、智能配电箱、基础及立杆、平台、支架、避雷设施、监测系统、通信设备及线路、网络设备等。所处区域为原始森林无路，运维时徒步爬山，坡度约</w:t>
            </w:r>
            <w:r>
              <w:rPr>
                <w:rFonts w:ascii="仿宋_GB2312" w:hAnsi="仿宋_GB2312" w:cs="仿宋_GB2312" w:eastAsia="仿宋_GB2312"/>
                <w:sz w:val="21"/>
              </w:rPr>
              <w:t>45°以上，器材设备搬运时需修便道。</w:t>
            </w:r>
          </w:p>
          <w:p>
            <w:pPr>
              <w:pStyle w:val="null3"/>
              <w:ind w:firstLine="420"/>
              <w:jc w:val="both"/>
            </w:pPr>
            <w:r>
              <w:rPr>
                <w:rFonts w:ascii="仿宋_GB2312" w:hAnsi="仿宋_GB2312" w:cs="仿宋_GB2312" w:eastAsia="仿宋_GB2312"/>
                <w:sz w:val="21"/>
              </w:rPr>
              <w:t>2.2、监控站点位</w:t>
            </w:r>
          </w:p>
          <w:tbl>
            <w:tblPr>
              <w:tblInd w:type="dxa" w:w="225"/>
              <w:tblBorders>
                <w:top w:val="none" w:color="000000" w:sz="4"/>
                <w:left w:val="none" w:color="000000" w:sz="4"/>
                <w:bottom w:val="none" w:color="000000" w:sz="4"/>
                <w:right w:val="none" w:color="000000" w:sz="4"/>
                <w:insideH w:val="none"/>
                <w:insideV w:val="none"/>
              </w:tblBorders>
            </w:tblPr>
            <w:tblGrid>
              <w:gridCol w:w="486"/>
              <w:gridCol w:w="1079"/>
              <w:gridCol w:w="988"/>
            </w:tblGrid>
            <w:tr>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监控点位名称</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安装地点</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取水口</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大坝上</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车车沟</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14KM处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16KM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16KM处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4</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铁塔</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18KM处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5</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观景台</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19KM处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6</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甘峪湾</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20KM处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7</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22KM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22KM处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8</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25KM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25KM处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9</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26KM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26KM处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10</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1401路牌</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27KM处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11</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32KM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32KM处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12</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陈河河道</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陈河乡政府</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13</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清水河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54KM处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14</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水苑山庄</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58KM处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15</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沙梁子桥头</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61KM处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16</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红旗桥</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70KM处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17</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金矿</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73KM处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18</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板房子</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S108 83KM处</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19</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沙梁子水电站</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距离总站</w:t>
                  </w:r>
                  <w:r>
                    <w:rPr>
                      <w:rFonts w:ascii="仿宋_GB2312" w:hAnsi="仿宋_GB2312" w:cs="仿宋_GB2312" w:eastAsia="仿宋_GB2312"/>
                      <w:sz w:val="21"/>
                    </w:rPr>
                    <w:t>63公里</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20</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黑龙潭</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距离总站</w:t>
                  </w:r>
                  <w:r>
                    <w:rPr>
                      <w:rFonts w:ascii="仿宋_GB2312" w:hAnsi="仿宋_GB2312" w:cs="仿宋_GB2312" w:eastAsia="仿宋_GB2312"/>
                      <w:sz w:val="21"/>
                    </w:rPr>
                    <w:t>70公里</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21</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一线天</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距离总站</w:t>
                  </w:r>
                  <w:r>
                    <w:rPr>
                      <w:rFonts w:ascii="仿宋_GB2312" w:hAnsi="仿宋_GB2312" w:cs="仿宋_GB2312" w:eastAsia="仿宋_GB2312"/>
                      <w:sz w:val="21"/>
                    </w:rPr>
                    <w:t>75公里</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22</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花耳坪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距离总站</w:t>
                  </w:r>
                  <w:r>
                    <w:rPr>
                      <w:rFonts w:ascii="仿宋_GB2312" w:hAnsi="仿宋_GB2312" w:cs="仿宋_GB2312" w:eastAsia="仿宋_GB2312"/>
                      <w:sz w:val="21"/>
                    </w:rPr>
                    <w:t>85公里</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23</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厚畛子监测站</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距离总站</w:t>
                  </w:r>
                  <w:r>
                    <w:rPr>
                      <w:rFonts w:ascii="仿宋_GB2312" w:hAnsi="仿宋_GB2312" w:cs="仿宋_GB2312" w:eastAsia="仿宋_GB2312"/>
                      <w:sz w:val="21"/>
                    </w:rPr>
                    <w:t>89公里</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24</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陈河分站</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陈河分站院内</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25</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沙梁子分站</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沙梁子分站院内</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26</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柳叶河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距总站</w:t>
                  </w:r>
                  <w:r>
                    <w:rPr>
                      <w:rFonts w:ascii="仿宋_GB2312" w:hAnsi="仿宋_GB2312" w:cs="仿宋_GB2312" w:eastAsia="仿宋_GB2312"/>
                      <w:sz w:val="21"/>
                    </w:rPr>
                    <w:t>19公里</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27</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陈家河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距总站</w:t>
                  </w:r>
                  <w:r>
                    <w:rPr>
                      <w:rFonts w:ascii="仿宋_GB2312" w:hAnsi="仿宋_GB2312" w:cs="仿宋_GB2312" w:eastAsia="仿宋_GB2312"/>
                      <w:sz w:val="21"/>
                    </w:rPr>
                    <w:t>23公里</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28</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王家河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距总站</w:t>
                  </w:r>
                  <w:r>
                    <w:rPr>
                      <w:rFonts w:ascii="仿宋_GB2312" w:hAnsi="仿宋_GB2312" w:cs="仿宋_GB2312" w:eastAsia="仿宋_GB2312"/>
                      <w:sz w:val="21"/>
                    </w:rPr>
                    <w:t>37公里</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29</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厚畛子河道</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距总站</w:t>
                  </w:r>
                  <w:r>
                    <w:rPr>
                      <w:rFonts w:ascii="仿宋_GB2312" w:hAnsi="仿宋_GB2312" w:cs="仿宋_GB2312" w:eastAsia="仿宋_GB2312"/>
                      <w:sz w:val="21"/>
                    </w:rPr>
                    <w:t>77公里</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30</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钓鱼台</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距总站</w:t>
                  </w:r>
                  <w:r>
                    <w:rPr>
                      <w:rFonts w:ascii="仿宋_GB2312" w:hAnsi="仿宋_GB2312" w:cs="仿宋_GB2312" w:eastAsia="仿宋_GB2312"/>
                      <w:sz w:val="21"/>
                    </w:rPr>
                    <w:t>84公里</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31</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湑水河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距总站</w:t>
                  </w:r>
                  <w:r>
                    <w:rPr>
                      <w:rFonts w:ascii="仿宋_GB2312" w:hAnsi="仿宋_GB2312" w:cs="仿宋_GB2312" w:eastAsia="仿宋_GB2312"/>
                      <w:sz w:val="21"/>
                    </w:rPr>
                    <w:t>94公里</w:t>
                  </w:r>
                </w:p>
              </w:tc>
            </w:tr>
          </w:tbl>
          <w:p>
            <w:pPr>
              <w:pStyle w:val="null3"/>
              <w:ind w:firstLine="420"/>
              <w:jc w:val="both"/>
            </w:pPr>
            <w:r>
              <w:rPr>
                <w:rFonts w:ascii="仿宋_GB2312" w:hAnsi="仿宋_GB2312" w:cs="仿宋_GB2312" w:eastAsia="仿宋_GB2312"/>
                <w:sz w:val="21"/>
              </w:rPr>
              <w:t>说明：监控站设施包括太阳能供电系统、市电供电设施、智能配电箱、基础立杆及支架、喊话广播、智能摄像机、通信设备及线路、网络设备、监测软件等。</w:t>
            </w:r>
          </w:p>
          <w:p>
            <w:pPr>
              <w:pStyle w:val="null3"/>
              <w:ind w:firstLine="420"/>
              <w:jc w:val="both"/>
            </w:pPr>
            <w:r>
              <w:rPr>
                <w:rFonts w:ascii="仿宋_GB2312" w:hAnsi="仿宋_GB2312" w:cs="仿宋_GB2312" w:eastAsia="仿宋_GB2312"/>
                <w:sz w:val="21"/>
              </w:rPr>
              <w:t>2.3、广播站站点</w:t>
            </w:r>
          </w:p>
          <w:tbl>
            <w:tblPr>
              <w:tblInd w:type="dxa" w:w="195"/>
              <w:tblBorders>
                <w:top w:val="none" w:color="000000" w:sz="4"/>
                <w:left w:val="none" w:color="000000" w:sz="4"/>
                <w:bottom w:val="none" w:color="000000" w:sz="4"/>
                <w:right w:val="none" w:color="000000" w:sz="4"/>
                <w:insideH w:val="none"/>
                <w:insideV w:val="none"/>
              </w:tblBorders>
            </w:tblPr>
            <w:tblGrid>
              <w:gridCol w:w="574"/>
              <w:gridCol w:w="894"/>
              <w:gridCol w:w="1085"/>
            </w:tblGrid>
            <w:tr>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广播站点</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安装位置</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观景台</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S108 20公里</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观景台</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S108 21公里</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铁塔</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S108 18公里</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陈河河道</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S108 33公里</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水源山庄</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S108 58公里</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黑龙潭</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距总站</w:t>
                  </w:r>
                  <w:r>
                    <w:rPr>
                      <w:rFonts w:ascii="仿宋_GB2312" w:hAnsi="仿宋_GB2312" w:cs="仿宋_GB2312" w:eastAsia="仿宋_GB2312"/>
                      <w:sz w:val="21"/>
                    </w:rPr>
                    <w:t>70公里</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一线天</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距离总站</w:t>
                  </w:r>
                  <w:r>
                    <w:rPr>
                      <w:rFonts w:ascii="仿宋_GB2312" w:hAnsi="仿宋_GB2312" w:cs="仿宋_GB2312" w:eastAsia="仿宋_GB2312"/>
                      <w:sz w:val="21"/>
                    </w:rPr>
                    <w:t>75公里</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两河口</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距离总站</w:t>
                  </w:r>
                  <w:r>
                    <w:rPr>
                      <w:rFonts w:ascii="仿宋_GB2312" w:hAnsi="仿宋_GB2312" w:cs="仿宋_GB2312" w:eastAsia="仿宋_GB2312"/>
                      <w:sz w:val="21"/>
                    </w:rPr>
                    <w:t>80公里</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花耳坪</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距离总站</w:t>
                  </w:r>
                  <w:r>
                    <w:rPr>
                      <w:rFonts w:ascii="仿宋_GB2312" w:hAnsi="仿宋_GB2312" w:cs="仿宋_GB2312" w:eastAsia="仿宋_GB2312"/>
                      <w:sz w:val="21"/>
                    </w:rPr>
                    <w:t>85公里</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秦岭界</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距离总站</w:t>
                  </w:r>
                  <w:r>
                    <w:rPr>
                      <w:rFonts w:ascii="仿宋_GB2312" w:hAnsi="仿宋_GB2312" w:cs="仿宋_GB2312" w:eastAsia="仿宋_GB2312"/>
                      <w:sz w:val="21"/>
                    </w:rPr>
                    <w:t>92公里</w:t>
                  </w:r>
                </w:p>
              </w:tc>
            </w:tr>
          </w:tbl>
          <w:p>
            <w:pPr>
              <w:pStyle w:val="null3"/>
              <w:ind w:firstLine="420"/>
              <w:jc w:val="both"/>
            </w:pPr>
            <w:r>
              <w:rPr>
                <w:rFonts w:ascii="仿宋_GB2312" w:hAnsi="仿宋_GB2312" w:cs="仿宋_GB2312" w:eastAsia="仿宋_GB2312"/>
                <w:sz w:val="21"/>
              </w:rPr>
              <w:t>包括：太能阳电池板、控制器、胶体电池、立杆、广播设备及音频传输、线路等。</w:t>
            </w:r>
          </w:p>
          <w:p>
            <w:pPr>
              <w:pStyle w:val="null3"/>
              <w:ind w:firstLine="420"/>
              <w:jc w:val="both"/>
            </w:pPr>
            <w:r>
              <w:rPr>
                <w:rFonts w:ascii="仿宋_GB2312" w:hAnsi="仿宋_GB2312" w:cs="仿宋_GB2312" w:eastAsia="仿宋_GB2312"/>
                <w:sz w:val="21"/>
              </w:rPr>
              <w:t>2.4、监控中心</w:t>
            </w:r>
          </w:p>
          <w:tbl>
            <w:tblPr>
              <w:tblInd w:type="dxa" w:w="240"/>
              <w:tblBorders>
                <w:top w:val="none" w:color="000000" w:sz="4"/>
                <w:left w:val="none" w:color="000000" w:sz="4"/>
                <w:bottom w:val="none" w:color="000000" w:sz="4"/>
                <w:right w:val="none" w:color="000000" w:sz="4"/>
                <w:insideH w:val="none"/>
                <w:insideV w:val="none"/>
              </w:tblBorders>
            </w:tblPr>
            <w:tblGrid>
              <w:gridCol w:w="428"/>
              <w:gridCol w:w="734"/>
              <w:gridCol w:w="917"/>
              <w:gridCol w:w="474"/>
            </w:tblGrid>
            <w:tr>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设备类别</w:t>
                  </w:r>
                </w:p>
              </w:tc>
              <w:tc>
                <w:tcPr>
                  <w:tcW w:type="dxa" w:w="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说明</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软件平台</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视频管理、存储管理、显示管理、周界管理、接口与监测管理、报警研判复核管理、预警事件管理、数据展示及系统管理等</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数据服务器</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服务器硬件设备</w:t>
                  </w:r>
                  <w:r>
                    <w:rPr>
                      <w:rFonts w:ascii="仿宋_GB2312" w:hAnsi="仿宋_GB2312" w:cs="仿宋_GB2312" w:eastAsia="仿宋_GB2312"/>
                      <w:sz w:val="21"/>
                    </w:rPr>
                    <w:t>+Linux软件配置</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客户端</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工作站</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存储服务器</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网络数字硬盘录像机</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硬盘录像机及配套设备</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24口千兆+光口</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监测系统</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系统管理</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机柜</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600×1000×42U （含各种接线、配电及附件）</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办公楼内系统设备及软件服务</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包括接收设备、总站办公楼院内监控设备</w:t>
                  </w:r>
                </w:p>
                <w:p>
                  <w:pPr>
                    <w:pStyle w:val="null3"/>
                    <w:jc w:val="center"/>
                  </w:p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r>
          </w:tbl>
          <w:p>
            <w:pPr>
              <w:pStyle w:val="null3"/>
            </w:pPr>
            <w:r>
              <w:rPr>
                <w:rFonts w:ascii="仿宋_GB2312" w:hAnsi="仿宋_GB2312" w:cs="仿宋_GB2312" w:eastAsia="仿宋_GB2312"/>
                <w:sz w:val="21"/>
              </w:rPr>
              <w:t>包括：数据对接、交换机配置、平台功能对接，日常维护等。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三、运维服务内容及要求</w:t>
            </w:r>
          </w:p>
          <w:p>
            <w:pPr>
              <w:pStyle w:val="null3"/>
              <w:ind w:firstLine="420"/>
              <w:jc w:val="both"/>
            </w:pPr>
            <w:r>
              <w:rPr>
                <w:rFonts w:ascii="仿宋_GB2312" w:hAnsi="仿宋_GB2312" w:cs="仿宋_GB2312" w:eastAsia="仿宋_GB2312"/>
                <w:sz w:val="21"/>
              </w:rPr>
              <w:t>3.1 每日远程监测</w:t>
            </w:r>
          </w:p>
          <w:p>
            <w:pPr>
              <w:pStyle w:val="null3"/>
              <w:ind w:firstLine="420"/>
              <w:jc w:val="both"/>
            </w:pPr>
            <w:r>
              <w:rPr>
                <w:rFonts w:ascii="仿宋_GB2312" w:hAnsi="仿宋_GB2312" w:cs="仿宋_GB2312" w:eastAsia="仿宋_GB2312"/>
                <w:sz w:val="21"/>
              </w:rPr>
              <w:t>供应商须安排专人通过运维平台执行每日远程监测，每日不少于</w:t>
            </w:r>
            <w:r>
              <w:rPr>
                <w:rFonts w:ascii="仿宋_GB2312" w:hAnsi="仿宋_GB2312" w:cs="仿宋_GB2312" w:eastAsia="仿宋_GB2312"/>
                <w:sz w:val="21"/>
              </w:rPr>
              <w:t>2次（上午、下午各1次），并如实填写监测记录：</w:t>
            </w:r>
          </w:p>
          <w:tbl>
            <w:tblPr>
              <w:tblInd w:type="dxa" w:w="120"/>
              <w:tblBorders>
                <w:top w:val="none" w:color="000000" w:sz="4"/>
                <w:left w:val="none" w:color="000000" w:sz="4"/>
                <w:bottom w:val="none" w:color="000000" w:sz="4"/>
                <w:right w:val="none" w:color="000000" w:sz="4"/>
                <w:insideH w:val="none"/>
                <w:insideV w:val="none"/>
              </w:tblBorders>
            </w:tblPr>
            <w:tblGrid>
              <w:gridCol w:w="441"/>
              <w:gridCol w:w="441"/>
              <w:gridCol w:w="981"/>
              <w:gridCol w:w="675"/>
            </w:tblGrid>
            <w:tr>
              <w:tc>
                <w:tcPr>
                  <w:tcW w:type="dxa" w:w="441"/>
                  <w:tcBorders>
                    <w:top w:val="single" w:color="000000" w:sz="4"/>
                    <w:left w:val="single" w:color="000000" w:sz="4"/>
                    <w:bottom w:val="single" w:color="000000" w:sz="4"/>
                    <w:right w:val="single" w:color="000000" w:sz="4"/>
                  </w:tcBorders>
                  <w:tcMar>
                    <w:top w:type="dxa" w:w="135"/>
                    <w:left w:type="dxa" w:w="165"/>
                    <w:bottom w:type="dxa" w:w="135"/>
                    <w:right w:type="dxa" w:w="165"/>
                  </w:tcMar>
                  <w:vAlign w:val="top"/>
                </w:tcPr>
                <w:p>
                  <w:pPr>
                    <w:pStyle w:val="null3"/>
                    <w:jc w:val="center"/>
                  </w:pPr>
                  <w:r>
                    <w:rPr>
                      <w:rFonts w:ascii="仿宋_GB2312" w:hAnsi="仿宋_GB2312" w:cs="仿宋_GB2312" w:eastAsia="仿宋_GB2312"/>
                      <w:sz w:val="21"/>
                    </w:rPr>
                    <w:t>序号</w:t>
                  </w:r>
                </w:p>
              </w:tc>
              <w:tc>
                <w:tcPr>
                  <w:tcW w:type="dxa" w:w="441"/>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jc w:val="center"/>
                  </w:pPr>
                  <w:r>
                    <w:rPr>
                      <w:rFonts w:ascii="仿宋_GB2312" w:hAnsi="仿宋_GB2312" w:cs="仿宋_GB2312" w:eastAsia="仿宋_GB2312"/>
                      <w:sz w:val="21"/>
                    </w:rPr>
                    <w:t>监测项</w:t>
                  </w:r>
                </w:p>
              </w:tc>
              <w:tc>
                <w:tcPr>
                  <w:tcW w:type="dxa" w:w="981"/>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jc w:val="center"/>
                  </w:pPr>
                  <w:r>
                    <w:rPr>
                      <w:rFonts w:ascii="仿宋_GB2312" w:hAnsi="仿宋_GB2312" w:cs="仿宋_GB2312" w:eastAsia="仿宋_GB2312"/>
                      <w:sz w:val="21"/>
                    </w:rPr>
                    <w:t>内容要求</w:t>
                  </w:r>
                </w:p>
              </w:tc>
              <w:tc>
                <w:tcPr>
                  <w:tcW w:type="dxa" w:w="675"/>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jc w:val="center"/>
                  </w:pPr>
                  <w:r>
                    <w:rPr>
                      <w:rFonts w:ascii="仿宋_GB2312" w:hAnsi="仿宋_GB2312" w:cs="仿宋_GB2312" w:eastAsia="仿宋_GB2312"/>
                      <w:sz w:val="21"/>
                    </w:rPr>
                    <w:t>合格标准</w:t>
                  </w:r>
                </w:p>
              </w:tc>
            </w:tr>
            <w:tr>
              <w:tc>
                <w:tcPr>
                  <w:tcW w:type="dxa" w:w="441"/>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1</w:t>
                  </w:r>
                </w:p>
              </w:tc>
              <w:tc>
                <w:tcPr>
                  <w:tcW w:type="dxa" w:w="441"/>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视频图像监测</w:t>
                  </w:r>
                </w:p>
              </w:tc>
              <w:tc>
                <w:tcPr>
                  <w:tcW w:type="dxa" w:w="981"/>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全部监控点图像在线状态、画质、云台控制、夜间补光、录像写入</w:t>
                  </w:r>
                </w:p>
              </w:tc>
              <w:tc>
                <w:tcPr>
                  <w:tcW w:type="dxa" w:w="675"/>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图像在线率</w:t>
                  </w:r>
                  <w:r>
                    <w:rPr>
                      <w:rFonts w:ascii="仿宋_GB2312" w:hAnsi="仿宋_GB2312" w:cs="仿宋_GB2312" w:eastAsia="仿宋_GB2312"/>
                      <w:sz w:val="21"/>
                    </w:rPr>
                    <w:t>≥95%</w:t>
                  </w:r>
                </w:p>
              </w:tc>
            </w:tr>
            <w:tr>
              <w:tc>
                <w:tcPr>
                  <w:tcW w:type="dxa" w:w="441"/>
                  <w:tcBorders>
                    <w:top w:val="none" w:color="000000" w:sz="4"/>
                    <w:left w:val="singl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2</w:t>
                  </w:r>
                </w:p>
              </w:tc>
              <w:tc>
                <w:tcPr>
                  <w:tcW w:type="dxa" w:w="441"/>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网络链路监测</w:t>
                  </w:r>
                </w:p>
              </w:tc>
              <w:tc>
                <w:tcPr>
                  <w:tcW w:type="dxa" w:w="981"/>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各中继站及监控点链路连通性、带宽、丢包率</w:t>
                  </w:r>
                </w:p>
              </w:tc>
              <w:tc>
                <w:tcPr>
                  <w:tcW w:type="dxa" w:w="675"/>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链路可用率</w:t>
                  </w:r>
                  <w:r>
                    <w:rPr>
                      <w:rFonts w:ascii="仿宋_GB2312" w:hAnsi="仿宋_GB2312" w:cs="仿宋_GB2312" w:eastAsia="仿宋_GB2312"/>
                      <w:sz w:val="21"/>
                    </w:rPr>
                    <w:t>≥98%</w:t>
                  </w:r>
                </w:p>
              </w:tc>
            </w:tr>
            <w:tr>
              <w:tc>
                <w:tcPr>
                  <w:tcW w:type="dxa" w:w="441"/>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3</w:t>
                  </w:r>
                </w:p>
              </w:tc>
              <w:tc>
                <w:tcPr>
                  <w:tcW w:type="dxa" w:w="441"/>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设备状态监测</w:t>
                  </w:r>
                </w:p>
              </w:tc>
              <w:tc>
                <w:tcPr>
                  <w:tcW w:type="dxa" w:w="981"/>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全部设备在线状态、服务器资源、存储空间、告警信息</w:t>
                  </w:r>
                </w:p>
              </w:tc>
              <w:tc>
                <w:tcPr>
                  <w:tcW w:type="dxa" w:w="675"/>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异常告警及时处置</w:t>
                  </w:r>
                </w:p>
              </w:tc>
            </w:tr>
            <w:tr>
              <w:tc>
                <w:tcPr>
                  <w:tcW w:type="dxa" w:w="441"/>
                  <w:tcBorders>
                    <w:top w:val="none" w:color="000000" w:sz="4"/>
                    <w:left w:val="singl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4</w:t>
                  </w:r>
                </w:p>
              </w:tc>
              <w:tc>
                <w:tcPr>
                  <w:tcW w:type="dxa" w:w="441"/>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供电状态监测</w:t>
                  </w:r>
                </w:p>
              </w:tc>
              <w:tc>
                <w:tcPr>
                  <w:tcW w:type="dxa" w:w="981"/>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太阳能充电状态、蓄电池电压、市电状态、机房</w:t>
                  </w:r>
                  <w:r>
                    <w:rPr>
                      <w:rFonts w:ascii="仿宋_GB2312" w:hAnsi="仿宋_GB2312" w:cs="仿宋_GB2312" w:eastAsia="仿宋_GB2312"/>
                      <w:sz w:val="21"/>
                    </w:rPr>
                    <w:t>UPS</w:t>
                  </w:r>
                </w:p>
              </w:tc>
              <w:tc>
                <w:tcPr>
                  <w:tcW w:type="dxa" w:w="675"/>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无欠压</w:t>
                  </w:r>
                  <w:r>
                    <w:rPr>
                      <w:rFonts w:ascii="仿宋_GB2312" w:hAnsi="仿宋_GB2312" w:cs="仿宋_GB2312" w:eastAsia="仿宋_GB2312"/>
                      <w:sz w:val="21"/>
                    </w:rPr>
                    <w:t>/ 停电告警</w:t>
                  </w:r>
                </w:p>
              </w:tc>
            </w:tr>
          </w:tbl>
          <w:p>
            <w:pPr>
              <w:pStyle w:val="null3"/>
              <w:ind w:firstLine="420"/>
              <w:jc w:val="both"/>
            </w:pPr>
            <w:r>
              <w:rPr>
                <w:rFonts w:ascii="仿宋_GB2312" w:hAnsi="仿宋_GB2312" w:cs="仿宋_GB2312" w:eastAsia="仿宋_GB2312"/>
                <w:sz w:val="21"/>
              </w:rPr>
              <w:t>3.2 按月现场巡检</w:t>
            </w:r>
          </w:p>
          <w:p>
            <w:pPr>
              <w:pStyle w:val="null3"/>
              <w:ind w:firstLine="420"/>
              <w:jc w:val="both"/>
            </w:pPr>
            <w:r>
              <w:rPr>
                <w:rFonts w:ascii="仿宋_GB2312" w:hAnsi="仿宋_GB2312" w:cs="仿宋_GB2312" w:eastAsia="仿宋_GB2312"/>
                <w:sz w:val="21"/>
              </w:rPr>
              <w:t>供应商须按月对全部监控站点和机房开展现场巡检，月度覆盖率</w:t>
            </w:r>
            <w:r>
              <w:rPr>
                <w:rFonts w:ascii="仿宋_GB2312" w:hAnsi="仿宋_GB2312" w:cs="仿宋_GB2312" w:eastAsia="仿宋_GB2312"/>
                <w:sz w:val="21"/>
              </w:rPr>
              <w:t>100%；按季度对中继站点开展巡检；季度覆盖率100%；巡检须留存影像记录并经使用单位（或委托方）确认：</w:t>
            </w:r>
          </w:p>
          <w:tbl>
            <w:tblPr>
              <w:tblInd w:type="dxa" w:w="120"/>
              <w:tblBorders>
                <w:top w:val="none" w:color="000000" w:sz="4"/>
                <w:left w:val="none" w:color="000000" w:sz="4"/>
                <w:bottom w:val="none" w:color="000000" w:sz="4"/>
                <w:right w:val="none" w:color="000000" w:sz="4"/>
                <w:insideH w:val="none"/>
                <w:insideV w:val="none"/>
              </w:tblBorders>
            </w:tblPr>
            <w:tblGrid>
              <w:gridCol w:w="479"/>
              <w:gridCol w:w="2074"/>
            </w:tblGrid>
            <w:tr>
              <w:tc>
                <w:tcPr>
                  <w:tcW w:type="dxa" w:w="479"/>
                  <w:tcBorders>
                    <w:top w:val="single" w:color="000000" w:sz="4"/>
                    <w:left w:val="single" w:color="000000" w:sz="4"/>
                    <w:bottom w:val="single" w:color="000000" w:sz="4"/>
                    <w:right w:val="single" w:color="000000" w:sz="4"/>
                  </w:tcBorders>
                  <w:tcMar>
                    <w:top w:type="dxa" w:w="135"/>
                    <w:left w:type="dxa" w:w="165"/>
                    <w:bottom w:type="dxa" w:w="135"/>
                    <w:right w:type="dxa" w:w="165"/>
                  </w:tcMar>
                  <w:vAlign w:val="top"/>
                </w:tcPr>
                <w:p>
                  <w:pPr>
                    <w:pStyle w:val="null3"/>
                    <w:jc w:val="both"/>
                  </w:pPr>
                  <w:r>
                    <w:rPr>
                      <w:rFonts w:ascii="仿宋_GB2312" w:hAnsi="仿宋_GB2312" w:cs="仿宋_GB2312" w:eastAsia="仿宋_GB2312"/>
                      <w:sz w:val="21"/>
                    </w:rPr>
                    <w:t>巡检对象</w:t>
                  </w:r>
                </w:p>
              </w:tc>
              <w:tc>
                <w:tcPr>
                  <w:tcW w:type="dxa" w:w="2074"/>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jc w:val="center"/>
                  </w:pPr>
                  <w:r>
                    <w:rPr>
                      <w:rFonts w:ascii="仿宋_GB2312" w:hAnsi="仿宋_GB2312" w:cs="仿宋_GB2312" w:eastAsia="仿宋_GB2312"/>
                      <w:sz w:val="21"/>
                    </w:rPr>
                    <w:t>主要巡检内容</w:t>
                  </w:r>
                </w:p>
              </w:tc>
            </w:tr>
            <w:tr>
              <w:tc>
                <w:tcPr>
                  <w:tcW w:type="dxa" w:w="479"/>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both"/>
                  </w:pPr>
                  <w:r>
                    <w:rPr>
                      <w:rFonts w:ascii="仿宋_GB2312" w:hAnsi="仿宋_GB2312" w:cs="仿宋_GB2312" w:eastAsia="仿宋_GB2312"/>
                      <w:sz w:val="21"/>
                    </w:rPr>
                    <w:t>河道监控点</w:t>
                  </w:r>
                </w:p>
              </w:tc>
              <w:tc>
                <w:tcPr>
                  <w:tcW w:type="dxa" w:w="2074"/>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both"/>
                  </w:pPr>
                  <w:r>
                    <w:rPr>
                      <w:rFonts w:ascii="仿宋_GB2312" w:hAnsi="仿宋_GB2312" w:cs="仿宋_GB2312" w:eastAsia="仿宋_GB2312"/>
                      <w:sz w:val="21"/>
                    </w:rPr>
                    <w:t>镜头清洁、云台测试、护罩密封；太阳能板清洁及角度检查、蓄电池电压测量及外观检查、控制器状态；天线对准、接口防水；防雷器状态、接地构件检测、立杆基础检查、设备箱密封、视野遮挡清理；市电力设施及线路检修、配件线缆服务，光缆线路的测试、维护等。</w:t>
                  </w:r>
                </w:p>
              </w:tc>
            </w:tr>
            <w:tr>
              <w:tc>
                <w:tcPr>
                  <w:tcW w:type="dxa" w:w="479"/>
                  <w:tcBorders>
                    <w:top w:val="none" w:color="000000" w:sz="4"/>
                    <w:left w:val="single" w:color="000000" w:sz="4"/>
                    <w:bottom w:val="single" w:color="000000" w:sz="4"/>
                    <w:right w:val="single" w:color="000000" w:sz="4"/>
                  </w:tcBorders>
                  <w:tcMar>
                    <w:top w:type="dxa" w:w="120"/>
                    <w:left w:type="dxa" w:w="165"/>
                    <w:bottom w:type="dxa" w:w="120"/>
                    <w:right w:type="dxa" w:w="165"/>
                  </w:tcMar>
                  <w:vAlign w:val="top"/>
                </w:tcPr>
                <w:p>
                  <w:pPr>
                    <w:pStyle w:val="null3"/>
                    <w:jc w:val="both"/>
                  </w:pPr>
                  <w:r>
                    <w:rPr>
                      <w:rFonts w:ascii="仿宋_GB2312" w:hAnsi="仿宋_GB2312" w:cs="仿宋_GB2312" w:eastAsia="仿宋_GB2312"/>
                      <w:sz w:val="21"/>
                    </w:rPr>
                    <w:t>山顶中继站</w:t>
                  </w:r>
                </w:p>
              </w:tc>
              <w:tc>
                <w:tcPr>
                  <w:tcW w:type="dxa" w:w="2074"/>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both"/>
                  </w:pPr>
                  <w:r>
                    <w:rPr>
                      <w:rFonts w:ascii="仿宋_GB2312" w:hAnsi="仿宋_GB2312" w:cs="仿宋_GB2312" w:eastAsia="仿宋_GB2312"/>
                      <w:sz w:val="21"/>
                    </w:rPr>
                    <w:t>主</w:t>
                  </w:r>
                  <w:r>
                    <w:rPr>
                      <w:rFonts w:ascii="仿宋_GB2312" w:hAnsi="仿宋_GB2312" w:cs="仿宋_GB2312" w:eastAsia="仿宋_GB2312"/>
                      <w:sz w:val="21"/>
                    </w:rPr>
                    <w:t>/ 备无线设备切换测试、天线紧固微调、交换机检查；太阳能板阵列清洁检查、蓄电池组测量、控制器参数记录；机柜密封防潮、防雷接地、铁塔结构及基础检查。</w:t>
                  </w:r>
                </w:p>
              </w:tc>
            </w:tr>
            <w:tr>
              <w:tc>
                <w:tcPr>
                  <w:tcW w:type="dxa" w:w="479"/>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both"/>
                  </w:pPr>
                  <w:r>
                    <w:rPr>
                      <w:rFonts w:ascii="仿宋_GB2312" w:hAnsi="仿宋_GB2312" w:cs="仿宋_GB2312" w:eastAsia="仿宋_GB2312"/>
                      <w:sz w:val="21"/>
                    </w:rPr>
                    <w:t>中心机房</w:t>
                  </w:r>
                </w:p>
              </w:tc>
              <w:tc>
                <w:tcPr>
                  <w:tcW w:type="dxa" w:w="2074"/>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both"/>
                  </w:pPr>
                  <w:r>
                    <w:rPr>
                      <w:rFonts w:ascii="仿宋_GB2312" w:hAnsi="仿宋_GB2312" w:cs="仿宋_GB2312" w:eastAsia="仿宋_GB2312"/>
                      <w:sz w:val="21"/>
                    </w:rPr>
                    <w:t>服务器及存储运行检查、硬盘健康检测、存储空间清理、配置备份；网络设备状态检查；</w:t>
                  </w:r>
                  <w:r>
                    <w:rPr>
                      <w:rFonts w:ascii="仿宋_GB2312" w:hAnsi="仿宋_GB2312" w:cs="仿宋_GB2312" w:eastAsia="仿宋_GB2312"/>
                      <w:sz w:val="21"/>
                    </w:rPr>
                    <w:t>UPS 切换测试、消防设施检查、防雷接地检测、机房清洁。</w:t>
                  </w:r>
                </w:p>
              </w:tc>
            </w:tr>
          </w:tbl>
          <w:p>
            <w:pPr>
              <w:pStyle w:val="null3"/>
              <w:ind w:firstLine="420"/>
              <w:jc w:val="both"/>
            </w:pPr>
            <w:r>
              <w:rPr>
                <w:rFonts w:ascii="仿宋_GB2312" w:hAnsi="仿宋_GB2312" w:cs="仿宋_GB2312" w:eastAsia="仿宋_GB2312"/>
                <w:sz w:val="21"/>
              </w:rPr>
              <w:t>3.3 故障维修与应急响应</w:t>
            </w:r>
          </w:p>
          <w:tbl>
            <w:tblPr>
              <w:tblInd w:type="dxa" w:w="120"/>
              <w:tblBorders>
                <w:top w:val="none" w:color="000000" w:sz="4"/>
                <w:left w:val="none" w:color="000000" w:sz="4"/>
                <w:bottom w:val="none" w:color="000000" w:sz="4"/>
                <w:right w:val="none" w:color="000000" w:sz="4"/>
                <w:insideH w:val="none"/>
                <w:insideV w:val="none"/>
              </w:tblBorders>
            </w:tblPr>
            <w:tblGrid>
              <w:gridCol w:w="611"/>
              <w:gridCol w:w="567"/>
              <w:gridCol w:w="393"/>
              <w:gridCol w:w="502"/>
              <w:gridCol w:w="480"/>
            </w:tblGrid>
            <w:tr>
              <w:tc>
                <w:tcPr>
                  <w:tcW w:type="dxa" w:w="611"/>
                  <w:tcBorders>
                    <w:top w:val="single" w:color="000000" w:sz="4"/>
                    <w:left w:val="singl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rPr>
                    <w:t>故障级别</w:t>
                  </w:r>
                </w:p>
              </w:tc>
              <w:tc>
                <w:tcPr>
                  <w:tcW w:type="dxa" w:w="567"/>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rPr>
                    <w:t>界定</w:t>
                  </w:r>
                </w:p>
              </w:tc>
              <w:tc>
                <w:tcPr>
                  <w:tcW w:type="dxa" w:w="393"/>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rPr>
                    <w:t>响应时间</w:t>
                  </w:r>
                </w:p>
              </w:tc>
              <w:tc>
                <w:tcPr>
                  <w:tcW w:type="dxa" w:w="502"/>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rPr>
                    <w:t>到场时间</w:t>
                  </w:r>
                </w:p>
              </w:tc>
              <w:tc>
                <w:tcPr>
                  <w:tcW w:type="dxa" w:w="480"/>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rPr>
                    <w:t>恢复时间</w:t>
                  </w:r>
                </w:p>
              </w:tc>
            </w:tr>
            <w:tr>
              <w:tc>
                <w:tcPr>
                  <w:tcW w:type="dxa" w:w="611"/>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一级（紧急）</w:t>
                  </w:r>
                </w:p>
              </w:tc>
              <w:tc>
                <w:tcPr>
                  <w:tcW w:type="dxa" w:w="567"/>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中心机房系统中断、多站点同时离线、关键中继断链</w:t>
                  </w:r>
                </w:p>
              </w:tc>
              <w:tc>
                <w:tcPr>
                  <w:tcW w:type="dxa" w:w="393"/>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≤15 分钟</w:t>
                  </w:r>
                </w:p>
              </w:tc>
              <w:tc>
                <w:tcPr>
                  <w:tcW w:type="dxa" w:w="502"/>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≤24小时</w:t>
                  </w:r>
                </w:p>
              </w:tc>
              <w:tc>
                <w:tcPr>
                  <w:tcW w:type="dxa" w:w="480"/>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≤48小时</w:t>
                  </w:r>
                </w:p>
              </w:tc>
            </w:tr>
            <w:tr>
              <w:tc>
                <w:tcPr>
                  <w:tcW w:type="dxa" w:w="611"/>
                  <w:tcBorders>
                    <w:top w:val="none" w:color="000000" w:sz="4"/>
                    <w:left w:val="singl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二级（严重）</w:t>
                  </w:r>
                </w:p>
              </w:tc>
              <w:tc>
                <w:tcPr>
                  <w:tcW w:type="dxa" w:w="567"/>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单站点设备故障、单点供电异常</w:t>
                  </w:r>
                </w:p>
              </w:tc>
              <w:tc>
                <w:tcPr>
                  <w:tcW w:type="dxa" w:w="393"/>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≤30 分钟</w:t>
                  </w:r>
                </w:p>
              </w:tc>
              <w:tc>
                <w:tcPr>
                  <w:tcW w:type="dxa" w:w="502"/>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≤36小时</w:t>
                  </w:r>
                </w:p>
              </w:tc>
              <w:tc>
                <w:tcPr>
                  <w:tcW w:type="dxa" w:w="480"/>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≤72小时</w:t>
                  </w:r>
                </w:p>
              </w:tc>
            </w:tr>
            <w:tr>
              <w:tc>
                <w:tcPr>
                  <w:tcW w:type="dxa" w:w="611"/>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三级（一般）</w:t>
                  </w:r>
                </w:p>
              </w:tc>
              <w:tc>
                <w:tcPr>
                  <w:tcW w:type="dxa" w:w="567"/>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性能下降、非核心功能异常</w:t>
                  </w:r>
                </w:p>
              </w:tc>
              <w:tc>
                <w:tcPr>
                  <w:tcW w:type="dxa" w:w="393"/>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≤1 小时</w:t>
                  </w:r>
                </w:p>
              </w:tc>
              <w:tc>
                <w:tcPr>
                  <w:tcW w:type="dxa" w:w="502"/>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下次巡检</w:t>
                  </w:r>
                </w:p>
              </w:tc>
              <w:tc>
                <w:tcPr>
                  <w:tcW w:type="dxa" w:w="480"/>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≤48 小时</w:t>
                  </w:r>
                </w:p>
              </w:tc>
            </w:tr>
          </w:tbl>
          <w:p>
            <w:pPr>
              <w:pStyle w:val="null3"/>
              <w:ind w:firstLine="420"/>
              <w:jc w:val="both"/>
            </w:pPr>
            <w:r>
              <w:rPr>
                <w:rFonts w:ascii="仿宋_GB2312" w:hAnsi="仿宋_GB2312" w:cs="仿宋_GB2312" w:eastAsia="仿宋_GB2312"/>
                <w:sz w:val="21"/>
              </w:rPr>
              <w:t>雨季、雷暴、大风、暴雪等恶劣天气期间须增加远程监测频次，天气过程结束后须及时排查统计离线站点并优先抢修；雷雨季节（</w:t>
            </w:r>
            <w:r>
              <w:rPr>
                <w:rFonts w:ascii="仿宋_GB2312" w:hAnsi="仿宋_GB2312" w:cs="仿宋_GB2312" w:eastAsia="仿宋_GB2312"/>
                <w:sz w:val="21"/>
              </w:rPr>
              <w:t>6~9月）巡检须重点检查设施。</w:t>
            </w:r>
          </w:p>
          <w:p>
            <w:pPr>
              <w:pStyle w:val="null3"/>
              <w:ind w:firstLine="420"/>
              <w:jc w:val="both"/>
            </w:pPr>
            <w:r>
              <w:rPr>
                <w:rFonts w:ascii="仿宋_GB2312" w:hAnsi="仿宋_GB2312" w:cs="仿宋_GB2312" w:eastAsia="仿宋_GB2312"/>
                <w:sz w:val="21"/>
              </w:rPr>
              <w:t>3.4 备品备件</w:t>
            </w:r>
          </w:p>
          <w:p>
            <w:pPr>
              <w:pStyle w:val="null3"/>
              <w:ind w:firstLine="420"/>
              <w:jc w:val="both"/>
            </w:pPr>
            <w:r>
              <w:rPr>
                <w:rFonts w:ascii="仿宋_GB2312" w:hAnsi="仿宋_GB2312" w:cs="仿宋_GB2312" w:eastAsia="仿宋_GB2312"/>
                <w:sz w:val="21"/>
              </w:rPr>
              <w:t>供应商须自备常用备品备件（含摄像机、无线设备、交换机、太阳能控制器、蓄电池、防雷模块、硬盘等），发生故障时先行更换保障系统运行，备件费用含在服务报价内。备件出入库须建立台账。</w:t>
            </w:r>
          </w:p>
          <w:p>
            <w:pPr>
              <w:pStyle w:val="null3"/>
              <w:ind w:firstLine="420"/>
              <w:jc w:val="both"/>
            </w:pPr>
            <w:r>
              <w:rPr>
                <w:rFonts w:ascii="仿宋_GB2312" w:hAnsi="仿宋_GB2312" w:cs="仿宋_GB2312" w:eastAsia="仿宋_GB2312"/>
                <w:sz w:val="21"/>
              </w:rPr>
              <w:t>3.5 电费缴纳</w:t>
            </w:r>
          </w:p>
          <w:p>
            <w:pPr>
              <w:pStyle w:val="null3"/>
              <w:ind w:firstLine="420"/>
              <w:jc w:val="both"/>
            </w:pPr>
            <w:r>
              <w:rPr>
                <w:rFonts w:ascii="仿宋_GB2312" w:hAnsi="仿宋_GB2312" w:cs="仿宋_GB2312" w:eastAsia="仿宋_GB2312"/>
                <w:sz w:val="21"/>
              </w:rPr>
              <w:t>提供清缴设备电费（陈河河道、水苑山庄、沙梁子（</w:t>
            </w:r>
            <w:r>
              <w:rPr>
                <w:rFonts w:ascii="仿宋_GB2312" w:hAnsi="仿宋_GB2312" w:cs="仿宋_GB2312" w:eastAsia="仿宋_GB2312"/>
                <w:sz w:val="21"/>
              </w:rPr>
              <w:t>61号中继）、32KM、25KM、厚畛子河道、钓鱼台）。</w:t>
            </w:r>
          </w:p>
          <w:p>
            <w:pPr>
              <w:pStyle w:val="null3"/>
              <w:ind w:firstLine="420"/>
              <w:jc w:val="both"/>
            </w:pPr>
            <w:r>
              <w:rPr>
                <w:rFonts w:ascii="仿宋_GB2312" w:hAnsi="仿宋_GB2312" w:cs="仿宋_GB2312" w:eastAsia="仿宋_GB2312"/>
                <w:sz w:val="21"/>
              </w:rPr>
              <w:t>3.6 技术支持</w:t>
            </w:r>
          </w:p>
          <w:p>
            <w:pPr>
              <w:pStyle w:val="null3"/>
            </w:pPr>
            <w:r>
              <w:rPr>
                <w:rFonts w:ascii="仿宋_GB2312" w:hAnsi="仿宋_GB2312" w:cs="仿宋_GB2312" w:eastAsia="仿宋_GB2312"/>
                <w:sz w:val="21"/>
              </w:rPr>
              <w:t>提供技术接口、政务云对接、云资源申请、平台部署对接等技术支撑和其他采购人交办的事宜。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四、服务考核指标</w:t>
            </w:r>
          </w:p>
          <w:tbl>
            <w:tblPr>
              <w:tblInd w:type="dxa" w:w="120"/>
              <w:tblBorders>
                <w:top w:val="none" w:color="000000" w:sz="4"/>
                <w:left w:val="none" w:color="000000" w:sz="4"/>
                <w:bottom w:val="none" w:color="000000" w:sz="4"/>
                <w:right w:val="none" w:color="000000" w:sz="4"/>
                <w:insideH w:val="none"/>
                <w:insideV w:val="none"/>
              </w:tblBorders>
            </w:tblPr>
            <w:tblGrid>
              <w:gridCol w:w="476"/>
              <w:gridCol w:w="1124"/>
              <w:gridCol w:w="952"/>
            </w:tblGrid>
            <w:tr>
              <w:tc>
                <w:tcPr>
                  <w:tcW w:type="dxa" w:w="476"/>
                  <w:tcBorders>
                    <w:top w:val="single" w:color="000000" w:sz="4"/>
                    <w:left w:val="singl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b/>
                    </w:rPr>
                    <w:t>序号</w:t>
                  </w:r>
                </w:p>
              </w:tc>
              <w:tc>
                <w:tcPr>
                  <w:tcW w:type="dxa" w:w="1124"/>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b/>
                    </w:rPr>
                    <w:t>考核指标</w:t>
                  </w:r>
                </w:p>
              </w:tc>
              <w:tc>
                <w:tcPr>
                  <w:tcW w:type="dxa" w:w="952"/>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b/>
                    </w:rPr>
                    <w:t>标准</w:t>
                  </w:r>
                </w:p>
              </w:tc>
            </w:tr>
            <w:tr>
              <w:tc>
                <w:tcPr>
                  <w:tcW w:type="dxa" w:w="476"/>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1</w:t>
                  </w:r>
                </w:p>
              </w:tc>
              <w:tc>
                <w:tcPr>
                  <w:tcW w:type="dxa" w:w="1124"/>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系统在线率</w:t>
                  </w:r>
                </w:p>
              </w:tc>
              <w:tc>
                <w:tcPr>
                  <w:tcW w:type="dxa" w:w="952"/>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≥99%</w:t>
                  </w:r>
                </w:p>
              </w:tc>
            </w:tr>
            <w:tr>
              <w:tc>
                <w:tcPr>
                  <w:tcW w:type="dxa" w:w="476"/>
                  <w:tcBorders>
                    <w:top w:val="none" w:color="000000" w:sz="4"/>
                    <w:left w:val="singl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2</w:t>
                  </w:r>
                </w:p>
              </w:tc>
              <w:tc>
                <w:tcPr>
                  <w:tcW w:type="dxa" w:w="1124"/>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视频图像可用率</w:t>
                  </w:r>
                </w:p>
              </w:tc>
              <w:tc>
                <w:tcPr>
                  <w:tcW w:type="dxa" w:w="952"/>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≥95%</w:t>
                  </w:r>
                </w:p>
              </w:tc>
            </w:tr>
            <w:tr>
              <w:tc>
                <w:tcPr>
                  <w:tcW w:type="dxa" w:w="476"/>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3</w:t>
                  </w:r>
                </w:p>
              </w:tc>
              <w:tc>
                <w:tcPr>
                  <w:tcW w:type="dxa" w:w="1124"/>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通信链路可用率</w:t>
                  </w:r>
                </w:p>
              </w:tc>
              <w:tc>
                <w:tcPr>
                  <w:tcW w:type="dxa" w:w="952"/>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≥98%</w:t>
                  </w:r>
                </w:p>
              </w:tc>
            </w:tr>
            <w:tr>
              <w:tc>
                <w:tcPr>
                  <w:tcW w:type="dxa" w:w="476"/>
                  <w:tcBorders>
                    <w:top w:val="none" w:color="000000" w:sz="4"/>
                    <w:left w:val="singl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4</w:t>
                  </w:r>
                </w:p>
              </w:tc>
              <w:tc>
                <w:tcPr>
                  <w:tcW w:type="dxa" w:w="1124"/>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故障响应及时率</w:t>
                  </w:r>
                </w:p>
              </w:tc>
              <w:tc>
                <w:tcPr>
                  <w:tcW w:type="dxa" w:w="952"/>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100% （按分级时限）</w:t>
                  </w:r>
                </w:p>
              </w:tc>
            </w:tr>
            <w:tr>
              <w:tc>
                <w:tcPr>
                  <w:tcW w:type="dxa" w:w="476"/>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5</w:t>
                  </w:r>
                </w:p>
              </w:tc>
              <w:tc>
                <w:tcPr>
                  <w:tcW w:type="dxa" w:w="1124"/>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故障恢复达标率</w:t>
                  </w:r>
                </w:p>
              </w:tc>
              <w:tc>
                <w:tcPr>
                  <w:tcW w:type="dxa" w:w="952"/>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≥95% （按分级时限）</w:t>
                  </w:r>
                </w:p>
              </w:tc>
            </w:tr>
            <w:tr>
              <w:tc>
                <w:tcPr>
                  <w:tcW w:type="dxa" w:w="476"/>
                  <w:tcBorders>
                    <w:top w:val="none" w:color="000000" w:sz="4"/>
                    <w:left w:val="singl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6</w:t>
                  </w:r>
                </w:p>
              </w:tc>
              <w:tc>
                <w:tcPr>
                  <w:tcW w:type="dxa" w:w="1124"/>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月度巡检覆盖率</w:t>
                  </w:r>
                </w:p>
              </w:tc>
              <w:tc>
                <w:tcPr>
                  <w:tcW w:type="dxa" w:w="952"/>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100%</w:t>
                  </w:r>
                </w:p>
              </w:tc>
            </w:tr>
            <w:tr>
              <w:tc>
                <w:tcPr>
                  <w:tcW w:type="dxa" w:w="476"/>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7</w:t>
                  </w:r>
                </w:p>
              </w:tc>
              <w:tc>
                <w:tcPr>
                  <w:tcW w:type="dxa" w:w="1124"/>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每日监测完成率</w:t>
                  </w:r>
                </w:p>
              </w:tc>
              <w:tc>
                <w:tcPr>
                  <w:tcW w:type="dxa" w:w="952"/>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100%</w:t>
                  </w:r>
                </w:p>
              </w:tc>
            </w:tr>
            <w:tr>
              <w:tc>
                <w:tcPr>
                  <w:tcW w:type="dxa" w:w="476"/>
                  <w:tcBorders>
                    <w:top w:val="none" w:color="000000" w:sz="4"/>
                    <w:left w:val="singl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8</w:t>
                  </w:r>
                </w:p>
              </w:tc>
              <w:tc>
                <w:tcPr>
                  <w:tcW w:type="dxa" w:w="1124"/>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报告提交及时率</w:t>
                  </w:r>
                </w:p>
              </w:tc>
              <w:tc>
                <w:tcPr>
                  <w:tcW w:type="dxa" w:w="952"/>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100%</w:t>
                  </w:r>
                </w:p>
              </w:tc>
            </w:tr>
          </w:tbl>
          <w:p>
            <w:pPr>
              <w:pStyle w:val="null3"/>
            </w:pPr>
            <w:r>
              <w:rPr>
                <w:rFonts w:ascii="仿宋_GB2312" w:hAnsi="仿宋_GB2312" w:cs="仿宋_GB2312" w:eastAsia="仿宋_GB2312"/>
                <w:sz w:val="21"/>
              </w:rPr>
              <w:t>如</w:t>
            </w:r>
            <w:r>
              <w:rPr>
                <w:rFonts w:ascii="仿宋_GB2312" w:hAnsi="仿宋_GB2312" w:cs="仿宋_GB2312" w:eastAsia="仿宋_GB2312"/>
                <w:sz w:val="21"/>
              </w:rPr>
              <w:t>"月度考核不达标的按比例扣减当月服务费"，具体比例由采购人确定。</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五、人员配置要求</w:t>
            </w:r>
          </w:p>
          <w:p>
            <w:pPr>
              <w:pStyle w:val="null3"/>
              <w:ind w:firstLine="420"/>
              <w:jc w:val="both"/>
            </w:pPr>
            <w:r>
              <w:rPr>
                <w:rFonts w:ascii="仿宋_GB2312" w:hAnsi="仿宋_GB2312" w:cs="仿宋_GB2312" w:eastAsia="仿宋_GB2312"/>
                <w:sz w:val="21"/>
              </w:rPr>
              <w:t>应建立运维组织团队，配备与项目相关工作经验和资质人员，设立岗位及职责，与本项目相适。</w:t>
            </w:r>
          </w:p>
          <w:tbl>
            <w:tblPr>
              <w:tblInd w:type="dxa" w:w="120"/>
              <w:tblBorders>
                <w:top w:val="none" w:color="000000" w:sz="4"/>
                <w:left w:val="none" w:color="000000" w:sz="4"/>
                <w:bottom w:val="none" w:color="000000" w:sz="4"/>
                <w:right w:val="none" w:color="000000" w:sz="4"/>
                <w:insideH w:val="none"/>
                <w:insideV w:val="none"/>
              </w:tblBorders>
            </w:tblPr>
            <w:tblGrid>
              <w:gridCol w:w="476"/>
              <w:gridCol w:w="648"/>
              <w:gridCol w:w="1429"/>
            </w:tblGrid>
            <w:tr>
              <w:tc>
                <w:tcPr>
                  <w:tcW w:type="dxa" w:w="476"/>
                  <w:tcBorders>
                    <w:top w:val="single" w:color="000000" w:sz="4"/>
                    <w:left w:val="singl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b/>
                    </w:rPr>
                    <w:t>岗位</w:t>
                  </w:r>
                </w:p>
              </w:tc>
              <w:tc>
                <w:tcPr>
                  <w:tcW w:type="dxa" w:w="648"/>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b/>
                    </w:rPr>
                    <w:t>人数</w:t>
                  </w:r>
                </w:p>
              </w:tc>
              <w:tc>
                <w:tcPr>
                  <w:tcW w:type="dxa" w:w="1429"/>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b/>
                    </w:rPr>
                    <w:t>要求</w:t>
                  </w:r>
                </w:p>
              </w:tc>
            </w:tr>
            <w:tr>
              <w:tc>
                <w:tcPr>
                  <w:tcW w:type="dxa" w:w="476"/>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项目负责人</w:t>
                  </w:r>
                </w:p>
              </w:tc>
              <w:tc>
                <w:tcPr>
                  <w:tcW w:type="dxa" w:w="648"/>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1 人</w:t>
                  </w:r>
                </w:p>
              </w:tc>
              <w:tc>
                <w:tcPr>
                  <w:tcW w:type="dxa" w:w="1429"/>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具有信息系统或弱电运维项目管理经验，负责统筹调度、报告审核、重大故障处置，提供信息系统相关资质</w:t>
                  </w:r>
                </w:p>
              </w:tc>
            </w:tr>
            <w:tr>
              <w:tc>
                <w:tcPr>
                  <w:tcW w:type="dxa" w:w="476"/>
                  <w:tcBorders>
                    <w:top w:val="none" w:color="000000" w:sz="4"/>
                    <w:left w:val="singl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远程监测值班员</w:t>
                  </w:r>
                </w:p>
              </w:tc>
              <w:tc>
                <w:tcPr>
                  <w:tcW w:type="dxa" w:w="648"/>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≥1 人</w:t>
                  </w:r>
                </w:p>
              </w:tc>
              <w:tc>
                <w:tcPr>
                  <w:tcW w:type="dxa" w:w="1429"/>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熟悉监控平台及网管系统、软件技术，负责每日远程监测、告警跟踪、工单记录，提供信息系统相关资质</w:t>
                  </w:r>
                </w:p>
              </w:tc>
            </w:tr>
            <w:tr>
              <w:tc>
                <w:tcPr>
                  <w:tcW w:type="dxa" w:w="476"/>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现场运维工程师</w:t>
                  </w:r>
                </w:p>
              </w:tc>
              <w:tc>
                <w:tcPr>
                  <w:tcW w:type="dxa" w:w="648"/>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≥3人</w:t>
                  </w:r>
                </w:p>
              </w:tc>
              <w:tc>
                <w:tcPr>
                  <w:tcW w:type="dxa" w:w="1429"/>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熟悉视频监控、无线设备网络通信、太阳能供电系统维护，能独立完成现场巡检与故障维修，提供网络工程师、低压电工证等相关资质</w:t>
                  </w:r>
                </w:p>
              </w:tc>
            </w:tr>
          </w:tbl>
          <w:p>
            <w:pPr>
              <w:pStyle w:val="null3"/>
            </w:pPr>
            <w:r>
              <w:rPr>
                <w:rFonts w:ascii="仿宋_GB2312" w:hAnsi="仿宋_GB2312" w:cs="仿宋_GB2312" w:eastAsia="仿宋_GB2312"/>
                <w:sz w:val="21"/>
              </w:rPr>
              <w:t>人员须保持相对稳定，项目负责人及主要技术人员变更须提前告知采购人并做好交接。</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b/>
              </w:rPr>
              <w:t>六、交付成果要求</w:t>
            </w:r>
          </w:p>
          <w:tbl>
            <w:tblPr>
              <w:tblInd w:type="dxa" w:w="120"/>
              <w:tblBorders>
                <w:top w:val="none" w:color="000000" w:sz="4"/>
                <w:left w:val="none" w:color="000000" w:sz="4"/>
                <w:bottom w:val="none" w:color="000000" w:sz="4"/>
                <w:right w:val="none" w:color="000000" w:sz="4"/>
                <w:insideH w:val="none"/>
                <w:insideV w:val="none"/>
              </w:tblBorders>
            </w:tblPr>
            <w:tblGrid>
              <w:gridCol w:w="469"/>
              <w:gridCol w:w="469"/>
              <w:gridCol w:w="599"/>
              <w:gridCol w:w="1016"/>
            </w:tblGrid>
            <w:tr>
              <w:tc>
                <w:tcPr>
                  <w:tcW w:type="dxa" w:w="469"/>
                  <w:tcBorders>
                    <w:top w:val="single" w:color="000000" w:sz="4"/>
                    <w:left w:val="singl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b/>
                    </w:rPr>
                    <w:t>序号</w:t>
                  </w:r>
                </w:p>
              </w:tc>
              <w:tc>
                <w:tcPr>
                  <w:tcW w:type="dxa" w:w="469"/>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b/>
                    </w:rPr>
                    <w:t>交付物</w:t>
                  </w:r>
                </w:p>
              </w:tc>
              <w:tc>
                <w:tcPr>
                  <w:tcW w:type="dxa" w:w="599"/>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b/>
                    </w:rPr>
                    <w:t>频次</w:t>
                  </w:r>
                </w:p>
              </w:tc>
              <w:tc>
                <w:tcPr>
                  <w:tcW w:type="dxa" w:w="1016"/>
                  <w:tcBorders>
                    <w:top w:val="single" w:color="000000" w:sz="4"/>
                    <w:left w:val="none" w:color="000000" w:sz="4"/>
                    <w:bottom w:val="single" w:color="000000" w:sz="4"/>
                    <w:right w:val="single" w:color="000000" w:sz="4"/>
                  </w:tcBorders>
                  <w:tcMar>
                    <w:top w:type="dxa" w:w="135"/>
                    <w:left w:type="dxa" w:w="165"/>
                    <w:bottom w:type="dxa" w:w="135"/>
                    <w:right w:type="dxa" w:w="165"/>
                  </w:tcMar>
                  <w:vAlign w:val="top"/>
                </w:tcPr>
                <w:p>
                  <w:pPr>
                    <w:pStyle w:val="null3"/>
                    <w:spacing w:before="60" w:after="60"/>
                    <w:jc w:val="center"/>
                  </w:pPr>
                  <w:r>
                    <w:rPr>
                      <w:rFonts w:ascii="仿宋_GB2312" w:hAnsi="仿宋_GB2312" w:cs="仿宋_GB2312" w:eastAsia="仿宋_GB2312"/>
                      <w:sz w:val="21"/>
                      <w:b/>
                    </w:rPr>
                    <w:t>要求</w:t>
                  </w:r>
                </w:p>
              </w:tc>
            </w:tr>
            <w:tr>
              <w:tc>
                <w:tcPr>
                  <w:tcW w:type="dxa" w:w="469"/>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1</w:t>
                  </w:r>
                </w:p>
              </w:tc>
              <w:tc>
                <w:tcPr>
                  <w:tcW w:type="dxa" w:w="469"/>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每日远程监测记录</w:t>
                  </w:r>
                </w:p>
              </w:tc>
              <w:tc>
                <w:tcPr>
                  <w:tcW w:type="dxa" w:w="599"/>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每日</w:t>
                  </w:r>
                </w:p>
              </w:tc>
              <w:tc>
                <w:tcPr>
                  <w:tcW w:type="dxa" w:w="1016"/>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记录视频</w:t>
                  </w:r>
                  <w:r>
                    <w:rPr>
                      <w:rFonts w:ascii="仿宋_GB2312" w:hAnsi="仿宋_GB2312" w:cs="仿宋_GB2312" w:eastAsia="仿宋_GB2312"/>
                      <w:sz w:val="21"/>
                    </w:rPr>
                    <w:t>/ 网络 / 设备 / 供电 / 监测结果及异常处理情况</w:t>
                  </w:r>
                </w:p>
              </w:tc>
            </w:tr>
            <w:tr>
              <w:tc>
                <w:tcPr>
                  <w:tcW w:type="dxa" w:w="469"/>
                  <w:tcBorders>
                    <w:top w:val="none" w:color="000000" w:sz="4"/>
                    <w:left w:val="singl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2</w:t>
                  </w:r>
                </w:p>
              </w:tc>
              <w:tc>
                <w:tcPr>
                  <w:tcW w:type="dxa" w:w="469"/>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故障处理工单</w:t>
                  </w:r>
                </w:p>
              </w:tc>
              <w:tc>
                <w:tcPr>
                  <w:tcW w:type="dxa" w:w="599"/>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按需</w:t>
                  </w:r>
                </w:p>
              </w:tc>
              <w:tc>
                <w:tcPr>
                  <w:tcW w:type="dxa" w:w="1016"/>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故障描述、定级、处置过程、恢复时间、原因分析</w:t>
                  </w:r>
                </w:p>
              </w:tc>
            </w:tr>
            <w:tr>
              <w:tc>
                <w:tcPr>
                  <w:tcW w:type="dxa" w:w="469"/>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3</w:t>
                  </w:r>
                </w:p>
              </w:tc>
              <w:tc>
                <w:tcPr>
                  <w:tcW w:type="dxa" w:w="469"/>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现场巡检记录表</w:t>
                  </w:r>
                </w:p>
              </w:tc>
              <w:tc>
                <w:tcPr>
                  <w:tcW w:type="dxa" w:w="599"/>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每月</w:t>
                  </w:r>
                  <w:r>
                    <w:rPr>
                      <w:rFonts w:ascii="仿宋_GB2312" w:hAnsi="仿宋_GB2312" w:cs="仿宋_GB2312" w:eastAsia="仿宋_GB2312"/>
                      <w:sz w:val="21"/>
                    </w:rPr>
                    <w:t>/季度</w:t>
                  </w:r>
                </w:p>
              </w:tc>
              <w:tc>
                <w:tcPr>
                  <w:tcW w:type="dxa" w:w="1016"/>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逐站点巡检结果、维修更换记录，附影像及签字确认</w:t>
                  </w:r>
                </w:p>
              </w:tc>
            </w:tr>
            <w:tr>
              <w:tc>
                <w:tcPr>
                  <w:tcW w:type="dxa" w:w="469"/>
                  <w:tcBorders>
                    <w:top w:val="none" w:color="000000" w:sz="4"/>
                    <w:left w:val="singl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4</w:t>
                  </w:r>
                </w:p>
              </w:tc>
              <w:tc>
                <w:tcPr>
                  <w:tcW w:type="dxa" w:w="469"/>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运维月报</w:t>
                  </w:r>
                </w:p>
              </w:tc>
              <w:tc>
                <w:tcPr>
                  <w:tcW w:type="dxa" w:w="599"/>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每月</w:t>
                  </w:r>
                </w:p>
              </w:tc>
              <w:tc>
                <w:tcPr>
                  <w:tcW w:type="dxa" w:w="1016"/>
                  <w:tcBorders>
                    <w:top w:val="none" w:color="000000" w:sz="4"/>
                    <w:left w:val="none" w:color="000000" w:sz="4"/>
                    <w:bottom w:val="single" w:color="000000" w:sz="4"/>
                    <w:right w:val="single" w:color="000000" w:sz="4"/>
                  </w:tcBorders>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系统运行统计、故障汇总分析、巡检完成情况、下月计划</w:t>
                  </w:r>
                </w:p>
              </w:tc>
            </w:tr>
            <w:tr>
              <w:tc>
                <w:tcPr>
                  <w:tcW w:type="dxa" w:w="469"/>
                  <w:tcBorders>
                    <w:top w:val="none" w:color="000000" w:sz="4"/>
                    <w:left w:val="singl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5</w:t>
                  </w:r>
                </w:p>
              </w:tc>
              <w:tc>
                <w:tcPr>
                  <w:tcW w:type="dxa" w:w="469"/>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运维年度总结报告</w:t>
                  </w:r>
                </w:p>
              </w:tc>
              <w:tc>
                <w:tcPr>
                  <w:tcW w:type="dxa" w:w="599"/>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每年</w:t>
                  </w:r>
                </w:p>
              </w:tc>
              <w:tc>
                <w:tcPr>
                  <w:tcW w:type="dxa" w:w="1016"/>
                  <w:tcBorders>
                    <w:top w:val="none" w:color="000000" w:sz="4"/>
                    <w:left w:val="none" w:color="000000" w:sz="4"/>
                    <w:bottom w:val="single" w:color="000000" w:sz="4"/>
                    <w:right w:val="single" w:color="000000" w:sz="4"/>
                  </w:tcBorders>
                  <w:shd w:fill="F8FBFD"/>
                  <w:tcMar>
                    <w:top w:type="dxa" w:w="120"/>
                    <w:left w:type="dxa" w:w="165"/>
                    <w:bottom w:type="dxa" w:w="120"/>
                    <w:right w:type="dxa" w:w="165"/>
                  </w:tcMar>
                  <w:vAlign w:val="top"/>
                </w:tcPr>
                <w:p>
                  <w:pPr>
                    <w:pStyle w:val="null3"/>
                    <w:jc w:val="center"/>
                  </w:pPr>
                  <w:r>
                    <w:rPr>
                      <w:rFonts w:ascii="仿宋_GB2312" w:hAnsi="仿宋_GB2312" w:cs="仿宋_GB2312" w:eastAsia="仿宋_GB2312"/>
                      <w:sz w:val="21"/>
                    </w:rPr>
                    <w:t>年度运行总结、设备健康评估、更换建议</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rPr>
              <w:t>七、其他要求</w:t>
            </w:r>
          </w:p>
          <w:p>
            <w:pPr>
              <w:pStyle w:val="null3"/>
              <w:jc w:val="both"/>
            </w:pPr>
            <w:r>
              <w:rPr>
                <w:rFonts w:ascii="仿宋_GB2312" w:hAnsi="仿宋_GB2312" w:cs="仿宋_GB2312" w:eastAsia="仿宋_GB2312"/>
                <w:sz w:val="21"/>
              </w:rPr>
              <w:t>1.报价要求：服务报价应包含人工、交通、备品备件、检测工具、安全文明措施费、税费等全部费用（不可抗力等导致或重大更换项目，该类项目据实另行申报审批）。</w:t>
            </w:r>
          </w:p>
          <w:p>
            <w:pPr>
              <w:pStyle w:val="null3"/>
              <w:jc w:val="both"/>
            </w:pPr>
            <w:r>
              <w:rPr>
                <w:rFonts w:ascii="仿宋_GB2312" w:hAnsi="仿宋_GB2312" w:cs="仿宋_GB2312" w:eastAsia="仿宋_GB2312"/>
                <w:sz w:val="21"/>
              </w:rPr>
              <w:t>2.保密要求：供应商须对监控视频数据、点位信息、网络配置等保密，签订保密协议，不得对外泄露。</w:t>
            </w:r>
          </w:p>
          <w:p>
            <w:pPr>
              <w:pStyle w:val="null3"/>
              <w:jc w:val="both"/>
            </w:pPr>
            <w:r>
              <w:rPr>
                <w:rFonts w:ascii="仿宋_GB2312" w:hAnsi="仿宋_GB2312" w:cs="仿宋_GB2312" w:eastAsia="仿宋_GB2312"/>
                <w:sz w:val="21"/>
              </w:rPr>
              <w:t>3.安全责任：现场作业须遵守安全操作规程，高空作业、用电作业须采取安全防护措施，安全责任由供应商承担。</w:t>
            </w:r>
          </w:p>
          <w:p>
            <w:pPr>
              <w:pStyle w:val="null3"/>
              <w:jc w:val="both"/>
            </w:pPr>
            <w:r>
              <w:rPr>
                <w:rFonts w:ascii="仿宋_GB2312" w:hAnsi="仿宋_GB2312" w:cs="仿宋_GB2312" w:eastAsia="仿宋_GB2312"/>
                <w:sz w:val="21"/>
              </w:rPr>
              <w:t>4.配合要求：供应商须配合采购人及审计、检查等工作，如实提供运维记录。</w:t>
            </w:r>
          </w:p>
          <w:p>
            <w:pPr>
              <w:pStyle w:val="null3"/>
              <w:jc w:val="both"/>
            </w:pPr>
            <w:r>
              <w:rPr>
                <w:rFonts w:ascii="仿宋_GB2312" w:hAnsi="仿宋_GB2312" w:cs="仿宋_GB2312" w:eastAsia="仿宋_GB2312"/>
                <w:sz w:val="21"/>
              </w:rPr>
              <w:t>5.维护器具要求：具备开展维护工作必要的车辆、机具、各类仪表等（所有各类维护工作人员，需购买相应的人身意外保险）。</w:t>
            </w:r>
          </w:p>
          <w:p>
            <w:pPr>
              <w:pStyle w:val="null3"/>
            </w:pPr>
            <w:r>
              <w:rPr>
                <w:rFonts w:ascii="仿宋_GB2312" w:hAnsi="仿宋_GB2312" w:cs="仿宋_GB2312" w:eastAsia="仿宋_GB2312"/>
                <w:sz w:val="21"/>
              </w:rPr>
              <w:t>6.遇不可抗力或人为因素导致设备损坏，及时向甲方负责人报告，由双方协商解决。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符合现行国家、行业“合格”标准，符合采购人要求。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进度款，运维服务期届满，经甲方验收合格后，达到付款条件起30个工作日内，支付合同总金额的50.0%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 2.未按合同或磋商文件要求提供服务质量不能满足甲方技术要求，甲方有权终止合同，甚至对乙方违约行为进行追究。解决争议的方法：合同执行中发生争议的，当事人双方应协商解决。协商不一致时，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具有独立承担民事责任能力的法人、其他组织或自然人营业执照、税务登记证、组织机构代码证（多证合一只提供营业执照，事业单位提供事业单位法人证书，自然人提供本人身份证合法有效）；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提供法定代表人授权书（附法定代表人、被授权人身份证复印件）及被授权人身份证原件（法定代表人直接参加投标，须提供法定代表人身份证明及身份证原件）</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供应商具有建设行政主管部门颁发的电子与智能化工程专业承包二级及以上（含二级）资质证书，且具备有效的安全生产许可证；</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拟派项目负责人具有机电专业二级及以上建造师注册证书并提供有效的安全生产考核合格证书（B 类证）及提供在本企业2025年08月份至投标截止时间已缴纳的至少六个月社保缴纳证明，且无在建项目（提供无在建项目承诺书)；</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经会计事务所或审计机构出具的2025年完整的财务审计报告（注：带二维码清晰可查验，提供的财务审计报告需在注册会计师行业统一监管平台（http://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提供2026年2月至今已缴纳的至少一个月的社会保障资金缴存单据或社保机构开具的社会保险参保缴费情况证明，依法不需要缴纳社会保障资金的单位应提供相关证明材料；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提供2026年2月至今已缴纳的至少一个月的纳税证明或完税证明，依法免税的单位应提供相关证明材料；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履行合同所必需的设备和专业技术能力的承诺；</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单位负责人为同一人或者存在控股、管理关系的不同单位不得同时投标；</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本次项目不接受联合体投标</w:t>
            </w:r>
          </w:p>
        </w:tc>
        <w:tc>
          <w:tcPr>
            <w:tcW w:type="dxa" w:w="3322"/>
          </w:tcPr>
          <w:p>
            <w:pPr>
              <w:pStyle w:val="null3"/>
            </w:pPr>
            <w:r>
              <w:rPr>
                <w:rFonts w:ascii="仿宋_GB2312" w:hAnsi="仿宋_GB2312" w:cs="仿宋_GB2312" w:eastAsia="仿宋_GB2312"/>
              </w:rPr>
              <w:t>提供非联合体投标承诺书；</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 财库〔2020〕46号）条件的中小企业参与，提供中小企业声明函（残疾人福利性单位、监狱企业视同小、微企业）。</w:t>
            </w:r>
          </w:p>
        </w:tc>
        <w:tc>
          <w:tcPr>
            <w:tcW w:type="dxa" w:w="1661"/>
          </w:tcPr>
          <w:p>
            <w:pPr>
              <w:pStyle w:val="null3"/>
            </w:pPr>
            <w:r>
              <w:rPr>
                <w:rFonts w:ascii="仿宋_GB2312" w:hAnsi="仿宋_GB2312" w:cs="仿宋_GB2312" w:eastAsia="仿宋_GB2312"/>
              </w:rPr>
              <w:t>资格证明文件采购1.docx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商务响应情况，若负偏离，响应文件作为无效处理。</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供应商提供拒绝政府采购领域商业贿赂承诺书,否则按响应文件作为无效处理。</w:t>
            </w:r>
          </w:p>
        </w:tc>
        <w:tc>
          <w:tcPr>
            <w:tcW w:type="dxa" w:w="1661"/>
          </w:tcPr>
          <w:p>
            <w:pPr>
              <w:pStyle w:val="null3"/>
            </w:pPr>
            <w:r>
              <w:rPr>
                <w:rFonts w:ascii="仿宋_GB2312" w:hAnsi="仿宋_GB2312" w:cs="仿宋_GB2312" w:eastAsia="仿宋_GB2312"/>
              </w:rPr>
              <w:t>供应商参加政府采购活动承诺书（1）.docx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出现不符合法律、法规和竞争性磋商文件中规定的其他实质性要求的情况，响应文件作为无效处理。</w:t>
            </w:r>
          </w:p>
        </w:tc>
        <w:tc>
          <w:tcPr>
            <w:tcW w:type="dxa" w:w="1661"/>
          </w:tcPr>
          <w:p>
            <w:pPr>
              <w:pStyle w:val="null3"/>
            </w:pPr>
            <w:r>
              <w:rPr>
                <w:rFonts w:ascii="仿宋_GB2312" w:hAnsi="仿宋_GB2312" w:cs="仿宋_GB2312" w:eastAsia="仿宋_GB2312"/>
              </w:rPr>
              <w:t>业绩（1）.docx 中小企业声明函 商务应答表 服务内容及服务要求应答表 报价表 资格证明文件采购1.docx 响应文件封面 残疾人福利性单位声明函 供应商参加政府采购活动承诺书（1）.docx 服务方案 标的清单 响应函 其它（1）.docx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每日远程监测方案</w:t>
            </w:r>
          </w:p>
        </w:tc>
        <w:tc>
          <w:tcPr>
            <w:tcW w:type="dxa" w:w="2492"/>
          </w:tcPr>
          <w:p>
            <w:pPr>
              <w:pStyle w:val="null3"/>
            </w:pPr>
            <w:r>
              <w:rPr>
                <w:rFonts w:ascii="仿宋_GB2312" w:hAnsi="仿宋_GB2312" w:cs="仿宋_GB2312" w:eastAsia="仿宋_GB2312"/>
              </w:rPr>
              <w:t>①包含每日不少于2次（上午、下午各1次）远程监测频次安排，涵盖视频图像、网络链路、设备状态、供电状态4项监测内容，并明确监测记录存档流程的，得8分；②监测频次未明确或低于每日2次的扣2分，每缺1项监测内容扣1分，无监测记录存档流程的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巡检方案</w:t>
            </w:r>
          </w:p>
        </w:tc>
        <w:tc>
          <w:tcPr>
            <w:tcW w:type="dxa" w:w="2492"/>
          </w:tcPr>
          <w:p>
            <w:pPr>
              <w:pStyle w:val="null3"/>
            </w:pPr>
            <w:r>
              <w:rPr>
                <w:rFonts w:ascii="仿宋_GB2312" w:hAnsi="仿宋_GB2312" w:cs="仿宋_GB2312" w:eastAsia="仿宋_GB2312"/>
              </w:rPr>
              <w:t>①包含按月对31处水源监控站点及监控中心机房现场巡检（月度覆盖率100%）、按季度对16处山顶中继站现场巡检（季度覆盖率100%），涵盖河道监控点、山顶中继站、中心机房3类巡检对象具体内容，并明确巡检影像留档及使用单位确认流程的，得10分；②未明确巡检频次或覆盖率未达100%的扣3分，每缺1类巡检对象具体内容的扣2分，无巡检影像留档或确认流程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故障维修与应急响应方案</w:t>
            </w:r>
          </w:p>
        </w:tc>
        <w:tc>
          <w:tcPr>
            <w:tcW w:type="dxa" w:w="2492"/>
          </w:tcPr>
          <w:p>
            <w:pPr>
              <w:pStyle w:val="null3"/>
            </w:pPr>
            <w:r>
              <w:rPr>
                <w:rFonts w:ascii="仿宋_GB2312" w:hAnsi="仿宋_GB2312" w:cs="仿宋_GB2312" w:eastAsia="仿宋_GB2312"/>
              </w:rPr>
              <w:t>①包含一级（紧急）、二级（严重）、三级（一般）故障分级界定，并明确各级响应时间、到场时间、恢复时间（一级≤15分钟响应、≤24小时到场、≤48小时恢复；二级≤30分钟响应、≤36小时到场、≤72小时恢复；三级≤1小时响应、下次巡检到场、≤48小时恢复）的，得6分，每缺1级故障时限响应扣2分；②包含恶劣天气（雨季、雷暴、大风、暴雪）期间增加远程监测频次、天气过程结束后排查统计离线站点并优先抢修，以及雷雨季节（6—9月）重点巡检安排的，得4分；无恶劣天气应对及优先抢修安排的扣2分，无雷雨季节重点巡检安排的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备品备件方案</w:t>
            </w:r>
          </w:p>
        </w:tc>
        <w:tc>
          <w:tcPr>
            <w:tcW w:type="dxa" w:w="2492"/>
          </w:tcPr>
          <w:p>
            <w:pPr>
              <w:pStyle w:val="null3"/>
            </w:pPr>
            <w:r>
              <w:rPr>
                <w:rFonts w:ascii="仿宋_GB2312" w:hAnsi="仿宋_GB2312" w:cs="仿宋_GB2312" w:eastAsia="仿宋_GB2312"/>
              </w:rPr>
              <w:t>①包含摄像机、无线设备、交换机、太阳能控制器、蓄电池、防雷模块、硬盘7类常用备品备件清单及存放地点、更换流程，并建立备件出入库台账的，得5分；②每缺1类备件扣0.5分，无存放地点或更换流程的扣1分，无备件出入库台账的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电费缴纳方案</w:t>
            </w:r>
          </w:p>
        </w:tc>
        <w:tc>
          <w:tcPr>
            <w:tcW w:type="dxa" w:w="2492"/>
          </w:tcPr>
          <w:p>
            <w:pPr>
              <w:pStyle w:val="null3"/>
            </w:pPr>
            <w:r>
              <w:rPr>
                <w:rFonts w:ascii="仿宋_GB2312" w:hAnsi="仿宋_GB2312" w:cs="仿宋_GB2312" w:eastAsia="仿宋_GB2312"/>
              </w:rPr>
              <w:t>①包含陈河河道、水苑山庄、沙梁子（61号中继）、32KM、25KM、厚畛子河道、钓鱼台7处设备电费清缴安排及缴费流程、缴费记录台账的，得4分；②每缺1处电费清缴安排扣0.5分，无缴费流程或缴费记录台账的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①包含技术接口对接、政务云对接、云资源申请、平台部署对接4项技术支持内容，且各明确工作内容和频次的，得3分；②每缺1项技术支持内容扣0.75分，内容未明确工作安排或频次的每项扣0.5分，扣完为止。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配备项目负责人1人（具有信息系统或弱电运维项目管理经验）、远程监测值班员≥1人（熟悉监控平台及网管系统）、现场运维工程师≥3人（熟悉视频监控、无线网络通信、太阳能供电系统维护），合计不少于5人，且全部人员均提供相应资质证书及近3个月社保证明（网上可查）的，得15分；②项目负责人未配置的扣3分，远程监测值班员未配置或少于1人的扣2分，现场运维工程师每少1人扣2分，每缺1份相应资质证书扣1分，每缺1份社保证明扣1分，扣完为止。（注：采购需求要求提供的人员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报告与台账方案</w:t>
            </w:r>
          </w:p>
        </w:tc>
        <w:tc>
          <w:tcPr>
            <w:tcW w:type="dxa" w:w="2492"/>
          </w:tcPr>
          <w:p>
            <w:pPr>
              <w:pStyle w:val="null3"/>
            </w:pPr>
            <w:r>
              <w:rPr>
                <w:rFonts w:ascii="仿宋_GB2312" w:hAnsi="仿宋_GB2312" w:cs="仿宋_GB2312" w:eastAsia="仿宋_GB2312"/>
              </w:rPr>
              <w:t>①包含每日远程监测记录、故障处理工单、现场巡检记录表、运维月报、运维年度总结报告5类交付成果模板，且内容要素完整（监测结果及异常处理、故障描述与原因分析、巡检结果及维修更换记录、系统运行统计、设备健康评估等）的，得10分；②每缺1类交付成果模板扣2分，模板缺少必要要素的每类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运维装备与保险保障</w:t>
            </w:r>
          </w:p>
        </w:tc>
        <w:tc>
          <w:tcPr>
            <w:tcW w:type="dxa" w:w="2492"/>
          </w:tcPr>
          <w:p>
            <w:pPr>
              <w:pStyle w:val="null3"/>
            </w:pPr>
            <w:r>
              <w:rPr>
                <w:rFonts w:ascii="仿宋_GB2312" w:hAnsi="仿宋_GB2312" w:cs="仿宋_GB2312" w:eastAsia="仿宋_GB2312"/>
              </w:rPr>
              <w:t>①提供运维专用车辆证明（行驶证或租赁合同，车辆用途与本项目高山运维相适）的，得3分，未提供的不得分；②提供针对本项目运维拟投入的设备、仪器清单及购置/租赁证明等，每提供1类得1分，最多4分；③提供全部运维工作人员（项目负责人、远程监测值班员、现场运维工程师）在保期内的人身意外伤害保险保单的，得3分，未提供或人员覆盖不全的不得分。以上各项证明材料均须提供复印件并加盖供应商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①供应商提供2023年1月1日至今（以合同签订日期为准）同类项目业绩合同，每提供1份得3分，满分15分；②合同须提供复印件并加盖供应商公章，未加盖公章或关键内容无法辨识的不予计分。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响应单价合计价格最低的最终报价为磋商基准价，其价格分为满分。其他供应商的价格分统一按照下列公式计算：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详见附件：资格证明文件采购1.docx</w:t>
      </w:r>
    </w:p>
    <w:p>
      <w:pPr>
        <w:pStyle w:val="null3"/>
        <w:ind w:firstLine="960"/>
      </w:pPr>
      <w:r>
        <w:rPr>
          <w:rFonts w:ascii="仿宋_GB2312" w:hAnsi="仿宋_GB2312" w:cs="仿宋_GB2312" w:eastAsia="仿宋_GB2312"/>
        </w:rPr>
        <w:t>详见附件：业绩（1）.docx</w:t>
      </w:r>
    </w:p>
    <w:p>
      <w:pPr>
        <w:pStyle w:val="null3"/>
        <w:ind w:firstLine="960"/>
      </w:pPr>
      <w:r>
        <w:rPr>
          <w:rFonts w:ascii="仿宋_GB2312" w:hAnsi="仿宋_GB2312" w:cs="仿宋_GB2312" w:eastAsia="仿宋_GB2312"/>
        </w:rPr>
        <w:t>详见附件：其它（1）.docx</w:t>
      </w:r>
    </w:p>
    <w:p>
      <w:pPr>
        <w:pStyle w:val="null3"/>
        <w:ind w:firstLine="960"/>
      </w:pPr>
      <w:r>
        <w:rPr>
          <w:rFonts w:ascii="仿宋_GB2312" w:hAnsi="仿宋_GB2312" w:cs="仿宋_GB2312" w:eastAsia="仿宋_GB2312"/>
        </w:rPr>
        <w:t>详见附件：供应商参加政府采购活动承诺书（1）.docx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