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440001-2025-12837</w:t>
      </w:r>
    </w:p>
    <w:p>
      <w:pPr>
        <w:pStyle w:val="null3"/>
        <w:jc w:val="center"/>
        <w:outlineLvl w:val="3"/>
      </w:pPr>
      <w:r>
        <w:rPr>
          <w:sz w:val="24"/>
          <w:b/>
        </w:rPr>
        <w:t>采购项目编号：</w:t>
      </w:r>
      <w:r>
        <w:rPr>
          <w:sz w:val="24"/>
          <w:b/>
        </w:rPr>
        <w:t>440001-2025-12837</w:t>
      </w:r>
    </w:p>
    <w:p>
      <w:pPr>
        <w:pStyle w:val="null3"/>
        <w:jc w:val="center"/>
        <w:outlineLvl w:val="3"/>
      </w:pPr>
      <w:r>
        <w:rPr>
          <w:sz w:val="24"/>
          <w:b/>
        </w:rPr>
        <w:t>项目名称：</w:t>
      </w:r>
      <w:r>
        <w:rPr>
          <w:sz w:val="24"/>
          <w:b/>
        </w:rPr>
        <w:t>汕头市濠江区人民法院科技法庭租赁项目</w:t>
      </w:r>
    </w:p>
    <w:p>
      <w:pPr>
        <w:pStyle w:val="null3"/>
        <w:jc w:val="center"/>
        <w:outlineLvl w:val="3"/>
      </w:pPr>
      <w:r>
        <w:rPr>
          <w:sz w:val="24"/>
          <w:b/>
        </w:rPr>
        <w:t>采购人：</w:t>
      </w:r>
      <w:r>
        <w:rPr>
          <w:sz w:val="24"/>
          <w:b/>
        </w:rPr>
        <w:t>汕头市濠江区人民法院</w:t>
      </w:r>
    </w:p>
    <w:p>
      <w:pPr>
        <w:pStyle w:val="null3"/>
        <w:jc w:val="center"/>
        <w:outlineLvl w:val="3"/>
      </w:pPr>
      <w:r>
        <w:rPr>
          <w:sz w:val="24"/>
          <w:b/>
        </w:rPr>
        <w:t>采购代理机构：</w:t>
      </w:r>
      <w:r>
        <w:rPr>
          <w:sz w:val="24"/>
          <w:b/>
        </w:rPr>
        <w:t>广东智汇城市招标采购有限公司汕头分公司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广东智汇城市招标采购有限公司汕头分公司</w:t>
      </w:r>
      <w:r>
        <w:rPr/>
        <w:t>受</w:t>
      </w:r>
      <w:r>
        <w:rPr/>
        <w:t>汕头市濠江区人民法院</w:t>
      </w:r>
      <w:r>
        <w:rPr/>
        <w:t>的委托，采用</w:t>
      </w:r>
      <w:r>
        <w:rPr/>
        <w:t>公开招标</w:t>
      </w:r>
      <w:r>
        <w:rPr/>
        <w:t>方式组织采购</w:t>
      </w:r>
      <w:r>
        <w:rPr/>
        <w:t>汕头市濠江区人民法院科技法庭租赁项目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汕头市濠江区人民法院科技法庭租赁项目</w:t>
      </w:r>
    </w:p>
    <w:p>
      <w:pPr>
        <w:pStyle w:val="null3"/>
        <w:ind w:firstLine="480"/>
      </w:pPr>
      <w:r>
        <w:rPr/>
        <w:t>采购计划编号：</w:t>
      </w:r>
      <w:r>
        <w:rPr/>
        <w:t>440001-2025-12837</w:t>
      </w:r>
    </w:p>
    <w:p>
      <w:pPr>
        <w:pStyle w:val="null3"/>
        <w:ind w:firstLine="480"/>
      </w:pPr>
      <w:r>
        <w:rPr/>
        <w:t>采购项目编号：</w:t>
      </w:r>
      <w:r>
        <w:rPr/>
        <w:t>440001-2025-12837</w:t>
      </w:r>
    </w:p>
    <w:p>
      <w:pPr>
        <w:pStyle w:val="null3"/>
        <w:ind w:firstLine="480"/>
      </w:pPr>
      <w:r>
        <w:rPr/>
        <w:t>采购方式：</w:t>
      </w:r>
      <w:r>
        <w:rPr/>
        <w:t>公开招标</w:t>
      </w:r>
    </w:p>
    <w:p>
      <w:pPr>
        <w:pStyle w:val="null3"/>
        <w:ind w:firstLine="480"/>
      </w:pPr>
      <w:r>
        <w:rPr/>
        <w:t>预算金额：</w:t>
      </w:r>
      <w:r>
        <w:rPr/>
        <w:t>210,000.00</w:t>
      </w:r>
      <w:r>
        <w:rPr/>
        <w:t>元</w:t>
      </w:r>
    </w:p>
    <w:p>
      <w:pPr>
        <w:pStyle w:val="null3"/>
        <w:outlineLvl w:val="3"/>
      </w:pPr>
      <w:r>
        <w:rPr>
          <w:sz w:val="24"/>
          <w:b/>
        </w:rPr>
        <w:t>2.项目内容及需求情况（采购项目技术规格、参数及要求）</w:t>
      </w:r>
    </w:p>
    <w:p>
      <w:pPr>
        <w:pStyle w:val="null3"/>
      </w:pPr>
      <w:r>
        <w:rPr/>
        <w:t>采购包1(汕头市濠江区人民法院科技法庭租赁项目):</w:t>
      </w:r>
    </w:p>
    <w:p>
      <w:pPr>
        <w:pStyle w:val="null3"/>
      </w:pPr>
      <w:r>
        <w:rPr/>
        <w:t>采购包预算金额：210,000.00元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其他租赁服务</w:t>
            </w:r>
          </w:p>
        </w:tc>
        <w:tc>
          <w:tcPr>
            <w:tcW w:type="dxa" w:w="2136"/>
          </w:tcPr>
          <w:p>
            <w:pPr>
              <w:pStyle w:val="null3"/>
            </w:pPr>
            <w:r>
              <w:rPr/>
              <w:t>汕头市濠江区人民法院科技法庭租赁项目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合同履行期限：合同签订之日起45天内完成设备部署，验收交付后即进入三年租赁期，具体起止时间以签订的项目合同为准，设备租赁到期后所有权归中标供应商所有。</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2）有依法缴纳税收和社会保障资金的良好记录：投标文件中提供《汕头市政府采购供应商信用承诺函》，承诺函格式详见招标公告附件。</w:t>
      </w:r>
    </w:p>
    <w:p>
      <w:pPr>
        <w:pStyle w:val="null3"/>
      </w:pPr>
      <w:r>
        <w:rPr/>
        <w:t>3）具有良好的商业信誉和健全的财务会计制度：投标文件中提供《汕头市政府采购供应商信用承诺函》，承诺函格式详见招标公告附件。</w:t>
      </w:r>
    </w:p>
    <w:p>
      <w:pPr>
        <w:pStyle w:val="null3"/>
      </w:pPr>
      <w:r>
        <w:rPr/>
        <w:t>4）履行合同所必需的设备和专业技术能力：投标文件中提供《汕头市政府采购供应商信用承诺函》，承诺函格式详见招标公告附件。</w:t>
      </w:r>
    </w:p>
    <w:p>
      <w:pPr>
        <w:pStyle w:val="null3"/>
      </w:pPr>
      <w:r>
        <w:rPr/>
        <w:t>5）参加采购活动前3年内，在经营活动中没有重大违法记录：投标文件中提供《汕头市政府采购供应商信用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采购包1（汕头市濠江区人民法院科技法庭租赁项目）：</w:t>
      </w:r>
      <w:r>
        <w:rPr/>
        <w:t>投标人须符合本项目采购标的对应行业（本项目行业为：租赁和商务服务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采购包1（汕头市濠江区人民法院科技法庭租赁项目）：</w:t>
      </w:r>
    </w:p>
    <w:p>
      <w:pPr>
        <w:pStyle w:val="null3"/>
      </w:pPr>
      <w:r>
        <w:rPr/>
        <w:t>1)供应商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http://www.gdzhcity.com/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汕头市濠江区人民法院</w:t>
      </w:r>
    </w:p>
    <w:p>
      <w:pPr>
        <w:pStyle w:val="null3"/>
        <w:ind w:firstLine="480"/>
      </w:pPr>
      <w:r>
        <w:rPr/>
        <w:t xml:space="preserve"> 地址：</w:t>
      </w:r>
      <w:r>
        <w:rPr/>
        <w:t>汕头市濠江区府前路</w:t>
      </w:r>
    </w:p>
    <w:p>
      <w:pPr>
        <w:pStyle w:val="null3"/>
        <w:ind w:firstLine="480"/>
      </w:pPr>
      <w:r>
        <w:rPr/>
        <w:t xml:space="preserve"> 联系方式：</w:t>
      </w:r>
      <w:r>
        <w:rPr/>
        <w:t>075487396518</w:t>
      </w:r>
    </w:p>
    <w:p>
      <w:pPr>
        <w:pStyle w:val="null3"/>
        <w:outlineLvl w:val="3"/>
      </w:pPr>
      <w:r>
        <w:rPr>
          <w:sz w:val="24"/>
          <w:b/>
        </w:rPr>
        <w:t xml:space="preserve"> 2.采购代理机构信息</w:t>
      </w:r>
    </w:p>
    <w:p>
      <w:pPr>
        <w:pStyle w:val="null3"/>
        <w:ind w:firstLine="480"/>
      </w:pPr>
      <w:r>
        <w:rPr/>
        <w:t xml:space="preserve"> 名称：</w:t>
      </w:r>
      <w:r>
        <w:rPr/>
        <w:t>广东智汇城市招标采购有限公司汕头分公司</w:t>
      </w:r>
    </w:p>
    <w:p>
      <w:pPr>
        <w:pStyle w:val="null3"/>
        <w:ind w:firstLine="480"/>
      </w:pPr>
      <w:r>
        <w:rPr/>
        <w:t xml:space="preserve"> 地址：</w:t>
      </w:r>
      <w:r>
        <w:rPr/>
        <w:t>汕头市龙湖区黄山路65号诚融大厦8楼808、809号房</w:t>
      </w:r>
    </w:p>
    <w:p>
      <w:pPr>
        <w:pStyle w:val="null3"/>
        <w:ind w:firstLine="480"/>
      </w:pPr>
      <w:r>
        <w:rPr/>
        <w:t xml:space="preserve"> 联系方式：</w:t>
      </w:r>
      <w:r>
        <w:rPr/>
        <w:t>0754-82770125</w:t>
      </w:r>
    </w:p>
    <w:p>
      <w:pPr>
        <w:pStyle w:val="null3"/>
        <w:outlineLvl w:val="3"/>
      </w:pPr>
      <w:r>
        <w:rPr>
          <w:sz w:val="24"/>
          <w:b/>
        </w:rPr>
        <w:t xml:space="preserve"> 3.项目联系方式</w:t>
      </w:r>
    </w:p>
    <w:p>
      <w:pPr>
        <w:pStyle w:val="null3"/>
        <w:ind w:firstLine="480"/>
      </w:pPr>
      <w:r>
        <w:rPr/>
        <w:t xml:space="preserve"> 项目联系人：</w:t>
      </w:r>
      <w:r>
        <w:rPr/>
        <w:t>陈子怡</w:t>
      </w:r>
    </w:p>
    <w:p>
      <w:pPr>
        <w:pStyle w:val="null3"/>
        <w:ind w:firstLine="480"/>
      </w:pPr>
      <w:r>
        <w:rPr/>
        <w:t xml:space="preserve"> 电话：</w:t>
      </w:r>
      <w:r>
        <w:rPr/>
        <w:t>0754-82770125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广东智汇城市招标采购有限公司汕头分公司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（一）项目建设内容</w:t>
      </w:r>
    </w:p>
    <w:p>
      <w:pPr>
        <w:pStyle w:val="null3"/>
        <w:ind w:firstLine="420"/>
      </w:pPr>
      <w:r>
        <w:rPr>
          <w:sz w:val="21"/>
        </w:rPr>
        <w:t>本项目采用租赁的方式，向供应商租赁租赁全套设备及相应信息系统，租赁期间由供应商负责设备运维，采购人支付租赁费（包括设备价值损耗、运维费用和资金资金占用费等），实现科技法庭的相关信息化功能。该项目准备分两期招租，每期三年为一期，总租赁费用为41.25万元，第一期预算金额为21万元，第二期预算约为20.25万元。此次进行第一期招租，预算金额为21万元，第二期将在第一期期满前招租。</w:t>
      </w:r>
    </w:p>
    <w:p>
      <w:pPr>
        <w:pStyle w:val="null3"/>
      </w:pPr>
      <w:r>
        <w:rPr>
          <w:sz w:val="21"/>
        </w:rPr>
        <w:t>（二）项目建设目标</w:t>
      </w:r>
    </w:p>
    <w:p>
      <w:pPr>
        <w:pStyle w:val="null3"/>
        <w:ind w:firstLine="420"/>
      </w:pPr>
      <w:r>
        <w:rPr>
          <w:sz w:val="21"/>
        </w:rPr>
        <w:t xml:space="preserve">1. </w:t>
      </w:r>
      <w:r>
        <w:rPr>
          <w:sz w:val="21"/>
        </w:rPr>
        <w:t>支持内外网云开庭</w:t>
      </w:r>
    </w:p>
    <w:p>
      <w:pPr>
        <w:pStyle w:val="null3"/>
        <w:ind w:firstLine="420"/>
      </w:pPr>
      <w:r>
        <w:rPr>
          <w:sz w:val="21"/>
        </w:rPr>
        <w:t>云法庭可支持内网单独开庭、互联网单独开庭、内外网穿透开庭等多种开庭模式，符合最新法标要求，可支持当事人在云庭审平台、法官在法庭内开庭的业务场景。</w:t>
      </w:r>
    </w:p>
    <w:p>
      <w:pPr>
        <w:pStyle w:val="null3"/>
        <w:ind w:firstLine="420"/>
      </w:pPr>
      <w:r>
        <w:rPr>
          <w:sz w:val="21"/>
        </w:rPr>
        <w:t xml:space="preserve">2. </w:t>
      </w:r>
      <w:r>
        <w:rPr>
          <w:sz w:val="21"/>
        </w:rPr>
        <w:t>支持高清多媒体展示</w:t>
      </w:r>
    </w:p>
    <w:p>
      <w:pPr>
        <w:pStyle w:val="null3"/>
        <w:ind w:firstLine="420"/>
      </w:pPr>
      <w:r>
        <w:rPr>
          <w:sz w:val="21"/>
        </w:rPr>
        <w:t>庭审音视频、各类庭审证据，进行数字化进行永久保存，为日后的审判研究、培训提供非常直观的录音录像资料；对重大案件，复杂案件可组织网络审判实时观摩，增强审判研究的客观性。</w:t>
      </w:r>
    </w:p>
    <w:p>
      <w:pPr>
        <w:pStyle w:val="null3"/>
        <w:ind w:firstLine="420"/>
      </w:pPr>
      <w:r>
        <w:rPr>
          <w:sz w:val="21"/>
        </w:rPr>
        <w:t xml:space="preserve">3. </w:t>
      </w:r>
      <w:r>
        <w:rPr>
          <w:sz w:val="21"/>
        </w:rPr>
        <w:t>与现有资源的融合运用</w:t>
      </w:r>
    </w:p>
    <w:p>
      <w:pPr>
        <w:pStyle w:val="null3"/>
        <w:ind w:firstLine="420"/>
      </w:pPr>
      <w:r>
        <w:rPr>
          <w:sz w:val="21"/>
        </w:rPr>
        <w:t>云法庭庭审系统提供多个标准的软硬件接口，开发后可以与法院现有审判管理系统、音视频直播点播系统、电子档案系统等多种系统进行融合，同时在不与法院这些系统融合的情况下，依靠自己本身的系统能够独立完成整个审判过程。而且系统还支持对已建视频会议系统、安防系统等进行无缝兼容。</w:t>
      </w:r>
    </w:p>
    <w:p>
      <w:pPr>
        <w:pStyle w:val="null3"/>
        <w:ind w:firstLine="420"/>
      </w:pPr>
      <w:r>
        <w:rPr>
          <w:sz w:val="21"/>
        </w:rPr>
        <w:t xml:space="preserve">4. </w:t>
      </w:r>
      <w:r>
        <w:rPr>
          <w:sz w:val="21"/>
        </w:rPr>
        <w:t>支持信息化证据展示及线上质证</w:t>
      </w:r>
    </w:p>
    <w:p>
      <w:pPr>
        <w:pStyle w:val="null3"/>
        <w:ind w:firstLine="420"/>
      </w:pPr>
      <w:r>
        <w:rPr>
          <w:sz w:val="21"/>
        </w:rPr>
        <w:t>系统可以实现多种格式和介质证据的信号展示，如DVD、录像机、数字录音机、卡座录音机、实物展台、视频会议系统等，支持远程提审和举证；证据信号可通过庭审现场的投影幕、等离子大屏幕，审判人员和诉讼参与人桌面显示器等系统展现出来；书记员在开庭笔录界面通过鼠标操作就可完成证据的切换控制，系统能将整个举证过程记录，并形成证据索引，法官调用非常方便。</w:t>
      </w:r>
    </w:p>
    <w:p>
      <w:pPr>
        <w:pStyle w:val="null3"/>
        <w:ind w:firstLine="420"/>
      </w:pPr>
      <w:r>
        <w:rPr>
          <w:sz w:val="21"/>
        </w:rPr>
        <w:t>同时所有的证据材料应当在开庭过程中实现线上质证，提高庭审效率。</w:t>
      </w:r>
    </w:p>
    <w:p>
      <w:pPr>
        <w:pStyle w:val="null3"/>
        <w:ind w:firstLine="420"/>
      </w:pPr>
      <w:r>
        <w:rPr>
          <w:sz w:val="21"/>
        </w:rPr>
        <w:t xml:space="preserve">5. </w:t>
      </w:r>
      <w:r>
        <w:rPr>
          <w:sz w:val="21"/>
        </w:rPr>
        <w:t>支持庭审直播和点播</w:t>
      </w:r>
    </w:p>
    <w:p>
      <w:pPr>
        <w:pStyle w:val="null3"/>
        <w:ind w:firstLine="420"/>
      </w:pPr>
      <w:r>
        <w:rPr>
          <w:sz w:val="21"/>
        </w:rPr>
        <w:t>系统采用先进的流媒体技术实现视频直播和点播功能，审判人员、领导和网络上的任何授权用户皆可访问正在进行庭审的视频图像、笔录或已经开过庭的庭审视频图像和庭审笔录。</w:t>
      </w:r>
    </w:p>
    <w:p>
      <w:pPr>
        <w:pStyle w:val="null3"/>
        <w:ind w:firstLine="420"/>
      </w:pPr>
      <w:r>
        <w:rPr>
          <w:sz w:val="21"/>
        </w:rPr>
        <w:t xml:space="preserve">6. </w:t>
      </w:r>
      <w:r>
        <w:rPr>
          <w:sz w:val="21"/>
        </w:rPr>
        <w:t>符合最新法标要求</w:t>
      </w:r>
    </w:p>
    <w:p>
      <w:pPr>
        <w:pStyle w:val="null3"/>
        <w:ind w:firstLine="420"/>
      </w:pPr>
      <w:r>
        <w:rPr>
          <w:sz w:val="21"/>
        </w:rPr>
        <w:t>法庭建设、数据传输、应用功能符合以下法标要求：</w:t>
      </w:r>
    </w:p>
    <w:p>
      <w:pPr>
        <w:pStyle w:val="null3"/>
        <w:ind w:firstLine="420"/>
      </w:pPr>
      <w:r>
        <w:rPr>
          <w:sz w:val="21"/>
        </w:rPr>
        <w:t>FYB_T_52003-2016_</w:t>
      </w:r>
      <w:r>
        <w:rPr>
          <w:sz w:val="21"/>
        </w:rPr>
        <w:t>科技法庭应用技术要求</w:t>
      </w:r>
    </w:p>
    <w:p>
      <w:pPr>
        <w:pStyle w:val="null3"/>
        <w:ind w:firstLine="420"/>
      </w:pPr>
      <w:r>
        <w:rPr>
          <w:sz w:val="21"/>
        </w:rPr>
        <w:t>FYB_T_52038-2020_</w:t>
      </w:r>
      <w:r>
        <w:rPr>
          <w:sz w:val="21"/>
        </w:rPr>
        <w:t>智能庭审应用技术要求</w:t>
      </w:r>
    </w:p>
    <w:p>
      <w:pPr>
        <w:pStyle w:val="null3"/>
        <w:ind w:firstLine="420"/>
      </w:pPr>
      <w:r>
        <w:rPr>
          <w:sz w:val="21"/>
        </w:rPr>
        <w:t>FYB_T_59006-2020_</w:t>
      </w:r>
      <w:r>
        <w:rPr>
          <w:sz w:val="21"/>
        </w:rPr>
        <w:t>安全隔离与信息交换平台使用和管理要求</w:t>
      </w:r>
    </w:p>
    <w:p>
      <w:pPr>
        <w:pStyle w:val="null3"/>
        <w:ind w:firstLine="420"/>
      </w:pPr>
      <w:r>
        <w:rPr>
          <w:sz w:val="21"/>
        </w:rPr>
        <w:t xml:space="preserve">FYB_T_54001-2021 </w:t>
      </w:r>
      <w:r>
        <w:rPr>
          <w:sz w:val="21"/>
        </w:rPr>
        <w:t>科技法庭信息化建设规范</w:t>
      </w:r>
    </w:p>
    <w:p>
      <w:pPr>
        <w:pStyle w:val="null3"/>
      </w:pPr>
      <w:r>
        <w:rPr/>
        <w:t>采购包1（汕头市濠江区人民法院科技法庭租赁项目）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合同签订之日起45天内完成设备部署，验收交付后即进入三年租赁期，具体起止时间以签订的项目合同为准，设备租赁到期后所有权归中标供应商所有。</w:t>
            </w:r>
          </w:p>
        </w:tc>
      </w:tr>
      <w:tr>
        <w:tc>
          <w:tcPr>
            <w:tcW w:type="dxa" w:w="4153"/>
          </w:tcPr>
          <w:p>
            <w:pPr>
              <w:pStyle w:val="null3"/>
            </w:pPr>
            <w:r>
              <w:rPr/>
              <w:t>标的提供的地点</w:t>
            </w:r>
          </w:p>
        </w:tc>
        <w:tc>
          <w:tcPr>
            <w:tcW w:type="dxa" w:w="4153"/>
          </w:tcPr>
          <w:p>
            <w:pPr>
              <w:pStyle w:val="null3"/>
            </w:pPr>
            <w:r>
              <w:rPr/>
              <w:t>采购人指定地点（汕头市范围内）。</w:t>
            </w:r>
          </w:p>
        </w:tc>
      </w:tr>
      <w:tr/>
      <w:tr/>
      <w:tr>
        <w:tc>
          <w:tcPr>
            <w:tcW w:type="dxa" w:w="4153"/>
          </w:tcPr>
          <w:p>
            <w:pPr>
              <w:pStyle w:val="null3"/>
            </w:pPr>
            <w:r>
              <w:rPr/>
              <w:t>付款方式</w:t>
            </w:r>
          </w:p>
        </w:tc>
        <w:tc>
          <w:tcPr>
            <w:tcW w:type="dxa" w:w="4153"/>
          </w:tcPr>
          <w:p>
            <w:pPr>
              <w:pStyle w:val="null3"/>
            </w:pPr>
            <w:r>
              <w:rPr/>
              <w:t>第1期为(预付款)：支付比例50%，合同签订后在7个工作日内，采购人向中标供应商支付合同总价的50%作预付款。</w:t>
            </w:r>
          </w:p>
          <w:p>
            <w:pPr>
              <w:pStyle w:val="null3"/>
            </w:pPr>
            <w:r>
              <w:rPr/>
              <w:t>第2期为(尾款)：支付比例50%，验收合格后在7个工作日内，采购人向中标供应商支付合同总价的50%。 1、每笔款项支付时，中标供应商同时向采购人提供相应金额的正式发票。 2、付款方式：银行转账支付。 3、本合同的付款时间为采购人向采购支付部门提出支付申请的时间（不含支付部门审查的时间）。中标供应商同意本条对付款时间的约定，合同或附件中与本条约定不一致 的，以本条约定为准。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1）按广东省有关规定的规范要求进行验收；（2）符合中华人民共和国国家安全质量标准、环保标准或行业标准；（3）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项目部署工期要求</w:t>
            </w:r>
          </w:p>
        </w:tc>
        <w:tc>
          <w:tcPr>
            <w:tcW w:type="dxa" w:w="2076"/>
          </w:tcPr>
          <w:p>
            <w:pPr>
              <w:pStyle w:val="null3"/>
              <w:jc w:val="left"/>
            </w:pPr>
            <w:r>
              <w:rPr/>
              <w:t>部署工期要求不得超过45天，除不可抗力外，不得因项目复杂性等因素顺延工期。若因采购人需求有变或合同约定外情况须延期的，经双方协商后可变动调整工期。</w:t>
            </w:r>
          </w:p>
        </w:tc>
      </w:tr>
      <w:tr>
        <w:tc>
          <w:tcPr>
            <w:tcW w:type="dxa" w:w="2076"/>
          </w:tcPr>
          <w:p/>
        </w:tc>
        <w:tc>
          <w:tcPr>
            <w:tcW w:type="dxa" w:w="2076"/>
          </w:tcPr>
          <w:p>
            <w:pPr>
              <w:pStyle w:val="null3"/>
              <w:jc w:val="center"/>
            </w:pPr>
            <w:r>
              <w:rPr/>
              <w:t>2</w:t>
            </w:r>
          </w:p>
        </w:tc>
        <w:tc>
          <w:tcPr>
            <w:tcW w:type="dxa" w:w="2076"/>
          </w:tcPr>
          <w:p>
            <w:pPr>
              <w:pStyle w:val="null3"/>
              <w:jc w:val="left"/>
            </w:pPr>
            <w:r>
              <w:rPr/>
              <w:t>项目部署进度计划要求</w:t>
            </w:r>
          </w:p>
        </w:tc>
        <w:tc>
          <w:tcPr>
            <w:tcW w:type="dxa" w:w="2076"/>
          </w:tcPr>
          <w:p>
            <w:pPr>
              <w:pStyle w:val="null3"/>
              <w:jc w:val="left"/>
            </w:pPr>
            <w:r>
              <w:rPr/>
              <w:t>项目部署进度主要包括以下阶段： （1）深化设计（包括设计联络和确认）； （2）管线敷设（包括建设的恢复性装修）； （3）设备采购与运输（包括现场开箱检验）； （4）安装、调试（包括各工段工序的质检）； （5）完工调试（包括单机测试、系统调试、对接）； （6）联调、自检、培训； （7）项目的安装验收移交使用，进入运维阶段。 以上（2）至（7）阶段属于工期考核范围内的施工内容，由于各个阶段并行和串行交织，项目管理较为复杂，还需要与采购人相互配合，以便协调时间和人力资源的合理安排。</w:t>
            </w:r>
          </w:p>
        </w:tc>
      </w:tr>
      <w:tr>
        <w:tc>
          <w:tcPr>
            <w:tcW w:type="dxa" w:w="2076"/>
          </w:tcPr>
          <w:p/>
        </w:tc>
        <w:tc>
          <w:tcPr>
            <w:tcW w:type="dxa" w:w="2076"/>
          </w:tcPr>
          <w:p>
            <w:pPr>
              <w:pStyle w:val="null3"/>
              <w:jc w:val="center"/>
            </w:pPr>
            <w:r>
              <w:rPr/>
              <w:t>3</w:t>
            </w:r>
          </w:p>
        </w:tc>
        <w:tc>
          <w:tcPr>
            <w:tcW w:type="dxa" w:w="2076"/>
          </w:tcPr>
          <w:p>
            <w:pPr>
              <w:pStyle w:val="null3"/>
              <w:jc w:val="left"/>
            </w:pPr>
            <w:r>
              <w:rPr/>
              <w:t>项目维护要求</w:t>
            </w:r>
          </w:p>
        </w:tc>
        <w:tc>
          <w:tcPr>
            <w:tcW w:type="dxa" w:w="2076"/>
          </w:tcPr>
          <w:p>
            <w:pPr>
              <w:pStyle w:val="null3"/>
              <w:jc w:val="left"/>
            </w:pPr>
            <w:r>
              <w:rPr/>
              <w:t>自项目实施完成移交使用后，开始进入租赁服务阶段，在服务期内提供系统软硬件升级、巡检、技术咨询服务和技术保障运维服务，要求包括但不限于以下： （1）服务单位须设立紧急报障电话及联系人，提供不少于5工作日×8小时不间断的售后技术电话支持，接受使用方故障申报、故障处理、硬件报修、投诉及建议等服务电话受理请求。 （2）服务单位应针对本项目至少配套专业系统技术支持人员不少于1名，保证技术服务团队长期稳定，技术支持人员应具备对系统故障处理，处理紧急问题的各类技术解决方案能力，确保系统在应急保障期间稳定运行。服务单位在接报后30分钟内电话或远程处理响应，4小时内到达现场，8小时内处理完毕。特殊情况不能修复的，要查出故障原因，并提出解决方案。 （3）服务单位每年至少提供2次季度或半年度巡检报告，巡检报告的内容应包含软件使用情况是否正常、是否出现过故障及故障处理后情况等。服务单位应提供完备的记录。巡检、维护、维修等记录提交用户确认和存档。 （4）在服务期内，不定时组织原厂制造商技术人员就服务情况结果与使用方技术人员上门现场技术交流。出现硬件故障时，应采取立即现场维修、备件更换、应急故障处置等方式，及时恢复使用方的业务，保障使用方的业务系统的可用性。当软件遇到疑难故障、重大故障时，或者通过远程技术支持不能有效解决的问题，应启用应急保障机制，在承诺的服务响应时间内赴故障现场，协助使用方技术人员进行现场故障诊断、制定故障恢复方案并现场排除故障。 （5）应急保障机制：提供18个月的应急保障服务，应急保障期间（如：庭审期间通信保障、网络突发情况或其它特殊应急场景等）应提供7×24小时随传随到应急保障服务，服务响应时间为在接报后30分钟内到达现场，8小时内排除故障完成修复工作（有硬件损坏时，自配件到达起计算），如在8小时内无法排除故障完成修复工作的，须在1小时内协调原厂制造商技术人员进行现场故障诊断、制定故障恢复方案并现场排除故障，并提供每日巡检服务与技术保障运维服务。 （6）在服务期内，若因服务单位未及时响应报修而造成的损失，其一切费用应由服务单位承担。 （7）在服务过程中，服务单位接触到的开庭信息均属保密，一旦发生信息泄露而造成的损失，其一切费用应由服务单位承担。</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在项目服务期间，中标人需按照《中华人民共和国保守国家秘密法》等有关法律法规的要求进行保密工作，严格保守国家秘密及采购人工作秘密，不得泄露采购人的工作信息。投标人须提供承诺函加盖投标人公章（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其他租赁服务</w:t>
            </w:r>
          </w:p>
        </w:tc>
        <w:tc>
          <w:tcPr>
            <w:tcW w:type="dxa" w:w="933"/>
          </w:tcPr>
          <w:p>
            <w:pPr>
              <w:pStyle w:val="null3"/>
              <w:jc w:val="left"/>
            </w:pPr>
            <w:r>
              <w:rPr/>
              <w:t>汕头市濠江区人民法院科技法庭租赁项目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w:t>
            </w:r>
          </w:p>
        </w:tc>
        <w:tc>
          <w:tcPr>
            <w:tcW w:type="dxa" w:w="933"/>
          </w:tcPr>
          <w:p>
            <w:pPr>
              <w:pStyle w:val="null3"/>
              <w:jc w:val="right"/>
            </w:pPr>
            <w:r>
              <w:rPr/>
              <w:t>210,000.00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汕头市濠江区人民法院科技法庭租赁项目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Grid>
              <w:gridCol w:w="298"/>
              <w:gridCol w:w="487"/>
              <w:gridCol w:w="4243"/>
              <w:gridCol w:w="283"/>
              <w:gridCol w:w="291"/>
            </w:tblGrid>
            <w:tr>
              <w:tc>
                <w:tcPr>
                  <w:tcW w:type="dxa" w:w="298"/>
                  <w:tcBorders>
                    <w:top w:val="single" w:color="000000" w:sz="4"/>
                    <w:left w:val="single" w:color="000000" w:sz="4"/>
                    <w:bottom w:val="single" w:color="000000" w:sz="4"/>
                    <w:right w:val="single" w:color="000000" w:sz="4"/>
                  </w:tcBorders>
                  <w:shd w:fill="D9D9D9"/>
                  <w:tcMar>
                    <w:top w:type="dxa" w:w="15"/>
                    <w:left w:type="dxa" w:w="15"/>
                    <w:right w:type="dxa" w:w="15"/>
                  </w:tcMar>
                  <w:vAlign w:val="center"/>
                </w:tcPr>
                <w:p>
                  <w:pPr>
                    <w:pStyle w:val="null3"/>
                    <w:jc w:val="center"/>
                  </w:pPr>
                  <w:r>
                    <w:rPr>
                      <w:sz w:val="18"/>
                      <w:b/>
                      <w:color w:val="000000"/>
                    </w:rPr>
                    <w:t>序号</w:t>
                  </w:r>
                </w:p>
              </w:tc>
              <w:tc>
                <w:tcPr>
                  <w:tcW w:type="dxa" w:w="487"/>
                  <w:tcBorders>
                    <w:top w:val="single" w:color="000000" w:sz="4"/>
                    <w:left w:val="none" w:color="000000" w:sz="4"/>
                    <w:bottom w:val="single" w:color="000000" w:sz="4"/>
                    <w:right w:val="single" w:color="000000" w:sz="4"/>
                  </w:tcBorders>
                  <w:shd w:fill="D9D9D9"/>
                  <w:tcMar>
                    <w:top w:type="dxa" w:w="15"/>
                    <w:left w:type="dxa" w:w="15"/>
                    <w:right w:type="dxa" w:w="15"/>
                  </w:tcMar>
                  <w:vAlign w:val="center"/>
                </w:tcPr>
                <w:p>
                  <w:pPr>
                    <w:pStyle w:val="null3"/>
                    <w:jc w:val="center"/>
                  </w:pPr>
                  <w:r>
                    <w:rPr>
                      <w:sz w:val="18"/>
                      <w:b/>
                      <w:color w:val="000000"/>
                    </w:rPr>
                    <w:t>名称</w:t>
                  </w:r>
                </w:p>
              </w:tc>
              <w:tc>
                <w:tcPr>
                  <w:tcW w:type="dxa" w:w="4243"/>
                  <w:tcBorders>
                    <w:top w:val="single" w:color="000000" w:sz="4"/>
                    <w:left w:val="none" w:color="000000" w:sz="4"/>
                    <w:bottom w:val="single" w:color="000000" w:sz="4"/>
                    <w:right w:val="single" w:color="000000" w:sz="4"/>
                  </w:tcBorders>
                  <w:shd w:fill="D9D9D9"/>
                  <w:tcMar>
                    <w:top w:type="dxa" w:w="15"/>
                    <w:left w:type="dxa" w:w="15"/>
                    <w:right w:type="dxa" w:w="15"/>
                  </w:tcMar>
                  <w:vAlign w:val="center"/>
                </w:tcPr>
                <w:p>
                  <w:pPr>
                    <w:pStyle w:val="null3"/>
                    <w:jc w:val="center"/>
                  </w:pPr>
                  <w:r>
                    <w:rPr>
                      <w:sz w:val="18"/>
                      <w:b/>
                      <w:color w:val="000000"/>
                    </w:rPr>
                    <w:t>参考参数</w:t>
                  </w:r>
                </w:p>
              </w:tc>
              <w:tc>
                <w:tcPr>
                  <w:tcW w:type="dxa" w:w="283"/>
                  <w:tcBorders>
                    <w:top w:val="single" w:color="000000" w:sz="4"/>
                    <w:left w:val="none" w:color="000000" w:sz="4"/>
                    <w:bottom w:val="single" w:color="000000" w:sz="4"/>
                    <w:right w:val="single" w:color="000000" w:sz="4"/>
                  </w:tcBorders>
                  <w:shd w:fill="D9D9D9"/>
                  <w:tcMar>
                    <w:top w:type="dxa" w:w="15"/>
                    <w:left w:type="dxa" w:w="15"/>
                    <w:right w:type="dxa" w:w="15"/>
                  </w:tcMar>
                  <w:vAlign w:val="center"/>
                </w:tcPr>
                <w:p>
                  <w:pPr>
                    <w:pStyle w:val="null3"/>
                    <w:jc w:val="center"/>
                  </w:pPr>
                  <w:r>
                    <w:rPr>
                      <w:sz w:val="18"/>
                      <w:b/>
                      <w:color w:val="000000"/>
                    </w:rPr>
                    <w:t>数量</w:t>
                  </w:r>
                </w:p>
              </w:tc>
              <w:tc>
                <w:tcPr>
                  <w:tcW w:type="dxa" w:w="291"/>
                  <w:tcBorders>
                    <w:top w:val="single" w:color="000000" w:sz="4"/>
                    <w:left w:val="none" w:color="000000" w:sz="4"/>
                    <w:bottom w:val="single" w:color="000000" w:sz="4"/>
                    <w:right w:val="single" w:color="000000" w:sz="4"/>
                  </w:tcBorders>
                  <w:shd w:fill="D9D9D9"/>
                  <w:tcMar>
                    <w:top w:type="dxa" w:w="15"/>
                    <w:left w:type="dxa" w:w="15"/>
                    <w:right w:type="dxa" w:w="15"/>
                  </w:tcMar>
                  <w:vAlign w:val="center"/>
                </w:tcPr>
                <w:p>
                  <w:pPr>
                    <w:pStyle w:val="null3"/>
                    <w:jc w:val="center"/>
                  </w:pPr>
                  <w:r>
                    <w:rPr>
                      <w:sz w:val="18"/>
                      <w:b/>
                      <w:color w:val="000000"/>
                    </w:rPr>
                    <w:t>单位</w:t>
                  </w: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庭审主机</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操作系统：采用国产化处理器和国产化操作系统，支持时间同步功能；</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远程控制：支持远程一键开启（开庭）、关闭（闭庭）等指令；</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视频编解码：支持H.264/H.265/VP8/VP9视频编码格式，支持4K分辨率的前端接入；</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音频编解码：支持AAC、OPUS等音频编码格式；符合FYB/T_51016-2016《音视频应用数据信息技术规范》的规定；</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音视频协议：可支持接入多种音视频协议，包括RTSP/RTMP/webrtc/SIP等；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视频输入：支持不少于4路本地网络视频输入，支持不少于16路互联网视频画面接入，清晰度不低于720P；支持不少于2路4K视频实时输入；</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视频输出：支持网络编码视频输出，支持不少于2路模拟视频输出，清晰度不低于1080P；</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音频输入：支持不少于16路网络音频输入，支持多路混音；</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画面分割器：支持多种模式1+5/1+7/1+9/3*3/4*4/5*5；支持根据人数自动切换布局；</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网络输出：混合画面或单独画面自定义输出；合成画面分辨率4K(3840×2160)，独立画面分辨率1920×1080，图像流畅，无明显卡顿；</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证人远程接入：支持证人角色画面虚化/脸部马赛克后输出，支持证人角色经过音频变声处理后输出；</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语音激励：支持语音激励功能，包含本地激励及互联网语音激励；视频矩阵主屏画面与内外网摄像画面联动；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视频矩阵：支持视频无缝切换、上下变换、分辨率检测；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音频矩阵：支持模拟和数字信号转换；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视频录像：支持本地硬盘录像；</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断网续传：支持断网恢复后，主机自动同步录像至云端庭审平台；</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跨网开庭：支持接入云端庭审平台，完成专网与互联网之间音视频无延迟的跨网系交互；</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远程提审：具备远程提审功能，支持SIP多媒体通信协议，支持主机与主机、主机与第三方视频会议终端对接，实现音视频互动；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麦克风注册：支持对输入的麦克风自动检测，支持麦克风法庭席位和参与人角色设置，可查看麦克风输入音量大小；</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摄像头注册：支持添加摄像头，可输入视频流地址、法庭席位、混屏显示级别对摄像头进行设置；</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▲支持不少于16路互联网视频画面接入，清晰度不低于720P30fps；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▲法庭专网设备与互联网当事人终端之间，音视频通话延迟低于200ms；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▲支持HTTP、RTSP、RTMP、WEBRTC、SIP等音视频协议；</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 xml:space="preserve">支持OTA自动升级，设备支持一键更新。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2</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智慧庭审软件</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庭审参与人管理：支持书记员在庭中查看审判组成员、诉讼参与人信息，包含在线离线状态、身份证号、手机号、庭审码和实人认证；书记员可在庭中在线添加参与人，支持庭中参与人进行实人认证、庭审设备测试；</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2、庭中发起实人认证：书记员可在庭中各个环节向各方当事人发起人脸识别实人认证；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3、开闭庭控制：书记员可通过客户端控制开庭、休庭、继续开庭和闭庭；</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4、庭审直播控制：书记员可通过客户端进行庭审直播控制，可打开或关闭庭审直播；</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5、音视频控制：书记员可辅助法官对当事人和其他参与人进行禁屏禁言和音视频隔离操作，被隔离人无法听到或看到法官与其他当事人的交流过程；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6、全员禁言：书记员可辅助法官发起全员禁言，发起后全员无法通过线上法庭语音沟通；</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7、法庭纪律播放：书记员可在开庭前播放庭前纪律，内外网各庭审参与人同步播放；</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8、画面分角色展示：客户端按照审判团队、原告、被告分角色进行画面排序和展示，便于书记员进行音视频控制；</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9、画面清晰度自适应：庭审时系统自动进行网速及硬件性能评估，根据网速调节画质，支持普通、高清、高清+、超清、超清4K；</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10、语音外呼：书记员使用互联网客户端软件时，支持在客户端软件向当事人进行电话呼出，当事人接通后可与其他线上参与人进行音频交互；</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11、中英文界面切换：支持书记员客户端中英文界面灵活切换；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12、庭审画面分屏：客户端支持对单一当事人或多当事人组合画面进行分屏，将其视频画面单独显示；</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13、桌面共享：客户端支持共享书记员庭审终端桌面，共享后当事人可实时看见法官终端屏幕，用于展示书记员庭审终端里的证据材料等电子材料；</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14、庭审卷宗分类：客户端根据庭前上传/导入的卷宗材料、庭中上传的卷宗材料进行分类，方便书记员在线查阅；</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15、电子证据上传：书记员可在庭前、庭中辅助当事人上传电子证据材料，各方庭审参与人可随时查阅上传的电子证据文件；</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16、电子证据共享：书记员可发起证据共享，发起共享证据后，各线上参与人画面同步展示为证据画面；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17、电子证据标注：在电子证据共享的同时，法官可在线对电子证据进行圈画与标注，当事人可实时查看法官标注的证据焦点要素，实现在线同步电子质证；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18、庭审笔录在线编辑：系统需支持书记员在专属笔录编辑器内在线对笔录进行编辑，支持边修改边语音转写的“双光标”笔录编写模式，支持笔录在线保存；</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19、庭审笔录模板：客户端支持书记员嵌入庭审笔录模板，笔录编写时可直接调用预先准备的笔录模板进行编辑；</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20、实时笔录多端共享：客户端支持笔录共享，书记员在线编辑笔录时，线上其他参与人客户端可查看实时笔录内容；</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21、笔录编辑权限切换：法官和书记员均支持笔录的编辑，必要时法官和书记员的笔录编辑权限可切换；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22、▲图像预览：支持图像预览功能，对不同场所、多画面进行实时图像预览功能，同时预览不少于32路图像；</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23、▲短信送达：法官新建排期或重新完成排期后，系统自动向当事人发送排期短信，包含开庭地址、庭审码等；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24、▲庭中发起实人认证：法官、书记员可在庭中环节，随时发起实人认证；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25、▲庭审笔录编辑：系统支持书记员在专属笔录编辑器内在线对笔录进行编辑，支持笔录自动在线保存。</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3</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数字音频矩阵</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处理器：ADI SHARC 21489 x 2</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DSP采样率/量化位数：48K/24bit</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40bit DSP浮点运算引擎</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PCM采样率：16kHz</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PCM量化位数：16Bit</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模拟输入、输出通道数量:12 x12</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PCM输出通道数量: 12</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输入增益:0/3/6/9/12/15/18/21/24/27/30/33/36/39/42/45/48 dBu</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幻象电源:+48V/10mA max</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频率响应(20~20kHz):±0.3dB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最大电平:+18dBu</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THD+N:&lt;-95dB @17dBu</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输入动态范围：113dB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输出动态范围：113dB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通道隔离度@1kHz:108dB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输入阻抗(平衡接法):5.4KΩ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输出阻抗(平衡接法):600Ω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4</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双路解码器</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支持庭审主机信息进行解码转换视频信号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5</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高清摄像机</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800万智定义变焦筒型网络摄像机</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支持开放应用平台（HEOP），可配套线上应用商城和管理平台，对智能应用进行安装、卸载、升级，并可导入第三方智能应用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支持1.5 TOPS算力、40 MB系统内存、350 MB智能内存、2 GB eMMC存储资源共享</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支持AI开放平台（AIOP），支持AI模型的下发和运行，检测结果的生成和上传</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最高分辨率可达3840 × 2160 @25 fps，在该分辨率下可输出实时图像</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支持背光补偿，强光抑制，3D数字降噪，120 dB宽动态，适应不同监控环境</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支持开放型网络视频接口，ISAPI，SDK，ISUP 5.0，GB28181协议接入，支持萤石平台接入</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支持多种事件检测和异常侦测，支持智能警戒，支持联动声音报警</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支持ROI感兴趣区域增强编码，支持Smart265/264编码，可根据场景情况自适应调整码率分配，有效节省存储成本</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支持最大256 GB MicroSD/MicroSDHC/MicroSDXC卡本地存储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1个内置麦克风，1个内置扬声器，支持双向语音对讲</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支持1路报警输入，1路报警输出（报警输出最大支持DC24 V，1 A或AC24 V，1 A），1路音频输入，1路音频输出</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支持暖光/红外双补光，红外光最远可达50 m；暖光：最远可达40 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支持两线式DC12 V，100 mA电源输出，用于拾音器供电；支持PoE供电功能</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符合IP66防尘防水设计，可靠性高</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传感器类型：1/1.8" Progressive Scan CMOS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最低照度：彩色：0.002 Lux @（F1.2，AGC ON），0 Lux with IR</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宽动态：120 dB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焦距&amp;视场角：7~35 mm，水平视场角：42°~15°，垂直视场角：23°~9°，对角视场角：49°~17°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补光灯类型：双光补光，可切换白光灯、红外灯</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补光距离：红外光：最远可达50 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暖光：最远可达40 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红外波长范围：850 nm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开放资源规格：系统内存：40 MB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智能内存：350 MB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Flash：2 GB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整机算力：1.5 TOPS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开放能力：基础业务逻辑能力，基础媒体服务能力，深度学习推理加速能力</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BASE库：提供RTSP/ISAPI服务、HTTP代理服务、License授权服务、端口服务、日志服务等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BSC库：提供多媒体视频服务和相应图像加速处理工具，包括获取YUV原始数据流、图像缩放、JPEG编解码、OSD叠加等功能，方便客户搭建差异化的智能处理框架</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HIKFLOW库：提供深度学习推理加速能力、常见图像处理加速能力，包括缩放，颜色空间转换等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深度学习框架：Caffe，PyTorch，TensorFlow</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开发语言：C，C++</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AI开放平台：支持AI模型的下发和运行，检测结果的生成和上传</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模型存储：支持4个模型包存储，每个模型包支持1个检测模型和2个分类模型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任务类型：支持视频任务，抓图轮巡任务</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目标检测：支持16种目标检测，并对其中1种目标进行分类，分类支持64个类别</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Smart事件：区域入侵侦测，越界侦测，进入区域侦测，离开区域侦测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人脸抓拍：支持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最大图像尺寸：3840 × 2160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视频压缩标准：主码流：H.265/H.264</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子码流：H.265/H.264/MJPEG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第三码流：H.265/H.264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网络：1个RJ45 10 M/100 M自适应以太网口</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SD卡扩展：内置MicroSD/MicroSDHC/MicroSDXC插槽，最大支持256 GB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内置麦克风：支持，1路内置麦克风</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内置扬声器：支持，1路内置扬声器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音频：1路输入（Line in），最大输入幅值：3.3 Vpp，输入阻抗：4.7 kΩ，接口类型：非平衡</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1路输出（Line out），最大输出幅值：3.3 Vpp，输出阻抗：100 Ω，接口类型：非平衡</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1个内置麦克风，1个内置扬声器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报警：1路输入，1路输出（报警输出最大支持DC24 V，1 A或AC24 V，1 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复位：支持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电源输出：DC12 V，100 mA，建议用于拾音器供电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产品尺寸：195.8 × 99.9 × 93 mm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包装尺寸：315 × 137 × 141 mm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设备重量：815 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带包装重量：1125 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启动和工作温湿度：-30 ℃~60 ℃，湿度小于95%（无凝结）</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电流及功耗：DC：12 V，1.08 A，最大功耗：13 W</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PoE：802.3at，42.5 V~57 V，0.36 A~0.27 A，最大功耗：15 W</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供电方式：DC：12 V ± 25%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PoE：802.3at</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电源接口类型：Ø5.5 mm圆口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防护：IP66</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靶面尺寸不低于1/1.8</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内置至少一颗GPU芯片</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内置至少1个麦克风，1个扬声器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具有至少1个RJ45网络接口，1个RS232接口，1个音频输入接口、1个音频输出接口、1个报警输入接口、1个报警输出接口，1个SD卡卡槽，1个DC12V电压输出接口</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支持白光补光，白光灯打开时，能看清40米处人体轮廓，支持红外补光，红外作用距离不低于50m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在3840x2160下分辨力可达到2100线</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支持光学变焦功能，变焦过程不会完全虚焦。且支持一键聚焦功能。</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可对出现在监控画面中的两眼瞳距不小于38像素的人脸进行检测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具有最佳抓拍和快速抓拍2种人脸图片抓拍模式设置选项。</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支持声音报警功能，报警声音类型不低于12种，报警音量及重复次数可设置,并支持导入自定义语音。</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▲需具备区域入侵、越界入侵、进入区域、离开区域功能，报警检测目标可设置为人体、车辆、人体和车辆三种类别。</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▲需具备智能报警防干扰功能，当在设定的检测范围内出现光线明暗变化、篮球滚动、狗行走、树摇晃时，不触发报警。</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回放录像文件时，应能听清录像文件中距样机10m处声级不小与70dB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能在DC12V±25%范围内正常工作，支持防反接保护和POE供电。当样机采用DC12V和PoE供电时，任何一路供电停止后，样机均可连续工作。</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支持IP66防尘防水。</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支持开放应用平台，可配置线上应用商城和管理平台，对智能应用进行删除、导入、升级更新，更新过程中无需重启样机，视频画面不丢失。</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▲支持智能模块加载，加载过程中不需要重启样机，视频画面不丢失。</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▲支持人脸抓拍、smart事件、AI开放平台三个智能功能。</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▲支持下载保存到本地PC查看智能算法或APP操作运行相关的日志。</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支持显示查看APP相关信息，包括版本、厂商、占用内存、占用智能内存、占用FLASH大小、许可证管理信息、权限配置信息、应用介绍、免责声明等。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▲支持许可证导入检验，第三方智能APP只有在许可证有效期内才能正常导入使用。</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6</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高清摄像机</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5A筒型星光网络摄像机</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3</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鳞镜补光：采用隐藏式灯珠设计，通过鳞甲密布排列形成的镜面反射出光，见光不见灯。增加发光面积，降低聚光效果，补光柔和均匀</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设备内置电动变焦镜头，操作便易，变焦过程平稳</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标配2个内置麦克风</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最高分辨率可达600万像素，并在此分辨率下可输出30 fps实时图像，图像更流畅，支持透雾、电子防抖，支持宽动态120 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支持开放型网络视频接口，ISAPI，GB/T28181-2016，ISUP5.0，视图库</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支持标准的256 GB MicroSD/MicroSDHC/MicroSDXC卡存储，支持10 M/100 M自适应网口</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支持三码流技术，支持同时20路取流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支持三级用户权限管理，支持授权的用户和密码，支持IP地址过滤</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防护等级：IP67</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电源供应：DC：12 V ± 20%；PoE：802.3af，Type 1，Class 3</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1路音频输入，1路音频输出，1路报警输入，1路报警输出（报警输出最大支持DC12 V，30 mA）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传感器类型：1/1.8" Progressive Scan CMOS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最低照度：彩色：0.002 Lux @（F1.2，AGC ON）</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黑白：0.0002 Lux @（F1.2，AGC ON），0 Lux with IR</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宽动态：120 dB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焦距&amp;视场角：2.7~13.5 mm：水平视场角：104°~41.2°，垂直视场角：54.2°~23.1°，对角视场角：126.5°~47.3°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补光灯类型：默认红外补光，可切换暖白光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补光距离：暖白光：最远可达30 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红外灯：最远可达50 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补光灯数量：4颗</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防补光过曝：支持防补光过曝开启和关闭，开启下支持自动和手动，手动支持根据距离等级控制补光灯亮度</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红外波长范围：850 nm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最大图像尺寸：3200 × 1800</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视频压缩标准：H.265/H.264/MJPEG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网络：1个RJ45 10 M/100 M自适应以太网口</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SD卡扩展：内置MicroSD/MicroSDHC/MicroSDXC插槽，最大支持256 GB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音频：1路输入（Line in），1路输出（Line out），2个内置麦克风</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报警：1路输入，1路输出（报警输入支持开关量，报警输出最大支持DC12 V，30 mA）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RS-485：1路RS-485接口，半双工模式，支持自适应HIKVISION，PELCO-P和PELCO-D协议</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复位：支持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电源输出：DC12 V，50 mA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接口类型：外甩线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产品尺寸：181 × 102 × 89 mm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包装尺寸：315 × 137 × 141 mm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设备重量：795 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带包装重量：1115 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存储温湿度：-30 °C~60 °C，湿度小于95%（无凝结）</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启动和工作温湿度：-30 °C~60 °C，湿度小于95%（无凝结）</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电流及功耗：DC：12 V，0.9 A，最大功耗：10.8 W</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PoE：802.3af，36 V~57 V，0.34 A~0.22 A，最大功耗：12.2 W</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供电方式：DC：12 V ± 20%，支持防反接保护</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PoE：802.3af，Type1，Class 3</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线缆长度：35 cm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 xml:space="preserve">电源接口类型：3芯电源接口 </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防护：IP67</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具有不小于1/1.8"靶面尺寸。</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内置1颗GPU、2个麦克风</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镜头焦距不小于2.7mm~13.5mm。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设备支持输出3200×1800@25fps的码流。</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可通过IE浏览器控制设备聚焦及变焦，变焦过程中可自动聚焦。</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最低照度彩色：0.001 lx，黑白:0.0001 lx，最大亮度鉴别等级（灰度等级）不小于11级。</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摄像机能够在-30~60摄氏度环境下稳定工作。</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支持透雾功能，当检测到雾的浓度达到设定的阈值时，可自动在光学透雾和数字透雾之间进行切换。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同一静止场景相同图像质量下，设备在H.265编码方式时，开启智能编码功能和不开启智能编码相比，码率节约1/2。</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需支持本地SD卡存储，最大支持256G。</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摄像机采用鳞镜式补光灯，补光灯开启后，正面不可见补光灯灯珠，补光亮度均匀，无明显波纹状、圆环状、麻点状、条纹状及不规则亮斑。</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不低于IP67防尘防水等级。</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具有1个RS485接口、1个报警输入接口、1个报警输出接口、1个音频输入接口、1个音频输出接口。</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7</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书记员及法官电脑主机</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CPU：国产化 /操作系统：统信OS内存：16G DDR4；硬盘：256G SSD固态硬盘；内置网卡：10M/100M/1000M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2</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8</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庭内壁挂显示屏</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尺寸：65英寸；接口：HDMI、USB；显示：4K高清面板，3840x2160分辨率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2</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9</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桌面显示屏</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不小于23.8英寸；显示分辨率2K(2560×1440)；定制可放倒支架，支持屏幕角度调节或折叠翻转。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6</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10</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鹅颈话筒</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1.选用优质背极电容极头，具有优良的指向性，专为人声设计的频率响应，配合头尾软中间硬的万向型软管，广泛应用于各种会议场所，是高级会议工程的理想首选。</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8</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支</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2.性能规格：</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3.机构形式：卡龙插拔倒扣式结构</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4.底座材质：锌基合金</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5.产品类别：9.7背极电容式</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6.指向类型：超心型</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7.频率响应：100-12000Hz</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8.输出量：≤15mV(1KHz/94dB)</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9.供电：DC1.5V/48V自动切换</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10.建议拾音距离：(20-50)cm</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11.为保证系统安全稳定运行需满足以下要求:自由场灵敏度（级）：≤-35.5dB；输出抗阻：≥160Ω。</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11</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音箱</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采用壁挂或者吸顶形式安装；承载功率：60～250WATTS，准平板扬声器，灵敏度：91dB/1watt/1meter</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2</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12</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功放</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功率：210W×2；频率响应：20-20KHz+0/-0.5dB；失真+噪声：&lt;0.2%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13</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网络接入设备</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24个10/100Base-TX以太网口;交流供电;包转发率：36Mpps;交换容量：48Gbps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14</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视频HDMI分配器</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4路HDMI分配器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2</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15</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时序电源</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1.支持独立的八路大功率电源输出，可满足多种三级的电源插座，如国标插座、美标插座以及欧标插座等，还可满足二级欧式的圆头插座；</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台</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2.支持控制和显示八路通道开关状态，可通过面板一键开关时序关启通道；</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3.支持开机时由前级到后级按顺序逐个启动各类设备，关机时由后级到前级逐个关闭各个设备，有效的统一管理控制用电设备，确保整个系统的稳定运行；</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4.单路负荷:10A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5.电源容量:总容量220V，16A</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6.输入电源:AC220-240/50Hz</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7.支持短路信号触发控制：电源开关处于关闭状态时，从TIMER IN口接入短路信号输入，会顺序激活8路电源输出；</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8.支持短路信号输出：电源开关处于关闭状态时，从TIMER IN口接入短路信号，同时会激活TIMER LINK接口短路信号输出；</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9.电源输出顺序间隔时间:≤0.66S。</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16</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机柜</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1.2米落地机柜，含PDU，配电箱等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17</w:t>
                  </w:r>
                </w:p>
              </w:tc>
              <w:tc>
                <w:tcPr>
                  <w:tcW w:type="dxa" w:w="487"/>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庭外公告屏</w:t>
                  </w:r>
                </w:p>
              </w:tc>
              <w:tc>
                <w:tcPr>
                  <w:tcW w:type="dxa" w:w="424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both"/>
                  </w:pPr>
                  <w:r>
                    <w:rPr>
                      <w:sz w:val="18"/>
                      <w:color w:val="000000"/>
                    </w:rPr>
                    <w:t>显示分辨率1920×1080；</w:t>
                  </w: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r>
              <w:tc>
                <w:tcPr>
                  <w:tcW w:type="dxa" w:w="298"/>
                  <w:vMerge/>
                  <w:tcBorders>
                    <w:top w:val="none" w:color="000000" w:sz="4"/>
                    <w:left w:val="single" w:color="000000" w:sz="4"/>
                    <w:bottom w:val="single" w:color="000000" w:sz="4"/>
                    <w:right w:val="single" w:color="000000" w:sz="4"/>
                  </w:tcBorders>
                </w:tcPr>
                <w:p/>
              </w:tc>
              <w:tc>
                <w:tcPr>
                  <w:tcW w:type="dxa" w:w="487"/>
                  <w:vMerge/>
                  <w:tcBorders>
                    <w:top w:val="none" w:color="000000" w:sz="4"/>
                    <w:left w:val="single" w:color="000000" w:sz="4"/>
                    <w:bottom w:val="single" w:color="000000" w:sz="4"/>
                    <w:right w:val="single" w:color="000000" w:sz="4"/>
                  </w:tcBorders>
                </w:tcP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支持接入并显示庭审状态、案件详情等信息；</w:t>
                  </w:r>
                </w:p>
              </w:tc>
              <w:tc>
                <w:tcPr>
                  <w:tcW w:type="dxa" w:w="283"/>
                  <w:vMerge/>
                  <w:tcBorders>
                    <w:top w:val="none" w:color="000000" w:sz="4"/>
                    <w:left w:val="single" w:color="000000" w:sz="4"/>
                    <w:bottom w:val="single" w:color="000000" w:sz="4"/>
                    <w:right w:val="single" w:color="000000" w:sz="4"/>
                  </w:tcBorders>
                </w:tcPr>
                <w:p/>
              </w:tc>
              <w:tc>
                <w:tcPr>
                  <w:tcW w:type="dxa" w:w="291"/>
                  <w:vMerge/>
                  <w:tcBorders>
                    <w:top w:val="none" w:color="000000" w:sz="4"/>
                    <w:left w:val="singl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18</w:t>
                  </w:r>
                </w:p>
              </w:tc>
              <w:tc>
                <w:tcPr>
                  <w:tcW w:type="dxa" w:w="487"/>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线材辅料</w:t>
                  </w:r>
                </w:p>
              </w:tc>
              <w:tc>
                <w:tcPr>
                  <w:tcW w:type="dxa" w:w="424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both"/>
                  </w:pPr>
                  <w:r>
                    <w:rPr>
                      <w:sz w:val="18"/>
                      <w:color w:val="000000"/>
                    </w:rPr>
                    <w:t>含所有法庭内线材辅料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1</w:t>
                  </w:r>
                </w:p>
              </w:tc>
              <w:tc>
                <w:tcPr>
                  <w:tcW w:type="dxa" w:w="291"/>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sz w:val="18"/>
                      <w:color w:val="00000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1.采购代理机构：本项目是指广东智汇城市招标采购有限公司汕头分公司，负责整个采购活动的组织，依法负责编制和发布招标文件，对招标文件拥有最终的解释权，不以任何身份出任评标委员会成员。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汕头市濠江区人民法院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广东智汇城市招标采购有限公司汕头分公司</w:t>
      </w:r>
      <w:r>
        <w:rPr/>
        <w:t>代收。具体操作要求详见</w:t>
      </w:r>
      <w:r>
        <w:rPr/>
        <w:t>广东智汇城市招标采购有限公司汕头分公司</w:t>
      </w:r>
      <w:r>
        <w:rPr/>
        <w:t>有关指引，递交事宜请自行咨询</w:t>
      </w:r>
      <w:r>
        <w:rPr/>
        <w:t>广东智汇城市招标采购有限公司汕头分公司</w:t>
      </w:r>
      <w:r>
        <w:rPr/>
        <w:t>；请各投标人在投标文件递交截止时间前按须知前附表规定的金额递交至</w:t>
      </w:r>
      <w:r>
        <w:rPr/>
        <w:t>广东智汇城市招标采购有限公司汕头分公司</w:t>
      </w:r>
      <w:r>
        <w:rPr/>
        <w:t>，到账情况以开标时</w:t>
      </w:r>
      <w:r>
        <w:rPr/>
        <w:t>广东智汇城市招标采购有限公司汕头分公司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http://www.gdzhcity.com/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http://www.gdzhcity.com/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陈子怡</w:t>
      </w:r>
    </w:p>
    <w:p>
      <w:pPr>
        <w:pStyle w:val="null3"/>
        <w:ind w:firstLine="480"/>
      </w:pPr>
      <w:r>
        <w:rPr/>
        <w:t>电话：</w:t>
      </w:r>
      <w:r>
        <w:rPr/>
        <w:t>0754-82770125</w:t>
      </w:r>
    </w:p>
    <w:p>
      <w:pPr>
        <w:pStyle w:val="null3"/>
        <w:ind w:firstLine="480"/>
      </w:pPr>
      <w:r>
        <w:rPr/>
        <w:t>传真：</w:t>
      </w:r>
      <w:r>
        <w:rPr/>
        <w:t>/</w:t>
      </w:r>
    </w:p>
    <w:p>
      <w:pPr>
        <w:pStyle w:val="null3"/>
        <w:ind w:firstLine="480"/>
      </w:pPr>
      <w:r>
        <w:rPr/>
        <w:t>邮箱：</w:t>
      </w:r>
      <w:r>
        <w:rPr/>
        <w:t>zhcs_st@163.com</w:t>
      </w:r>
    </w:p>
    <w:p>
      <w:pPr>
        <w:pStyle w:val="null3"/>
        <w:ind w:firstLine="480"/>
      </w:pPr>
      <w:r>
        <w:rPr/>
        <w:t>地址：</w:t>
      </w:r>
      <w:r>
        <w:rPr/>
        <w:t>汕头市龙湖区黄山路65号诚融大厦8楼808、809号房</w:t>
      </w:r>
    </w:p>
    <w:p>
      <w:pPr>
        <w:pStyle w:val="null3"/>
        <w:ind w:firstLine="480"/>
      </w:pPr>
      <w:r>
        <w:rPr/>
        <w:t>邮编：</w:t>
      </w:r>
      <w:r>
        <w:rPr/>
        <w:t>515041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濠江区人民法院科技法庭租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广东智汇城市招标采购有限公司汕头分公司</w:t>
      </w:r>
      <w:r>
        <w:rPr/>
        <w:t>统一对外发布。</w:t>
      </w:r>
    </w:p>
    <w:p>
      <w:pPr>
        <w:pStyle w:val="null3"/>
        <w:ind w:firstLine="480"/>
      </w:pPr>
      <w:r>
        <w:rPr/>
        <w:t>（2）对</w:t>
      </w:r>
      <w:r>
        <w:rPr/>
        <w:t>广东智汇城市招标采购有限公司汕头分公司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采购包1（汕头市濠江区人民法院科技法庭租赁项目）：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采购包1（汕头市濠江区人民法院科技法庭租赁项目）：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投标文件中提供《汕头市政府采购供应商信用承诺函》，承诺函格式详见招标公告附件。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投标文件中提供《汕头市政府采购供应商信用承诺函》，承诺函格式详见招标公告附件。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投标文件中提供《汕头市政府采购供应商信用承诺函》，承诺函格式详见招标公告附件。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汕头市政府采购供应商信用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投标人须符合本项目采购标的对应行业（本项目行业为：租赁和商务服务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采购包1（汕头市濠江区人民法院科技法庭租赁项目）：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报价符合本项目报价要求。</w:t>
            </w:r>
          </w:p>
        </w:tc>
        <w:tc>
          <w:tcPr>
            <w:tcW w:type="dxa" w:w="4238"/>
          </w:tcPr>
          <w:p>
            <w:pPr>
              <w:pStyle w:val="null3"/>
            </w:pPr>
            <w:r>
              <w:rPr/>
              <w:t>报价符合本项目报价要求。</w:t>
            </w:r>
          </w:p>
        </w:tc>
      </w:tr>
      <w:tr>
        <w:tc>
          <w:tcPr>
            <w:tcW w:type="dxa" w:w="890"/>
          </w:tcPr>
          <w:p>
            <w:pPr>
              <w:pStyle w:val="null3"/>
            </w:pPr>
            <w:r>
              <w:rPr/>
              <w:t>2</w:t>
            </w:r>
          </w:p>
        </w:tc>
        <w:tc>
          <w:tcPr>
            <w:tcW w:type="dxa" w:w="3178"/>
          </w:tcPr>
          <w:p>
            <w:pPr>
              <w:pStyle w:val="null3"/>
            </w:pPr>
            <w:r>
              <w:rPr/>
              <w:t>法人授权委托证明。(投标人代表为法定代表人的除外)</w:t>
            </w:r>
          </w:p>
        </w:tc>
        <w:tc>
          <w:tcPr>
            <w:tcW w:type="dxa" w:w="4238"/>
          </w:tcPr>
          <w:p>
            <w:pPr>
              <w:pStyle w:val="null3"/>
            </w:pPr>
            <w:r>
              <w:rPr/>
              <w:t>法人授权委托证明。(投标人代表为法定代表人的除外)</w:t>
            </w:r>
          </w:p>
        </w:tc>
      </w:tr>
      <w:tr>
        <w:tc>
          <w:tcPr>
            <w:tcW w:type="dxa" w:w="890"/>
          </w:tcPr>
          <w:p>
            <w:pPr>
              <w:pStyle w:val="null3"/>
            </w:pPr>
            <w:r>
              <w:rPr/>
              <w:t>3</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投标文件的签署、盖章符合招标文件要求。</w:t>
            </w:r>
          </w:p>
        </w:tc>
        <w:tc>
          <w:tcPr>
            <w:tcW w:type="dxa" w:w="4238"/>
          </w:tcPr>
          <w:p>
            <w:pPr>
              <w:pStyle w:val="null3"/>
            </w:pPr>
            <w:r>
              <w:rPr/>
              <w:t>投标文件的签署、盖章符合招标文件要求。</w:t>
            </w:r>
          </w:p>
        </w:tc>
      </w:tr>
      <w:tr>
        <w:tc>
          <w:tcPr>
            <w:tcW w:type="dxa" w:w="890"/>
          </w:tcPr>
          <w:p>
            <w:pPr>
              <w:pStyle w:val="null3"/>
            </w:pPr>
            <w:r>
              <w:rPr/>
              <w:t>5</w:t>
            </w:r>
          </w:p>
        </w:tc>
        <w:tc>
          <w:tcPr>
            <w:tcW w:type="dxa" w:w="3178"/>
          </w:tcPr>
          <w:p>
            <w:pPr>
              <w:pStyle w:val="null3"/>
            </w:pPr>
            <w:r>
              <w:rPr/>
              <w:t>采购需求当中的★条款满足要求。(若本项目无★条款，此项通过)</w:t>
            </w:r>
          </w:p>
        </w:tc>
        <w:tc>
          <w:tcPr>
            <w:tcW w:type="dxa" w:w="4238"/>
          </w:tcPr>
          <w:p>
            <w:pPr>
              <w:pStyle w:val="null3"/>
            </w:pPr>
            <w:r>
              <w:rPr/>
              <w:t>采购需求当中的★条款满足要求。(若本项目无★条款，此项通过)</w:t>
            </w:r>
          </w:p>
        </w:tc>
      </w:tr>
      <w:tr>
        <w:tc>
          <w:tcPr>
            <w:tcW w:type="dxa" w:w="890"/>
          </w:tcPr>
          <w:p>
            <w:pPr>
              <w:pStyle w:val="null3"/>
            </w:pPr>
            <w:r>
              <w:rPr/>
              <w:t>6</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采购包1(汕头市濠江区人民法院科技法庭租赁项目):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(15.0分)</w:t>
            </w:r>
          </w:p>
        </w:tc>
        <w:tc>
          <w:tcPr>
            <w:tcW w:type="dxa" w:w="5076"/>
          </w:tcPr>
          <w:p>
            <w:pPr>
              <w:pStyle w:val="null3"/>
              <w:jc w:val="left"/>
            </w:pPr>
            <w:r>
              <w:rPr/>
              <w:t>投标人响应的技术标准条款符合采购文件的规定及要求，每提供一项带“▲”条款得1分，满分为15分。 注：对采购需求中带“▲”号的条款，须提供功能截图、或厂家公开网址链接及功能截图，或系统技术白皮书，或功能彩页，或第三方检测机构出具的检测报告等证明资料，否则不得分。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根据投标人对实施方案总体方案（包括但不限于对采购需求的理解、具体实施管理、有详细的规划方案，针对方案完整性、可行性、科学性、合理性等）进行评审： ①方案能清晰深刻理解采购需求的，整体思路清楚、科学，内容详细具体，方案完全具备可操作性、合理性及针对性非常强的，满足采购需求的，得10分； ②方案较清晰，能理解采购需求的，整体思路清楚、科学，内容详细具体，方案可操作性、合理性及针对性强，符合采购需求的，得7分； ③方案能理解采购需求的，内容较详细，方案具备可操作性，基本符合采购需求的，得4分； ④方案简略，对采购需求理解不够清晰的，各类实施方案可行性较差的，部分符合采购需求的，得1分； ⑤未提供相关方案不得分。</w:t>
            </w:r>
          </w:p>
        </w:tc>
      </w:tr>
      <w:tr>
        <w:tc>
          <w:tcPr>
            <w:tcW w:type="dxa" w:w="922"/>
            <w:gridSpan w:val="2"/>
            <w:vMerge/>
          </w:tcPr>
          <w:p/>
        </w:tc>
        <w:tc>
          <w:tcPr>
            <w:tcW w:type="dxa" w:w="2307"/>
          </w:tcPr>
          <w:p>
            <w:pPr>
              <w:pStyle w:val="null3"/>
              <w:jc w:val="left"/>
            </w:pPr>
            <w:r>
              <w:rPr/>
              <w:t>服务保证方案 (10.0分)</w:t>
            </w:r>
          </w:p>
        </w:tc>
        <w:tc>
          <w:tcPr>
            <w:tcW w:type="dxa" w:w="5076"/>
          </w:tcPr>
          <w:p>
            <w:pPr>
              <w:pStyle w:val="null3"/>
              <w:jc w:val="left"/>
            </w:pPr>
            <w:r>
              <w:rPr/>
              <w:t>根据投标人针对本项目制定的质量保证方案（包括但不限于服务质量目标、服务质量控制措施、服务质量保证体系及措施、质量保障管理及合理化建议内容）进行评审： ①质量目标详细明确，具体可行的，服务质量保障措施科学，有项目的保障措施介绍且能清晰描述，针对本项目能详尽的罗列出全面科学的合理化建议，有利于项目实施的，得10分； ②质量目标明确，具体可行的，服务质量保障措施基本全面，有具体的保障措施介绍说明；针对本项目能提供合理化建议，较有利于项目实施的，得7分； ③质量目标详细的，服务质量保障措施一般，描述过于简单，保障措施介绍一般；针对本项目合理化建议不够详细具体的，基本满足采购需求的，得4分； ④质量目标简略不够详细的，服务质量保障措施较弱，描述过于简单，保障措施介绍一般；针对本项目合理化建议简单，和项目的实际需求有所偏离的，部分满足采购需求的，得1分； ⑤未提供对应方案不得分。</w:t>
            </w:r>
          </w:p>
        </w:tc>
      </w:tr>
      <w:tr>
        <w:tc>
          <w:tcPr>
            <w:tcW w:type="dxa" w:w="922"/>
            <w:gridSpan w:val="2"/>
            <w:vMerge/>
          </w:tcPr>
          <w:p/>
        </w:tc>
        <w:tc>
          <w:tcPr>
            <w:tcW w:type="dxa" w:w="2307"/>
          </w:tcPr>
          <w:p>
            <w:pPr>
              <w:pStyle w:val="null3"/>
              <w:jc w:val="left"/>
            </w:pPr>
            <w:r>
              <w:rPr/>
              <w:t>应急保障方案 (10.0分)</w:t>
            </w:r>
          </w:p>
        </w:tc>
        <w:tc>
          <w:tcPr>
            <w:tcW w:type="dxa" w:w="5076"/>
          </w:tcPr>
          <w:p>
            <w:pPr>
              <w:pStyle w:val="null3"/>
              <w:jc w:val="left"/>
            </w:pPr>
            <w:r>
              <w:rPr/>
              <w:t>根据投标人针对本项目提出的应急保障方案（包括但不限于应急管理、应急人员、应急设备等应急保障）进行评审： ①应急保障方案非常具体完善，有成熟的应急管理机制、人员安排计划周全、现场解决能力非常强，组织运作机制非常完善、科学合理，可行性非常强的，得10分； ②应急保障方案具体详细，有完善的应急管理机制、人员安排计划可行、应急响应时间短，现场解决能力强，组织运作机制完善、合理，可行性强的，得7分； ③应急处理预案较具体，有基础应急管理机制、技术人员安排计划可行，现场解决能力较强，组织运作机制基本合理，可行性的，得4分； ④应急处理预案不够具体，有应急管理机制、技术人员安排计划，现场解决能力较弱，组织运作机制部分合理，可行性的，得1分； ⑤未提供对应方案不得分。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制定的培训方案（包括但不限于培训计划、培训的形式多样性、设备使用培训方案等）进行评审：①培训方案非常详尽全面，表述清晰，培训形式非常多样化，针对本项目需求对服务人员制定了成熟的培训制度，完全满足采购需求的，得10分； ②培训方案详尽全面、培训形式非常 多样化，对服务人员制定了成熟的培训制度，满足采购需求的，得7分；③培训方案较详尽全面、科学的，培训形式较单一、简略，对服务人员制定的培训制度可行性一般的，基本符合采购需求的，得4分； ④培训方案详尽不够全面，培训方式较难理解的、培训形式非常简略，可行性较差的，得1分； ⑤未提供对应方案不得分。</w:t>
            </w:r>
          </w:p>
        </w:tc>
      </w:tr>
      <w:tr>
        <w:tc>
          <w:tcPr>
            <w:tcW w:type="dxa" w:w="922"/>
            <w:gridSpan w:val="2"/>
            <w:vMerge/>
          </w:tcPr>
          <w:p/>
        </w:tc>
        <w:tc>
          <w:tcPr>
            <w:tcW w:type="dxa" w:w="2307"/>
          </w:tcPr>
          <w:p>
            <w:pPr>
              <w:pStyle w:val="null3"/>
              <w:jc w:val="left"/>
            </w:pPr>
            <w:r>
              <w:rPr/>
              <w:t>服务人员配置 (10.0分)</w:t>
            </w:r>
          </w:p>
        </w:tc>
        <w:tc>
          <w:tcPr>
            <w:tcW w:type="dxa" w:w="5076"/>
          </w:tcPr>
          <w:p>
            <w:pPr>
              <w:pStyle w:val="null3"/>
              <w:jc w:val="left"/>
            </w:pPr>
            <w:r>
              <w:rPr/>
              <w:t>根据投标人针对本项目提供的服务人员配置方案（包括但不限于组织架构、服务人员配备、培训等）进行评审： ①投标人组织架构科学完善，服务人员配备充足且具有丰富的项目经验，针对本项目需求对服务人员制定了成熟的培训制度，能完全满足采购需求要求的，得10分； ②投标人组织架构完善，服务人员配备充足且具有一定的项目经验，对服务人员制定了成熟的培训制度，能满足采购需求要求的，得7分； ③投标人组织架构基本完善，服务人员配备充足，对服务人员制定了培训制度，基本能满足采购需求要求的，得4分； ④投标人组织架构一般，服务人员配备不充足，难以满足采购需求要求的，得1分； ⑤未提供对应方案或其他情形的，得0分。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根据投标人具有过信息化租赁项目业绩进行评审，每提供1个得5分，最高得10分。 注：须提供合同复印件加盖投标人公章。</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根据投标人提供的服务响应时间承诺进行评审： ①投标人承诺在接到采购人通知后30分钟（含）内到标的提供地点的，得5分； ②投标人承诺在接到采购人通知后30分钟（不含）至1个小时（含）到标的提供地点的，得3分； ③投标人承诺在接到采购人通知后1小时（不含）至2个小时（含）到标的提供地点的，得1分； ④其他情况不得分。 注：须提供服务承诺函加盖投标人公章，承诺函格式自拟。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b/>
        </w:rPr>
        <w:t>广东省政府采购</w:t>
      </w:r>
    </w:p>
    <w:p>
      <w:pPr>
        <w:pStyle w:val="null3"/>
      </w:pPr>
      <w:r>
        <w:rPr/>
        <w:t xml:space="preserve"> </w:t>
      </w:r>
    </w:p>
    <w:p>
      <w:pPr>
        <w:pStyle w:val="null3"/>
        <w:jc w:val="center"/>
      </w:pPr>
      <w:r>
        <w:rPr>
          <w:b/>
        </w:rPr>
        <w:t>合　同　书</w:t>
      </w:r>
    </w:p>
    <w:p>
      <w:pPr>
        <w:pStyle w:val="null3"/>
      </w:pPr>
      <w:r>
        <w:br/>
      </w:r>
      <w:r>
        <w:br/>
      </w:r>
      <w:r>
        <w:br/>
      </w:r>
      <w:r>
        <w:br/>
      </w:r>
      <w:r>
        <w:br/>
      </w:r>
      <w:r>
        <w:br/>
      </w:r>
      <w:r>
        <w:br/>
      </w:r>
      <w:r>
        <w:br/>
      </w:r>
      <w:r>
        <w:rPr/>
        <w:t xml:space="preserve">  </w:t>
      </w:r>
    </w:p>
    <w:p>
      <w:pPr>
        <w:pStyle w:val="null3"/>
      </w:pPr>
      <w:r>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t xml:space="preserve"> </w:t>
      </w:r>
    </w:p>
    <w:p>
      <w:pPr>
        <w:pStyle w:val="null3"/>
      </w:pPr>
      <w:r>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t xml:space="preserve"> </w:t>
      </w:r>
    </w:p>
    <w:p>
      <w:pPr>
        <w:pStyle w:val="null3"/>
      </w:pPr>
      <w:r>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br/>
      </w:r>
      <w:r>
        <w:rPr/>
        <w:t xml:space="preserve">  </w:t>
      </w:r>
    </w:p>
    <w:p>
      <w:pPr>
        <w:pStyle w:val="null3"/>
      </w:pPr>
      <w:r>
        <w:rPr>
          <w:b/>
        </w:rPr>
        <w:t>甲方：</w:t>
      </w:r>
      <w:r>
        <w:rPr>
          <w:b/>
        </w:rPr>
        <w:t xml:space="preserve"> </w:t>
      </w:r>
      <w:r>
        <w:rPr>
          <w:u w:val="single"/>
        </w:rPr>
        <w:t>　　　　　</w:t>
      </w:r>
      <w:r>
        <w:rPr>
          <w:u w:val="single"/>
        </w:rPr>
        <w:t xml:space="preserve"> </w:t>
      </w:r>
      <w:r>
        <w:rPr>
          <w:u w:val="single"/>
        </w:rPr>
        <w:t xml:space="preserve"> </w:t>
      </w:r>
      <w:r>
        <w:rPr>
          <w:u w:val="single"/>
        </w:rPr>
        <w:t xml:space="preserve"> </w:t>
      </w:r>
    </w:p>
    <w:p>
      <w:pPr>
        <w:pStyle w:val="null3"/>
      </w:pPr>
      <w:r>
        <w:rPr/>
        <w:t xml:space="preserve">电话： </w:t>
      </w:r>
      <w:r>
        <w:rPr>
          <w:u w:val="single"/>
        </w:rPr>
        <w:t>　　　　</w:t>
      </w:r>
      <w:r>
        <w:rPr>
          <w:u w:val="single"/>
        </w:rPr>
        <w:t xml:space="preserve"> </w:t>
      </w:r>
      <w:r>
        <w:rPr>
          <w:u w:val="single"/>
        </w:rPr>
        <w:t xml:space="preserve"> </w:t>
      </w:r>
      <w:r>
        <w:rPr>
          <w:u w:val="single"/>
        </w:rPr>
        <w:t xml:space="preserve"> </w:t>
      </w:r>
      <w:r>
        <w:rPr/>
        <w:t xml:space="preserve">传真 ： </w:t>
      </w:r>
      <w:r>
        <w:rPr>
          <w:u w:val="single"/>
        </w:rPr>
        <w:t>　　　</w:t>
      </w:r>
      <w:r>
        <w:rPr>
          <w:u w:val="single"/>
        </w:rPr>
        <w:t xml:space="preserve"> </w:t>
      </w:r>
      <w:r>
        <w:rPr>
          <w:u w:val="single"/>
        </w:rPr>
        <w:t xml:space="preserve"> </w:t>
      </w:r>
      <w:r>
        <w:rPr>
          <w:u w:val="single"/>
        </w:rPr>
        <w:t xml:space="preserve"> </w:t>
      </w:r>
      <w:r>
        <w:rPr/>
        <w:t xml:space="preserve">地址： </w:t>
      </w:r>
      <w:r>
        <w:rPr>
          <w:u w:val="single"/>
        </w:rPr>
        <w:t>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b/>
        </w:rPr>
        <w:t>乙方：</w:t>
      </w:r>
      <w:r>
        <w:rPr>
          <w:b/>
        </w:rPr>
        <w:t xml:space="preserve"> </w:t>
      </w:r>
      <w:r>
        <w:rPr>
          <w:u w:val="single"/>
        </w:rPr>
        <w:t>　　　　　</w:t>
      </w:r>
      <w:r>
        <w:rPr>
          <w:u w:val="single"/>
        </w:rPr>
        <w:t xml:space="preserve"> </w:t>
      </w:r>
      <w:r>
        <w:rPr>
          <w:u w:val="single"/>
        </w:rPr>
        <w:t xml:space="preserve"> </w:t>
      </w:r>
      <w:r>
        <w:rPr>
          <w:u w:val="single"/>
        </w:rPr>
        <w:t xml:space="preserve"> </w:t>
      </w:r>
    </w:p>
    <w:p>
      <w:pPr>
        <w:pStyle w:val="null3"/>
      </w:pPr>
      <w:r>
        <w:rPr/>
        <w:t xml:space="preserve">电话： </w:t>
      </w:r>
      <w:r>
        <w:rPr>
          <w:u w:val="single"/>
        </w:rPr>
        <w:t>　　　　</w:t>
      </w:r>
      <w:r>
        <w:rPr>
          <w:u w:val="single"/>
        </w:rPr>
        <w:t xml:space="preserve"> </w:t>
      </w:r>
      <w:r>
        <w:rPr>
          <w:u w:val="single"/>
        </w:rPr>
        <w:t xml:space="preserve"> </w:t>
      </w:r>
      <w:r>
        <w:rPr>
          <w:u w:val="single"/>
        </w:rPr>
        <w:t xml:space="preserve"> </w:t>
      </w:r>
      <w:r>
        <w:rPr>
          <w:u w:val="single"/>
        </w:rPr>
        <w:t xml:space="preserve"> </w:t>
      </w:r>
      <w:r>
        <w:rPr/>
        <w:t>传真：</w:t>
      </w:r>
      <w:r>
        <w:rPr>
          <w:u w:val="single"/>
        </w:rPr>
        <w:t>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t xml:space="preserve">地址： </w:t>
      </w:r>
      <w:r>
        <w:rPr>
          <w:u w:val="single"/>
        </w:rPr>
        <w:t>　　　</w:t>
      </w:r>
      <w:r>
        <w:rPr>
          <w:u w:val="single"/>
        </w:rPr>
        <w:t xml:space="preserve"> </w:t>
      </w:r>
      <w:r>
        <w:rPr>
          <w:u w:val="single"/>
        </w:rPr>
        <w:t xml:space="preserve"> </w:t>
      </w:r>
      <w:r>
        <w:rPr>
          <w:u w:val="single"/>
        </w:rPr>
        <w:t xml:space="preserve"> </w:t>
      </w:r>
      <w:r>
        <w:rPr>
          <w:u w:val="single"/>
        </w:rPr>
        <w:t xml:space="preserve"> </w:t>
      </w:r>
    </w:p>
    <w:p>
      <w:pPr>
        <w:pStyle w:val="null3"/>
      </w:pPr>
      <w:r>
        <w:rPr/>
        <w:t xml:space="preserve"> </w:t>
      </w:r>
    </w:p>
    <w:p>
      <w:pPr>
        <w:pStyle w:val="null3"/>
      </w:pPr>
      <w:r>
        <w:rPr/>
        <w:t xml:space="preserve">  根据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t>的采购结果，按照《中华人民共和国政府采购法》，《中华人民共和国民法典(合同编)》的规定，经双方协商，本着平等互利和诚实信用的原则，一致同意遵守本合同如下。</w:t>
      </w:r>
    </w:p>
    <w:p>
      <w:pPr>
        <w:pStyle w:val="null3"/>
      </w:pPr>
      <w:r>
        <w:rPr>
          <w:b/>
        </w:rPr>
        <w:t>一、合同金额</w:t>
      </w:r>
    </w:p>
    <w:p>
      <w:pPr>
        <w:pStyle w:val="null3"/>
      </w:pPr>
      <w:r>
        <w:rPr/>
        <w:t>　　合同金额为（大写）：_____________元（￥_________元）人民币。</w:t>
      </w:r>
    </w:p>
    <w:p>
      <w:pPr>
        <w:pStyle w:val="null3"/>
      </w:pPr>
      <w:r>
        <w:rPr>
          <w:b/>
        </w:rPr>
        <w:t>二、服务范围</w:t>
      </w:r>
    </w:p>
    <w:p>
      <w:pPr>
        <w:pStyle w:val="null3"/>
      </w:pPr>
      <w:r>
        <w:rPr/>
        <w:t>　　甲方聘请乙方提供以下服务：</w:t>
      </w:r>
    </w:p>
    <w:p>
      <w:pPr>
        <w:pStyle w:val="null3"/>
      </w:pPr>
      <w:r>
        <w:rPr/>
        <w:t>　　1．</w:t>
      </w:r>
      <w:r>
        <w:rPr>
          <w:u w:val="single"/>
        </w:rPr>
        <w:t>　　　　　　　　　　　</w:t>
      </w:r>
      <w:r>
        <w:rPr/>
        <w:t>。</w:t>
      </w:r>
    </w:p>
    <w:p>
      <w:pPr>
        <w:pStyle w:val="null3"/>
      </w:pPr>
      <w:r>
        <w:rPr/>
        <w:t>　　2．</w:t>
      </w:r>
      <w:r>
        <w:rPr>
          <w:u w:val="single"/>
        </w:rPr>
        <w:t>　　　　　　　　　　　</w:t>
      </w:r>
    </w:p>
    <w:p>
      <w:pPr>
        <w:pStyle w:val="null3"/>
      </w:pPr>
      <w:r>
        <w:rPr/>
        <w:t>……</w:t>
      </w:r>
    </w:p>
    <w:p>
      <w:pPr>
        <w:pStyle w:val="null3"/>
      </w:pPr>
      <w:r>
        <w:rPr>
          <w:b/>
        </w:rPr>
        <w:t>三、甲方乙方的权利和义务</w:t>
      </w:r>
    </w:p>
    <w:p>
      <w:pPr>
        <w:pStyle w:val="null3"/>
      </w:pPr>
      <w:r>
        <w:rPr/>
        <w:t>　　1.甲方的权利和义务</w:t>
      </w:r>
    </w:p>
    <w:p>
      <w:pPr>
        <w:pStyle w:val="null3"/>
      </w:pPr>
      <w:r>
        <w:rPr/>
        <w:t>　　2.乙方的权利和义务</w:t>
      </w:r>
    </w:p>
    <w:p>
      <w:pPr>
        <w:pStyle w:val="null3"/>
      </w:pPr>
      <w:r>
        <w:rPr>
          <w:b/>
        </w:rPr>
        <w:t>四、服务期间（项目完成期限）</w:t>
      </w:r>
    </w:p>
    <w:p>
      <w:pPr>
        <w:pStyle w:val="null3"/>
      </w:pPr>
      <w:r>
        <w:rPr/>
        <w:t>　　1.委托服务期间自______年______月至______年______月止。</w:t>
      </w:r>
    </w:p>
    <w:p>
      <w:pPr>
        <w:pStyle w:val="null3"/>
      </w:pPr>
      <w:r>
        <w:rPr>
          <w:b/>
        </w:rPr>
        <w:t>五、付款方式</w:t>
      </w:r>
    </w:p>
    <w:p>
      <w:pPr>
        <w:pStyle w:val="null3"/>
      </w:pPr>
      <w:r>
        <w:rPr/>
        <w:t>　　1期：支付比例50%，合同签订后在7个工作日内，甲方向乙方支付合同总价的50%作预付款；</w:t>
      </w:r>
      <w:r>
        <w:br/>
      </w:r>
      <w:r>
        <w:rPr/>
        <w:t xml:space="preserve">        2期：支付比例50%，验收合格后在7个工作日内，甲方向乙方支付合同总价的50%。</w:t>
      </w:r>
      <w:r>
        <w:br/>
      </w:r>
      <w:r>
        <w:rPr/>
        <w:t xml:space="preserve">       1、每笔款项支付时，乙方同时向甲方提供相应金额的正式发票。</w:t>
      </w:r>
      <w:r>
        <w:br/>
      </w:r>
      <w:r>
        <w:rPr/>
        <w:t xml:space="preserve">       2、付款方式：银行转账支付。</w:t>
      </w:r>
      <w:r>
        <w:br/>
      </w:r>
      <w:r>
        <w:rPr/>
        <w:t xml:space="preserve">       3、本合同的付款时间为甲方向采购支付部门提出支付申请的时间（不含支付部门审查的时间）。乙方同意本条对付款时间的约定，合同或附件中与本条约定不一致的，以本条约定为准。</w:t>
      </w:r>
    </w:p>
    <w:p>
      <w:pPr>
        <w:pStyle w:val="null3"/>
      </w:pPr>
      <w:r>
        <w:rPr>
          <w:b/>
        </w:rPr>
        <w:t>六、知识产权归属</w:t>
      </w:r>
    </w:p>
    <w:p>
      <w:pPr>
        <w:pStyle w:val="null3"/>
      </w:pPr>
      <w:r>
        <w:rPr>
          <w:b/>
        </w:rPr>
        <w:t>七、保密</w:t>
      </w:r>
    </w:p>
    <w:p>
      <w:pPr>
        <w:pStyle w:val="null3"/>
      </w:pPr>
      <w:r>
        <w:rPr>
          <w:b/>
        </w:rPr>
        <w:t>八、违约责任与赔偿损失</w:t>
      </w:r>
    </w:p>
    <w:p>
      <w:pPr>
        <w:pStyle w:val="null3"/>
      </w:pPr>
      <w:r>
        <w:rPr/>
        <w:t>　　1.乙方提供的服务不符合本合同规定的，甲方有权拒收，并且乙方须向甲方方支付本合同总价5%的违约金。</w:t>
      </w:r>
    </w:p>
    <w:p>
      <w:pPr>
        <w:pStyle w:val="null3"/>
      </w:pPr>
      <w:r>
        <w:rPr/>
        <w:t>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t>　　3.甲方无正当理由拒收接受服务，到期拒付服务款项的，甲方向乙方偿付本合同总的5%的违约金。甲方人逾期付款，则每日按本合同总价的3‰向乙方偿付违约金。</w:t>
      </w:r>
    </w:p>
    <w:p>
      <w:pPr>
        <w:pStyle w:val="null3"/>
      </w:pPr>
      <w:r>
        <w:rPr/>
        <w:t>　　4.对于因甲方原因导致变更、中止或者终止政府采购合同的，甲方应当依照以下合同约定对供应商受到的损失予以赔偿或者补偿：</w:t>
      </w:r>
    </w:p>
    <w:p>
      <w:pPr>
        <w:pStyle w:val="null3"/>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pPr>
      <w:r>
        <w:rPr/>
        <w:t>　　5.其它违约责任按《中华人民共和国民法典(合同编)》处理。</w:t>
      </w:r>
    </w:p>
    <w:p>
      <w:pPr>
        <w:pStyle w:val="null3"/>
      </w:pPr>
      <w:r>
        <w:rPr>
          <w:b/>
        </w:rPr>
        <w:t>九、争议的解决</w:t>
      </w:r>
    </w:p>
    <w:p>
      <w:pPr>
        <w:pStyle w:val="null3"/>
      </w:pPr>
      <w:r>
        <w:rPr/>
        <w:t xml:space="preserve">合同执行过程中发生的任何争议，如双方不能通过友好协商解决，按相关法律法规处理。      </w:t>
      </w:r>
    </w:p>
    <w:p>
      <w:pPr>
        <w:pStyle w:val="null3"/>
      </w:pPr>
      <w:r>
        <w:rPr>
          <w:b/>
        </w:rPr>
        <w:t>十、不可抗力</w:t>
      </w:r>
    </w:p>
    <w:p>
      <w:pPr>
        <w:pStyle w:val="null3"/>
      </w:pPr>
      <w:r>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pPr>
      <w:r>
        <w:rPr>
          <w:b/>
        </w:rPr>
        <w:t>十一、税费</w:t>
      </w:r>
    </w:p>
    <w:p>
      <w:pPr>
        <w:pStyle w:val="null3"/>
      </w:pPr>
      <w:r>
        <w:rPr/>
        <w:t>　　在中国境内、外发生的与本合同执行有关的一切税费均由乙方负担。</w:t>
      </w:r>
    </w:p>
    <w:p>
      <w:pPr>
        <w:pStyle w:val="null3"/>
      </w:pPr>
      <w:r>
        <w:rPr>
          <w:b/>
        </w:rPr>
        <w:t>十二、其它</w:t>
      </w:r>
    </w:p>
    <w:p>
      <w:pPr>
        <w:pStyle w:val="null3"/>
      </w:pPr>
      <w:r>
        <w:rPr/>
        <w:t>　　1.本合同所有附件、招标文件、投标文件、中标通知书均为合同的有效组成部分，与本合同具有同等法律效力。</w:t>
      </w:r>
    </w:p>
    <w:p>
      <w:pPr>
        <w:pStyle w:val="null3"/>
      </w:pPr>
      <w:r>
        <w:rPr/>
        <w:t>　　2.在执行本合同的过程中，所有经双方签署确认的文件（包括会议纪要、补充协议、往来信函）即成为本合同的有效组成部分。</w:t>
      </w:r>
    </w:p>
    <w:p>
      <w:pPr>
        <w:pStyle w:val="null3"/>
      </w:pPr>
      <w:r>
        <w:rPr/>
        <w:t>　　3.如一方地址、电话、传真号码有变更，应在变更当日内书面通知对方，否则，应承担相应责任。</w:t>
      </w:r>
    </w:p>
    <w:p>
      <w:pPr>
        <w:pStyle w:val="null3"/>
      </w:pPr>
      <w:r>
        <w:rPr/>
        <w:t>　　4.除甲方事先书面同意外，乙方不得部分或全部转让其应履行的合同项下的义务。</w:t>
      </w:r>
    </w:p>
    <w:p>
      <w:pPr>
        <w:pStyle w:val="null3"/>
      </w:pPr>
      <w:r>
        <w:rPr>
          <w:b/>
        </w:rPr>
        <w:t>十三、合同生效</w:t>
      </w:r>
    </w:p>
    <w:p>
      <w:pPr>
        <w:pStyle w:val="null3"/>
      </w:pPr>
      <w:r>
        <w:rPr/>
        <w:t>　　1.本合同在甲乙双方法人代表或其授权代表签字盖章后生效。</w:t>
      </w:r>
    </w:p>
    <w:p>
      <w:pPr>
        <w:pStyle w:val="null3"/>
      </w:pPr>
      <w:r>
        <w:rPr/>
        <w:t>　　2.合同一式</w:t>
      </w:r>
      <w:r>
        <w:rPr>
          <w:u w:val="single"/>
        </w:rPr>
        <w:t xml:space="preserve"> </w:t>
      </w:r>
      <w:r>
        <w:rPr>
          <w:u w:val="single"/>
        </w:rPr>
        <w:t xml:space="preserve"> </w:t>
      </w:r>
      <w:r>
        <w:rPr>
          <w:u w:val="single"/>
        </w:rPr>
        <w:t xml:space="preserve"> </w:t>
      </w:r>
      <w:r>
        <w:rPr/>
        <w:t xml:space="preserve"> 份。</w:t>
      </w:r>
    </w:p>
    <w:p>
      <w:pPr>
        <w:pStyle w:val="null3"/>
      </w:pPr>
      <w:r>
        <w:rPr/>
        <w:t xml:space="preserve"> </w:t>
      </w:r>
    </w:p>
    <w:p>
      <w:pPr>
        <w:pStyle w:val="null3"/>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pPr>
      <w:r>
        <w:rPr/>
        <w:t>签订地点：</w:t>
      </w:r>
    </w:p>
    <w:p>
      <w:pPr>
        <w:pStyle w:val="null3"/>
      </w:pPr>
      <w:r>
        <w:rPr/>
        <w:t>签订日期：　　　年　　月　　日  签订日期：　　　年　　月　　日</w:t>
      </w:r>
    </w:p>
    <w:p>
      <w:pPr>
        <w:pStyle w:val="null3"/>
      </w:pPr>
      <w:r>
        <w:rPr/>
        <w:t>开户名称：</w:t>
      </w:r>
    </w:p>
    <w:p>
      <w:pPr>
        <w:pStyle w:val="null3"/>
      </w:pPr>
      <w:r>
        <w:rPr/>
        <w:t>银行帐号：</w:t>
      </w:r>
    </w:p>
    <w:p>
      <w:pPr>
        <w:pStyle w:val="null3"/>
      </w:pPr>
      <w:r>
        <w:rPr/>
        <w:t>开 户 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440001-2025-12837</w:t>
      </w:r>
    </w:p>
    <w:p>
      <w:pPr>
        <w:pStyle w:val="null3"/>
        <w:jc w:val="center"/>
        <w:outlineLvl w:val="3"/>
      </w:pPr>
      <w:r>
        <w:rPr>
          <w:sz w:val="24"/>
          <w:b/>
        </w:rPr>
        <w:t>采购项目编号：</w:t>
      </w:r>
      <w:r>
        <w:rPr>
          <w:sz w:val="24"/>
          <w:b/>
        </w:rPr>
        <w:t>440001-2025-12837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广东智汇城市招标采购有限公司汕头分公司</w:t>
      </w:r>
    </w:p>
    <w:p>
      <w:pPr>
        <w:pStyle w:val="null3"/>
        <w:ind w:firstLine="480"/>
      </w:pPr>
      <w:r>
        <w:rPr/>
        <w:t xml:space="preserve"> 你方组织的</w:t>
      </w:r>
      <w:r>
        <w:rPr>
          <w:u w:val="single"/>
        </w:rPr>
        <w:t>“</w:t>
      </w:r>
      <w:r>
        <w:rPr>
          <w:u w:val="single"/>
        </w:rPr>
        <w:t>汕头市濠江区人民法院科技法庭租赁项目</w:t>
      </w:r>
      <w:r>
        <w:rPr>
          <w:u w:val="single"/>
        </w:rPr>
        <w:t>”</w:t>
      </w:r>
      <w:r>
        <w:rPr/>
        <w:t>项目的招标[采购项目编号为：</w:t>
      </w:r>
      <w:r>
        <w:rPr>
          <w:u w:val="single"/>
        </w:rPr>
        <w:t>440001-2025-12837</w:t>
      </w:r>
      <w:r>
        <w:rPr/>
        <w:t>]，我方愿参与投标。</w:t>
      </w:r>
    </w:p>
    <w:p>
      <w:pPr>
        <w:pStyle w:val="null3"/>
        <w:ind w:firstLine="480"/>
      </w:pPr>
      <w:r>
        <w:rPr/>
        <w:t>我方确认收到贵方提供的</w:t>
      </w:r>
      <w:r>
        <w:rPr>
          <w:u w:val="single"/>
        </w:rPr>
        <w:t>“</w:t>
      </w:r>
      <w:r>
        <w:rPr>
          <w:u w:val="single"/>
        </w:rPr>
        <w:t>汕头市濠江区人民法院科技法庭租赁项目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广东智汇城市招标采购有限公司汕头分公司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汕头市濠江区人民法院科技法庭租赁项目</w:t>
      </w:r>
      <w:r>
        <w:rPr/>
        <w:t>”项目采购[采购项目编号为</w:t>
      </w:r>
      <w:r>
        <w:rPr/>
        <w:t>440001-2025-12837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汕头市濠江区人民法院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广东智汇城市招标采购有限公司汕头分公司</w:t>
      </w:r>
    </w:p>
    <w:p>
      <w:pPr>
        <w:pStyle w:val="null3"/>
        <w:ind w:firstLine="480"/>
      </w:pPr>
      <w:r>
        <w:rPr/>
        <w:t xml:space="preserve"> 如果我方在贵采购代理机构组织的</w:t>
      </w:r>
      <w:r>
        <w:rPr/>
        <w:t>汕头市濠江区人民法院科技法庭租赁项目</w:t>
      </w:r>
      <w:r>
        <w:rPr/>
        <w:t>招标中获中标（采购项目编号：</w:t>
      </w:r>
      <w:r>
        <w:rPr/>
        <w:t>440001-2025-12837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广东智汇城市招标采购有限公司汕头分公司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广东智汇城市招标采购有限公司汕头分公司</w:t>
      </w:r>
    </w:p>
    <w:p>
      <w:pPr>
        <w:pStyle w:val="null3"/>
        <w:ind w:firstLine="480"/>
      </w:pPr>
      <w:r>
        <w:rPr/>
        <w:t>我单位已登记并准备参与“</w:t>
      </w:r>
      <w:r>
        <w:rPr/>
        <w:t>汕头市濠江区人民法院科技法庭租赁项目</w:t>
      </w:r>
      <w:r>
        <w:rPr/>
        <w:t>”项目（采购项目编号：</w:t>
      </w:r>
      <w:r>
        <w:rPr/>
        <w:t>440001-2025-12837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