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版本号：N510001202500389320251118001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2026汽车租赁服务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N5100012025003893</w:t>
      </w:r>
    </w:p>
    <w:p>
      <w:pPr>
        <w:pStyle w:val="null3"/>
        <w:jc w:val="center"/>
        <w:outlineLvl w:val="2"/>
      </w:pPr>
      <w:r>
        <w:rPr>
          <w:rFonts w:ascii="仿宋_GB2312" w:hAnsi="仿宋_GB2312" w:cs="仿宋_GB2312" w:eastAsia="仿宋_GB2312"/>
          <w:sz w:val="28"/>
          <w:b/>
        </w:rPr>
        <w:t>四川省文物考古研究院（三星堆研究院、四川石窟寺保护研究院）</w:t>
      </w:r>
    </w:p>
    <w:p>
      <w:pPr>
        <w:pStyle w:val="null3"/>
        <w:jc w:val="center"/>
        <w:outlineLvl w:val="2"/>
      </w:pPr>
      <w:r>
        <w:rPr>
          <w:rFonts w:ascii="仿宋_GB2312" w:hAnsi="仿宋_GB2312" w:cs="仿宋_GB2312" w:eastAsia="仿宋_GB2312"/>
          <w:sz w:val="28"/>
          <w:b/>
        </w:rPr>
        <w:t>四川国勤招标代理有限公司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2025年11月18日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四川国勤招标代理有限公司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四川省文物考古研究院（三星堆研究院、四川石窟寺保护研究院）</w:t>
      </w:r>
      <w:r>
        <w:rPr>
          <w:rFonts w:ascii="仿宋_GB2312" w:hAnsi="仿宋_GB2312" w:cs="仿宋_GB2312" w:eastAsia="仿宋_GB2312"/>
        </w:rPr>
        <w:t xml:space="preserve"> 委托，拟对 </w:t>
      </w:r>
      <w:r>
        <w:rPr>
          <w:rFonts w:ascii="仿宋_GB2312" w:hAnsi="仿宋_GB2312" w:cs="仿宋_GB2312" w:eastAsia="仿宋_GB2312"/>
        </w:rPr>
        <w:t>2026汽车租赁服务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N5100012025003893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2026汽车租赁服务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四川省文物考古研究院位于四川省成都市人民南路四段五号，主要负责四川省范围内的考古调查勘探等工作，为规范单位租赁用车经费开支，为保障考古院业务工作的顺利开展，根据我院相关管理规定，拟面向社会招标汽车租赁公司承担相关租赁用车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供应商合同分包的，分包意向协议中分包意向供应商应当为中小企业。接受分包合同的中小企业与分包企业之间不得存在直接控股、管理关系。</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备国家行政主管部门颁发且在有效期内的《道路运输经营许可证》（或在交通运输行政管理部门取得从事汽车租赁或客车租赁的备案许可证明）。（描述：提供国家行政主管部门颁发且在有效期内的《道路运输经营许可证》（或在交通运输行政管理部门取得从事汽车租赁或客车租赁的备案许可证明）。以上材料提供扫描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四川省文物考古研究院（三星堆研究院、四川石窟寺保护研究院）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四川省成都市武侯区人民南路四段5号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邓老师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028-68107130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四川国勤招标代理有限公司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四川省成都市成华区杉板桥199号7栋605-606号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熊老师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028-83550037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采购包1：3,500,000.00元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根据成本加合理利润原则，本次代理服务费定额收取35000元，由中标供应商在领取中标通知书前向招标代理机构交纳招标代理服务费。在服务过程中甲方不再另行向乙方支付任何费用，甲方也不对供应商支付服务费承担任何担保责任。</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四川省文物考古研究院（三星堆研究院、四川石窟寺保护研究院）</w:t>
      </w:r>
      <w:r>
        <w:rPr>
          <w:rFonts w:ascii="仿宋_GB2312" w:hAnsi="仿宋_GB2312" w:cs="仿宋_GB2312" w:eastAsia="仿宋_GB2312"/>
        </w:rPr>
        <w:t xml:space="preserve"> 和 </w:t>
      </w:r>
      <w:r>
        <w:rPr>
          <w:rFonts w:ascii="仿宋_GB2312" w:hAnsi="仿宋_GB2312" w:cs="仿宋_GB2312" w:eastAsia="仿宋_GB2312"/>
        </w:rPr>
        <w:t>四川国勤招标代理有限公司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四川省文物考古研究院（三星堆研究院、四川石窟寺保护研究院）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四川国勤招标代理有限公司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本项目以下采购包允许合同分包。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采购包号</w:t>
            </w:r>
          </w:p>
        </w:tc>
        <w:tc>
          <w:tcPr>
            <w:tcW w:type="dxa" w:w="2076"/>
          </w:tcPr>
          <w:p>
            <w:pPr>
              <w:pStyle w:val="null3"/>
              <w:jc w:val="left"/>
            </w:pPr>
            <w:r>
              <w:rPr>
                <w:rFonts w:ascii="仿宋_GB2312" w:hAnsi="仿宋_GB2312" w:cs="仿宋_GB2312" w:eastAsia="仿宋_GB2312"/>
              </w:rPr>
              <w:t>分包方式</w:t>
            </w:r>
          </w:p>
        </w:tc>
        <w:tc>
          <w:tcPr>
            <w:tcW w:type="dxa" w:w="2076"/>
          </w:tcPr>
          <w:p>
            <w:pPr>
              <w:pStyle w:val="null3"/>
              <w:jc w:val="left"/>
            </w:pPr>
            <w:r>
              <w:rPr>
                <w:rFonts w:ascii="仿宋_GB2312" w:hAnsi="仿宋_GB2312" w:cs="仿宋_GB2312" w:eastAsia="仿宋_GB2312"/>
              </w:rPr>
              <w:t>分包说明</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采购包1</w:t>
            </w:r>
          </w:p>
        </w:tc>
        <w:tc>
          <w:tcPr>
            <w:tcW w:type="dxa" w:w="2076"/>
          </w:tcPr>
          <w:p>
            <w:pPr>
              <w:pStyle w:val="null3"/>
              <w:jc w:val="left"/>
            </w:pPr>
            <w:r>
              <w:rPr>
                <w:rFonts w:ascii="仿宋_GB2312" w:hAnsi="仿宋_GB2312" w:cs="仿宋_GB2312" w:eastAsia="仿宋_GB2312"/>
              </w:rPr>
              <w:t>内容</w:t>
            </w:r>
          </w:p>
        </w:tc>
        <w:tc>
          <w:tcPr>
            <w:tcW w:type="dxa" w:w="2076"/>
          </w:tcPr>
          <w:p>
            <w:pPr>
              <w:pStyle w:val="null3"/>
              <w:jc w:val="left"/>
            </w:pPr>
            <w:r>
              <w:rPr>
                <w:rFonts w:ascii="仿宋_GB2312" w:hAnsi="仿宋_GB2312" w:cs="仿宋_GB2312" w:eastAsia="仿宋_GB2312"/>
              </w:rPr>
              <w:t>根据《小微型客车租赁经营服务管理办法》第十一条 小微型客车租赁经营者不得随车提供驾驶劳务。供应商需提供承诺函，承诺内容为若中标（成交）将本项目小微型客车代驾劳务分包给有资质的第三方提供，其一切安全责任等由成交供应商负责。（提供单独承诺函，实质性要求）</w:t>
            </w:r>
          </w:p>
        </w:tc>
      </w:tr>
    </w:tbl>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 xml:space="preserve"> 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3"/>
        <w:jc w:val="left"/>
      </w:pPr>
      <w:r>
        <w:rPr>
          <w:rFonts w:ascii="仿宋_GB2312" w:hAnsi="仿宋_GB2312" w:cs="仿宋_GB2312" w:eastAsia="仿宋_GB2312"/>
        </w:rPr>
        <w:t xml:space="preserve"> 2.采购合同实行分包履行的，成交供应商就采购项目和分包项目向采购人负责，分包供应商就分包项目承担责任。</w:t>
      </w:r>
    </w:p>
    <w:p>
      <w:pPr>
        <w:pStyle w:val="null3"/>
        <w:jc w:val="left"/>
      </w:pPr>
      <w:r>
        <w:rPr>
          <w:rFonts w:ascii="仿宋_GB2312" w:hAnsi="仿宋_GB2312" w:cs="仿宋_GB2312" w:eastAsia="仿宋_GB2312"/>
        </w:rPr>
        <w:t xml:space="preserve"> 3.中小企业依据《政府采购促进中小企业发展管理办法》（财库〔2020〕46号）规定的政策获取政府采购合同后，小型、微型企业不得将合同分包给大型、中型企业，中型企业不得将合同分包给大型企业。</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磋商文件、响应文件技术条款内容，两者不一致之处，以较优胜的条款为准。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磋商文件、响应文件商务条款内容，两者不一致之处，以较优胜的条款为准。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项目将严格按照政府采购相关法律法规以及《财政部关于进一步加强政府采购需求和履约验收管理的指导意见》（财库〔2016〕205号）、《政府采购需求管理办法》(财库（2021)22号）以及磋商文件和响应文件中较优胜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四川省文物考古研究院（三星堆研究院、四川石窟寺保护研究院）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四川国勤招标代理有限公司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四川国勤招标代理有限公司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联系人：邓老师</w:t>
      </w:r>
    </w:p>
    <w:p>
      <w:pPr>
        <w:pStyle w:val="null3"/>
        <w:jc w:val="left"/>
      </w:pPr>
      <w:r>
        <w:rPr>
          <w:rFonts w:ascii="仿宋_GB2312" w:hAnsi="仿宋_GB2312" w:cs="仿宋_GB2312" w:eastAsia="仿宋_GB2312"/>
        </w:rPr>
        <w:t>联系电话：028-68107130</w:t>
      </w:r>
    </w:p>
    <w:p>
      <w:pPr>
        <w:pStyle w:val="null3"/>
        <w:jc w:val="left"/>
      </w:pPr>
      <w:r>
        <w:rPr>
          <w:rFonts w:ascii="仿宋_GB2312" w:hAnsi="仿宋_GB2312" w:cs="仿宋_GB2312" w:eastAsia="仿宋_GB2312"/>
        </w:rPr>
        <w:t>地址：四川省成都市武侯区人民南路四段5号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联系人：熊老师</w:t>
      </w:r>
    </w:p>
    <w:p>
      <w:pPr>
        <w:pStyle w:val="null3"/>
        <w:jc w:val="left"/>
      </w:pPr>
      <w:r>
        <w:rPr>
          <w:rFonts w:ascii="仿宋_GB2312" w:hAnsi="仿宋_GB2312" w:cs="仿宋_GB2312" w:eastAsia="仿宋_GB2312"/>
        </w:rPr>
        <w:t>联系电话：028-83550037</w:t>
      </w:r>
    </w:p>
    <w:p>
      <w:pPr>
        <w:pStyle w:val="null3"/>
        <w:jc w:val="left"/>
      </w:pPr>
      <w:r>
        <w:rPr>
          <w:rFonts w:ascii="仿宋_GB2312" w:hAnsi="仿宋_GB2312" w:cs="仿宋_GB2312" w:eastAsia="仿宋_GB2312"/>
        </w:rPr>
        <w:t>地址：四川省成都市成华区杉板桥199号7栋605-606号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3,500,000.00</w:t>
      </w:r>
    </w:p>
    <w:p>
      <w:pPr>
        <w:pStyle w:val="null3"/>
        <w:jc w:val="left"/>
      </w:pPr>
      <w:r>
        <w:rPr>
          <w:rFonts w:ascii="仿宋_GB2312" w:hAnsi="仿宋_GB2312" w:cs="仿宋_GB2312" w:eastAsia="仿宋_GB2312"/>
        </w:rPr>
        <w:t>采购包最高限价（元）: 3,500,000.00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C23110300 车辆及其他运输机械租赁服务</w:t>
            </w:r>
          </w:p>
        </w:tc>
        <w:tc>
          <w:tcPr>
            <w:tcW w:type="dxa" w:w="821"/>
          </w:tcPr>
          <w:p>
            <w:pPr>
              <w:pStyle w:val="null3"/>
              <w:jc w:val="left"/>
            </w:pPr>
            <w:r>
              <w:rPr>
                <w:rFonts w:ascii="仿宋_GB2312" w:hAnsi="仿宋_GB2312" w:cs="仿宋_GB2312" w:eastAsia="仿宋_GB2312"/>
              </w:rPr>
              <w:t>2026汽车租赁服务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3,500,000.00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2026汽车租赁服务</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供应商按照统一百分比进行报价，例如报价百分比为95%，则结算价=单价最高限价*95%进行结算。</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标的名称：2026汽车租赁服务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outlineLvl w:val="1"/>
            </w:pPr>
            <w:r>
              <w:rPr>
                <w:rFonts w:ascii="仿宋_GB2312" w:hAnsi="仿宋_GB2312" w:cs="仿宋_GB2312" w:eastAsia="仿宋_GB2312"/>
                <w:sz w:val="36"/>
                <w:b/>
              </w:rPr>
              <w:t>无</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2026汽车租赁服务内容及要求</w:t>
            </w:r>
          </w:p>
        </w:tc>
        <w:tc>
          <w:tcPr>
            <w:tcW w:type="dxa" w:w="5814"/>
          </w:tcPr>
          <w:p>
            <w:pPr>
              <w:pStyle w:val="null3"/>
              <w:jc w:val="left"/>
              <w:outlineLvl w:val="1"/>
            </w:pPr>
            <w:r>
              <w:rPr>
                <w:rFonts w:ascii="仿宋_GB2312" w:hAnsi="仿宋_GB2312" w:cs="仿宋_GB2312" w:eastAsia="仿宋_GB2312"/>
                <w:sz w:val="24"/>
                <w:b/>
              </w:rPr>
              <w:t>（一）项目概述</w:t>
            </w:r>
          </w:p>
          <w:p>
            <w:pPr>
              <w:pStyle w:val="null3"/>
              <w:spacing w:after="120"/>
              <w:ind w:firstLine="480"/>
              <w:jc w:val="both"/>
            </w:pPr>
            <w:r>
              <w:rPr>
                <w:rFonts w:ascii="仿宋_GB2312" w:hAnsi="仿宋_GB2312" w:cs="仿宋_GB2312" w:eastAsia="仿宋_GB2312"/>
                <w:sz w:val="24"/>
                <w:color w:val="141313"/>
              </w:rPr>
              <w:t>四川省文物考古研究院位于四川省成都市人民南路四段五号，主要负责四川省范围内的考古调查勘探等工作，为规范单位租赁用车经费开支，为保障考古院业务工作的顺利开展，根据我院相关管理规定，拟面向社会招标汽车租赁公司承担相关租赁用车服务。</w:t>
            </w:r>
          </w:p>
          <w:p>
            <w:pPr>
              <w:pStyle w:val="null3"/>
              <w:jc w:val="left"/>
              <w:outlineLvl w:val="1"/>
            </w:pPr>
            <w:r>
              <w:rPr>
                <w:rFonts w:ascii="仿宋_GB2312" w:hAnsi="仿宋_GB2312" w:cs="仿宋_GB2312" w:eastAsia="仿宋_GB2312"/>
                <w:sz w:val="24"/>
                <w:b/>
              </w:rPr>
              <w:t>（二）</w:t>
            </w:r>
            <w:r>
              <w:rPr>
                <w:rFonts w:ascii="仿宋_GB2312" w:hAnsi="仿宋_GB2312" w:cs="仿宋_GB2312" w:eastAsia="仿宋_GB2312"/>
                <w:sz w:val="24"/>
                <w:b/>
              </w:rPr>
              <w:t>服务内容及</w:t>
            </w:r>
            <w:r>
              <w:rPr>
                <w:rFonts w:ascii="仿宋_GB2312" w:hAnsi="仿宋_GB2312" w:cs="仿宋_GB2312" w:eastAsia="仿宋_GB2312"/>
                <w:sz w:val="24"/>
                <w:b/>
              </w:rPr>
              <w:t>要求</w:t>
            </w:r>
          </w:p>
          <w:p>
            <w:pPr>
              <w:pStyle w:val="null3"/>
              <w:ind w:firstLine="480"/>
              <w:jc w:val="left"/>
            </w:pPr>
            <w:r>
              <w:rPr>
                <w:rFonts w:ascii="仿宋_GB2312" w:hAnsi="仿宋_GB2312" w:cs="仿宋_GB2312" w:eastAsia="仿宋_GB2312"/>
                <w:sz w:val="24"/>
                <w:b/>
              </w:rPr>
              <w:t>1.服务要求</w:t>
            </w:r>
          </w:p>
          <w:p>
            <w:pPr>
              <w:pStyle w:val="null3"/>
              <w:ind w:firstLine="480"/>
              <w:jc w:val="left"/>
            </w:pPr>
            <w:r>
              <w:rPr>
                <w:rFonts w:ascii="仿宋_GB2312" w:hAnsi="仿宋_GB2312" w:cs="仿宋_GB2312" w:eastAsia="仿宋_GB2312"/>
                <w:sz w:val="24"/>
              </w:rPr>
              <w:t>1.1车辆状况要求：车型为小轿车、越野车、商务车、中型客车、大型客车,出租方必须保证提供的车辆手续完备、证件及各种备品备件齐全，无违法及法律纠纷，符合国家有关车辆行驶的规定。并且使用年限在3年内。</w:t>
            </w:r>
          </w:p>
          <w:p>
            <w:pPr>
              <w:pStyle w:val="null3"/>
              <w:ind w:firstLine="480"/>
              <w:jc w:val="left"/>
            </w:pPr>
            <w:r>
              <w:rPr>
                <w:rFonts w:ascii="仿宋_GB2312" w:hAnsi="仿宋_GB2312" w:cs="仿宋_GB2312" w:eastAsia="仿宋_GB2312"/>
                <w:sz w:val="24"/>
              </w:rPr>
              <w:t>1.2供应商承诺所有投入本项目使用车辆的所有权完全属于供应商，非私家车辆，若投入本项目使用车辆的所有权非供应商所有，则需提供租赁合同或合作协议，且无任何抵押、查封等产权瑕疵。如有产权瑕疵的，视为供应商违约，因此产生的相关责任及经济损失由供应商负责承担。</w:t>
            </w:r>
            <w:r>
              <w:rPr>
                <w:rFonts w:ascii="仿宋_GB2312" w:hAnsi="仿宋_GB2312" w:cs="仿宋_GB2312" w:eastAsia="仿宋_GB2312"/>
                <w:sz w:val="24"/>
                <w:b/>
              </w:rPr>
              <w:t>（提供承诺函，未提供视为无效响应）</w:t>
            </w:r>
          </w:p>
          <w:p>
            <w:pPr>
              <w:pStyle w:val="null3"/>
              <w:ind w:firstLine="480"/>
              <w:jc w:val="left"/>
            </w:pPr>
            <w:r>
              <w:rPr>
                <w:rFonts w:ascii="仿宋_GB2312" w:hAnsi="仿宋_GB2312" w:cs="仿宋_GB2312" w:eastAsia="仿宋_GB2312"/>
                <w:sz w:val="24"/>
              </w:rPr>
              <w:t>1.3供应商需保证接送车辆的安全稳定运行，车内整洁无异味，车辆各项性能完善，并确保车辆行驶安全。</w:t>
            </w:r>
            <w:r>
              <w:rPr>
                <w:rFonts w:ascii="仿宋_GB2312" w:hAnsi="仿宋_GB2312" w:cs="仿宋_GB2312" w:eastAsia="仿宋_GB2312"/>
                <w:sz w:val="24"/>
                <w:b/>
              </w:rPr>
              <w:t>（提供承诺函，未提供视为无效响应）</w:t>
            </w:r>
          </w:p>
          <w:p>
            <w:pPr>
              <w:pStyle w:val="null3"/>
              <w:ind w:firstLine="480"/>
              <w:jc w:val="left"/>
            </w:pPr>
            <w:r>
              <w:rPr>
                <w:rFonts w:ascii="仿宋_GB2312" w:hAnsi="仿宋_GB2312" w:cs="仿宋_GB2312" w:eastAsia="仿宋_GB2312"/>
                <w:sz w:val="24"/>
              </w:rPr>
              <w:t>1.4供应商提供的车辆需具备合法手续和证照，车容车貌状况良好，干净整洁，乘坐舒适，同时需为投入本项目使用的所有车辆购买保险，保险费用由供应商负责承担，至少包含以下险种：（</w:t>
            </w:r>
            <w:r>
              <w:rPr>
                <w:rFonts w:ascii="仿宋_GB2312" w:hAnsi="仿宋_GB2312" w:cs="仿宋_GB2312" w:eastAsia="仿宋_GB2312"/>
                <w:sz w:val="24"/>
                <w:b/>
              </w:rPr>
              <w:t>提供承诺函，未提供视为无效响应，供应商中标后两个工作日内将上述有效期内的保险单复印件等各类资料交采购人审核，车牌号码与行驶证、登记证书号码应保持一致并加盖供应商公章</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1）第三者责任保险：保额不低于 200 万元</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2）车上人员责任险：保额不低于 10 万元/人（包含司机和乘客）</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3）车损险：按车辆实际价值全额投保</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4）盗抢险：按车辆实际价值全额投保</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5）交强险、基本险不计免赔特约条款</w:t>
            </w:r>
          </w:p>
          <w:p>
            <w:pPr>
              <w:pStyle w:val="null3"/>
              <w:ind w:firstLine="480"/>
              <w:jc w:val="left"/>
            </w:pPr>
            <w:r>
              <w:rPr>
                <w:rFonts w:ascii="仿宋_GB2312" w:hAnsi="仿宋_GB2312" w:cs="仿宋_GB2312" w:eastAsia="仿宋_GB2312"/>
                <w:sz w:val="24"/>
              </w:rPr>
              <w:t>1.5若需供应商指派驾驶员，该驾驶员应具有良好的职业道德、身心健康、与准驾车辆类型相对应的驾驶证及从业资质。驾驶期间须衣着整齐，严禁说粗话、酗酒、滋事等。车辆运行过程中，驾驶员须严格遵守各项交通规则。</w:t>
            </w:r>
            <w:r>
              <w:rPr>
                <w:rFonts w:ascii="仿宋_GB2312" w:hAnsi="仿宋_GB2312" w:cs="仿宋_GB2312" w:eastAsia="仿宋_GB2312"/>
                <w:sz w:val="24"/>
                <w:b/>
              </w:rPr>
              <w:t>（提供承诺函，未提供视为无效响应）</w:t>
            </w:r>
          </w:p>
          <w:p>
            <w:pPr>
              <w:pStyle w:val="null3"/>
              <w:ind w:firstLine="480"/>
              <w:jc w:val="left"/>
            </w:pPr>
            <w:r>
              <w:rPr>
                <w:rFonts w:ascii="仿宋_GB2312" w:hAnsi="仿宋_GB2312" w:cs="仿宋_GB2312" w:eastAsia="仿宋_GB2312"/>
                <w:sz w:val="24"/>
              </w:rPr>
              <w:t>1.6供应商承诺成交后提供投入本项目使用的所有车辆的行驶证、车辆登记证、保险合同复印件、年检标记、排放合格标记、税缴讫证（含交强险卡片、商业险（含第三方责任险、座位险）卡片）及其他随车服务卡（单）等证、照及资料；为所有车辆配备随车工具（脚架、灭火器）及备用轮胎等备品。</w:t>
            </w:r>
            <w:r>
              <w:rPr>
                <w:rFonts w:ascii="仿宋_GB2312" w:hAnsi="仿宋_GB2312" w:cs="仿宋_GB2312" w:eastAsia="仿宋_GB2312"/>
                <w:sz w:val="24"/>
                <w:b/>
              </w:rPr>
              <w:t>（提供承诺函，未提供视为无效响应）</w:t>
            </w:r>
          </w:p>
          <w:p>
            <w:pPr>
              <w:pStyle w:val="null3"/>
              <w:ind w:firstLine="480"/>
              <w:jc w:val="left"/>
            </w:pPr>
            <w:r>
              <w:rPr>
                <w:rFonts w:ascii="仿宋_GB2312" w:hAnsi="仿宋_GB2312" w:cs="仿宋_GB2312" w:eastAsia="仿宋_GB2312"/>
                <w:sz w:val="24"/>
              </w:rPr>
              <w:t>1.7出租方接到承租方紧急用车需求时，需在30分钟内将车辆送至承租方指定地点，累计三次未准时送达，取消成交资格。</w:t>
            </w:r>
            <w:r>
              <w:rPr>
                <w:rFonts w:ascii="仿宋_GB2312" w:hAnsi="仿宋_GB2312" w:cs="仿宋_GB2312" w:eastAsia="仿宋_GB2312"/>
                <w:sz w:val="24"/>
                <w:b/>
              </w:rPr>
              <w:t>（提供承诺函，未提供视为无效响应）</w:t>
            </w:r>
          </w:p>
          <w:p>
            <w:pPr>
              <w:pStyle w:val="null3"/>
              <w:ind w:firstLine="480"/>
              <w:jc w:val="left"/>
            </w:pPr>
            <w:r>
              <w:rPr>
                <w:rFonts w:ascii="仿宋_GB2312" w:hAnsi="仿宋_GB2312" w:cs="仿宋_GB2312" w:eastAsia="仿宋_GB2312"/>
                <w:sz w:val="24"/>
              </w:rPr>
              <w:t>1.8车辆在使用过程中发生故障或事故，出租方1小时内响应，更换车辆确保承租方工作需求。供应商无法安排同类型车辆接应时，采购人有权自行组织车辆，所产生的费用由供应商承担。</w:t>
            </w:r>
            <w:r>
              <w:rPr>
                <w:rFonts w:ascii="仿宋_GB2312" w:hAnsi="仿宋_GB2312" w:cs="仿宋_GB2312" w:eastAsia="仿宋_GB2312"/>
                <w:sz w:val="24"/>
                <w:b/>
              </w:rPr>
              <w:t>（提供承诺函，未提供视为无效响应）</w:t>
            </w:r>
          </w:p>
          <w:p>
            <w:pPr>
              <w:pStyle w:val="null3"/>
              <w:ind w:firstLine="480"/>
              <w:jc w:val="left"/>
            </w:pPr>
            <w:r>
              <w:rPr>
                <w:rFonts w:ascii="仿宋_GB2312" w:hAnsi="仿宋_GB2312" w:cs="仿宋_GB2312" w:eastAsia="仿宋_GB2312"/>
                <w:sz w:val="24"/>
              </w:rPr>
              <w:t>1.9租赁期内，出租方有义务协助处理交通事故；但不承担交通事故的责任、罚金和相关费用（提供代驾服务的汽车租赁除外）。如因出租方提供的车辆的质量缺陷或出租方指定的维修商提供的零部件及保养损耗品有安全隐患等出租方原因造成的交通事故或其他损失，出租方向承租方承担赔偿责任，赔偿范围包括：事故罚金、各项赔（补）偿及相关费用等在内的一切经济损失。</w:t>
            </w:r>
            <w:r>
              <w:rPr>
                <w:rFonts w:ascii="仿宋_GB2312" w:hAnsi="仿宋_GB2312" w:cs="仿宋_GB2312" w:eastAsia="仿宋_GB2312"/>
                <w:sz w:val="24"/>
                <w:b/>
              </w:rPr>
              <w:t>（提供承诺函，未提供视为无效响应）</w:t>
            </w:r>
          </w:p>
          <w:p>
            <w:pPr>
              <w:pStyle w:val="null3"/>
              <w:ind w:firstLine="480"/>
              <w:jc w:val="left"/>
            </w:pPr>
            <w:r>
              <w:rPr>
                <w:rFonts w:ascii="仿宋_GB2312" w:hAnsi="仿宋_GB2312" w:cs="仿宋_GB2312" w:eastAsia="仿宋_GB2312"/>
                <w:sz w:val="24"/>
              </w:rPr>
              <w:t>1.10项目履约期内，供应商按车辆驾驶要求须提供代驾服务的，代驾服务的驾驶员应具备以下条件：</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1）身体健康（无传染性疾病），品行端正。</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2）具有国家合格认证的可驾驶对应车型的机动车驾驶证。</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3）年龄在 55 岁（含）以下，实车驾龄在5 年（含）以上。</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4）未曾受过刑事处罚或在一个记分周期内驾照无因交通违法行为被扣满 12 分或以上的情形。</w:t>
            </w:r>
          </w:p>
          <w:p>
            <w:pPr>
              <w:pStyle w:val="null3"/>
              <w:ind w:firstLine="480"/>
              <w:jc w:val="left"/>
            </w:pPr>
            <w:r>
              <w:rPr>
                <w:rFonts w:ascii="仿宋_GB2312" w:hAnsi="仿宋_GB2312" w:cs="仿宋_GB2312" w:eastAsia="仿宋_GB2312"/>
                <w:sz w:val="24"/>
              </w:rPr>
              <w:t>1.11租赁期内，提供代驾服务的汽车租赁，车辆的各项违章承租方不承担任何责任，未提供代驾服务的汽车租赁，车辆的各项违章出租方配合承租方处理。</w:t>
            </w:r>
          </w:p>
          <w:p>
            <w:pPr>
              <w:pStyle w:val="null3"/>
              <w:ind w:firstLine="480"/>
              <w:jc w:val="left"/>
            </w:pPr>
            <w:r>
              <w:rPr>
                <w:rFonts w:ascii="仿宋_GB2312" w:hAnsi="仿宋_GB2312" w:cs="仿宋_GB2312" w:eastAsia="仿宋_GB2312"/>
                <w:sz w:val="24"/>
              </w:rPr>
              <w:t>1.12车辆在租赁期间内如发生保险事故，承租方应立即通知交通管理部门，出租方届时应协助承租方向保险公司报案，承租方必须协助出租方办理此事故的相关事宜，并支付因此产生的一切费用。如属于保险赔付范围的费用由保险公司承担；属于保险责任免赔或其他原因导致保险公司拒赔的损失由承租方承担。（提供代驾服务的汽车租赁除外，配代驾司机的，由代驾司机联系租车公司，按交警部门认定的责任，按保险理赔手续办理。）所发生交通事故情况严重的应同时报告给部门及办公室知晓，因隐瞒产生后果的，租车人自行承担后果。</w:t>
            </w:r>
          </w:p>
          <w:p>
            <w:pPr>
              <w:pStyle w:val="null3"/>
              <w:ind w:firstLine="480"/>
              <w:jc w:val="left"/>
            </w:pPr>
            <w:r>
              <w:rPr>
                <w:rFonts w:ascii="仿宋_GB2312" w:hAnsi="仿宋_GB2312" w:cs="仿宋_GB2312" w:eastAsia="仿宋_GB2312"/>
                <w:sz w:val="24"/>
              </w:rPr>
              <w:t>1.13项目服务期内，不收取车辆押金。</w:t>
            </w:r>
          </w:p>
          <w:p>
            <w:pPr>
              <w:pStyle w:val="null3"/>
              <w:ind w:firstLine="480"/>
              <w:jc w:val="left"/>
            </w:pPr>
            <w:r>
              <w:rPr>
                <w:rFonts w:ascii="仿宋_GB2312" w:hAnsi="仿宋_GB2312" w:cs="仿宋_GB2312" w:eastAsia="仿宋_GB2312"/>
                <w:sz w:val="24"/>
              </w:rPr>
              <w:t>1.14其他要求：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项目</w:t>
            </w:r>
            <w:r>
              <w:rPr>
                <w:rFonts w:ascii="仿宋_GB2312" w:hAnsi="仿宋_GB2312" w:cs="仿宋_GB2312" w:eastAsia="仿宋_GB2312"/>
                <w:sz w:val="24"/>
              </w:rPr>
              <w:t>服务期</w:t>
            </w:r>
            <w:r>
              <w:rPr>
                <w:rFonts w:ascii="仿宋_GB2312" w:hAnsi="仿宋_GB2312" w:cs="仿宋_GB2312" w:eastAsia="仿宋_GB2312"/>
                <w:sz w:val="24"/>
              </w:rPr>
              <w:t>内，成都市内免费送车收车，成都绕城内车辆接送费用由供应商负责承担。</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2）保险递增费用及车辆加速折旧费用由供应商负责承担。</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3）其他相关事宜：在本采购文件中没有提及的与本项目履约切实相关的事宜，由采购人与成交供应商签订合同时约定。</w:t>
            </w:r>
          </w:p>
          <w:p>
            <w:pPr>
              <w:pStyle w:val="null3"/>
              <w:ind w:firstLine="480"/>
              <w:jc w:val="left"/>
            </w:pPr>
            <w:r>
              <w:rPr>
                <w:rFonts w:ascii="仿宋_GB2312" w:hAnsi="仿宋_GB2312" w:cs="仿宋_GB2312" w:eastAsia="仿宋_GB2312"/>
                <w:sz w:val="24"/>
              </w:rPr>
              <w:t>2.租赁车辆清单、要求及限定单价</w:t>
            </w:r>
          </w:p>
          <w:p>
            <w:pPr>
              <w:pStyle w:val="null3"/>
              <w:ind w:firstLine="480"/>
              <w:jc w:val="left"/>
            </w:pPr>
            <w:r>
              <w:rPr>
                <w:rFonts w:ascii="仿宋_GB2312" w:hAnsi="仿宋_GB2312" w:cs="仿宋_GB2312" w:eastAsia="仿宋_GB2312"/>
                <w:sz w:val="24"/>
              </w:rPr>
              <w:t>2.1供应商的报价是满足采购需求全部内容的价格体现，即为完成本项目所涉及的一切费用。</w:t>
            </w:r>
          </w:p>
          <w:p>
            <w:pPr>
              <w:pStyle w:val="null3"/>
              <w:ind w:firstLine="480"/>
              <w:jc w:val="left"/>
            </w:pPr>
            <w:r>
              <w:rPr>
                <w:rFonts w:ascii="仿宋_GB2312" w:hAnsi="仿宋_GB2312" w:cs="仿宋_GB2312" w:eastAsia="仿宋_GB2312"/>
                <w:sz w:val="24"/>
              </w:rPr>
              <w:t>2.2本项目所有车型及单价最高限价采用统一（同一）百分比进行报价，成交供应商签订合同时清单单价根据供应商所报百分比进行计算。</w:t>
            </w:r>
          </w:p>
          <w:tbl>
            <w:tblPr>
              <w:tblInd w:type="dxa" w:w="90"/>
              <w:tblBorders>
                <w:top w:val="none" w:color="000000" w:sz="4"/>
                <w:left w:val="none" w:color="000000" w:sz="4"/>
                <w:bottom w:val="none" w:color="000000" w:sz="4"/>
                <w:right w:val="none" w:color="000000" w:sz="4"/>
                <w:insideH w:val="none"/>
                <w:insideV w:val="none"/>
              </w:tblBorders>
            </w:tblPr>
            <w:tblGrid>
              <w:gridCol w:w="967"/>
              <w:gridCol w:w="1016"/>
              <w:gridCol w:w="789"/>
              <w:gridCol w:w="888"/>
              <w:gridCol w:w="1668"/>
              <w:gridCol w:w="1648"/>
            </w:tblGrid>
            <w:tr>
              <w:tc>
                <w:tcPr>
                  <w:tcW w:type="dxa" w:w="2772"/>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车型</w:t>
                  </w:r>
                </w:p>
              </w:tc>
              <w:tc>
                <w:tcPr>
                  <w:tcW w:type="dxa" w:w="8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座位数（座</w:t>
                  </w:r>
                  <w:r>
                    <w:rPr>
                      <w:rFonts w:ascii="仿宋_GB2312" w:hAnsi="仿宋_GB2312" w:cs="仿宋_GB2312" w:eastAsia="仿宋_GB2312"/>
                      <w:sz w:val="21"/>
                      <w:b/>
                    </w:rPr>
                    <w:t>)</w:t>
                  </w:r>
                </w:p>
              </w:tc>
              <w:tc>
                <w:tcPr>
                  <w:tcW w:type="dxa" w:w="16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基本租车费（元</w:t>
                  </w:r>
                  <w:r>
                    <w:rPr>
                      <w:rFonts w:ascii="仿宋_GB2312" w:hAnsi="仿宋_GB2312" w:cs="仿宋_GB2312" w:eastAsia="仿宋_GB2312"/>
                      <w:sz w:val="21"/>
                      <w:b/>
                    </w:rPr>
                    <w:t>/天）（单价最高限价）</w:t>
                  </w:r>
                </w:p>
              </w:tc>
              <w:tc>
                <w:tcPr>
                  <w:tcW w:type="dxa" w:w="1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基本租车费（元</w:t>
                  </w:r>
                  <w:r>
                    <w:rPr>
                      <w:rFonts w:ascii="仿宋_GB2312" w:hAnsi="仿宋_GB2312" w:cs="仿宋_GB2312" w:eastAsia="仿宋_GB2312"/>
                      <w:sz w:val="21"/>
                      <w:b/>
                    </w:rPr>
                    <w:t>/月）（单价最高限价）</w:t>
                  </w:r>
                </w:p>
              </w:tc>
            </w:tr>
            <w:tr>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A级小轿车</w:t>
                  </w:r>
                </w:p>
              </w:tc>
              <w:tc>
                <w:tcPr>
                  <w:tcW w:type="dxa" w:w="10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排量：</w:t>
                  </w:r>
                  <w:r>
                    <w:rPr>
                      <w:rFonts w:ascii="仿宋_GB2312" w:hAnsi="仿宋_GB2312" w:cs="仿宋_GB2312" w:eastAsia="仿宋_GB2312"/>
                      <w:sz w:val="21"/>
                    </w:rPr>
                    <w:t>1.4T-1.8T</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自动档</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w:t>
                  </w:r>
                </w:p>
              </w:tc>
              <w:tc>
                <w:tcPr>
                  <w:tcW w:type="dxa" w:w="1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3500</w:t>
                  </w:r>
                </w:p>
              </w:tc>
            </w:tr>
            <w:tr>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B级小轿车</w:t>
                  </w:r>
                </w:p>
              </w:tc>
              <w:tc>
                <w:tcPr>
                  <w:tcW w:type="dxa" w:w="1016"/>
                  <w:vMerge/>
                  <w:tcBorders>
                    <w:top w:val="none" w:color="000000" w:sz="4"/>
                    <w:left w:val="none" w:color="000000" w:sz="4"/>
                    <w:bottom w:val="single" w:color="000000" w:sz="4"/>
                    <w:right w:val="single" w:color="000000" w:sz="4"/>
                  </w:tcBorders>
                </w:tcP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自动档</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280</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6500</w:t>
                  </w:r>
                </w:p>
              </w:tc>
            </w:tr>
            <w:tr>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越野车</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排量：</w:t>
                  </w:r>
                  <w:r>
                    <w:rPr>
                      <w:rFonts w:ascii="仿宋_GB2312" w:hAnsi="仿宋_GB2312" w:cs="仿宋_GB2312" w:eastAsia="仿宋_GB2312"/>
                      <w:sz w:val="21"/>
                    </w:rPr>
                    <w:t>≥3.0T</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自动档</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500</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13000</w:t>
                  </w:r>
                </w:p>
              </w:tc>
            </w:tr>
            <w:tr>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商务车</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w:t>
                  </w:r>
                  <w:r>
                    <w:rPr>
                      <w:rFonts w:ascii="仿宋_GB2312" w:hAnsi="仿宋_GB2312" w:cs="仿宋_GB2312" w:eastAsia="仿宋_GB2312"/>
                      <w:sz w:val="21"/>
                    </w:rPr>
                    <w:t>量</w:t>
                  </w:r>
                  <w:r>
                    <w:rPr>
                      <w:rFonts w:ascii="仿宋_GB2312" w:hAnsi="仿宋_GB2312" w:cs="仿宋_GB2312" w:eastAsia="仿宋_GB2312"/>
                      <w:sz w:val="21"/>
                    </w:rPr>
                    <w:t>≥2.0T</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自动档</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7-9</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10000</w:t>
                  </w:r>
                </w:p>
              </w:tc>
            </w:tr>
            <w:tr>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中型客车</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12-23</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1070（含代驾费）</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大型客车</w:t>
                  </w:r>
                </w:p>
              </w:tc>
              <w:tc>
                <w:tcPr>
                  <w:tcW w:type="dxa" w:w="1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30-55</w:t>
                  </w:r>
                </w:p>
              </w:tc>
              <w:tc>
                <w:tcPr>
                  <w:tcW w:type="dxa" w:w="1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1300（含代驾费）</w:t>
                  </w:r>
                </w:p>
              </w:tc>
              <w:tc>
                <w:tcPr>
                  <w:tcW w:type="dxa" w:w="1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697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其他费用：</w:t>
                  </w:r>
                </w:p>
                <w:p>
                  <w:pPr>
                    <w:pStyle w:val="null3"/>
                    <w:jc w:val="left"/>
                  </w:pPr>
                  <w:r>
                    <w:rPr>
                      <w:rFonts w:ascii="仿宋_GB2312" w:hAnsi="仿宋_GB2312" w:cs="仿宋_GB2312" w:eastAsia="仿宋_GB2312"/>
                      <w:sz w:val="21"/>
                    </w:rPr>
                    <w:t>1.油料费、过路费、停车费据实结算。</w:t>
                  </w:r>
                </w:p>
                <w:p>
                  <w:pPr>
                    <w:pStyle w:val="null3"/>
                    <w:jc w:val="left"/>
                  </w:pPr>
                  <w:r>
                    <w:rPr>
                      <w:rFonts w:ascii="仿宋_GB2312" w:hAnsi="仿宋_GB2312" w:cs="仿宋_GB2312" w:eastAsia="仿宋_GB2312"/>
                      <w:sz w:val="21"/>
                    </w:rPr>
                    <w:t>2.代驾劳务费（元/天）；小轿车、商务车200元/天，越野车240元/天（单价最高限价）。</w:t>
                  </w:r>
                </w:p>
                <w:p>
                  <w:pPr>
                    <w:pStyle w:val="null3"/>
                    <w:jc w:val="left"/>
                  </w:pPr>
                  <w:r>
                    <w:rPr>
                      <w:rFonts w:ascii="仿宋_GB2312" w:hAnsi="仿宋_GB2312" w:cs="仿宋_GB2312" w:eastAsia="仿宋_GB2312"/>
                      <w:sz w:val="21"/>
                    </w:rPr>
                    <w:t>3.代驾劳务费指按照每天工作8小时计算（不含午休时间），超过8小时，同时单日行程80公里以上，加收驾驶员超强工作延时费用30元/小时，含开票税金等；不足半个小时的0.5小时计算，超过半个小时按1个小时计算。（驾驶员提供出车行程单，客户签字确认，提供相应的依据）</w:t>
                  </w:r>
                  <w:r>
                    <w:rPr>
                      <w:rFonts w:ascii="仿宋_GB2312" w:hAnsi="仿宋_GB2312" w:cs="仿宋_GB2312" w:eastAsia="仿宋_GB2312"/>
                      <w:sz w:val="21"/>
                      <w:b/>
                    </w:rPr>
                    <w:t>注：此条代驾工作延时费用为固定费用，不做下浮。</w:t>
                  </w:r>
                </w:p>
                <w:p>
                  <w:pPr>
                    <w:pStyle w:val="null3"/>
                    <w:jc w:val="left"/>
                  </w:pPr>
                  <w:r>
                    <w:rPr>
                      <w:rFonts w:ascii="仿宋_GB2312" w:hAnsi="仿宋_GB2312" w:cs="仿宋_GB2312" w:eastAsia="仿宋_GB2312"/>
                      <w:sz w:val="21"/>
                    </w:rPr>
                    <w:t>4.驾驶员食宿费，住宿费160元/天，午餐30元，晚餐30元（</w:t>
                  </w:r>
                  <w:r>
                    <w:rPr>
                      <w:rFonts w:ascii="仿宋_GB2312" w:hAnsi="仿宋_GB2312" w:cs="仿宋_GB2312" w:eastAsia="仿宋_GB2312"/>
                      <w:sz w:val="21"/>
                      <w:b/>
                    </w:rPr>
                    <w:t>固定费用，不做下浮</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5.法定节假日，驾驶员劳务费300元/天（单价最高限价）。</w:t>
                  </w:r>
                </w:p>
              </w:tc>
            </w:tr>
            <w:tr>
              <w:tc>
                <w:tcPr>
                  <w:tcW w:type="dxa" w:w="697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注：</w:t>
                  </w:r>
                  <w:r>
                    <w:rPr>
                      <w:rFonts w:ascii="仿宋_GB2312" w:hAnsi="仿宋_GB2312" w:cs="仿宋_GB2312" w:eastAsia="仿宋_GB2312"/>
                      <w:sz w:val="21"/>
                    </w:rPr>
                    <w:t>1.基本租车费包含保养、救援、保险、管理、洗车费、年检、车辆折旧、开票税金等费用；用车期间由采购人使用生成的其他费用据实结算。</w:t>
                  </w:r>
                </w:p>
                <w:p>
                  <w:pPr>
                    <w:pStyle w:val="null3"/>
                    <w:jc w:val="left"/>
                  </w:pPr>
                  <w:r>
                    <w:rPr>
                      <w:rFonts w:ascii="仿宋_GB2312" w:hAnsi="仿宋_GB2312" w:cs="仿宋_GB2312" w:eastAsia="仿宋_GB2312"/>
                      <w:sz w:val="21"/>
                    </w:rPr>
                    <w:t>2.过路费、停车费等按照实际产生金额由供应商先行垫付后按提供凭证依据由承租人据实支付。</w:t>
                  </w:r>
                </w:p>
                <w:p>
                  <w:pPr>
                    <w:pStyle w:val="null3"/>
                    <w:jc w:val="left"/>
                  </w:pPr>
                  <w:r>
                    <w:rPr>
                      <w:rFonts w:ascii="仿宋_GB2312" w:hAnsi="仿宋_GB2312" w:cs="仿宋_GB2312" w:eastAsia="仿宋_GB2312"/>
                      <w:sz w:val="21"/>
                    </w:rPr>
                    <w:t>3.车辆最低按一天租赁。</w:t>
                  </w:r>
                </w:p>
                <w:p>
                  <w:pPr>
                    <w:pStyle w:val="null3"/>
                    <w:jc w:val="left"/>
                  </w:pPr>
                  <w:r>
                    <w:rPr>
                      <w:rFonts w:ascii="仿宋_GB2312" w:hAnsi="仿宋_GB2312" w:cs="仿宋_GB2312" w:eastAsia="仿宋_GB2312"/>
                      <w:sz w:val="21"/>
                    </w:rPr>
                    <w:t>4.其他要求：中型客车、大型客车须提供代驾服务。</w:t>
                  </w:r>
                </w:p>
                <w:p>
                  <w:pPr>
                    <w:pStyle w:val="null3"/>
                    <w:jc w:val="left"/>
                  </w:pPr>
                  <w:r>
                    <w:rPr>
                      <w:rFonts w:ascii="仿宋_GB2312" w:hAnsi="仿宋_GB2312" w:cs="仿宋_GB2312" w:eastAsia="仿宋_GB2312"/>
                      <w:sz w:val="21"/>
                    </w:rPr>
                    <w:t>5.报价要求：本项目基本租车费、代驾劳务费和法定节假日驾驶员劳务费、驾驶员住宿费和餐费，</w:t>
                  </w:r>
                  <w:r>
                    <w:rPr>
                      <w:rFonts w:ascii="仿宋_GB2312" w:hAnsi="仿宋_GB2312" w:cs="仿宋_GB2312" w:eastAsia="仿宋_GB2312"/>
                      <w:sz w:val="21"/>
                      <w:b/>
                      <w:u w:val="single"/>
                    </w:rPr>
                    <w:t>以上项标注了单价最高限价的均需统一的百分比报价，未统一的百分比报价视为无效响应。</w:t>
                  </w:r>
                  <w:r>
                    <w:rPr>
                      <w:rFonts w:ascii="仿宋_GB2312" w:hAnsi="仿宋_GB2312" w:cs="仿宋_GB2312" w:eastAsia="仿宋_GB2312"/>
                      <w:sz w:val="21"/>
                    </w:rPr>
                    <w:t>费用根据供应商所报百分比进行计算。因本项目车辆租赁的不确定性，若采购人的实际需求量小于采购文件预算价，采购人不负责与此有关的任何责任，合同到期即合同终止。若在合同期间内预算金额提前使用完毕，本合同即自动终止。</w:t>
                  </w:r>
                </w:p>
                <w:p>
                  <w:pPr>
                    <w:pStyle w:val="null3"/>
                    <w:jc w:val="left"/>
                  </w:pPr>
                  <w:r>
                    <w:rPr>
                      <w:rFonts w:ascii="仿宋_GB2312" w:hAnsi="仿宋_GB2312" w:cs="仿宋_GB2312" w:eastAsia="仿宋_GB2312"/>
                      <w:sz w:val="21"/>
                    </w:rPr>
                    <w:t>6.用车时长1个月以上，按照月租车价收取，不足一个月按照合同租车费（元/天）收取，但最高不得超过月租车价格。</w:t>
                  </w:r>
                </w:p>
              </w:tc>
            </w:tr>
          </w:tbl>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合同签订后365日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项目将严格按照政府采购相关法律法规以及《财政部关于进一步加强政府采购需求和履约验收管理的指导意见》（财库〔2016〕205号）、《政府采购需求管理办法》(财库（2021)22号）以及磋商文件和响应文件中较优胜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1、每月末由采购人确认核算当月产生实际费用，供应商提交考勤数据，采购方签字确认，达到付款条件起15日内，据实情况说明为支付本月实际费用</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双方必须遵守本合同并执行合同中的各项规定，保证本合同的正常履行。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其他未尽事宜由双方在采购合同中详细约定。</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具有投标截止日前车辆租赁类似项目经验。2.供应商为本项目提供1.4升及以上轿车；配备7-9座商务车；配备3.0升及以上越野车。3.提供服务方案，包含：(1)车辆维修、保养方案；(2)车辆租赁管理调度方案；(3)车辆整洁服务方案；(4)用户投诉处理方案；(5)安全管理方案。4.提供管理制度，包含：(1)驾驶员的业务培训、安全教育；(2)行车记录考核；(3)车辆维修管理。5.提供人员配置方案，包含：(1)人员组织架构图；(2)人员职责划分； (3)人员配置计划。6.提供应急预案，包含： (1)事故处理方案； (2)紧急用车需求处理； (3)应急人员安排。</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3.2服务要求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二、服务要求</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 人：提供“统一社会信用代码营业执照”；未换证的提供“营业执照、税务登记证、组织机构代码证”；②若为事业法人：提供“统一社会信用代 码法人登记证书”；未换证的提交“事业法人登记证书、组织机构代码证”；③若为其他组织： 提供“对应主管部门颁发的准许执业证明文件或营业执照”；④若为自然人：提供“身份证复印件 ”。⑤非独立法人分支机构参加需提供具有独立法人资格的总公司针对本项目的授权书原件， 并提供“统一社会信用代码营业执照”；未换证的提供“营业执照、税务登记证、组织机构代码证”。供应商根据自身情况提供以上①、②、③ 、④、⑤任意一项。</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具备国家行政主管部门颁发且在有效期内的《道路运输经营许可证》（或在交通运输行政管理部门取得从事汽车租赁或客车租赁的备案许可证明）。</w:t>
            </w:r>
          </w:p>
        </w:tc>
        <w:tc>
          <w:tcPr>
            <w:tcW w:type="dxa" w:w="3322"/>
          </w:tcPr>
          <w:p>
            <w:pPr>
              <w:pStyle w:val="null3"/>
              <w:jc w:val="left"/>
            </w:pPr>
            <w:r>
              <w:rPr>
                <w:rFonts w:ascii="仿宋_GB2312" w:hAnsi="仿宋_GB2312" w:cs="仿宋_GB2312" w:eastAsia="仿宋_GB2312"/>
              </w:rPr>
              <w:t>提供国家行政主管部门颁发且在有效期内的《道路运输经营许可证》（或在交通运输行政管理部门取得从事汽车租赁或客车租赁的备案许可证明）。以上材料提供扫描件。</w:t>
            </w:r>
          </w:p>
        </w:tc>
        <w:tc>
          <w:tcPr>
            <w:tcW w:type="dxa" w:w="1910"/>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需要供应商按采购文件要求进行承诺，若与序号1冲突之处，以此项为准。</w:t>
            </w:r>
          </w:p>
        </w:tc>
        <w:tc>
          <w:tcPr>
            <w:tcW w:type="dxa" w:w="1910"/>
          </w:tcPr>
          <w:p>
            <w:pPr>
              <w:pStyle w:val="null3"/>
              <w:jc w:val="left"/>
            </w:pPr>
            <w:r>
              <w:rPr>
                <w:rFonts w:ascii="仿宋_GB2312" w:hAnsi="仿宋_GB2312" w:cs="仿宋_GB2312" w:eastAsia="仿宋_GB2312"/>
              </w:rPr>
              <w:t>供应商应提交的相关证明材料,服务应答表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在评标过程中，评标委员会认为投标人投标报价明显低于其他通过符合性审查投标人的投标报价，有可能影响产品质量或者不能诚信履约的，评标委员会应当要求其在合理的时间内提供成本构成书面说明，并提交相关证明材料 。书面说明应当按照国家财务会计制度的规定要求，逐项就投标人提供的货物、工程和服务的主营业务成本（应根据投标人企业类型予以区别）、税金及附加、销售费用、管理费用、财务费用等成本构成事项详细陈述。 2.投标人 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910"/>
          </w:tcPr>
          <w:p>
            <w:pPr>
              <w:pStyle w:val="null3"/>
              <w:jc w:val="left"/>
            </w:pPr>
            <w:r>
              <w:rPr>
                <w:rFonts w:ascii="仿宋_GB2312" w:hAnsi="仿宋_GB2312" w:cs="仿宋_GB2312" w:eastAsia="仿宋_GB2312"/>
              </w:rPr>
              <w:t>报价表</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供应商对项目服务要求中实质性要求响应情况</w:t>
            </w:r>
          </w:p>
        </w:tc>
        <w:tc>
          <w:tcPr>
            <w:tcW w:type="dxa" w:w="3322"/>
          </w:tcPr>
          <w:p>
            <w:pPr>
              <w:pStyle w:val="null3"/>
              <w:jc w:val="left"/>
            </w:pPr>
            <w:r>
              <w:rPr>
                <w:rFonts w:ascii="仿宋_GB2312" w:hAnsi="仿宋_GB2312" w:cs="仿宋_GB2312" w:eastAsia="仿宋_GB2312"/>
              </w:rPr>
              <w:t>供应商对采购文件中“3.3服务要求”（包含：3.3.1.服务内容要求 和3.3.2.商务要求）标注 ★ 内容，据实在 服务应答表 中进行响应。</w:t>
            </w:r>
          </w:p>
        </w:tc>
        <w:tc>
          <w:tcPr>
            <w:tcW w:type="dxa" w:w="1910"/>
          </w:tcPr>
          <w:p>
            <w:pPr>
              <w:pStyle w:val="null3"/>
              <w:jc w:val="left"/>
            </w:pPr>
            <w:r>
              <w:rPr>
                <w:rFonts w:ascii="仿宋_GB2312" w:hAnsi="仿宋_GB2312" w:cs="仿宋_GB2312" w:eastAsia="仿宋_GB2312"/>
              </w:rPr>
              <w:t>供应商应提交的相关证明材料,服务应答表</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未载明或者载明的标的名称、数量、计量单位及其他实质性内容与磋商文件要求不一致，且采购单位无法接受的，属于无效响应。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未载明或者载明的标的名称、数量、计量单位及其他实质性内容与磋商文件要求不一致，且采购单位无法接受的，属于无效响应。</w:t>
            </w:r>
          </w:p>
        </w:tc>
        <w:tc>
          <w:tcPr>
            <w:tcW w:type="dxa" w:w="1910"/>
          </w:tcPr>
          <w:p>
            <w:pPr>
              <w:pStyle w:val="null3"/>
              <w:jc w:val="left"/>
            </w:pPr>
            <w:r>
              <w:rPr>
                <w:rFonts w:ascii="仿宋_GB2312" w:hAnsi="仿宋_GB2312" w:cs="仿宋_GB2312" w:eastAsia="仿宋_GB2312"/>
              </w:rPr>
              <w:t>响应文件封面,中小企业声明函,残疾人福利性单位声明函,供应商应提交的相关证明材料,服务应答表,报价表,投标（响应）函,监狱企业的证明文件</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服务能力</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投标人投标截止日前承担过类似项目(类似项目指车辆租赁相关)，每提供1项得1分，最高得5分。 备注：提供合同扫描件（需包含需求方和供应商双方公章页及合同关键页）。</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保险缴费</w:t>
            </w:r>
          </w:p>
        </w:tc>
        <w:tc>
          <w:tcPr>
            <w:tcW w:type="dxa" w:w="2575"/>
          </w:tcPr>
          <w:p>
            <w:pPr>
              <w:pStyle w:val="null3"/>
              <w:jc w:val="left"/>
            </w:pPr>
            <w:r>
              <w:rPr>
                <w:rFonts w:ascii="仿宋_GB2312" w:hAnsi="仿宋_GB2312" w:cs="仿宋_GB2312" w:eastAsia="仿宋_GB2312"/>
              </w:rPr>
              <w:t>1.供应商提供车辆购买的第三者责任保险保额不低于 200 万元，在此基础上，每增加100万保额，增加1.5分本项最高加3分。（保额增加不足100万不计分。） 2.供应商提供车辆购买的车上人员责任险：保额不低于 10 万元/人（包含司机和乘客），在此基础上，每增加20万保额，增加1.5分，本项最高加3分 。（保额增加不足20万不计分。） 备注：以上两项供应商需提供保险单或承诺中标后购买该保额保险的承诺函。</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服务能力</w:t>
            </w:r>
          </w:p>
        </w:tc>
        <w:tc>
          <w:tcPr>
            <w:tcW w:type="dxa" w:w="2575"/>
          </w:tcPr>
          <w:p>
            <w:pPr>
              <w:pStyle w:val="null3"/>
              <w:jc w:val="left"/>
            </w:pPr>
            <w:r>
              <w:rPr>
                <w:rFonts w:ascii="仿宋_GB2312" w:hAnsi="仿宋_GB2312" w:cs="仿宋_GB2312" w:eastAsia="仿宋_GB2312"/>
              </w:rPr>
              <w:t>供应商为本次项目配置的车辆： 1.每配备1辆1.4升（含）-1.8升（不含）级别轿车得0.25分，本项最高得2.5分。 2.每配备1辆1.8升及以上级别轿车得0.25分。本项最多得2.5分。 3.每配备1 辆7-9座商务车得0.8分，本项最多得12分。 4.每配备1辆3.0升及以上越野车得0.8分，本项最多得12分。 注：以上车辆车龄要求在3年以内，供应商需提供有效的车辆行驶证和机动车登记证书扫描件，车辆为租赁的还需提供租赁合同或租赁合作协议扫描件予以佐证。</w:t>
            </w:r>
          </w:p>
        </w:tc>
        <w:tc>
          <w:tcPr>
            <w:tcW w:type="dxa" w:w="831"/>
          </w:tcPr>
          <w:p>
            <w:pPr>
              <w:pStyle w:val="null3"/>
              <w:jc w:val="center"/>
            </w:pPr>
            <w:r>
              <w:rPr>
                <w:rFonts w:ascii="仿宋_GB2312" w:hAnsi="仿宋_GB2312" w:cs="仿宋_GB2312" w:eastAsia="仿宋_GB2312"/>
              </w:rPr>
              <w:t>29.0000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项目方案</w:t>
            </w:r>
          </w:p>
        </w:tc>
        <w:tc>
          <w:tcPr>
            <w:tcW w:type="dxa" w:w="2575"/>
          </w:tcPr>
          <w:p>
            <w:pPr>
              <w:pStyle w:val="null3"/>
              <w:jc w:val="left"/>
            </w:pPr>
            <w:r>
              <w:rPr>
                <w:rFonts w:ascii="仿宋_GB2312" w:hAnsi="仿宋_GB2312" w:cs="仿宋_GB2312" w:eastAsia="仿宋_GB2312"/>
              </w:rPr>
              <w:t>1.根据供应商提供的服务方案进行评审，包含：(1)车辆维修、保养方案；(2)车辆租赁管理调度方案；(3)车辆整洁服务方案；(4)用户投诉处理方案；(5)安全管理方案。完整提供以上5项内容且不存在缺陷得20分，在此基础上，每有一项内容缺项的扣4分，每有一项内容存在缺陷的扣2分，至该项内容分值扣完为止。 2.根据供应商提供的管理制度进行评审，包含：(1)驾驶员的业务培训、安全教育；(2)行车记录考核；(3)车辆维修管理。完整提供以上3项内容且不存在缺陷得9分，在此基础上，每有一项内容缺项的扣3分，每有一项内容存在缺陷的扣1.5分，直至该项内容分值扣完为止。 注：内容存在缺陷是指：内容不满足项目要求或与项目无关的或与项目不匹配或项目名称、实施地点、引用的规范、技术服务标准要求与本项目不一致等任一情形。</w:t>
            </w:r>
          </w:p>
        </w:tc>
        <w:tc>
          <w:tcPr>
            <w:tcW w:type="dxa" w:w="831"/>
          </w:tcPr>
          <w:p>
            <w:pPr>
              <w:pStyle w:val="null3"/>
              <w:jc w:val="center"/>
            </w:pPr>
            <w:r>
              <w:rPr>
                <w:rFonts w:ascii="仿宋_GB2312" w:hAnsi="仿宋_GB2312" w:cs="仿宋_GB2312" w:eastAsia="仿宋_GB2312"/>
              </w:rPr>
              <w:t>29.0000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人员配置方案</w:t>
            </w:r>
          </w:p>
        </w:tc>
        <w:tc>
          <w:tcPr>
            <w:tcW w:type="dxa" w:w="2575"/>
          </w:tcPr>
          <w:p>
            <w:pPr>
              <w:pStyle w:val="null3"/>
              <w:jc w:val="left"/>
            </w:pPr>
            <w:r>
              <w:rPr>
                <w:rFonts w:ascii="仿宋_GB2312" w:hAnsi="仿宋_GB2312" w:cs="仿宋_GB2312" w:eastAsia="仿宋_GB2312"/>
              </w:rPr>
              <w:t>根据供应商提供的人员配置方案进行评审，包含：(1)人员组织架构图；(2)人员职责划分； (3)人员配置计划。完整提供以上3项内容且不存在缺陷得9分，在此基础上，每有一项内容缺项的扣3分，每有一项内容存在缺陷的扣1.5分，直至该项内容分值扣完为止。 内容存在缺陷是指：内容不满足项目要求或与项目无关的或与项目不匹配或项目名称、实施地点、引用的规范、技术服务标准要求与本项目不一致等任一情形。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根据供应商提供的应急预案进行评审，包含： (1)事故处理方案； (2)紧急用车需求处理； (3)应急人员安排。完整提供以上3项内容且不存在缺陷得12分，在此基础上，每有一项内容缺项的扣4分，每有一项内容存在缺陷的扣2分，直至该项内容分值扣完为止。 内容存在缺陷是指：内容不满足项目要求或与项目无关的或与项目不匹配或项目名称、实施地点、引用的规范、技术服务标准要求与本项目不一致等任一情形。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