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4BADA9">
      <w:pPr>
        <w:jc w:val="center"/>
        <w:rPr>
          <w:rFonts w:ascii="宋体" w:hAnsi="宋体" w:cs="宋体"/>
          <w:b/>
          <w:bCs/>
          <w:kern w:val="0"/>
          <w:sz w:val="56"/>
          <w:szCs w:val="56"/>
          <w:highlight w:val="none"/>
        </w:rPr>
      </w:pPr>
      <w:r>
        <w:drawing>
          <wp:anchor distT="0" distB="0" distL="114300" distR="114300" simplePos="0" relativeHeight="251659264" behindDoc="0" locked="0" layoutInCell="1" allowOverlap="1">
            <wp:simplePos x="0" y="0"/>
            <wp:positionH relativeFrom="column">
              <wp:posOffset>-852170</wp:posOffset>
            </wp:positionH>
            <wp:positionV relativeFrom="paragraph">
              <wp:posOffset>-828040</wp:posOffset>
            </wp:positionV>
            <wp:extent cx="7439025" cy="10587990"/>
            <wp:effectExtent l="0" t="0" r="3175" b="381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tretch>
                      <a:fillRect/>
                    </a:stretch>
                  </pic:blipFill>
                  <pic:spPr>
                    <a:xfrm>
                      <a:off x="0" y="0"/>
                      <a:ext cx="7439025" cy="10587990"/>
                    </a:xfrm>
                    <a:prstGeom prst="rect">
                      <a:avLst/>
                    </a:prstGeom>
                    <a:noFill/>
                    <a:ln>
                      <a:noFill/>
                    </a:ln>
                  </pic:spPr>
                </pic:pic>
              </a:graphicData>
            </a:graphic>
          </wp:anchor>
        </w:drawing>
      </w:r>
    </w:p>
    <w:p w14:paraId="2951E890">
      <w:pPr>
        <w:jc w:val="center"/>
        <w:rPr>
          <w:rFonts w:hint="eastAsia" w:ascii="宋体" w:hAnsi="宋体" w:eastAsia="宋体" w:cs="宋体"/>
          <w:b/>
          <w:bCs/>
          <w:kern w:val="0"/>
          <w:sz w:val="60"/>
          <w:szCs w:val="60"/>
          <w:highlight w:val="none"/>
          <w:lang w:eastAsia="zh-CN"/>
        </w:rPr>
      </w:pPr>
      <w:r>
        <w:rPr>
          <w:rFonts w:hint="eastAsia" w:ascii="宋体" w:hAnsi="宋体" w:cs="宋体"/>
          <w:b/>
          <w:bCs/>
          <w:kern w:val="0"/>
          <w:sz w:val="60"/>
          <w:szCs w:val="60"/>
          <w:highlight w:val="none"/>
          <w:lang w:eastAsia="zh-CN"/>
        </w:rPr>
        <w:t>玉溪职业技术学院（云南省玉溪工业财贸学校）人工智能赋能医药康养专业群建设项目</w:t>
      </w:r>
    </w:p>
    <w:p w14:paraId="130E2A7B">
      <w:pPr>
        <w:tabs>
          <w:tab w:val="left" w:pos="6446"/>
        </w:tabs>
        <w:jc w:val="left"/>
        <w:rPr>
          <w:rFonts w:ascii="宋体" w:hAnsi="宋体" w:cs="宋体"/>
          <w:b/>
          <w:bCs/>
          <w:kern w:val="0"/>
          <w:sz w:val="24"/>
          <w:highlight w:val="none"/>
        </w:rPr>
      </w:pPr>
      <w:r>
        <w:rPr>
          <w:rFonts w:hint="eastAsia" w:ascii="宋体" w:hAnsi="宋体" w:cs="宋体"/>
          <w:b/>
          <w:bCs/>
          <w:kern w:val="0"/>
          <w:sz w:val="52"/>
          <w:szCs w:val="52"/>
          <w:highlight w:val="none"/>
        </w:rPr>
        <w:tab/>
      </w:r>
    </w:p>
    <w:p w14:paraId="21806390">
      <w:pPr>
        <w:pStyle w:val="17"/>
        <w:rPr>
          <w:highlight w:val="none"/>
        </w:rPr>
      </w:pPr>
    </w:p>
    <w:p w14:paraId="55784B9A">
      <w:pPr>
        <w:jc w:val="left"/>
        <w:rPr>
          <w:rFonts w:ascii="宋体" w:hAnsi="宋体" w:cs="宋体"/>
          <w:b/>
          <w:bCs/>
          <w:kern w:val="0"/>
          <w:sz w:val="24"/>
          <w:highlight w:val="none"/>
        </w:rPr>
      </w:pPr>
    </w:p>
    <w:p w14:paraId="02F926F2">
      <w:pPr>
        <w:jc w:val="center"/>
        <w:rPr>
          <w:rFonts w:ascii="宋体" w:hAnsi="宋体" w:cs="宋体"/>
          <w:b/>
          <w:bCs/>
          <w:kern w:val="0"/>
          <w:sz w:val="60"/>
          <w:szCs w:val="60"/>
          <w:highlight w:val="none"/>
        </w:rPr>
      </w:pPr>
      <w:r>
        <w:rPr>
          <w:rFonts w:hint="eastAsia" w:ascii="宋体" w:hAnsi="宋体" w:cs="宋体"/>
          <w:b/>
          <w:bCs/>
          <w:kern w:val="0"/>
          <w:sz w:val="60"/>
          <w:szCs w:val="60"/>
          <w:highlight w:val="none"/>
        </w:rPr>
        <w:t>招 标 文 件</w:t>
      </w:r>
    </w:p>
    <w:p w14:paraId="2B57B6C8">
      <w:pPr>
        <w:jc w:val="left"/>
        <w:rPr>
          <w:rFonts w:ascii="宋体" w:hAnsi="宋体" w:cs="宋体"/>
          <w:b/>
          <w:bCs/>
          <w:kern w:val="0"/>
          <w:sz w:val="24"/>
          <w:highlight w:val="none"/>
        </w:rPr>
      </w:pPr>
    </w:p>
    <w:p w14:paraId="5F0BD838">
      <w:pPr>
        <w:jc w:val="left"/>
        <w:rPr>
          <w:rFonts w:ascii="宋体" w:hAnsi="宋体" w:cs="宋体"/>
          <w:b/>
          <w:bCs/>
          <w:kern w:val="0"/>
          <w:sz w:val="24"/>
          <w:highlight w:val="none"/>
        </w:rPr>
      </w:pPr>
    </w:p>
    <w:p w14:paraId="6472CAB6">
      <w:pPr>
        <w:jc w:val="left"/>
        <w:rPr>
          <w:rFonts w:ascii="宋体" w:hAnsi="宋体" w:cs="宋体"/>
          <w:b/>
          <w:bCs/>
          <w:kern w:val="0"/>
          <w:sz w:val="24"/>
          <w:highlight w:val="none"/>
        </w:rPr>
      </w:pPr>
    </w:p>
    <w:p w14:paraId="22D79750">
      <w:pPr>
        <w:jc w:val="left"/>
        <w:rPr>
          <w:rFonts w:ascii="宋体" w:hAnsi="宋体" w:cs="宋体"/>
          <w:b/>
          <w:bCs/>
          <w:kern w:val="0"/>
          <w:sz w:val="24"/>
          <w:highlight w:val="none"/>
        </w:rPr>
      </w:pPr>
    </w:p>
    <w:p w14:paraId="43D4A0D1">
      <w:pPr>
        <w:pStyle w:val="17"/>
        <w:jc w:val="center"/>
        <w:rPr>
          <w:rFonts w:ascii="宋体" w:hAnsi="宋体" w:eastAsia="宋体" w:cs="宋体"/>
          <w:highlight w:val="none"/>
        </w:rPr>
      </w:pPr>
    </w:p>
    <w:p w14:paraId="4F2A5A13">
      <w:pPr>
        <w:adjustRightInd w:val="0"/>
        <w:snapToGrid w:val="0"/>
        <w:rPr>
          <w:rFonts w:ascii="宋体" w:hAnsi="宋体" w:cs="宋体"/>
          <w:b/>
          <w:bCs/>
          <w:kern w:val="0"/>
          <w:sz w:val="32"/>
          <w:szCs w:val="32"/>
          <w:highlight w:val="none"/>
        </w:rPr>
      </w:pPr>
    </w:p>
    <w:p w14:paraId="26CE772D">
      <w:pPr>
        <w:adjustRightInd w:val="0"/>
        <w:snapToGrid w:val="0"/>
        <w:spacing w:line="600" w:lineRule="auto"/>
        <w:rPr>
          <w:rFonts w:ascii="宋体" w:hAnsi="宋体" w:cs="宋体"/>
          <w:b/>
          <w:bCs/>
          <w:kern w:val="0"/>
          <w:sz w:val="36"/>
          <w:szCs w:val="36"/>
          <w:highlight w:val="none"/>
        </w:rPr>
      </w:pPr>
    </w:p>
    <w:p w14:paraId="59BEBEE1">
      <w:pPr>
        <w:adjustRightInd w:val="0"/>
        <w:snapToGrid w:val="0"/>
        <w:spacing w:line="600" w:lineRule="auto"/>
        <w:jc w:val="center"/>
        <w:rPr>
          <w:rFonts w:hint="eastAsia" w:ascii="宋体" w:hAnsi="宋体" w:eastAsia="宋体" w:cs="宋体"/>
          <w:b/>
          <w:bCs/>
          <w:kern w:val="0"/>
          <w:sz w:val="36"/>
          <w:szCs w:val="36"/>
          <w:highlight w:val="none"/>
          <w:lang w:eastAsia="zh-CN"/>
        </w:rPr>
      </w:pPr>
      <w:r>
        <w:rPr>
          <w:rFonts w:hint="eastAsia" w:ascii="宋体" w:hAnsi="宋体" w:cs="宋体"/>
          <w:b/>
          <w:bCs/>
          <w:kern w:val="0"/>
          <w:sz w:val="36"/>
          <w:szCs w:val="36"/>
          <w:highlight w:val="none"/>
        </w:rPr>
        <w:t>采购人：</w:t>
      </w:r>
      <w:r>
        <w:rPr>
          <w:rFonts w:hint="eastAsia" w:ascii="宋体" w:hAnsi="宋体" w:cs="宋体"/>
          <w:b/>
          <w:bCs/>
          <w:kern w:val="0"/>
          <w:sz w:val="36"/>
          <w:szCs w:val="36"/>
          <w:highlight w:val="none"/>
          <w:lang w:eastAsia="zh-CN"/>
        </w:rPr>
        <w:t>玉溪职业技术学院（云南省玉溪工业财贸学校）</w:t>
      </w:r>
    </w:p>
    <w:p w14:paraId="05ADAD29">
      <w:pPr>
        <w:adjustRightInd w:val="0"/>
        <w:snapToGrid w:val="0"/>
        <w:spacing w:line="600" w:lineRule="auto"/>
        <w:jc w:val="center"/>
        <w:rPr>
          <w:rFonts w:ascii="宋体" w:hAnsi="宋体" w:cs="宋体"/>
          <w:b/>
          <w:bCs/>
          <w:kern w:val="0"/>
          <w:sz w:val="36"/>
          <w:szCs w:val="36"/>
          <w:highlight w:val="none"/>
        </w:rPr>
      </w:pPr>
      <w:r>
        <w:rPr>
          <w:rFonts w:hint="eastAsia" w:ascii="宋体" w:hAnsi="宋体" w:cs="宋体"/>
          <w:b/>
          <w:bCs/>
          <w:kern w:val="0"/>
          <w:sz w:val="36"/>
          <w:szCs w:val="36"/>
          <w:highlight w:val="none"/>
        </w:rPr>
        <w:t>采购代理机构：晟和项目管理（云南）有限公司</w:t>
      </w:r>
    </w:p>
    <w:p w14:paraId="72D8B530">
      <w:pPr>
        <w:pStyle w:val="21"/>
        <w:jc w:val="center"/>
        <w:rPr>
          <w:rFonts w:hAnsi="宋体" w:cs="宋体"/>
          <w:b/>
          <w:sz w:val="28"/>
          <w:szCs w:val="28"/>
          <w:highlight w:val="none"/>
        </w:rPr>
        <w:sectPr>
          <w:headerReference r:id="rId6" w:type="first"/>
          <w:footerReference r:id="rId8" w:type="first"/>
          <w:headerReference r:id="rId5" w:type="default"/>
          <w:footerReference r:id="rId7" w:type="default"/>
          <w:pgSz w:w="11906" w:h="16838"/>
          <w:pgMar w:top="1361" w:right="1361" w:bottom="1361" w:left="1361" w:header="935" w:footer="935" w:gutter="0"/>
          <w:pgBorders>
            <w:top w:val="none" w:sz="0" w:space="0"/>
            <w:left w:val="none" w:sz="0" w:space="0"/>
            <w:bottom w:val="none" w:sz="0" w:space="0"/>
            <w:right w:val="none" w:sz="0" w:space="0"/>
          </w:pgBorders>
          <w:cols w:space="0" w:num="1"/>
          <w:titlePg/>
          <w:rtlGutter w:val="0"/>
          <w:docGrid w:type="lines" w:linePitch="318" w:charSpace="0"/>
        </w:sectPr>
      </w:pPr>
      <w:r>
        <w:rPr>
          <w:rFonts w:hint="eastAsia" w:hAnsi="宋体" w:cs="宋体"/>
          <w:b/>
          <w:sz w:val="32"/>
          <w:szCs w:val="32"/>
          <w:highlight w:val="none"/>
        </w:rPr>
        <w:t>二〇二六年</w:t>
      </w:r>
      <w:r>
        <w:rPr>
          <w:rFonts w:hint="eastAsia" w:hAnsi="宋体" w:cs="宋体"/>
          <w:b/>
          <w:sz w:val="32"/>
          <w:szCs w:val="32"/>
          <w:highlight w:val="none"/>
          <w:lang w:val="en-US" w:eastAsia="zh-CN"/>
        </w:rPr>
        <w:t>五</w:t>
      </w:r>
      <w:r>
        <w:rPr>
          <w:rFonts w:hint="eastAsia" w:hAnsi="宋体" w:cs="宋体"/>
          <w:b/>
          <w:sz w:val="32"/>
          <w:szCs w:val="32"/>
          <w:highlight w:val="none"/>
        </w:rPr>
        <w:t>月</w:t>
      </w:r>
    </w:p>
    <w:p w14:paraId="7EABF496">
      <w:pPr>
        <w:pStyle w:val="21"/>
        <w:jc w:val="center"/>
        <w:rPr>
          <w:rFonts w:ascii="Times New Roman"/>
          <w:b/>
          <w:kern w:val="0"/>
          <w:sz w:val="32"/>
          <w:szCs w:val="32"/>
          <w:highlight w:val="none"/>
        </w:rPr>
      </w:pPr>
    </w:p>
    <w:sdt>
      <w:sdtPr>
        <w:rPr>
          <w:rFonts w:ascii="宋体" w:hAnsi="宋体"/>
          <w:highlight w:val="none"/>
        </w:rPr>
        <w:id w:val="147472554"/>
        <w15:color w:val="DBDBDB"/>
        <w:docPartObj>
          <w:docPartGallery w:val="Table of Contents"/>
          <w:docPartUnique/>
        </w:docPartObj>
      </w:sdtPr>
      <w:sdtEndPr>
        <w:rPr>
          <w:rFonts w:ascii="Times New Roman" w:hAnsi="Times New Roman"/>
          <w:szCs w:val="21"/>
          <w:highlight w:val="none"/>
        </w:rPr>
      </w:sdtEndPr>
      <w:sdtContent>
        <w:p w14:paraId="25D30BF7">
          <w:pPr>
            <w:spacing w:line="240" w:lineRule="auto"/>
            <w:jc w:val="center"/>
            <w:rPr>
              <w:highlight w:val="none"/>
            </w:rPr>
          </w:pPr>
          <w:r>
            <w:rPr>
              <w:rFonts w:ascii="宋体" w:hAnsi="宋体"/>
              <w:highlight w:val="none"/>
            </w:rPr>
            <w:t>目录</w:t>
          </w:r>
        </w:p>
        <w:p w14:paraId="3AEB1C32">
          <w:pPr>
            <w:pStyle w:val="28"/>
            <w:tabs>
              <w:tab w:val="right" w:leader="dot" w:pos="9184"/>
            </w:tabs>
            <w:rPr>
              <w:highlight w:val="none"/>
            </w:rPr>
          </w:pPr>
          <w:r>
            <w:rPr>
              <w:szCs w:val="21"/>
              <w:highlight w:val="none"/>
            </w:rPr>
            <w:fldChar w:fldCharType="begin"/>
          </w:r>
          <w:r>
            <w:rPr>
              <w:szCs w:val="21"/>
              <w:highlight w:val="none"/>
            </w:rPr>
            <w:instrText xml:space="preserve">TOC \o "1-2" \h \u </w:instrText>
          </w:r>
          <w:r>
            <w:rPr>
              <w:szCs w:val="21"/>
              <w:highlight w:val="none"/>
            </w:rPr>
            <w:fldChar w:fldCharType="separate"/>
          </w:r>
          <w:r>
            <w:rPr>
              <w:szCs w:val="21"/>
              <w:highlight w:val="none"/>
            </w:rPr>
            <w:fldChar w:fldCharType="begin"/>
          </w:r>
          <w:r>
            <w:rPr>
              <w:szCs w:val="21"/>
              <w:highlight w:val="none"/>
            </w:rPr>
            <w:instrText xml:space="preserve"> HYPERLINK \l _Toc20498 </w:instrText>
          </w:r>
          <w:r>
            <w:rPr>
              <w:szCs w:val="21"/>
              <w:highlight w:val="none"/>
            </w:rPr>
            <w:fldChar w:fldCharType="separate"/>
          </w:r>
          <w:r>
            <w:rPr>
              <w:rFonts w:hint="eastAsia" w:eastAsia="宋体"/>
              <w:bCs/>
              <w:kern w:val="0"/>
              <w:highlight w:val="none"/>
            </w:rPr>
            <w:t>第一</w:t>
          </w:r>
          <w:r>
            <w:rPr>
              <w:rFonts w:eastAsia="宋体"/>
              <w:bCs/>
              <w:highlight w:val="none"/>
            </w:rPr>
            <w:t xml:space="preserve">章 </w:t>
          </w:r>
          <w:r>
            <w:rPr>
              <w:rFonts w:hint="eastAsia" w:eastAsia="宋体"/>
              <w:bCs/>
              <w:kern w:val="0"/>
              <w:highlight w:val="none"/>
            </w:rPr>
            <w:t>招标公告</w:t>
          </w:r>
          <w:r>
            <w:rPr>
              <w:highlight w:val="none"/>
            </w:rPr>
            <w:tab/>
          </w:r>
          <w:r>
            <w:rPr>
              <w:highlight w:val="none"/>
            </w:rPr>
            <w:fldChar w:fldCharType="begin"/>
          </w:r>
          <w:r>
            <w:rPr>
              <w:highlight w:val="none"/>
            </w:rPr>
            <w:instrText xml:space="preserve"> PAGEREF _Toc20498 \h </w:instrText>
          </w:r>
          <w:r>
            <w:rPr>
              <w:highlight w:val="none"/>
            </w:rPr>
            <w:fldChar w:fldCharType="separate"/>
          </w:r>
          <w:r>
            <w:rPr>
              <w:highlight w:val="none"/>
            </w:rPr>
            <w:t>2</w:t>
          </w:r>
          <w:r>
            <w:rPr>
              <w:highlight w:val="none"/>
            </w:rPr>
            <w:fldChar w:fldCharType="end"/>
          </w:r>
          <w:r>
            <w:rPr>
              <w:szCs w:val="21"/>
              <w:highlight w:val="none"/>
            </w:rPr>
            <w:fldChar w:fldCharType="end"/>
          </w:r>
        </w:p>
        <w:p w14:paraId="2780DBD0">
          <w:pPr>
            <w:pStyle w:val="32"/>
            <w:tabs>
              <w:tab w:val="right" w:leader="dot" w:pos="9184"/>
            </w:tabs>
            <w:rPr>
              <w:highlight w:val="none"/>
            </w:rPr>
          </w:pPr>
          <w:r>
            <w:rPr>
              <w:szCs w:val="21"/>
              <w:highlight w:val="none"/>
            </w:rPr>
            <w:fldChar w:fldCharType="begin"/>
          </w:r>
          <w:r>
            <w:rPr>
              <w:szCs w:val="21"/>
              <w:highlight w:val="none"/>
            </w:rPr>
            <w:instrText xml:space="preserve"> HYPERLINK \l _Toc14727 </w:instrText>
          </w:r>
          <w:r>
            <w:rPr>
              <w:szCs w:val="21"/>
              <w:highlight w:val="none"/>
            </w:rPr>
            <w:fldChar w:fldCharType="separate"/>
          </w:r>
          <w:r>
            <w:rPr>
              <w:rFonts w:hint="eastAsia" w:ascii="宋体" w:hAnsi="宋体" w:cs="宋体"/>
              <w:highlight w:val="none"/>
            </w:rPr>
            <w:t>一、项目基本情况</w:t>
          </w:r>
          <w:r>
            <w:rPr>
              <w:highlight w:val="none"/>
            </w:rPr>
            <w:tab/>
          </w:r>
          <w:r>
            <w:rPr>
              <w:highlight w:val="none"/>
            </w:rPr>
            <w:fldChar w:fldCharType="begin"/>
          </w:r>
          <w:r>
            <w:rPr>
              <w:highlight w:val="none"/>
            </w:rPr>
            <w:instrText xml:space="preserve"> PAGEREF _Toc14727 \h </w:instrText>
          </w:r>
          <w:r>
            <w:rPr>
              <w:highlight w:val="none"/>
            </w:rPr>
            <w:fldChar w:fldCharType="separate"/>
          </w:r>
          <w:r>
            <w:rPr>
              <w:highlight w:val="none"/>
            </w:rPr>
            <w:t>2</w:t>
          </w:r>
          <w:r>
            <w:rPr>
              <w:highlight w:val="none"/>
            </w:rPr>
            <w:fldChar w:fldCharType="end"/>
          </w:r>
          <w:r>
            <w:rPr>
              <w:szCs w:val="21"/>
              <w:highlight w:val="none"/>
            </w:rPr>
            <w:fldChar w:fldCharType="end"/>
          </w:r>
        </w:p>
        <w:p w14:paraId="0CEBAFB6">
          <w:pPr>
            <w:pStyle w:val="32"/>
            <w:tabs>
              <w:tab w:val="right" w:leader="dot" w:pos="9184"/>
            </w:tabs>
            <w:rPr>
              <w:highlight w:val="none"/>
            </w:rPr>
          </w:pPr>
          <w:r>
            <w:rPr>
              <w:szCs w:val="21"/>
              <w:highlight w:val="none"/>
            </w:rPr>
            <w:fldChar w:fldCharType="begin"/>
          </w:r>
          <w:r>
            <w:rPr>
              <w:szCs w:val="21"/>
              <w:highlight w:val="none"/>
            </w:rPr>
            <w:instrText xml:space="preserve"> HYPERLINK \l _Toc24494 </w:instrText>
          </w:r>
          <w:r>
            <w:rPr>
              <w:szCs w:val="21"/>
              <w:highlight w:val="none"/>
            </w:rPr>
            <w:fldChar w:fldCharType="separate"/>
          </w:r>
          <w:r>
            <w:rPr>
              <w:rFonts w:hint="eastAsia" w:ascii="宋体" w:hAnsi="宋体" w:cs="宋体"/>
              <w:highlight w:val="none"/>
            </w:rPr>
            <w:t>二、申请人的资格要求（1</w:t>
          </w:r>
          <w:r>
            <w:rPr>
              <w:rFonts w:hint="eastAsia" w:ascii="宋体" w:hAnsi="宋体" w:cs="宋体"/>
              <w:highlight w:val="none"/>
              <w:lang w:val="en-US" w:eastAsia="zh-CN"/>
            </w:rPr>
            <w:t>-6</w:t>
          </w:r>
          <w:r>
            <w:rPr>
              <w:rFonts w:hint="eastAsia" w:ascii="宋体" w:hAnsi="宋体" w:cs="宋体"/>
              <w:highlight w:val="none"/>
            </w:rPr>
            <w:t>包均适用）：</w:t>
          </w:r>
          <w:r>
            <w:rPr>
              <w:highlight w:val="none"/>
            </w:rPr>
            <w:tab/>
          </w:r>
          <w:r>
            <w:rPr>
              <w:highlight w:val="none"/>
            </w:rPr>
            <w:fldChar w:fldCharType="begin"/>
          </w:r>
          <w:r>
            <w:rPr>
              <w:highlight w:val="none"/>
            </w:rPr>
            <w:instrText xml:space="preserve"> PAGEREF _Toc24494 \h </w:instrText>
          </w:r>
          <w:r>
            <w:rPr>
              <w:highlight w:val="none"/>
            </w:rPr>
            <w:fldChar w:fldCharType="separate"/>
          </w:r>
          <w:r>
            <w:rPr>
              <w:highlight w:val="none"/>
            </w:rPr>
            <w:t>10</w:t>
          </w:r>
          <w:r>
            <w:rPr>
              <w:highlight w:val="none"/>
            </w:rPr>
            <w:fldChar w:fldCharType="end"/>
          </w:r>
          <w:r>
            <w:rPr>
              <w:szCs w:val="21"/>
              <w:highlight w:val="none"/>
            </w:rPr>
            <w:fldChar w:fldCharType="end"/>
          </w:r>
        </w:p>
        <w:p w14:paraId="0A842BBD">
          <w:pPr>
            <w:pStyle w:val="32"/>
            <w:tabs>
              <w:tab w:val="right" w:leader="dot" w:pos="9184"/>
            </w:tabs>
            <w:rPr>
              <w:highlight w:val="none"/>
            </w:rPr>
          </w:pPr>
          <w:r>
            <w:rPr>
              <w:szCs w:val="21"/>
              <w:highlight w:val="none"/>
            </w:rPr>
            <w:fldChar w:fldCharType="begin"/>
          </w:r>
          <w:r>
            <w:rPr>
              <w:szCs w:val="21"/>
              <w:highlight w:val="none"/>
            </w:rPr>
            <w:instrText xml:space="preserve"> HYPERLINK \l _Toc17945 </w:instrText>
          </w:r>
          <w:r>
            <w:rPr>
              <w:szCs w:val="21"/>
              <w:highlight w:val="none"/>
            </w:rPr>
            <w:fldChar w:fldCharType="separate"/>
          </w:r>
          <w:r>
            <w:rPr>
              <w:rFonts w:hint="eastAsia" w:ascii="宋体" w:hAnsi="宋体" w:cs="宋体"/>
              <w:highlight w:val="none"/>
            </w:rPr>
            <w:t>三、获取招标文件</w:t>
          </w:r>
          <w:r>
            <w:rPr>
              <w:highlight w:val="none"/>
            </w:rPr>
            <w:tab/>
          </w:r>
          <w:r>
            <w:rPr>
              <w:highlight w:val="none"/>
            </w:rPr>
            <w:fldChar w:fldCharType="begin"/>
          </w:r>
          <w:r>
            <w:rPr>
              <w:highlight w:val="none"/>
            </w:rPr>
            <w:instrText xml:space="preserve"> PAGEREF _Toc17945 \h </w:instrText>
          </w:r>
          <w:r>
            <w:rPr>
              <w:highlight w:val="none"/>
            </w:rPr>
            <w:fldChar w:fldCharType="separate"/>
          </w:r>
          <w:r>
            <w:rPr>
              <w:highlight w:val="none"/>
            </w:rPr>
            <w:t>11</w:t>
          </w:r>
          <w:r>
            <w:rPr>
              <w:highlight w:val="none"/>
            </w:rPr>
            <w:fldChar w:fldCharType="end"/>
          </w:r>
          <w:r>
            <w:rPr>
              <w:szCs w:val="21"/>
              <w:highlight w:val="none"/>
            </w:rPr>
            <w:fldChar w:fldCharType="end"/>
          </w:r>
        </w:p>
        <w:p w14:paraId="6D40357D">
          <w:pPr>
            <w:pStyle w:val="32"/>
            <w:tabs>
              <w:tab w:val="right" w:leader="dot" w:pos="9184"/>
            </w:tabs>
            <w:rPr>
              <w:highlight w:val="none"/>
            </w:rPr>
          </w:pPr>
          <w:r>
            <w:rPr>
              <w:szCs w:val="21"/>
              <w:highlight w:val="none"/>
            </w:rPr>
            <w:fldChar w:fldCharType="begin"/>
          </w:r>
          <w:r>
            <w:rPr>
              <w:szCs w:val="21"/>
              <w:highlight w:val="none"/>
            </w:rPr>
            <w:instrText xml:space="preserve"> HYPERLINK \l _Toc18152 </w:instrText>
          </w:r>
          <w:r>
            <w:rPr>
              <w:szCs w:val="21"/>
              <w:highlight w:val="none"/>
            </w:rPr>
            <w:fldChar w:fldCharType="separate"/>
          </w:r>
          <w:r>
            <w:rPr>
              <w:rFonts w:hint="eastAsia" w:ascii="宋体" w:hAnsi="宋体" w:cs="宋体"/>
              <w:highlight w:val="none"/>
            </w:rPr>
            <w:t>四、提交投标文件截止时间、开标时间和地点</w:t>
          </w:r>
          <w:r>
            <w:rPr>
              <w:highlight w:val="none"/>
            </w:rPr>
            <w:tab/>
          </w:r>
          <w:r>
            <w:rPr>
              <w:highlight w:val="none"/>
            </w:rPr>
            <w:fldChar w:fldCharType="begin"/>
          </w:r>
          <w:r>
            <w:rPr>
              <w:highlight w:val="none"/>
            </w:rPr>
            <w:instrText xml:space="preserve"> PAGEREF _Toc18152 \h </w:instrText>
          </w:r>
          <w:r>
            <w:rPr>
              <w:highlight w:val="none"/>
            </w:rPr>
            <w:fldChar w:fldCharType="separate"/>
          </w:r>
          <w:r>
            <w:rPr>
              <w:highlight w:val="none"/>
            </w:rPr>
            <w:t>12</w:t>
          </w:r>
          <w:r>
            <w:rPr>
              <w:highlight w:val="none"/>
            </w:rPr>
            <w:fldChar w:fldCharType="end"/>
          </w:r>
          <w:r>
            <w:rPr>
              <w:szCs w:val="21"/>
              <w:highlight w:val="none"/>
            </w:rPr>
            <w:fldChar w:fldCharType="end"/>
          </w:r>
        </w:p>
        <w:p w14:paraId="561333E1">
          <w:pPr>
            <w:pStyle w:val="32"/>
            <w:tabs>
              <w:tab w:val="right" w:leader="dot" w:pos="9184"/>
            </w:tabs>
            <w:rPr>
              <w:highlight w:val="none"/>
            </w:rPr>
          </w:pPr>
          <w:r>
            <w:rPr>
              <w:szCs w:val="21"/>
              <w:highlight w:val="none"/>
            </w:rPr>
            <w:fldChar w:fldCharType="begin"/>
          </w:r>
          <w:r>
            <w:rPr>
              <w:szCs w:val="21"/>
              <w:highlight w:val="none"/>
            </w:rPr>
            <w:instrText xml:space="preserve"> HYPERLINK \l _Toc11321 </w:instrText>
          </w:r>
          <w:r>
            <w:rPr>
              <w:szCs w:val="21"/>
              <w:highlight w:val="none"/>
            </w:rPr>
            <w:fldChar w:fldCharType="separate"/>
          </w:r>
          <w:r>
            <w:rPr>
              <w:rFonts w:hint="eastAsia" w:ascii="宋体" w:hAnsi="宋体" w:cs="宋体"/>
              <w:highlight w:val="none"/>
            </w:rPr>
            <w:t>五、发布公告媒介及公告期限</w:t>
          </w:r>
          <w:r>
            <w:rPr>
              <w:highlight w:val="none"/>
            </w:rPr>
            <w:tab/>
          </w:r>
          <w:r>
            <w:rPr>
              <w:highlight w:val="none"/>
            </w:rPr>
            <w:fldChar w:fldCharType="begin"/>
          </w:r>
          <w:r>
            <w:rPr>
              <w:highlight w:val="none"/>
            </w:rPr>
            <w:instrText xml:space="preserve"> PAGEREF _Toc11321 \h </w:instrText>
          </w:r>
          <w:r>
            <w:rPr>
              <w:highlight w:val="none"/>
            </w:rPr>
            <w:fldChar w:fldCharType="separate"/>
          </w:r>
          <w:r>
            <w:rPr>
              <w:highlight w:val="none"/>
            </w:rPr>
            <w:t>12</w:t>
          </w:r>
          <w:r>
            <w:rPr>
              <w:highlight w:val="none"/>
            </w:rPr>
            <w:fldChar w:fldCharType="end"/>
          </w:r>
          <w:r>
            <w:rPr>
              <w:szCs w:val="21"/>
              <w:highlight w:val="none"/>
            </w:rPr>
            <w:fldChar w:fldCharType="end"/>
          </w:r>
        </w:p>
        <w:p w14:paraId="2A78E16E">
          <w:pPr>
            <w:pStyle w:val="32"/>
            <w:tabs>
              <w:tab w:val="right" w:leader="dot" w:pos="9184"/>
            </w:tabs>
            <w:rPr>
              <w:highlight w:val="none"/>
            </w:rPr>
          </w:pPr>
          <w:r>
            <w:rPr>
              <w:szCs w:val="21"/>
              <w:highlight w:val="none"/>
            </w:rPr>
            <w:fldChar w:fldCharType="begin"/>
          </w:r>
          <w:r>
            <w:rPr>
              <w:szCs w:val="21"/>
              <w:highlight w:val="none"/>
            </w:rPr>
            <w:instrText xml:space="preserve"> HYPERLINK \l _Toc31032 </w:instrText>
          </w:r>
          <w:r>
            <w:rPr>
              <w:szCs w:val="21"/>
              <w:highlight w:val="none"/>
            </w:rPr>
            <w:fldChar w:fldCharType="separate"/>
          </w:r>
          <w:r>
            <w:rPr>
              <w:rFonts w:hint="eastAsia" w:ascii="宋体" w:hAnsi="宋体" w:cs="宋体"/>
              <w:highlight w:val="none"/>
            </w:rPr>
            <w:t>六、其他补充事宜</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12</w:t>
          </w:r>
          <w:r>
            <w:rPr>
              <w:highlight w:val="none"/>
            </w:rPr>
            <w:fldChar w:fldCharType="end"/>
          </w:r>
          <w:r>
            <w:rPr>
              <w:szCs w:val="21"/>
              <w:highlight w:val="none"/>
            </w:rPr>
            <w:fldChar w:fldCharType="end"/>
          </w:r>
        </w:p>
        <w:p w14:paraId="73C4180C">
          <w:pPr>
            <w:pStyle w:val="32"/>
            <w:tabs>
              <w:tab w:val="right" w:leader="dot" w:pos="9184"/>
            </w:tabs>
            <w:rPr>
              <w:highlight w:val="none"/>
            </w:rPr>
          </w:pPr>
          <w:r>
            <w:rPr>
              <w:szCs w:val="21"/>
              <w:highlight w:val="none"/>
            </w:rPr>
            <w:fldChar w:fldCharType="begin"/>
          </w:r>
          <w:r>
            <w:rPr>
              <w:szCs w:val="21"/>
              <w:highlight w:val="none"/>
            </w:rPr>
            <w:instrText xml:space="preserve"> HYPERLINK \l _Toc16084 </w:instrText>
          </w:r>
          <w:r>
            <w:rPr>
              <w:szCs w:val="21"/>
              <w:highlight w:val="none"/>
            </w:rPr>
            <w:fldChar w:fldCharType="separate"/>
          </w:r>
          <w:r>
            <w:rPr>
              <w:rFonts w:hint="eastAsia" w:ascii="宋体" w:hAnsi="宋体" w:eastAsia="宋体" w:cs="宋体"/>
              <w:szCs w:val="24"/>
              <w:highlight w:val="none"/>
            </w:rPr>
            <w:t>七、凡对本次采购提出询问，请按以下方式联系。</w:t>
          </w:r>
          <w:r>
            <w:rPr>
              <w:highlight w:val="none"/>
            </w:rPr>
            <w:tab/>
          </w:r>
          <w:r>
            <w:rPr>
              <w:highlight w:val="none"/>
            </w:rPr>
            <w:fldChar w:fldCharType="begin"/>
          </w:r>
          <w:r>
            <w:rPr>
              <w:highlight w:val="none"/>
            </w:rPr>
            <w:instrText xml:space="preserve"> PAGEREF _Toc16084 \h </w:instrText>
          </w:r>
          <w:r>
            <w:rPr>
              <w:highlight w:val="none"/>
            </w:rPr>
            <w:fldChar w:fldCharType="separate"/>
          </w:r>
          <w:r>
            <w:rPr>
              <w:highlight w:val="none"/>
            </w:rPr>
            <w:t>12</w:t>
          </w:r>
          <w:r>
            <w:rPr>
              <w:highlight w:val="none"/>
            </w:rPr>
            <w:fldChar w:fldCharType="end"/>
          </w:r>
          <w:r>
            <w:rPr>
              <w:szCs w:val="21"/>
              <w:highlight w:val="none"/>
            </w:rPr>
            <w:fldChar w:fldCharType="end"/>
          </w:r>
        </w:p>
        <w:p w14:paraId="6C5C1666">
          <w:pPr>
            <w:pStyle w:val="28"/>
            <w:tabs>
              <w:tab w:val="right" w:leader="dot" w:pos="9184"/>
            </w:tabs>
            <w:rPr>
              <w:highlight w:val="none"/>
            </w:rPr>
          </w:pPr>
          <w:r>
            <w:rPr>
              <w:szCs w:val="21"/>
              <w:highlight w:val="none"/>
            </w:rPr>
            <w:fldChar w:fldCharType="begin"/>
          </w:r>
          <w:r>
            <w:rPr>
              <w:szCs w:val="21"/>
              <w:highlight w:val="none"/>
            </w:rPr>
            <w:instrText xml:space="preserve"> HYPERLINK \l _Toc15843 </w:instrText>
          </w:r>
          <w:r>
            <w:rPr>
              <w:szCs w:val="21"/>
              <w:highlight w:val="none"/>
            </w:rPr>
            <w:fldChar w:fldCharType="separate"/>
          </w:r>
          <w:r>
            <w:rPr>
              <w:rFonts w:hint="eastAsia" w:eastAsia="宋体"/>
              <w:bCs/>
              <w:kern w:val="0"/>
              <w:highlight w:val="none"/>
            </w:rPr>
            <w:t>第二章 供应商须知</w:t>
          </w:r>
          <w:r>
            <w:rPr>
              <w:highlight w:val="none"/>
            </w:rPr>
            <w:tab/>
          </w:r>
          <w:r>
            <w:rPr>
              <w:highlight w:val="none"/>
            </w:rPr>
            <w:fldChar w:fldCharType="begin"/>
          </w:r>
          <w:r>
            <w:rPr>
              <w:highlight w:val="none"/>
            </w:rPr>
            <w:instrText xml:space="preserve"> PAGEREF _Toc15843 \h </w:instrText>
          </w:r>
          <w:r>
            <w:rPr>
              <w:highlight w:val="none"/>
            </w:rPr>
            <w:fldChar w:fldCharType="separate"/>
          </w:r>
          <w:r>
            <w:rPr>
              <w:highlight w:val="none"/>
            </w:rPr>
            <w:t>14</w:t>
          </w:r>
          <w:r>
            <w:rPr>
              <w:highlight w:val="none"/>
            </w:rPr>
            <w:fldChar w:fldCharType="end"/>
          </w:r>
          <w:r>
            <w:rPr>
              <w:szCs w:val="21"/>
              <w:highlight w:val="none"/>
            </w:rPr>
            <w:fldChar w:fldCharType="end"/>
          </w:r>
        </w:p>
        <w:p w14:paraId="66CE5DE4">
          <w:pPr>
            <w:pStyle w:val="32"/>
            <w:tabs>
              <w:tab w:val="right" w:leader="dot" w:pos="9184"/>
            </w:tabs>
            <w:rPr>
              <w:highlight w:val="none"/>
            </w:rPr>
          </w:pPr>
          <w:r>
            <w:rPr>
              <w:szCs w:val="21"/>
              <w:highlight w:val="none"/>
            </w:rPr>
            <w:fldChar w:fldCharType="begin"/>
          </w:r>
          <w:r>
            <w:rPr>
              <w:szCs w:val="21"/>
              <w:highlight w:val="none"/>
            </w:rPr>
            <w:instrText xml:space="preserve"> HYPERLINK \l _Toc4095 </w:instrText>
          </w:r>
          <w:r>
            <w:rPr>
              <w:szCs w:val="21"/>
              <w:highlight w:val="none"/>
            </w:rPr>
            <w:fldChar w:fldCharType="separate"/>
          </w:r>
          <w:r>
            <w:rPr>
              <w:rFonts w:hint="eastAsia" w:ascii="宋体" w:hAnsi="宋体" w:cs="宋体"/>
              <w:bCs/>
              <w:iCs/>
              <w:kern w:val="0"/>
              <w:szCs w:val="28"/>
              <w:highlight w:val="none"/>
              <w:lang w:bidi="en-US"/>
            </w:rPr>
            <w:t>一、供应商须知前附表</w:t>
          </w:r>
          <w:r>
            <w:rPr>
              <w:highlight w:val="none"/>
            </w:rPr>
            <w:tab/>
          </w:r>
          <w:r>
            <w:rPr>
              <w:highlight w:val="none"/>
            </w:rPr>
            <w:fldChar w:fldCharType="begin"/>
          </w:r>
          <w:r>
            <w:rPr>
              <w:highlight w:val="none"/>
            </w:rPr>
            <w:instrText xml:space="preserve"> PAGEREF _Toc4095 \h </w:instrText>
          </w:r>
          <w:r>
            <w:rPr>
              <w:highlight w:val="none"/>
            </w:rPr>
            <w:fldChar w:fldCharType="separate"/>
          </w:r>
          <w:r>
            <w:rPr>
              <w:highlight w:val="none"/>
            </w:rPr>
            <w:t>14</w:t>
          </w:r>
          <w:r>
            <w:rPr>
              <w:highlight w:val="none"/>
            </w:rPr>
            <w:fldChar w:fldCharType="end"/>
          </w:r>
          <w:r>
            <w:rPr>
              <w:szCs w:val="21"/>
              <w:highlight w:val="none"/>
            </w:rPr>
            <w:fldChar w:fldCharType="end"/>
          </w:r>
        </w:p>
        <w:p w14:paraId="72AC1DA0">
          <w:pPr>
            <w:pStyle w:val="32"/>
            <w:tabs>
              <w:tab w:val="right" w:leader="dot" w:pos="9184"/>
            </w:tabs>
            <w:rPr>
              <w:highlight w:val="none"/>
            </w:rPr>
          </w:pPr>
          <w:r>
            <w:rPr>
              <w:szCs w:val="21"/>
              <w:highlight w:val="none"/>
            </w:rPr>
            <w:fldChar w:fldCharType="begin"/>
          </w:r>
          <w:r>
            <w:rPr>
              <w:szCs w:val="21"/>
              <w:highlight w:val="none"/>
            </w:rPr>
            <w:instrText xml:space="preserve"> HYPERLINK \l _Toc12037 </w:instrText>
          </w:r>
          <w:r>
            <w:rPr>
              <w:szCs w:val="21"/>
              <w:highlight w:val="none"/>
            </w:rPr>
            <w:fldChar w:fldCharType="separate"/>
          </w:r>
          <w:r>
            <w:rPr>
              <w:rFonts w:hint="eastAsia" w:ascii="宋体" w:hAnsi="宋体" w:cs="宋体"/>
              <w:bCs/>
              <w:iCs/>
              <w:kern w:val="0"/>
              <w:szCs w:val="28"/>
              <w:highlight w:val="none"/>
              <w:lang w:bidi="en-US"/>
            </w:rPr>
            <w:t>二、投标须知正文</w:t>
          </w:r>
          <w:r>
            <w:rPr>
              <w:highlight w:val="none"/>
            </w:rPr>
            <w:tab/>
          </w:r>
          <w:r>
            <w:rPr>
              <w:highlight w:val="none"/>
            </w:rPr>
            <w:fldChar w:fldCharType="begin"/>
          </w:r>
          <w:r>
            <w:rPr>
              <w:highlight w:val="none"/>
            </w:rPr>
            <w:instrText xml:space="preserve"> PAGEREF _Toc12037 \h </w:instrText>
          </w:r>
          <w:r>
            <w:rPr>
              <w:highlight w:val="none"/>
            </w:rPr>
            <w:fldChar w:fldCharType="separate"/>
          </w:r>
          <w:r>
            <w:rPr>
              <w:highlight w:val="none"/>
            </w:rPr>
            <w:t>27</w:t>
          </w:r>
          <w:r>
            <w:rPr>
              <w:highlight w:val="none"/>
            </w:rPr>
            <w:fldChar w:fldCharType="end"/>
          </w:r>
          <w:r>
            <w:rPr>
              <w:szCs w:val="21"/>
              <w:highlight w:val="none"/>
            </w:rPr>
            <w:fldChar w:fldCharType="end"/>
          </w:r>
        </w:p>
        <w:p w14:paraId="2592943F">
          <w:pPr>
            <w:pStyle w:val="28"/>
            <w:tabs>
              <w:tab w:val="right" w:leader="dot" w:pos="9184"/>
            </w:tabs>
            <w:rPr>
              <w:highlight w:val="none"/>
            </w:rPr>
          </w:pPr>
          <w:r>
            <w:rPr>
              <w:szCs w:val="21"/>
              <w:highlight w:val="none"/>
            </w:rPr>
            <w:fldChar w:fldCharType="begin"/>
          </w:r>
          <w:r>
            <w:rPr>
              <w:szCs w:val="21"/>
              <w:highlight w:val="none"/>
            </w:rPr>
            <w:instrText xml:space="preserve"> HYPERLINK \l _Toc18516 </w:instrText>
          </w:r>
          <w:r>
            <w:rPr>
              <w:szCs w:val="21"/>
              <w:highlight w:val="none"/>
            </w:rPr>
            <w:fldChar w:fldCharType="separate"/>
          </w:r>
          <w:r>
            <w:rPr>
              <w:rFonts w:hint="eastAsia" w:eastAsia="宋体"/>
              <w:bCs/>
              <w:kern w:val="0"/>
              <w:highlight w:val="none"/>
            </w:rPr>
            <w:t>第三章 合同书样式及主要条款</w:t>
          </w:r>
          <w:r>
            <w:rPr>
              <w:highlight w:val="none"/>
            </w:rPr>
            <w:tab/>
          </w:r>
          <w:r>
            <w:rPr>
              <w:highlight w:val="none"/>
            </w:rPr>
            <w:fldChar w:fldCharType="begin"/>
          </w:r>
          <w:r>
            <w:rPr>
              <w:highlight w:val="none"/>
            </w:rPr>
            <w:instrText xml:space="preserve"> PAGEREF _Toc18516 \h </w:instrText>
          </w:r>
          <w:r>
            <w:rPr>
              <w:highlight w:val="none"/>
            </w:rPr>
            <w:fldChar w:fldCharType="separate"/>
          </w:r>
          <w:r>
            <w:rPr>
              <w:highlight w:val="none"/>
            </w:rPr>
            <w:t>39</w:t>
          </w:r>
          <w:r>
            <w:rPr>
              <w:highlight w:val="none"/>
            </w:rPr>
            <w:fldChar w:fldCharType="end"/>
          </w:r>
          <w:r>
            <w:rPr>
              <w:szCs w:val="21"/>
              <w:highlight w:val="none"/>
            </w:rPr>
            <w:fldChar w:fldCharType="end"/>
          </w:r>
        </w:p>
        <w:p w14:paraId="41E75292">
          <w:pPr>
            <w:pStyle w:val="28"/>
            <w:tabs>
              <w:tab w:val="right" w:leader="dot" w:pos="9184"/>
            </w:tabs>
            <w:rPr>
              <w:highlight w:val="none"/>
            </w:rPr>
          </w:pPr>
          <w:r>
            <w:rPr>
              <w:szCs w:val="21"/>
              <w:highlight w:val="none"/>
            </w:rPr>
            <w:fldChar w:fldCharType="begin"/>
          </w:r>
          <w:r>
            <w:rPr>
              <w:szCs w:val="21"/>
              <w:highlight w:val="none"/>
            </w:rPr>
            <w:instrText xml:space="preserve"> HYPERLINK \l _Toc13815 </w:instrText>
          </w:r>
          <w:r>
            <w:rPr>
              <w:szCs w:val="21"/>
              <w:highlight w:val="none"/>
            </w:rPr>
            <w:fldChar w:fldCharType="separate"/>
          </w:r>
          <w:r>
            <w:rPr>
              <w:rFonts w:hint="eastAsia" w:eastAsia="宋体"/>
              <w:bCs/>
              <w:kern w:val="0"/>
              <w:highlight w:val="none"/>
            </w:rPr>
            <w:t>第四章  投标文件格式</w:t>
          </w:r>
          <w:r>
            <w:rPr>
              <w:highlight w:val="none"/>
            </w:rPr>
            <w:tab/>
          </w:r>
          <w:r>
            <w:rPr>
              <w:highlight w:val="none"/>
            </w:rPr>
            <w:fldChar w:fldCharType="begin"/>
          </w:r>
          <w:r>
            <w:rPr>
              <w:highlight w:val="none"/>
            </w:rPr>
            <w:instrText xml:space="preserve"> PAGEREF _Toc13815 \h </w:instrText>
          </w:r>
          <w:r>
            <w:rPr>
              <w:highlight w:val="none"/>
            </w:rPr>
            <w:fldChar w:fldCharType="separate"/>
          </w:r>
          <w:r>
            <w:rPr>
              <w:highlight w:val="none"/>
            </w:rPr>
            <w:t>46</w:t>
          </w:r>
          <w:r>
            <w:rPr>
              <w:highlight w:val="none"/>
            </w:rPr>
            <w:fldChar w:fldCharType="end"/>
          </w:r>
          <w:r>
            <w:rPr>
              <w:szCs w:val="21"/>
              <w:highlight w:val="none"/>
            </w:rPr>
            <w:fldChar w:fldCharType="end"/>
          </w:r>
        </w:p>
        <w:p w14:paraId="7EBACCA1">
          <w:pPr>
            <w:pStyle w:val="32"/>
            <w:tabs>
              <w:tab w:val="right" w:leader="dot" w:pos="9184"/>
            </w:tabs>
            <w:rPr>
              <w:highlight w:val="none"/>
            </w:rPr>
          </w:pPr>
          <w:r>
            <w:rPr>
              <w:szCs w:val="21"/>
              <w:highlight w:val="none"/>
            </w:rPr>
            <w:fldChar w:fldCharType="begin"/>
          </w:r>
          <w:r>
            <w:rPr>
              <w:szCs w:val="21"/>
              <w:highlight w:val="none"/>
            </w:rPr>
            <w:instrText xml:space="preserve"> HYPERLINK \l _Toc10823 </w:instrText>
          </w:r>
          <w:r>
            <w:rPr>
              <w:szCs w:val="21"/>
              <w:highlight w:val="none"/>
            </w:rPr>
            <w:fldChar w:fldCharType="separate"/>
          </w:r>
          <w:r>
            <w:rPr>
              <w:rFonts w:hint="eastAsia" w:hAnsi="宋体" w:cs="宋体"/>
              <w:bCs/>
              <w:kern w:val="0"/>
              <w:szCs w:val="32"/>
              <w:highlight w:val="none"/>
            </w:rPr>
            <w:t>一、资格审查部分文件格式</w:t>
          </w:r>
          <w:r>
            <w:rPr>
              <w:highlight w:val="none"/>
            </w:rPr>
            <w:tab/>
          </w:r>
          <w:r>
            <w:rPr>
              <w:highlight w:val="none"/>
            </w:rPr>
            <w:fldChar w:fldCharType="begin"/>
          </w:r>
          <w:r>
            <w:rPr>
              <w:highlight w:val="none"/>
            </w:rPr>
            <w:instrText xml:space="preserve"> PAGEREF _Toc10823 \h </w:instrText>
          </w:r>
          <w:r>
            <w:rPr>
              <w:highlight w:val="none"/>
            </w:rPr>
            <w:fldChar w:fldCharType="separate"/>
          </w:r>
          <w:r>
            <w:rPr>
              <w:highlight w:val="none"/>
            </w:rPr>
            <w:t>48</w:t>
          </w:r>
          <w:r>
            <w:rPr>
              <w:highlight w:val="none"/>
            </w:rPr>
            <w:fldChar w:fldCharType="end"/>
          </w:r>
          <w:r>
            <w:rPr>
              <w:szCs w:val="21"/>
              <w:highlight w:val="none"/>
            </w:rPr>
            <w:fldChar w:fldCharType="end"/>
          </w:r>
        </w:p>
        <w:p w14:paraId="6BEDD775">
          <w:pPr>
            <w:pStyle w:val="32"/>
            <w:tabs>
              <w:tab w:val="right" w:leader="dot" w:pos="9184"/>
            </w:tabs>
            <w:rPr>
              <w:highlight w:val="none"/>
            </w:rPr>
          </w:pPr>
          <w:r>
            <w:rPr>
              <w:szCs w:val="21"/>
              <w:highlight w:val="none"/>
            </w:rPr>
            <w:fldChar w:fldCharType="begin"/>
          </w:r>
          <w:r>
            <w:rPr>
              <w:szCs w:val="21"/>
              <w:highlight w:val="none"/>
            </w:rPr>
            <w:instrText xml:space="preserve"> HYPERLINK \l _Toc6103 </w:instrText>
          </w:r>
          <w:r>
            <w:rPr>
              <w:szCs w:val="21"/>
              <w:highlight w:val="none"/>
            </w:rPr>
            <w:fldChar w:fldCharType="separate"/>
          </w:r>
          <w:r>
            <w:rPr>
              <w:rFonts w:hint="eastAsia" w:ascii="宋体" w:hAnsi="宋体" w:cs="宋体"/>
              <w:bCs/>
              <w:kern w:val="0"/>
              <w:szCs w:val="32"/>
              <w:highlight w:val="none"/>
            </w:rPr>
            <w:t>二、报价部分文件格式</w:t>
          </w:r>
          <w:r>
            <w:rPr>
              <w:highlight w:val="none"/>
            </w:rPr>
            <w:tab/>
          </w:r>
          <w:r>
            <w:rPr>
              <w:highlight w:val="none"/>
            </w:rPr>
            <w:fldChar w:fldCharType="begin"/>
          </w:r>
          <w:r>
            <w:rPr>
              <w:highlight w:val="none"/>
            </w:rPr>
            <w:instrText xml:space="preserve"> PAGEREF _Toc6103 \h </w:instrText>
          </w:r>
          <w:r>
            <w:rPr>
              <w:highlight w:val="none"/>
            </w:rPr>
            <w:fldChar w:fldCharType="separate"/>
          </w:r>
          <w:r>
            <w:rPr>
              <w:highlight w:val="none"/>
            </w:rPr>
            <w:t>52</w:t>
          </w:r>
          <w:r>
            <w:rPr>
              <w:highlight w:val="none"/>
            </w:rPr>
            <w:fldChar w:fldCharType="end"/>
          </w:r>
          <w:r>
            <w:rPr>
              <w:szCs w:val="21"/>
              <w:highlight w:val="none"/>
            </w:rPr>
            <w:fldChar w:fldCharType="end"/>
          </w:r>
        </w:p>
        <w:p w14:paraId="6F72C9DC">
          <w:pPr>
            <w:pStyle w:val="32"/>
            <w:tabs>
              <w:tab w:val="right" w:leader="dot" w:pos="9184"/>
            </w:tabs>
            <w:rPr>
              <w:highlight w:val="none"/>
            </w:rPr>
          </w:pPr>
          <w:r>
            <w:rPr>
              <w:szCs w:val="21"/>
              <w:highlight w:val="none"/>
            </w:rPr>
            <w:fldChar w:fldCharType="begin"/>
          </w:r>
          <w:r>
            <w:rPr>
              <w:szCs w:val="21"/>
              <w:highlight w:val="none"/>
            </w:rPr>
            <w:instrText xml:space="preserve"> HYPERLINK \l _Toc10522 </w:instrText>
          </w:r>
          <w:r>
            <w:rPr>
              <w:szCs w:val="21"/>
              <w:highlight w:val="none"/>
            </w:rPr>
            <w:fldChar w:fldCharType="separate"/>
          </w:r>
          <w:r>
            <w:rPr>
              <w:rFonts w:hint="eastAsia"/>
              <w:bCs/>
              <w:szCs w:val="32"/>
              <w:highlight w:val="none"/>
            </w:rPr>
            <w:t>三、</w:t>
          </w:r>
          <w:r>
            <w:rPr>
              <w:rFonts w:hint="eastAsia" w:ascii="宋体" w:hAnsi="宋体" w:cs="宋体"/>
              <w:bCs/>
              <w:kern w:val="0"/>
              <w:szCs w:val="32"/>
              <w:highlight w:val="none"/>
            </w:rPr>
            <w:t>技术部分文件格式</w:t>
          </w:r>
          <w:r>
            <w:rPr>
              <w:highlight w:val="none"/>
            </w:rPr>
            <w:tab/>
          </w:r>
          <w:r>
            <w:rPr>
              <w:highlight w:val="none"/>
            </w:rPr>
            <w:fldChar w:fldCharType="begin"/>
          </w:r>
          <w:r>
            <w:rPr>
              <w:highlight w:val="none"/>
            </w:rPr>
            <w:instrText xml:space="preserve"> PAGEREF _Toc10522 \h </w:instrText>
          </w:r>
          <w:r>
            <w:rPr>
              <w:highlight w:val="none"/>
            </w:rPr>
            <w:fldChar w:fldCharType="separate"/>
          </w:r>
          <w:r>
            <w:rPr>
              <w:highlight w:val="none"/>
            </w:rPr>
            <w:t>57</w:t>
          </w:r>
          <w:r>
            <w:rPr>
              <w:highlight w:val="none"/>
            </w:rPr>
            <w:fldChar w:fldCharType="end"/>
          </w:r>
          <w:r>
            <w:rPr>
              <w:szCs w:val="21"/>
              <w:highlight w:val="none"/>
            </w:rPr>
            <w:fldChar w:fldCharType="end"/>
          </w:r>
        </w:p>
        <w:p w14:paraId="235956E7">
          <w:pPr>
            <w:pStyle w:val="32"/>
            <w:tabs>
              <w:tab w:val="right" w:leader="dot" w:pos="9184"/>
            </w:tabs>
            <w:rPr>
              <w:highlight w:val="none"/>
            </w:rPr>
          </w:pPr>
          <w:r>
            <w:rPr>
              <w:szCs w:val="21"/>
              <w:highlight w:val="none"/>
            </w:rPr>
            <w:fldChar w:fldCharType="begin"/>
          </w:r>
          <w:r>
            <w:rPr>
              <w:szCs w:val="21"/>
              <w:highlight w:val="none"/>
            </w:rPr>
            <w:instrText xml:space="preserve"> HYPERLINK \l _Toc31535 </w:instrText>
          </w:r>
          <w:r>
            <w:rPr>
              <w:szCs w:val="21"/>
              <w:highlight w:val="none"/>
            </w:rPr>
            <w:fldChar w:fldCharType="separate"/>
          </w:r>
          <w:r>
            <w:rPr>
              <w:rFonts w:hint="eastAsia" w:hAnsi="宋体" w:cs="宋体"/>
              <w:bCs/>
              <w:kern w:val="0"/>
              <w:szCs w:val="32"/>
              <w:highlight w:val="none"/>
            </w:rPr>
            <w:t>四、其他内容</w:t>
          </w:r>
          <w:r>
            <w:rPr>
              <w:highlight w:val="none"/>
            </w:rPr>
            <w:tab/>
          </w:r>
          <w:r>
            <w:rPr>
              <w:highlight w:val="none"/>
            </w:rPr>
            <w:fldChar w:fldCharType="begin"/>
          </w:r>
          <w:r>
            <w:rPr>
              <w:highlight w:val="none"/>
            </w:rPr>
            <w:instrText xml:space="preserve"> PAGEREF _Toc31535 \h </w:instrText>
          </w:r>
          <w:r>
            <w:rPr>
              <w:highlight w:val="none"/>
            </w:rPr>
            <w:fldChar w:fldCharType="separate"/>
          </w:r>
          <w:r>
            <w:rPr>
              <w:highlight w:val="none"/>
            </w:rPr>
            <w:t>60</w:t>
          </w:r>
          <w:r>
            <w:rPr>
              <w:highlight w:val="none"/>
            </w:rPr>
            <w:fldChar w:fldCharType="end"/>
          </w:r>
          <w:r>
            <w:rPr>
              <w:szCs w:val="21"/>
              <w:highlight w:val="none"/>
            </w:rPr>
            <w:fldChar w:fldCharType="end"/>
          </w:r>
        </w:p>
        <w:p w14:paraId="2F24F38E">
          <w:pPr>
            <w:pStyle w:val="28"/>
            <w:tabs>
              <w:tab w:val="right" w:leader="dot" w:pos="9184"/>
            </w:tabs>
            <w:rPr>
              <w:highlight w:val="none"/>
            </w:rPr>
          </w:pPr>
          <w:r>
            <w:rPr>
              <w:szCs w:val="21"/>
              <w:highlight w:val="none"/>
            </w:rPr>
            <w:fldChar w:fldCharType="begin"/>
          </w:r>
          <w:r>
            <w:rPr>
              <w:szCs w:val="21"/>
              <w:highlight w:val="none"/>
            </w:rPr>
            <w:instrText xml:space="preserve"> HYPERLINK \l _Toc30794 </w:instrText>
          </w:r>
          <w:r>
            <w:rPr>
              <w:szCs w:val="21"/>
              <w:highlight w:val="none"/>
            </w:rPr>
            <w:fldChar w:fldCharType="separate"/>
          </w:r>
          <w:r>
            <w:rPr>
              <w:rFonts w:hint="eastAsia" w:eastAsia="宋体"/>
              <w:bCs/>
              <w:kern w:val="0"/>
              <w:highlight w:val="none"/>
            </w:rPr>
            <w:t>第五章 采购内容及要求</w:t>
          </w:r>
          <w:r>
            <w:rPr>
              <w:highlight w:val="none"/>
            </w:rPr>
            <w:tab/>
          </w:r>
          <w:r>
            <w:rPr>
              <w:highlight w:val="none"/>
            </w:rPr>
            <w:fldChar w:fldCharType="begin"/>
          </w:r>
          <w:r>
            <w:rPr>
              <w:highlight w:val="none"/>
            </w:rPr>
            <w:instrText xml:space="preserve"> PAGEREF _Toc30794 \h </w:instrText>
          </w:r>
          <w:r>
            <w:rPr>
              <w:highlight w:val="none"/>
            </w:rPr>
            <w:fldChar w:fldCharType="separate"/>
          </w:r>
          <w:r>
            <w:rPr>
              <w:highlight w:val="none"/>
            </w:rPr>
            <w:t>68</w:t>
          </w:r>
          <w:r>
            <w:rPr>
              <w:highlight w:val="none"/>
            </w:rPr>
            <w:fldChar w:fldCharType="end"/>
          </w:r>
          <w:r>
            <w:rPr>
              <w:szCs w:val="21"/>
              <w:highlight w:val="none"/>
            </w:rPr>
            <w:fldChar w:fldCharType="end"/>
          </w:r>
        </w:p>
        <w:p w14:paraId="0DE3AA82">
          <w:pPr>
            <w:pStyle w:val="32"/>
            <w:tabs>
              <w:tab w:val="right" w:leader="dot" w:pos="9184"/>
            </w:tabs>
            <w:rPr>
              <w:highlight w:val="none"/>
            </w:rPr>
          </w:pPr>
          <w:r>
            <w:rPr>
              <w:szCs w:val="21"/>
              <w:highlight w:val="none"/>
            </w:rPr>
            <w:fldChar w:fldCharType="begin"/>
          </w:r>
          <w:r>
            <w:rPr>
              <w:szCs w:val="21"/>
              <w:highlight w:val="none"/>
            </w:rPr>
            <w:instrText xml:space="preserve"> HYPERLINK \l _Toc22553 </w:instrText>
          </w:r>
          <w:r>
            <w:rPr>
              <w:szCs w:val="21"/>
              <w:highlight w:val="none"/>
            </w:rPr>
            <w:fldChar w:fldCharType="separate"/>
          </w:r>
          <w:r>
            <w:rPr>
              <w:rFonts w:hint="eastAsia" w:ascii="宋体" w:hAnsi="宋体" w:cs="宋体"/>
              <w:bCs/>
              <w:iCs/>
              <w:kern w:val="0"/>
              <w:szCs w:val="28"/>
              <w:highlight w:val="none"/>
              <w:lang w:bidi="en-US"/>
            </w:rPr>
            <w:t>一、采购清单及参数要求</w:t>
          </w:r>
          <w:r>
            <w:rPr>
              <w:highlight w:val="none"/>
            </w:rPr>
            <w:tab/>
          </w:r>
          <w:r>
            <w:rPr>
              <w:highlight w:val="none"/>
            </w:rPr>
            <w:fldChar w:fldCharType="begin"/>
          </w:r>
          <w:r>
            <w:rPr>
              <w:highlight w:val="none"/>
            </w:rPr>
            <w:instrText xml:space="preserve"> PAGEREF _Toc22553 \h </w:instrText>
          </w:r>
          <w:r>
            <w:rPr>
              <w:highlight w:val="none"/>
            </w:rPr>
            <w:fldChar w:fldCharType="separate"/>
          </w:r>
          <w:r>
            <w:rPr>
              <w:highlight w:val="none"/>
            </w:rPr>
            <w:t>68</w:t>
          </w:r>
          <w:r>
            <w:rPr>
              <w:highlight w:val="none"/>
            </w:rPr>
            <w:fldChar w:fldCharType="end"/>
          </w:r>
          <w:r>
            <w:rPr>
              <w:szCs w:val="21"/>
              <w:highlight w:val="none"/>
            </w:rPr>
            <w:fldChar w:fldCharType="end"/>
          </w:r>
        </w:p>
        <w:p w14:paraId="49B973C9">
          <w:pPr>
            <w:pStyle w:val="28"/>
            <w:tabs>
              <w:tab w:val="right" w:leader="dot" w:pos="9184"/>
            </w:tabs>
            <w:rPr>
              <w:highlight w:val="none"/>
            </w:rPr>
          </w:pPr>
          <w:r>
            <w:rPr>
              <w:szCs w:val="21"/>
              <w:highlight w:val="none"/>
            </w:rPr>
            <w:fldChar w:fldCharType="begin"/>
          </w:r>
          <w:r>
            <w:rPr>
              <w:szCs w:val="21"/>
              <w:highlight w:val="none"/>
            </w:rPr>
            <w:instrText xml:space="preserve"> HYPERLINK \l _Toc24507 </w:instrText>
          </w:r>
          <w:r>
            <w:rPr>
              <w:szCs w:val="21"/>
              <w:highlight w:val="none"/>
            </w:rPr>
            <w:fldChar w:fldCharType="separate"/>
          </w:r>
          <w:r>
            <w:rPr>
              <w:rFonts w:hint="eastAsia" w:eastAsia="宋体"/>
              <w:highlight w:val="none"/>
            </w:rPr>
            <w:t>第六章 评标办法（综合评分法）1</w:t>
          </w:r>
          <w:r>
            <w:rPr>
              <w:rFonts w:hint="eastAsia" w:eastAsia="宋体"/>
              <w:highlight w:val="none"/>
              <w:lang w:val="en-US" w:eastAsia="zh-CN"/>
            </w:rPr>
            <w:t>-6</w:t>
          </w:r>
          <w:r>
            <w:rPr>
              <w:rFonts w:hint="eastAsia" w:eastAsia="宋体"/>
              <w:highlight w:val="none"/>
            </w:rPr>
            <w:t>包均适用</w:t>
          </w:r>
          <w:r>
            <w:rPr>
              <w:highlight w:val="none"/>
            </w:rPr>
            <w:tab/>
          </w:r>
          <w:r>
            <w:rPr>
              <w:highlight w:val="none"/>
            </w:rPr>
            <w:fldChar w:fldCharType="begin"/>
          </w:r>
          <w:r>
            <w:rPr>
              <w:highlight w:val="none"/>
            </w:rPr>
            <w:instrText xml:space="preserve"> PAGEREF _Toc24507 \h </w:instrText>
          </w:r>
          <w:r>
            <w:rPr>
              <w:highlight w:val="none"/>
            </w:rPr>
            <w:fldChar w:fldCharType="separate"/>
          </w:r>
          <w:r>
            <w:rPr>
              <w:highlight w:val="none"/>
            </w:rPr>
            <w:t>212</w:t>
          </w:r>
          <w:r>
            <w:rPr>
              <w:highlight w:val="none"/>
            </w:rPr>
            <w:fldChar w:fldCharType="end"/>
          </w:r>
          <w:r>
            <w:rPr>
              <w:szCs w:val="21"/>
              <w:highlight w:val="none"/>
            </w:rPr>
            <w:fldChar w:fldCharType="end"/>
          </w:r>
        </w:p>
        <w:p w14:paraId="6E57359B">
          <w:pPr>
            <w:pStyle w:val="32"/>
            <w:tabs>
              <w:tab w:val="right" w:leader="dot" w:pos="9184"/>
            </w:tabs>
            <w:rPr>
              <w:highlight w:val="none"/>
            </w:rPr>
          </w:pPr>
          <w:r>
            <w:rPr>
              <w:szCs w:val="21"/>
              <w:highlight w:val="none"/>
            </w:rPr>
            <w:fldChar w:fldCharType="begin"/>
          </w:r>
          <w:r>
            <w:rPr>
              <w:szCs w:val="21"/>
              <w:highlight w:val="none"/>
            </w:rPr>
            <w:instrText xml:space="preserve"> HYPERLINK \l _Toc3670 </w:instrText>
          </w:r>
          <w:r>
            <w:rPr>
              <w:szCs w:val="21"/>
              <w:highlight w:val="none"/>
            </w:rPr>
            <w:fldChar w:fldCharType="separate"/>
          </w:r>
          <w:r>
            <w:rPr>
              <w:rFonts w:hint="eastAsia" w:eastAsia="宋体"/>
              <w:highlight w:val="none"/>
            </w:rPr>
            <w:t>评标办法前附表</w:t>
          </w:r>
          <w:r>
            <w:rPr>
              <w:highlight w:val="none"/>
            </w:rPr>
            <w:tab/>
          </w:r>
          <w:r>
            <w:rPr>
              <w:highlight w:val="none"/>
            </w:rPr>
            <w:fldChar w:fldCharType="begin"/>
          </w:r>
          <w:r>
            <w:rPr>
              <w:highlight w:val="none"/>
            </w:rPr>
            <w:instrText xml:space="preserve"> PAGEREF _Toc3670 \h </w:instrText>
          </w:r>
          <w:r>
            <w:rPr>
              <w:highlight w:val="none"/>
            </w:rPr>
            <w:fldChar w:fldCharType="separate"/>
          </w:r>
          <w:r>
            <w:rPr>
              <w:highlight w:val="none"/>
            </w:rPr>
            <w:t>212</w:t>
          </w:r>
          <w:r>
            <w:rPr>
              <w:highlight w:val="none"/>
            </w:rPr>
            <w:fldChar w:fldCharType="end"/>
          </w:r>
          <w:r>
            <w:rPr>
              <w:szCs w:val="21"/>
              <w:highlight w:val="none"/>
            </w:rPr>
            <w:fldChar w:fldCharType="end"/>
          </w:r>
        </w:p>
        <w:p w14:paraId="4403001F">
          <w:pPr>
            <w:spacing w:line="720" w:lineRule="auto"/>
            <w:rPr>
              <w:szCs w:val="21"/>
              <w:highlight w:val="none"/>
            </w:rPr>
          </w:pPr>
          <w:r>
            <w:rPr>
              <w:szCs w:val="21"/>
              <w:highlight w:val="none"/>
            </w:rPr>
            <w:fldChar w:fldCharType="end"/>
          </w:r>
        </w:p>
      </w:sdtContent>
    </w:sdt>
    <w:p w14:paraId="42288A57">
      <w:pPr>
        <w:tabs>
          <w:tab w:val="left" w:pos="360"/>
        </w:tabs>
        <w:jc w:val="center"/>
        <w:rPr>
          <w:b/>
          <w:bCs/>
          <w:kern w:val="0"/>
          <w:sz w:val="36"/>
          <w:highlight w:val="none"/>
        </w:rPr>
        <w:sectPr>
          <w:headerReference r:id="rId10" w:type="first"/>
          <w:footerReference r:id="rId12" w:type="first"/>
          <w:headerReference r:id="rId9" w:type="default"/>
          <w:footerReference r:id="rId11" w:type="default"/>
          <w:pgSz w:w="11906" w:h="16838"/>
          <w:pgMar w:top="1361" w:right="1361" w:bottom="1361" w:left="1361" w:header="935" w:footer="935" w:gutter="0"/>
          <w:pgBorders>
            <w:top w:val="none" w:sz="0" w:space="0"/>
            <w:left w:val="none" w:sz="0" w:space="0"/>
            <w:bottom w:val="none" w:sz="0" w:space="0"/>
            <w:right w:val="none" w:sz="0" w:space="0"/>
          </w:pgBorders>
          <w:pgNumType w:start="1"/>
          <w:cols w:space="0" w:num="1"/>
          <w:titlePg/>
          <w:rtlGutter w:val="0"/>
          <w:docGrid w:type="lines" w:linePitch="318" w:charSpace="0"/>
        </w:sectPr>
      </w:pPr>
      <w:bookmarkStart w:id="0" w:name="_Toc13131"/>
      <w:bookmarkStart w:id="1" w:name="_Toc17971"/>
      <w:bookmarkStart w:id="2" w:name="_Toc16055"/>
      <w:bookmarkStart w:id="3" w:name="_Toc10017"/>
      <w:r>
        <w:rPr>
          <w:rFonts w:hint="eastAsia"/>
          <w:b/>
          <w:bCs/>
          <w:kern w:val="0"/>
          <w:sz w:val="36"/>
          <w:highlight w:val="none"/>
        </w:rPr>
        <w:t xml:space="preserve"> </w:t>
      </w:r>
    </w:p>
    <w:p w14:paraId="285006B8">
      <w:pPr>
        <w:pStyle w:val="3"/>
        <w:numPr>
          <w:ilvl w:val="0"/>
          <w:numId w:val="0"/>
        </w:numPr>
        <w:jc w:val="center"/>
        <w:rPr>
          <w:rFonts w:eastAsia="宋体"/>
          <w:bCs/>
          <w:kern w:val="0"/>
          <w:sz w:val="36"/>
          <w:highlight w:val="none"/>
        </w:rPr>
      </w:pPr>
      <w:bookmarkStart w:id="4" w:name="_Toc3300"/>
      <w:r>
        <w:rPr>
          <w:rFonts w:hint="eastAsia" w:eastAsia="宋体"/>
          <w:bCs/>
          <w:kern w:val="0"/>
          <w:sz w:val="36"/>
          <w:highlight w:val="none"/>
        </w:rPr>
        <w:t xml:space="preserve">  </w:t>
      </w:r>
      <w:bookmarkStart w:id="5" w:name="_Toc20498"/>
      <w:r>
        <w:rPr>
          <w:rFonts w:hint="eastAsia" w:eastAsia="宋体"/>
          <w:bCs/>
          <w:kern w:val="0"/>
          <w:sz w:val="36"/>
          <w:highlight w:val="none"/>
        </w:rPr>
        <w:t>第一</w:t>
      </w:r>
      <w:r>
        <w:rPr>
          <w:rFonts w:eastAsia="宋体"/>
          <w:bCs/>
          <w:sz w:val="36"/>
          <w:highlight w:val="none"/>
        </w:rPr>
        <w:t xml:space="preserve">章 </w:t>
      </w:r>
      <w:r>
        <w:rPr>
          <w:rFonts w:hint="eastAsia" w:eastAsia="宋体"/>
          <w:bCs/>
          <w:kern w:val="0"/>
          <w:sz w:val="36"/>
          <w:highlight w:val="none"/>
        </w:rPr>
        <w:t>招标公告</w:t>
      </w:r>
      <w:bookmarkEnd w:id="0"/>
      <w:bookmarkEnd w:id="1"/>
      <w:bookmarkEnd w:id="2"/>
      <w:bookmarkEnd w:id="3"/>
      <w:bookmarkEnd w:id="4"/>
      <w:bookmarkEnd w:id="5"/>
    </w:p>
    <w:p w14:paraId="211E95E4">
      <w:pPr>
        <w:widowControl/>
        <w:adjustRightInd w:val="0"/>
        <w:snapToGrid w:val="0"/>
        <w:jc w:val="center"/>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lang w:eastAsia="zh-CN"/>
        </w:rPr>
        <w:t>玉溪职业技术学院（云南省玉溪工业财贸学校）人工智能赋能医药康养专业群建设项目</w:t>
      </w:r>
    </w:p>
    <w:p w14:paraId="2D690586">
      <w:pPr>
        <w:widowControl/>
        <w:adjustRightInd w:val="0"/>
        <w:snapToGrid w:val="0"/>
        <w:jc w:val="center"/>
        <w:rPr>
          <w:rFonts w:ascii="宋体"/>
          <w:b/>
          <w:bCs/>
          <w:sz w:val="28"/>
          <w:szCs w:val="28"/>
          <w:highlight w:val="none"/>
        </w:rPr>
      </w:pPr>
      <w:r>
        <w:rPr>
          <w:rFonts w:hint="eastAsia" w:ascii="宋体" w:hAnsi="宋体" w:cs="宋体"/>
          <w:b/>
          <w:bCs/>
          <w:sz w:val="28"/>
          <w:szCs w:val="28"/>
          <w:highlight w:val="none"/>
        </w:rPr>
        <w:t>公开招标公告</w:t>
      </w:r>
    </w:p>
    <w:tbl>
      <w:tblPr>
        <w:tblStyle w:val="41"/>
        <w:tblW w:w="9340"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340"/>
      </w:tblGrid>
      <w:tr w14:paraId="67B728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37" w:hRule="atLeast"/>
        </w:trPr>
        <w:tc>
          <w:tcPr>
            <w:tcW w:w="9340" w:type="dxa"/>
            <w:tcBorders>
              <w:top w:val="single" w:color="auto" w:sz="4" w:space="0"/>
              <w:left w:val="single" w:color="auto" w:sz="4" w:space="0"/>
              <w:bottom w:val="single" w:color="auto" w:sz="4" w:space="0"/>
              <w:right w:val="single" w:color="auto" w:sz="4" w:space="0"/>
            </w:tcBorders>
            <w:tcMar>
              <w:left w:w="70" w:type="dxa"/>
              <w:right w:w="70" w:type="dxa"/>
            </w:tcMar>
            <w:vAlign w:val="center"/>
          </w:tcPr>
          <w:p w14:paraId="3105BA46">
            <w:pPr>
              <w:widowControl/>
              <w:adjustRightInd w:val="0"/>
              <w:snapToGrid w:val="0"/>
              <w:ind w:firstLine="480" w:firstLineChars="200"/>
              <w:jc w:val="left"/>
              <w:rPr>
                <w:rFonts w:ascii="宋体" w:hAnsi="宋体" w:cs="宋体"/>
                <w:kern w:val="0"/>
                <w:sz w:val="24"/>
                <w:highlight w:val="none"/>
              </w:rPr>
            </w:pPr>
            <w:r>
              <w:rPr>
                <w:rFonts w:hint="eastAsia" w:ascii="宋体" w:hAnsi="宋体" w:cs="宋体"/>
                <w:kern w:val="0"/>
                <w:sz w:val="24"/>
                <w:highlight w:val="none"/>
              </w:rPr>
              <w:t>项目概况</w:t>
            </w:r>
          </w:p>
          <w:p w14:paraId="43C7EC0B">
            <w:pPr>
              <w:widowControl/>
              <w:wordWrap w:val="0"/>
              <w:adjustRightInd w:val="0"/>
              <w:snapToGrid w:val="0"/>
              <w:ind w:firstLine="480" w:firstLineChars="200"/>
              <w:jc w:val="left"/>
              <w:rPr>
                <w:rFonts w:ascii="宋体"/>
                <w:kern w:val="0"/>
                <w:sz w:val="24"/>
                <w:highlight w:val="none"/>
              </w:rPr>
            </w:pPr>
            <w:r>
              <w:rPr>
                <w:rFonts w:hint="eastAsia" w:ascii="宋体" w:hAnsi="宋体" w:cs="宋体"/>
                <w:kern w:val="0"/>
                <w:sz w:val="24"/>
                <w:highlight w:val="none"/>
                <w:u w:val="single"/>
                <w:lang w:eastAsia="zh-CN"/>
              </w:rPr>
              <w:t>玉溪职业技术学院（云南省玉溪工业财贸学校）人工智能赋能医药康养专业群建设项目</w:t>
            </w:r>
            <w:r>
              <w:rPr>
                <w:rFonts w:hint="eastAsia" w:ascii="宋体" w:hAnsi="宋体" w:cs="宋体"/>
                <w:sz w:val="24"/>
                <w:highlight w:val="none"/>
              </w:rPr>
              <w:t>的潜在供应商应在</w:t>
            </w:r>
            <w:r>
              <w:rPr>
                <w:rFonts w:hint="eastAsia" w:ascii="宋体" w:hAnsi="宋体" w:cs="宋体"/>
                <w:kern w:val="0"/>
                <w:sz w:val="24"/>
                <w:highlight w:val="none"/>
                <w:u w:val="single"/>
              </w:rPr>
              <w:t>政采云平台（http</w:t>
            </w:r>
            <w:r>
              <w:rPr>
                <w:rFonts w:hint="eastAsia" w:ascii="宋体" w:hAnsi="宋体" w:cs="宋体"/>
                <w:kern w:val="0"/>
                <w:sz w:val="24"/>
                <w:highlight w:val="none"/>
                <w:u w:val="single"/>
                <w:lang w:eastAsia="zh-CN"/>
              </w:rPr>
              <w:t>：</w:t>
            </w:r>
            <w:r>
              <w:rPr>
                <w:rFonts w:hint="eastAsia" w:ascii="宋体" w:hAnsi="宋体" w:cs="宋体"/>
                <w:kern w:val="0"/>
                <w:sz w:val="24"/>
                <w:highlight w:val="none"/>
                <w:u w:val="single"/>
              </w:rPr>
              <w:t>//www.zcygov.cn）</w:t>
            </w:r>
            <w:r>
              <w:rPr>
                <w:rFonts w:hint="eastAsia" w:ascii="宋体" w:hAnsi="宋体" w:cs="宋体"/>
                <w:sz w:val="24"/>
                <w:highlight w:val="none"/>
              </w:rPr>
              <w:t>，使用企业数字证书（CA）在政采云平台中获取招标文件及其他招标（采购）资料，并于</w:t>
            </w:r>
            <w:r>
              <w:rPr>
                <w:rFonts w:hint="eastAsia" w:ascii="宋体" w:hAnsi="宋体" w:cs="宋体"/>
                <w:b/>
                <w:bCs/>
                <w:sz w:val="24"/>
                <w:highlight w:val="none"/>
                <w:u w:val="single"/>
              </w:rPr>
              <w:t>2026年</w:t>
            </w:r>
            <w:r>
              <w:rPr>
                <w:rFonts w:hint="eastAsia" w:ascii="宋体" w:hAnsi="宋体" w:cs="宋体"/>
                <w:b/>
                <w:bCs/>
                <w:sz w:val="24"/>
                <w:highlight w:val="none"/>
                <w:u w:val="single"/>
                <w:lang w:val="en-US" w:eastAsia="zh-CN"/>
              </w:rPr>
              <w:t>5</w:t>
            </w:r>
            <w:r>
              <w:rPr>
                <w:rFonts w:hint="eastAsia" w:ascii="宋体" w:hAnsi="宋体" w:cs="宋体"/>
                <w:b/>
                <w:bCs/>
                <w:sz w:val="24"/>
                <w:highlight w:val="none"/>
                <w:u w:val="single"/>
              </w:rPr>
              <w:t>月</w:t>
            </w:r>
            <w:r>
              <w:rPr>
                <w:rFonts w:hint="eastAsia" w:ascii="宋体" w:hAnsi="宋体" w:cs="宋体"/>
                <w:b/>
                <w:bCs/>
                <w:sz w:val="24"/>
                <w:highlight w:val="none"/>
                <w:u w:val="single"/>
                <w:lang w:val="en-US" w:eastAsia="zh-CN"/>
              </w:rPr>
              <w:t>29</w:t>
            </w:r>
            <w:r>
              <w:rPr>
                <w:rFonts w:hint="eastAsia" w:ascii="宋体" w:hAnsi="宋体" w:cs="宋体"/>
                <w:b/>
                <w:bCs/>
                <w:sz w:val="24"/>
                <w:highlight w:val="none"/>
                <w:u w:val="single"/>
              </w:rPr>
              <w:t>日</w:t>
            </w:r>
            <w:r>
              <w:rPr>
                <w:rFonts w:hint="eastAsia" w:ascii="宋体" w:hAnsi="宋体" w:cs="宋体"/>
                <w:b/>
                <w:bCs/>
                <w:sz w:val="24"/>
                <w:highlight w:val="none"/>
                <w:u w:val="single"/>
                <w:lang w:val="en-US" w:eastAsia="zh-CN"/>
              </w:rPr>
              <w:t>9</w:t>
            </w:r>
            <w:r>
              <w:rPr>
                <w:rFonts w:hint="eastAsia" w:ascii="宋体" w:hAnsi="宋体" w:cs="宋体"/>
                <w:b/>
                <w:bCs/>
                <w:sz w:val="24"/>
                <w:highlight w:val="none"/>
                <w:u w:val="single"/>
              </w:rPr>
              <w:t>点00分</w:t>
            </w:r>
            <w:r>
              <w:rPr>
                <w:rFonts w:hint="eastAsia" w:ascii="宋体" w:hAnsi="宋体" w:cs="宋体"/>
                <w:bCs/>
                <w:sz w:val="24"/>
                <w:highlight w:val="none"/>
              </w:rPr>
              <w:t>（北京时间）前上传投标文件</w:t>
            </w:r>
            <w:r>
              <w:rPr>
                <w:rFonts w:hint="eastAsia" w:ascii="宋体" w:hAnsi="宋体" w:cs="宋体"/>
                <w:sz w:val="24"/>
                <w:highlight w:val="none"/>
              </w:rPr>
              <w:t>。</w:t>
            </w:r>
          </w:p>
        </w:tc>
      </w:tr>
    </w:tbl>
    <w:p w14:paraId="78AAF300">
      <w:pPr>
        <w:ind w:firstLine="480" w:firstLineChars="200"/>
        <w:jc w:val="left"/>
        <w:rPr>
          <w:rFonts w:ascii="宋体" w:hAnsi="宋体" w:cs="宋体"/>
          <w:sz w:val="24"/>
          <w:highlight w:val="none"/>
        </w:rPr>
      </w:pPr>
      <w:bookmarkStart w:id="6" w:name="_Toc28359012"/>
      <w:bookmarkStart w:id="7" w:name="_Toc35393629"/>
      <w:bookmarkStart w:id="8" w:name="_Toc35393798"/>
      <w:bookmarkStart w:id="9" w:name="_Toc28359089"/>
    </w:p>
    <w:p w14:paraId="51394973">
      <w:pPr>
        <w:spacing w:line="360" w:lineRule="auto"/>
        <w:ind w:firstLine="480" w:firstLineChars="200"/>
        <w:jc w:val="left"/>
        <w:outlineLvl w:val="1"/>
        <w:rPr>
          <w:rFonts w:ascii="宋体" w:hAnsi="宋体" w:cs="宋体"/>
          <w:sz w:val="24"/>
          <w:highlight w:val="none"/>
        </w:rPr>
      </w:pPr>
      <w:bookmarkStart w:id="10" w:name="_Toc14727"/>
      <w:r>
        <w:rPr>
          <w:rFonts w:hint="eastAsia" w:ascii="宋体" w:hAnsi="宋体" w:cs="宋体"/>
          <w:sz w:val="24"/>
          <w:highlight w:val="none"/>
        </w:rPr>
        <w:t>一、项目基本情况</w:t>
      </w:r>
      <w:bookmarkEnd w:id="6"/>
      <w:bookmarkEnd w:id="7"/>
      <w:bookmarkEnd w:id="8"/>
      <w:bookmarkEnd w:id="9"/>
      <w:bookmarkEnd w:id="10"/>
    </w:p>
    <w:p w14:paraId="1DC3A3C3">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项目编号：YXZC2026-G1-00265-SHXM-0014</w:t>
      </w:r>
    </w:p>
    <w:p w14:paraId="756E214A">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玉溪职业技术学院（云南省玉溪工业财贸学校）人工智能赋能医药康养专业群建设项目</w:t>
      </w:r>
    </w:p>
    <w:p w14:paraId="1D000F98">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预算金额：¥</w:t>
      </w:r>
      <w:r>
        <w:rPr>
          <w:rFonts w:hint="eastAsia" w:ascii="宋体" w:hAnsi="宋体" w:cs="宋体"/>
          <w:sz w:val="24"/>
          <w:highlight w:val="none"/>
          <w:lang w:eastAsia="zh-CN"/>
        </w:rPr>
        <w:t>6269320.00</w:t>
      </w:r>
      <w:r>
        <w:rPr>
          <w:rFonts w:hint="eastAsia" w:ascii="宋体" w:hAnsi="宋体" w:cs="宋体"/>
          <w:sz w:val="24"/>
          <w:highlight w:val="none"/>
        </w:rPr>
        <w:t>元（</w:t>
      </w:r>
      <w:r>
        <w:rPr>
          <w:rFonts w:hint="eastAsia" w:ascii="宋体" w:hAnsi="宋体" w:cs="宋体"/>
          <w:sz w:val="24"/>
          <w:highlight w:val="none"/>
          <w:lang w:val="en-US" w:eastAsia="zh-CN"/>
        </w:rPr>
        <w:t>人民币大写：陆佰贰拾陆万玖仟叁佰贰拾元整</w:t>
      </w:r>
      <w:r>
        <w:rPr>
          <w:rFonts w:hint="eastAsia" w:ascii="宋体" w:hAnsi="宋体" w:cs="宋体"/>
          <w:sz w:val="24"/>
          <w:highlight w:val="none"/>
        </w:rPr>
        <w:t>），其中1包：</w:t>
      </w:r>
      <w:r>
        <w:rPr>
          <w:rFonts w:hint="eastAsia" w:ascii="宋体" w:hAnsi="宋体" w:cs="宋体"/>
          <w:sz w:val="24"/>
          <w:highlight w:val="none"/>
          <w:lang w:eastAsia="zh-CN"/>
        </w:rPr>
        <w:t>722200</w:t>
      </w:r>
      <w:r>
        <w:rPr>
          <w:rFonts w:hint="eastAsia" w:ascii="宋体" w:hAnsi="宋体" w:cs="宋体"/>
          <w:sz w:val="24"/>
          <w:highlight w:val="none"/>
        </w:rPr>
        <w:t>.00元，2包：¥</w:t>
      </w:r>
      <w:r>
        <w:rPr>
          <w:rFonts w:hint="eastAsia" w:ascii="宋体" w:hAnsi="宋体" w:cs="宋体"/>
          <w:sz w:val="24"/>
          <w:highlight w:val="none"/>
          <w:lang w:val="en-US" w:eastAsia="zh-CN"/>
        </w:rPr>
        <w:t>800000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eastAsia="zh-CN"/>
        </w:rPr>
        <w:t>1247120.00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eastAsia="zh-CN"/>
        </w:rPr>
        <w:t>1000000.00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600000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1900000</w:t>
      </w:r>
      <w:r>
        <w:rPr>
          <w:rFonts w:hint="eastAsia" w:ascii="宋体" w:hAnsi="宋体" w:cs="宋体"/>
          <w:sz w:val="24"/>
          <w:highlight w:val="none"/>
        </w:rPr>
        <w:t>.00元。</w:t>
      </w:r>
    </w:p>
    <w:p w14:paraId="2662E980">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eastAsia="zh-CN"/>
        </w:rPr>
        <w:t>6269320.00</w:t>
      </w:r>
      <w:r>
        <w:rPr>
          <w:rFonts w:hint="eastAsia" w:ascii="宋体" w:hAnsi="宋体" w:cs="宋体"/>
          <w:sz w:val="24"/>
          <w:highlight w:val="none"/>
        </w:rPr>
        <w:t>元（</w:t>
      </w:r>
      <w:r>
        <w:rPr>
          <w:rFonts w:hint="eastAsia" w:ascii="宋体" w:hAnsi="宋体" w:cs="宋体"/>
          <w:sz w:val="24"/>
          <w:highlight w:val="none"/>
          <w:lang w:val="en-US" w:eastAsia="zh-CN"/>
        </w:rPr>
        <w:t>人民币大写：陆佰贰拾陆万玖仟叁佰贰拾元整</w:t>
      </w:r>
      <w:r>
        <w:rPr>
          <w:rFonts w:hint="eastAsia" w:ascii="宋体" w:hAnsi="宋体" w:cs="宋体"/>
          <w:sz w:val="24"/>
          <w:highlight w:val="none"/>
        </w:rPr>
        <w:t>），其中1包：</w:t>
      </w:r>
      <w:r>
        <w:rPr>
          <w:rFonts w:hint="eastAsia" w:ascii="宋体" w:hAnsi="宋体" w:cs="宋体"/>
          <w:sz w:val="24"/>
          <w:highlight w:val="none"/>
          <w:lang w:eastAsia="zh-CN"/>
        </w:rPr>
        <w:t>722200</w:t>
      </w:r>
      <w:r>
        <w:rPr>
          <w:rFonts w:hint="eastAsia" w:ascii="宋体" w:hAnsi="宋体" w:cs="宋体"/>
          <w:sz w:val="24"/>
          <w:highlight w:val="none"/>
        </w:rPr>
        <w:t>.00元，2包：¥</w:t>
      </w:r>
      <w:r>
        <w:rPr>
          <w:rFonts w:hint="eastAsia" w:ascii="宋体" w:hAnsi="宋体" w:cs="宋体"/>
          <w:sz w:val="24"/>
          <w:highlight w:val="none"/>
          <w:lang w:val="en-US" w:eastAsia="zh-CN"/>
        </w:rPr>
        <w:t>800000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eastAsia="zh-CN"/>
        </w:rPr>
        <w:t>1247120.00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eastAsia="zh-CN"/>
        </w:rPr>
        <w:t>1000000.00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600000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1900000</w:t>
      </w:r>
      <w:r>
        <w:rPr>
          <w:rFonts w:hint="eastAsia" w:ascii="宋体" w:hAnsi="宋体" w:cs="宋体"/>
          <w:sz w:val="24"/>
          <w:highlight w:val="none"/>
        </w:rPr>
        <w:t>.00元。</w:t>
      </w:r>
    </w:p>
    <w:p w14:paraId="51AC4817">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采购需求：</w:t>
      </w:r>
    </w:p>
    <w:p w14:paraId="41BF72CD">
      <w:pPr>
        <w:keepNext/>
        <w:keepLines w:val="0"/>
        <w:pageBreakBefore w:val="0"/>
        <w:widowControl/>
        <w:kinsoku/>
        <w:wordWrap/>
        <w:overflowPunct/>
        <w:topLinePunct w:val="0"/>
        <w:autoSpaceDE/>
        <w:autoSpaceDN/>
        <w:bidi w:val="0"/>
        <w:adjustRightInd/>
        <w:spacing w:line="240" w:lineRule="auto"/>
        <w:jc w:val="left"/>
        <w:outlineLvl w:val="1"/>
        <w:rPr>
          <w:rFonts w:ascii="宋体" w:hAnsi="宋体" w:cs="宋体"/>
          <w:b/>
          <w:bCs/>
          <w:iCs/>
          <w:kern w:val="0"/>
          <w:sz w:val="28"/>
          <w:szCs w:val="28"/>
          <w:highlight w:val="none"/>
          <w:lang w:bidi="en-US"/>
        </w:rPr>
      </w:pPr>
      <w:r>
        <w:rPr>
          <w:rFonts w:hint="eastAsia" w:ascii="宋体" w:hAnsi="宋体" w:cs="宋体"/>
          <w:b/>
          <w:bCs/>
          <w:iCs/>
          <w:kern w:val="0"/>
          <w:sz w:val="28"/>
          <w:szCs w:val="28"/>
          <w:highlight w:val="none"/>
          <w:lang w:bidi="en-US"/>
        </w:rPr>
        <w:t>一、采购清单及参数要求</w:t>
      </w:r>
    </w:p>
    <w:p w14:paraId="01EC3F83">
      <w:pPr>
        <w:keepLines w:val="0"/>
        <w:pageBreakBefore w:val="0"/>
        <w:kinsoku/>
        <w:wordWrap/>
        <w:overflowPunct/>
        <w:topLinePunct w:val="0"/>
        <w:autoSpaceDE/>
        <w:autoSpaceDN/>
        <w:bidi w:val="0"/>
        <w:adjustRightInd/>
        <w:spacing w:line="240" w:lineRule="auto"/>
        <w:ind w:firstLine="482" w:firstLineChars="200"/>
        <w:jc w:val="left"/>
        <w:outlineLvl w:val="2"/>
        <w:rPr>
          <w:rFonts w:ascii="宋体" w:hAnsi="宋体" w:cs="宋体"/>
          <w:b/>
          <w:bCs/>
          <w:sz w:val="24"/>
          <w:highlight w:val="none"/>
        </w:rPr>
      </w:pPr>
      <w:r>
        <w:rPr>
          <w:rFonts w:hint="eastAsia" w:ascii="宋体" w:hAnsi="宋体" w:cs="宋体"/>
          <w:b/>
          <w:bCs/>
          <w:sz w:val="24"/>
          <w:highlight w:val="none"/>
          <w:lang w:val="en-US" w:eastAsia="zh-CN"/>
        </w:rPr>
        <w:t>1包：智能（数智）生物医药特色虚拟仿真实训室</w:t>
      </w:r>
    </w:p>
    <w:tbl>
      <w:tblPr>
        <w:tblStyle w:val="4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1"/>
        <w:gridCol w:w="1178"/>
        <w:gridCol w:w="2371"/>
        <w:gridCol w:w="716"/>
        <w:gridCol w:w="728"/>
        <w:gridCol w:w="1308"/>
        <w:gridCol w:w="1342"/>
        <w:gridCol w:w="1048"/>
      </w:tblGrid>
      <w:tr w14:paraId="52A15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36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序号</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AED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设备名称</w:t>
            </w:r>
          </w:p>
        </w:tc>
        <w:tc>
          <w:tcPr>
            <w:tcW w:w="12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7CD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7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数量</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64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单位</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E9A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单价</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C91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总价</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79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是否进口产品</w:t>
            </w:r>
          </w:p>
        </w:tc>
      </w:tr>
      <w:tr w14:paraId="6006B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2A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8D97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扩声系统</w:t>
            </w: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F2C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线性音柱</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AE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56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1BC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88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19200.00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FB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6083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7A02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C73F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793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专业音箱功放</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15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C5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B4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31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13800.00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1C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12FC9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171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738E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4BF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数字音箱管理器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22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0E1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E4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56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73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9F75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5C2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82FD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37D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动态移频反馈抑制器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0D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0F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03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63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6900.00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1A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65A5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DAE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E17F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550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机架式调音台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9C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3ED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807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70D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0613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11D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0C44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5FB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一拖二无线手持话筒</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D0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F90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462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39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23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77FE8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2E2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0408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691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磁吸领夹麦克风/AI版接收器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CA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9F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725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7E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4900.00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49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5A04F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5078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14EA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B94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电源时序器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D50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56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只</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AB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59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36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1FCB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4040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常态化录播</w:t>
            </w: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D85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录播主机</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FBF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4F3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6C9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27500.00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437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27500.00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4F4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35AC3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598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3A89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B5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教师摄像机</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445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DDA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F7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06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924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32E3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EF29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355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744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学生摄像机</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E3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E3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630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8800.00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C3AC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8800.00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B7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393F8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888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8C36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6E5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全向麦克风</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BD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3D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A7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F46C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6900.00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A9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C7EB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F96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DD8C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E59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无线麦克风</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79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D3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6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5390.00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AFF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5390.00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84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016F0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restart"/>
            <w:tcBorders>
              <w:top w:val="nil"/>
              <w:left w:val="single" w:color="000000" w:sz="4" w:space="0"/>
              <w:bottom w:val="single" w:color="000000" w:sz="4" w:space="0"/>
              <w:right w:val="single" w:color="000000" w:sz="4" w:space="0"/>
            </w:tcBorders>
            <w:shd w:val="clear" w:color="auto" w:fill="auto"/>
            <w:noWrap/>
            <w:vAlign w:val="center"/>
          </w:tcPr>
          <w:p w14:paraId="6E7655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627" w:type="pct"/>
            <w:vMerge w:val="restart"/>
            <w:tcBorders>
              <w:top w:val="nil"/>
              <w:left w:val="single" w:color="000000" w:sz="4" w:space="0"/>
              <w:bottom w:val="single" w:color="000000" w:sz="4" w:space="0"/>
              <w:right w:val="single" w:color="000000" w:sz="4" w:space="0"/>
            </w:tcBorders>
            <w:shd w:val="clear" w:color="auto" w:fill="auto"/>
            <w:vAlign w:val="center"/>
          </w:tcPr>
          <w:p w14:paraId="54AD83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实训室管理终端控制软件</w:t>
            </w: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A1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多功能实训操作台(现场定制)</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8F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022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批</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9B0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39750.00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E6C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39750.00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DF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E068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vMerge w:val="continue"/>
            <w:tcBorders>
              <w:top w:val="nil"/>
              <w:left w:val="single" w:color="000000" w:sz="4" w:space="0"/>
              <w:bottom w:val="single" w:color="000000" w:sz="4" w:space="0"/>
              <w:right w:val="single" w:color="000000" w:sz="4" w:space="0"/>
            </w:tcBorders>
            <w:shd w:val="clear" w:color="auto" w:fill="auto"/>
            <w:noWrap/>
            <w:vAlign w:val="center"/>
          </w:tcPr>
          <w:p w14:paraId="6927784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627" w:type="pct"/>
            <w:vMerge w:val="continue"/>
            <w:tcBorders>
              <w:top w:val="nil"/>
              <w:left w:val="single" w:color="000000" w:sz="4" w:space="0"/>
              <w:bottom w:val="single" w:color="000000" w:sz="4" w:space="0"/>
              <w:right w:val="single" w:color="000000" w:sz="4" w:space="0"/>
            </w:tcBorders>
            <w:shd w:val="clear" w:color="auto" w:fill="auto"/>
            <w:vAlign w:val="center"/>
          </w:tcPr>
          <w:p w14:paraId="01E2E1E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12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287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实训控制软件</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68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73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点</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20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750.00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CB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45750.00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A1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2D05E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E8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699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VR虚拟仿真头盔（pico）</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026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D5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0B7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1E2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26700.00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64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033A6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D72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5</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10B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疫苗生产智慧桌面工厂亚克力定制展示柜</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1F1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9A2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1D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2500.00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53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2500.00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C0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5362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7C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9A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无线IP</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C9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AE8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CF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560.00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C7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560.00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12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0CD8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C4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7</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2F4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48口交换机</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A76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B88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644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3BB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26700.00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398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19160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0D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8</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F4B2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系统集成(综合布线)</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E6F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E6A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项</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AD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40000.00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D1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40000.00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26D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7C1D5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CD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9</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75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疫苗生产智慧桌面工厂</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A29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71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7A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167000.00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D1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167000.00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E8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59569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8D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10</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2DC4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生物制药虚拟仿真教学软件（疫苗生产制备工艺）</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47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6FA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C4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86000.00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7AA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86000.00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A47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1492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7E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11</w:t>
            </w:r>
          </w:p>
        </w:tc>
        <w:tc>
          <w:tcPr>
            <w:tcW w:w="188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8DB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环境改造</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E2F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372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项</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B5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163750.00 </w:t>
            </w: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DF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163750.00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4E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0BC93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031"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04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合计(含税)</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B94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val="0"/>
                <w:bCs w:val="0"/>
                <w:i w:val="0"/>
                <w:iCs w:val="0"/>
                <w:color w:val="000000"/>
                <w:sz w:val="21"/>
                <w:szCs w:val="21"/>
                <w:highlight w:val="none"/>
                <w:u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F6934">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722200.00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C2AA">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bl>
    <w:p w14:paraId="4C869609">
      <w:pPr>
        <w:bidi w:val="0"/>
        <w:rPr>
          <w:rFonts w:hint="eastAsia"/>
          <w:lang w:val="en-US" w:eastAsia="zh-CN"/>
        </w:rPr>
      </w:pPr>
    </w:p>
    <w:p w14:paraId="48B2ED57">
      <w:pPr>
        <w:keepLines w:val="0"/>
        <w:pageBreakBefore w:val="0"/>
        <w:kinsoku/>
        <w:wordWrap/>
        <w:overflowPunct/>
        <w:topLinePunct w:val="0"/>
        <w:autoSpaceDE/>
        <w:autoSpaceDN/>
        <w:bidi w:val="0"/>
        <w:adjustRightInd/>
        <w:spacing w:line="240" w:lineRule="auto"/>
        <w:ind w:firstLine="482" w:firstLineChars="200"/>
        <w:jc w:val="left"/>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2包：生物制药理化检测实验室</w:t>
      </w:r>
    </w:p>
    <w:tbl>
      <w:tblPr>
        <w:tblStyle w:val="4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7"/>
        <w:gridCol w:w="1134"/>
        <w:gridCol w:w="2229"/>
        <w:gridCol w:w="716"/>
        <w:gridCol w:w="716"/>
        <w:gridCol w:w="1308"/>
        <w:gridCol w:w="1363"/>
        <w:gridCol w:w="1038"/>
      </w:tblGrid>
      <w:tr w14:paraId="53F4D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ACCC7">
            <w:pPr>
              <w:keepNext w:val="0"/>
              <w:keepLines w:val="0"/>
              <w:widowControl/>
              <w:suppressLineNumbers w:val="0"/>
              <w:jc w:val="both"/>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序号</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57C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功能区域</w:t>
            </w: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A924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货物名称</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9D4C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单位</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548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数量</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4F5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单价（元）</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405C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0C9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是否进口产品</w:t>
            </w:r>
          </w:p>
        </w:tc>
      </w:tr>
      <w:tr w14:paraId="25E9E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E75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99CB8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设备类</w:t>
            </w: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52A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pH计</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D4D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05D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458C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2400.00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6E6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9600.00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39ED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F8D9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879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D376D">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243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磁力搅拌器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7C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5E85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BE1C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2800.00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458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11200.00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5C8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D72D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9A9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9369E">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F5B6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高速台式冷冻离心机</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3EA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F766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A09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36000.00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EF1F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36000.00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D8A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7FDA8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4F1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76085">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D47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超声波清洗器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88D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FDA6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821F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9600.00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42F9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9600.00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F63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5DD8B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A49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5</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9A4DC">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9F6F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自动电位滴定仪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A5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255C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41B9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34000.00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A430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34000.00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6547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3493B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EA7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6A28">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242E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凯氏定氮仪（半自动）</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A85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8251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4FF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19500.00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E1A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19500.00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224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0E63D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CDF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7</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FFEA8">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70D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脂肪测定仪（快速）</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07D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C94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5AD1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9500.00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5201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9500.00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D2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2A753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A0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8</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DFD81">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58D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马弗炉</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D65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0411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842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10500.00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20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21000.00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ED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2B1AB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6D5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9</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BA37F">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32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水分仪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B8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17F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4775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9300.00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E61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9300.00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30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0687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A73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10</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4BB3C">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534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酶联免疫分析仪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8C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3579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DF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36000.00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16F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36000.00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75F4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155B0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15F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11</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9D505">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B8FF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质构系统</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03A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59E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A86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75000.00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672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75000.00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345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7EF3F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7A5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12</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7ADB2">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66EF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糖度仪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5C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80D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B4F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581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890.00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00F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7C26E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597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13</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E73FD">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4AE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水分活度仪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A0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133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6F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23000.00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61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23000.00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05D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349A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5C2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14</w:t>
            </w:r>
          </w:p>
        </w:tc>
        <w:tc>
          <w:tcPr>
            <w:tcW w:w="6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7B71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样品准备区</w:t>
            </w: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E3BB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定制实验操作平台，含悬挂单元</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D139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8EF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DF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32000.00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FA0B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32000.00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FAE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64E4D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94C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15</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A2CA3">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0B5E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样品存储单元</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580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2E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693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6500.00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E4C9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6500.00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0DC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E05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64A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16</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8F4CB">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AC74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空气循环系统</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5DC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5F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915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59000.00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C1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59000.00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758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02957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EF9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17</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56C7B">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7362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定制水池</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79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C1F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AC7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28700.00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49E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28700.00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74A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38A55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C6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18</w:t>
            </w:r>
          </w:p>
        </w:tc>
        <w:tc>
          <w:tcPr>
            <w:tcW w:w="6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77AC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理化检测区</w:t>
            </w:r>
          </w:p>
        </w:tc>
        <w:tc>
          <w:tcPr>
            <w:tcW w:w="11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179F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定制实验室配套通排风</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72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套</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62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7E3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170000.00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6D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170000.00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F58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A9AC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89C7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19</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988EE">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702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工位</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724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个</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268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60</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BCB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E1E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4800.00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C06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113A9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10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D6C8D">
            <w:pPr>
              <w:jc w:val="center"/>
              <w:rPr>
                <w:rFonts w:hint="eastAsia" w:ascii="宋体" w:hAnsi="宋体" w:eastAsia="宋体" w:cs="宋体"/>
                <w:b w:val="0"/>
                <w:bCs w:val="0"/>
                <w:i w:val="0"/>
                <w:iCs w:val="0"/>
                <w:color w:val="000000"/>
                <w:sz w:val="21"/>
                <w:szCs w:val="21"/>
                <w:highlight w:val="none"/>
                <w:u w:val="none"/>
              </w:rPr>
            </w:pPr>
          </w:p>
        </w:tc>
        <w:tc>
          <w:tcPr>
            <w:tcW w:w="11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9EB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定制操作平台</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19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组</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24E2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DB1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117000.00 </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691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117000.00 </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03B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456AD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47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FB1DAF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21</w:t>
            </w:r>
          </w:p>
        </w:tc>
        <w:tc>
          <w:tcPr>
            <w:tcW w:w="603" w:type="pct"/>
            <w:tcBorders>
              <w:top w:val="single" w:color="000000" w:sz="4" w:space="0"/>
              <w:left w:val="single" w:color="000000" w:sz="4" w:space="0"/>
              <w:bottom w:val="single" w:color="auto" w:sz="4" w:space="0"/>
              <w:right w:val="single" w:color="000000" w:sz="4" w:space="0"/>
            </w:tcBorders>
            <w:shd w:val="clear" w:color="auto" w:fill="auto"/>
            <w:vAlign w:val="center"/>
          </w:tcPr>
          <w:p w14:paraId="53F3ADBD">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实训室环境优化</w:t>
            </w:r>
          </w:p>
        </w:tc>
        <w:tc>
          <w:tcPr>
            <w:tcW w:w="1186"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0848C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定制</w:t>
            </w:r>
          </w:p>
        </w:tc>
        <w:tc>
          <w:tcPr>
            <w:tcW w:w="3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557099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项</w:t>
            </w:r>
          </w:p>
        </w:tc>
        <w:tc>
          <w:tcPr>
            <w:tcW w:w="3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071F5D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696"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771D68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87410.00 </w:t>
            </w:r>
          </w:p>
        </w:tc>
        <w:tc>
          <w:tcPr>
            <w:tcW w:w="725"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839095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87410.00 </w:t>
            </w:r>
          </w:p>
        </w:tc>
        <w:tc>
          <w:tcPr>
            <w:tcW w:w="55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14B26C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否</w:t>
            </w:r>
          </w:p>
        </w:tc>
      </w:tr>
      <w:tr w14:paraId="21825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260BFD">
            <w:pPr>
              <w:rPr>
                <w:rFonts w:hint="eastAsia" w:ascii="宋体" w:hAnsi="宋体" w:eastAsia="宋体" w:cs="宋体"/>
                <w:b w:val="0"/>
                <w:bCs w:val="0"/>
                <w:i w:val="0"/>
                <w:iCs w:val="0"/>
                <w:color w:val="000000"/>
                <w:sz w:val="21"/>
                <w:szCs w:val="21"/>
                <w:highlight w:val="none"/>
                <w:u w:val="none"/>
              </w:rPr>
            </w:pPr>
          </w:p>
        </w:tc>
        <w:tc>
          <w:tcPr>
            <w:tcW w:w="6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AD2A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合计</w:t>
            </w:r>
          </w:p>
        </w:tc>
        <w:tc>
          <w:tcPr>
            <w:tcW w:w="11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0C4E42">
            <w:pPr>
              <w:rPr>
                <w:rFonts w:hint="eastAsia" w:ascii="宋体" w:hAnsi="宋体" w:eastAsia="宋体" w:cs="宋体"/>
                <w:b w:val="0"/>
                <w:bCs w:val="0"/>
                <w:i w:val="0"/>
                <w:iCs w:val="0"/>
                <w:color w:val="000000"/>
                <w:sz w:val="21"/>
                <w:szCs w:val="21"/>
                <w:highlight w:val="none"/>
                <w:u w:val="none"/>
              </w:rPr>
            </w:pPr>
          </w:p>
        </w:tc>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B78CF9">
            <w:pPr>
              <w:rPr>
                <w:rFonts w:hint="eastAsia" w:ascii="宋体" w:hAnsi="宋体" w:eastAsia="宋体" w:cs="宋体"/>
                <w:b w:val="0"/>
                <w:bCs w:val="0"/>
                <w:i w:val="0"/>
                <w:iCs w:val="0"/>
                <w:color w:val="000000"/>
                <w:sz w:val="21"/>
                <w:szCs w:val="21"/>
                <w:highlight w:val="none"/>
                <w:u w:val="none"/>
              </w:rPr>
            </w:pPr>
          </w:p>
        </w:tc>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0919FD">
            <w:pPr>
              <w:rPr>
                <w:rFonts w:hint="eastAsia" w:ascii="宋体" w:hAnsi="宋体" w:eastAsia="宋体" w:cs="宋体"/>
                <w:b w:val="0"/>
                <w:bCs w:val="0"/>
                <w:i w:val="0"/>
                <w:iCs w:val="0"/>
                <w:color w:val="000000"/>
                <w:sz w:val="21"/>
                <w:szCs w:val="21"/>
                <w:highlight w:val="none"/>
                <w:u w:val="none"/>
              </w:rPr>
            </w:pPr>
          </w:p>
        </w:tc>
        <w:tc>
          <w:tcPr>
            <w:tcW w:w="6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D4ABE7">
            <w:pPr>
              <w:rPr>
                <w:rFonts w:hint="eastAsia" w:ascii="宋体" w:hAnsi="宋体" w:eastAsia="宋体" w:cs="宋体"/>
                <w:b w:val="0"/>
                <w:bCs w:val="0"/>
                <w:i w:val="0"/>
                <w:iCs w:val="0"/>
                <w:color w:val="000000"/>
                <w:sz w:val="21"/>
                <w:szCs w:val="21"/>
                <w:highlight w:val="none"/>
                <w:u w:val="none"/>
              </w:rPr>
            </w:pPr>
          </w:p>
        </w:tc>
        <w:tc>
          <w:tcPr>
            <w:tcW w:w="7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06DE5D">
            <w:pPr>
              <w:keepNext w:val="0"/>
              <w:keepLines w:val="0"/>
              <w:widowControl/>
              <w:suppressLineNumbers w:val="0"/>
              <w:jc w:val="right"/>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800000.00 </w:t>
            </w:r>
          </w:p>
        </w:tc>
        <w:tc>
          <w:tcPr>
            <w:tcW w:w="55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8A0D8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r>
    </w:tbl>
    <w:p w14:paraId="7296F617">
      <w:pPr>
        <w:keepLines w:val="0"/>
        <w:pageBreakBefore w:val="0"/>
        <w:kinsoku/>
        <w:wordWrap/>
        <w:overflowPunct/>
        <w:topLinePunct w:val="0"/>
        <w:autoSpaceDE/>
        <w:autoSpaceDN/>
        <w:bidi w:val="0"/>
        <w:adjustRightInd/>
        <w:spacing w:line="240" w:lineRule="auto"/>
        <w:rPr>
          <w:rFonts w:hint="eastAsia" w:ascii="宋体" w:hAnsi="宋体" w:cs="宋体"/>
          <w:b/>
          <w:sz w:val="24"/>
          <w:highlight w:val="none"/>
          <w:lang w:val="en-US" w:eastAsia="zh-CN"/>
        </w:rPr>
      </w:pPr>
    </w:p>
    <w:p w14:paraId="78DA173A">
      <w:pPr>
        <w:keepLines w:val="0"/>
        <w:pageBreakBefore w:val="0"/>
        <w:numPr>
          <w:ilvl w:val="0"/>
          <w:numId w:val="0"/>
        </w:numPr>
        <w:kinsoku/>
        <w:wordWrap/>
        <w:overflowPunct/>
        <w:topLinePunct w:val="0"/>
        <w:autoSpaceDE/>
        <w:autoSpaceDN/>
        <w:bidi w:val="0"/>
        <w:adjustRightInd/>
        <w:spacing w:line="240" w:lineRule="auto"/>
        <w:ind w:left="0" w:leftChars="0" w:firstLine="0" w:firstLineChars="0"/>
        <w:outlineLvl w:val="2"/>
        <w:rPr>
          <w:rFonts w:hint="eastAsia" w:ascii="宋体" w:hAnsi="宋体" w:cs="宋体"/>
          <w:b/>
          <w:sz w:val="24"/>
          <w:highlight w:val="none"/>
          <w:lang w:val="en-US" w:eastAsia="zh-CN"/>
        </w:rPr>
      </w:pPr>
      <w:r>
        <w:rPr>
          <w:rFonts w:hint="eastAsia" w:ascii="宋体" w:hAnsi="宋体" w:cs="宋体"/>
          <w:b/>
          <w:sz w:val="24"/>
          <w:highlight w:val="none"/>
          <w:lang w:val="en-US" w:eastAsia="zh-CN"/>
        </w:rPr>
        <w:t>3包：文旅综合基础实训室建设项目</w:t>
      </w:r>
    </w:p>
    <w:tbl>
      <w:tblPr>
        <w:tblStyle w:val="4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0"/>
        <w:gridCol w:w="1948"/>
        <w:gridCol w:w="553"/>
        <w:gridCol w:w="1478"/>
        <w:gridCol w:w="829"/>
        <w:gridCol w:w="2220"/>
        <w:gridCol w:w="1476"/>
      </w:tblGrid>
      <w:tr w14:paraId="2F62F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00BA9B6">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EE5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设备名称／支出项目</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0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66B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单价（元）</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1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B8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合计金额（元）</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57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是否进口产品</w:t>
            </w:r>
          </w:p>
        </w:tc>
      </w:tr>
      <w:tr w14:paraId="45503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7D41822">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FC3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智慧演讲台</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1AA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73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8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6D8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D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555A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5C5D2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03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24口交换机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2C2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E6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E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3A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35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9D9B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067A1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25D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电子教室</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732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F99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42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D9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B86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08E2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D80FB62">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C6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工位摄像头</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F9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2F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27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5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7920.00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00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1FFD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1A828DE">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B6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MR智能导游综合实训教学平台</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CCF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83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254400.00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78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F3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254400.00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45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6305C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45A3B4">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CC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旅游数字化营销系统</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E6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0C5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243000.00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E8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72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243000.00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72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0C5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92795E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72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AI+大数据旅游行程规划软件</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313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4FE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AF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3C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59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517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B59391">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E2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玻璃直播房</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8E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间</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C05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3A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3FD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85A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07AA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318D909">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E3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旅游新媒体数据分析平台</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50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70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165000.00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F92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B0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165000.00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7A4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D1A8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0B5CB4">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EA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55寸直播机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6CC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0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D77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1F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19600.00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A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25A10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28EA87">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422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移动支架</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CE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49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F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17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9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742E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9979B64">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90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直播摄像头</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61F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49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05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673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893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639BE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D943104">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BBC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直播监听耳机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472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A4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0E6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3D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1960.00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47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89C4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0C1BBB">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B8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直播监听音响</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8B1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F4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7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32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F7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F51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6D42F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67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无线键盘鼠标</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AE3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C1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93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0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C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BEFF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432A4AC">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95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球形补光灯</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0B3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27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88B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E3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90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E6EC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62E3D8">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C2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绿幕</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2D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6A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880.00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22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BB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1760.00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6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E9AE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FC85F7">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8AE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无线领夹麦</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51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04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41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D78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8E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4123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923C922">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B2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深抛补光灯</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DE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25B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2F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C1D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A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2AE23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6E9ACE">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B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直播软件</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976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E4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A5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1EC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14200.00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C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6C2AC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5044DA">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32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4K微云台摄像机（教师机）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93B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32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9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130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F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2C37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9359BAC">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E2A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4K微云台摄像机（学生机）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562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0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F6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87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8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D08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47BE3BC">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77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摄像机检测算法软件</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8CC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8B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1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CF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FF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FCB4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857160">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A1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摄像头吊装支架</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41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43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07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1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7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937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309FC7A">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22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有源音箱</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839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37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B81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1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9A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E4F0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D6CCD09">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9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麦克风</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2C1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48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E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A7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388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4BFB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CC64D1A">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2D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充电座</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A64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ACE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286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B4C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0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2E3B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2A3F2B">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8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4F2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67C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40E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0E3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1450.00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2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C5AB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9A8455">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88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音频主机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EC8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DD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92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1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D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9C93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185A6BF">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C6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吊麦</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99D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680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52F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97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8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24530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A98B39">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5F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控制面板</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6E1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5EE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78D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E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5250.00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F5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0B3A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F0D47F">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DE0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智能物联串口控制器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1A1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70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D0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DD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82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D94B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D583DB2">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EE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智能物联灯控开关</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C1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C0F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4A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A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78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3A1D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2652E01">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09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智能物联电源控制器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BFF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2DD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10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1A0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7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0E40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3F7418">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660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智能物联墙面插座</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64B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180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68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4B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CD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821D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1AEBBA">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2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智能物联空调插座</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F62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ED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CDE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476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1840.00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0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2E755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AF48FC">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5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智能物联红外控制器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6C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2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2F0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B15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1840.00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A7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C17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8A897F">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F13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智能物联窗帘控制器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2BC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46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4BB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24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1840.00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701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6E83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DCA3BB">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C0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窗帘电机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4D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97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5ED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71A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7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B633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6725B5E">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ED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窗帘轨道</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7DF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1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58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0F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F52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DDAE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B072A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A1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无线AP</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5F8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3DB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1350.00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FA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AE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9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6DE7F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6B34F8C">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A4A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智慧教室可视化</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FFB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2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39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1B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5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0E4F6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995364">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3EA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门禁控制器</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EC0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564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C7C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F7F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AB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1EEB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F27C55">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95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双门磁力锁</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2B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F19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880.00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D4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E0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1760.00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8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19E0D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811B20">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89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出门开关</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C1C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B8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6C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806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83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33EB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A1F83D">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08D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文化氛围建设及装修工程</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F17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7B3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100000.00 </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5F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9D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A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720B4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000A54E">
            <w:pPr>
              <w:rPr>
                <w:rFonts w:hint="eastAsia" w:ascii="宋体" w:hAnsi="宋体" w:eastAsia="宋体" w:cs="宋体"/>
                <w:b/>
                <w:bCs/>
                <w:i w:val="0"/>
                <w:iCs w:val="0"/>
                <w:color w:val="000000"/>
                <w:sz w:val="21"/>
                <w:szCs w:val="21"/>
                <w:u w:val="none"/>
              </w:rPr>
            </w:pPr>
          </w:p>
        </w:tc>
        <w:tc>
          <w:tcPr>
            <w:tcW w:w="10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A774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5600">
            <w:pPr>
              <w:rPr>
                <w:rFonts w:hint="eastAsia" w:ascii="宋体" w:hAnsi="宋体" w:eastAsia="宋体" w:cs="宋体"/>
                <w:b/>
                <w:bCs/>
                <w:i w:val="0"/>
                <w:iCs w:val="0"/>
                <w:color w:val="000000"/>
                <w:sz w:val="21"/>
                <w:szCs w:val="21"/>
                <w:u w:val="none"/>
              </w:rPr>
            </w:pPr>
          </w:p>
        </w:tc>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5164B">
            <w:pPr>
              <w:rPr>
                <w:rFonts w:hint="eastAsia" w:ascii="宋体" w:hAnsi="宋体" w:eastAsia="宋体" w:cs="宋体"/>
                <w:b/>
                <w:bCs/>
                <w:i w:val="0"/>
                <w:iCs w:val="0"/>
                <w:color w:val="000000"/>
                <w:sz w:val="21"/>
                <w:szCs w:val="21"/>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6DD5C">
            <w:pPr>
              <w:jc w:val="center"/>
              <w:rPr>
                <w:rFonts w:hint="eastAsia" w:ascii="宋体" w:hAnsi="宋体" w:eastAsia="宋体" w:cs="宋体"/>
                <w:b/>
                <w:bCs/>
                <w:i w:val="0"/>
                <w:iCs w:val="0"/>
                <w:color w:val="000000"/>
                <w:sz w:val="21"/>
                <w:szCs w:val="21"/>
                <w:u w:val="none"/>
              </w:rPr>
            </w:pPr>
          </w:p>
        </w:tc>
        <w:tc>
          <w:tcPr>
            <w:tcW w:w="1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76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1247120.00 </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E7146">
            <w:pPr>
              <w:jc w:val="center"/>
              <w:rPr>
                <w:rFonts w:hint="eastAsia" w:ascii="宋体" w:hAnsi="宋体" w:eastAsia="宋体" w:cs="宋体"/>
                <w:i w:val="0"/>
                <w:iCs w:val="0"/>
                <w:color w:val="000000"/>
                <w:sz w:val="21"/>
                <w:szCs w:val="21"/>
                <w:u w:val="none"/>
              </w:rPr>
            </w:pPr>
          </w:p>
        </w:tc>
      </w:tr>
    </w:tbl>
    <w:p w14:paraId="21C48F24">
      <w:pPr>
        <w:keepLines w:val="0"/>
        <w:pageBreakBefore w:val="0"/>
        <w:kinsoku/>
        <w:wordWrap/>
        <w:overflowPunct/>
        <w:topLinePunct w:val="0"/>
        <w:autoSpaceDE/>
        <w:autoSpaceDN/>
        <w:bidi w:val="0"/>
        <w:adjustRightInd/>
        <w:spacing w:line="240" w:lineRule="auto"/>
        <w:rPr>
          <w:rFonts w:hint="eastAsia" w:ascii="宋体" w:hAnsi="宋体" w:cs="宋体"/>
          <w:b/>
          <w:bCs/>
          <w:sz w:val="24"/>
          <w:highlight w:val="none"/>
          <w:lang w:val="en-US" w:eastAsia="zh-CN"/>
        </w:rPr>
      </w:pPr>
    </w:p>
    <w:p w14:paraId="429E1B87">
      <w:pPr>
        <w:keepLines w:val="0"/>
        <w:pageBreakBefore w:val="0"/>
        <w:kinsoku/>
        <w:wordWrap/>
        <w:overflowPunct/>
        <w:topLinePunct w:val="0"/>
        <w:autoSpaceDE/>
        <w:autoSpaceDN/>
        <w:bidi w:val="0"/>
        <w:adjustRightInd/>
        <w:spacing w:line="240" w:lineRule="auto"/>
        <w:ind w:firstLine="482" w:firstLineChars="200"/>
        <w:jc w:val="left"/>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4包：高原运动康复实训基地建设项目</w:t>
      </w:r>
    </w:p>
    <w:tbl>
      <w:tblPr>
        <w:tblStyle w:val="4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4"/>
        <w:gridCol w:w="2917"/>
        <w:gridCol w:w="1301"/>
        <w:gridCol w:w="676"/>
        <w:gridCol w:w="1449"/>
        <w:gridCol w:w="1110"/>
        <w:gridCol w:w="1264"/>
      </w:tblGrid>
      <w:tr w14:paraId="27951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3896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序号</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EB6F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设备名称</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BB5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单价（元）</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637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数量</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FF2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小计（元）</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799F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是否进口产品</w:t>
            </w: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1D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备注</w:t>
            </w:r>
          </w:p>
        </w:tc>
      </w:tr>
      <w:tr w14:paraId="35CFF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04F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4B0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超声及电刺激治疗仪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EF0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8B42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9CC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EB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BDF9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0ABA3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98ED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CCA2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冲击波治疗仪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090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169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A60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D64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D0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5968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E7C1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749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中频干扰电疗仪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75C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43000.00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B2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BA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43000.00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496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7C1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6AC51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6932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330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温热低周波治疗仪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19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45000.00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F40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218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45000.00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D4D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0111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405A3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2317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B4D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微波治疗仪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F9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44600.00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3A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CAD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44600.00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35D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EB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7470E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EF8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15AD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短波治疗仪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226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105196.00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69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ECF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105196.00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D495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FEAC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20D39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142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7</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405A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温热电灸综合治疗仪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D3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E8E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DE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72B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F9C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3589F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299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8</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DEE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超短波治疗仪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3984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66000.00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DF31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D4C5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66000.00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F93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3DA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18F27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7FCF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9</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F5BA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神经肌肉电刺激仪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16B7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16000.00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9A9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DDD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16000.00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9C9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2977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17059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D642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769A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DMS深层肌肉刺激仪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D6B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C6D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5039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BB1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06E8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9AEB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6BF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11</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5B4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下肢气压脉冲恢复系统</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7132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9800.00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528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3F1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9800.00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6C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2A21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1DDF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F8A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12</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C880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筋膜刀</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94B0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F1D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F392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D6E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2E1D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8E8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EA97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13</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72F9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筋膜加压治疗带</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A291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5C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EE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900.00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49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742D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32874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BDA4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14</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3A4A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中医康复套装</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01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612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B1B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1B3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EC10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7CCE4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BDC1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15</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03A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心肺复苏半身模拟人</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7A3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77E6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43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01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01C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749E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99F7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16</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9BB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脊柱固定板</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6EEA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EBF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E0D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DB2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DBD2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61FC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3C72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17</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1CA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自动体外除颤器（AED）教学机</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BE4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E5CF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2C3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2684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1C2A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4CDE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AE10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18</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E0A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急救实训包</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E2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4740.00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A3C1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D93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4740.00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797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3BB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2D69B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321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19</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793F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运动康复实训包</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471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22280.00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214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EE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22280.00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9FF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AB0E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1AED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EF91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20</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6D37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动静态平衡评估与训练系统</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2AE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158000.00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9A1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6C9B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158000.00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9B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9BD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2218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327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21</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D699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智能体测系统</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434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78000.00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1354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C08E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78000.00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F097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5857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061D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71F9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22</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155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便携血糖乳酸测试仪</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363E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3375.00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5DA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DDB9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13500.00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0E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142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医疗器械</w:t>
            </w:r>
          </w:p>
        </w:tc>
      </w:tr>
      <w:tr w14:paraId="27A6C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61CB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23</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85B5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功能性筛选测试装置</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19D1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2500.00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67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DCC7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2500.00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EE5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3265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27B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C825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24</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0A5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Y-balance测试装置</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C5F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ABC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7B4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8A11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CBE3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25B7F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E1AB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25</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A99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关节活动尺</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FCB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324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9E1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48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4656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56D51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E800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26</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D3AC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模块化龙门架</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EF0E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25C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EC5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30000.00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CDBF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7D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480A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5AAE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27</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06B3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瑜伽垫</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4E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199.00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C78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471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1990.00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5C7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13F6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7D19C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5C6B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28</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12C0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泡沫轴</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C19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154.00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C1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0E33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1540.00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853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FD2B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C115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6AD3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29</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9587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数显弹力带</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AC0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199.00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64B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322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1990.00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20C7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6FDC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D733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37F4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30</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366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感统训练跨栏</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22B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359.00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83DB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CBC2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718.00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04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6429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5B3E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B13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31</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CC6B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训练标志桶</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B9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650.00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94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72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F897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A323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4FAE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DB62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32</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1736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瑜伽球</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B4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121.00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E46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3D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1210.00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157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E8A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B884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6CB6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33</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EB2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悬挂式训练带</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DCCF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279.00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57F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8E71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1674.00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9491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7ECC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B5C3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CF9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34</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0881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平衡垫</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C59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220.00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1D1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37D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1320.00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02B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8F6D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0A8B6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4011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35</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63C9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跳箱</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D34B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4000.00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F7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0A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F1A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2F3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4D866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8FCC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36</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0FD6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壶铃</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BFF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4351.00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76B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31F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8702.00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91E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757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4DF93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6BDF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37</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B7B8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哑铃</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A957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2709.00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EC4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66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5418.00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29D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879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556E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0D99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38</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F1A5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重力球</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EF6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3136.00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51D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FAF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6272.00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5E07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E0B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3C323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44F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39</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130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脊柱侧弯训练棒</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C03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59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D07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6CC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CDB7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69837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96F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40</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532A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飞棒PRO版</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864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47E9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BCC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750.00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BC9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48C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11D9B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0C6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41</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1320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康复泡沫砖</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CA2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200.00 </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D2E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FA7C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9A1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CF8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w:t>
            </w:r>
          </w:p>
        </w:tc>
      </w:tr>
      <w:tr w14:paraId="11A79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9EB6">
            <w:pPr>
              <w:jc w:val="center"/>
              <w:rPr>
                <w:rFonts w:hint="eastAsia" w:ascii="宋体" w:hAnsi="宋体" w:eastAsia="宋体" w:cs="宋体"/>
                <w:b w:val="0"/>
                <w:bCs w:val="0"/>
                <w:i w:val="0"/>
                <w:iCs w:val="0"/>
                <w:color w:val="000000"/>
                <w:sz w:val="21"/>
                <w:szCs w:val="21"/>
                <w:u w:val="none"/>
              </w:rPr>
            </w:pP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AE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合计</w:t>
            </w:r>
          </w:p>
        </w:tc>
        <w:tc>
          <w:tcPr>
            <w:tcW w:w="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EA61">
            <w:pPr>
              <w:rPr>
                <w:rFonts w:hint="eastAsia" w:ascii="宋体" w:hAnsi="宋体" w:eastAsia="宋体" w:cs="宋体"/>
                <w:b w:val="0"/>
                <w:bCs w:val="0"/>
                <w:i w:val="0"/>
                <w:iCs w:val="0"/>
                <w:color w:val="000000"/>
                <w:sz w:val="21"/>
                <w:szCs w:val="21"/>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FB76">
            <w:pPr>
              <w:rPr>
                <w:rFonts w:hint="eastAsia" w:ascii="宋体" w:hAnsi="宋体" w:eastAsia="宋体" w:cs="宋体"/>
                <w:b w:val="0"/>
                <w:bCs w:val="0"/>
                <w:i w:val="0"/>
                <w:iCs w:val="0"/>
                <w:color w:val="000000"/>
                <w:sz w:val="21"/>
                <w:szCs w:val="21"/>
                <w:u w:val="none"/>
              </w:rPr>
            </w:pP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ACCF">
            <w:pPr>
              <w:keepNext w:val="0"/>
              <w:keepLines w:val="0"/>
              <w:widowControl/>
              <w:suppressLineNumbers w:val="0"/>
              <w:jc w:val="righ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1000000.00 </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0FEA">
            <w:pPr>
              <w:jc w:val="center"/>
              <w:rPr>
                <w:rFonts w:hint="eastAsia" w:ascii="宋体" w:hAnsi="宋体" w:eastAsia="宋体" w:cs="宋体"/>
                <w:b w:val="0"/>
                <w:bCs w:val="0"/>
                <w:i w:val="0"/>
                <w:iCs w:val="0"/>
                <w:color w:val="000000"/>
                <w:sz w:val="21"/>
                <w:szCs w:val="21"/>
                <w:u w:val="none"/>
              </w:rPr>
            </w:pP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8657">
            <w:pPr>
              <w:rPr>
                <w:rFonts w:hint="eastAsia" w:ascii="宋体" w:hAnsi="宋体" w:eastAsia="宋体" w:cs="宋体"/>
                <w:b w:val="0"/>
                <w:bCs w:val="0"/>
                <w:i w:val="0"/>
                <w:iCs w:val="0"/>
                <w:color w:val="000000"/>
                <w:sz w:val="21"/>
                <w:szCs w:val="21"/>
                <w:u w:val="none"/>
              </w:rPr>
            </w:pPr>
          </w:p>
        </w:tc>
      </w:tr>
    </w:tbl>
    <w:p w14:paraId="4100294F">
      <w:pPr>
        <w:keepLines w:val="0"/>
        <w:pageBreakBefore w:val="0"/>
        <w:kinsoku/>
        <w:wordWrap/>
        <w:overflowPunct/>
        <w:topLinePunct w:val="0"/>
        <w:autoSpaceDE/>
        <w:autoSpaceDN/>
        <w:bidi w:val="0"/>
        <w:adjustRightInd/>
        <w:spacing w:line="240" w:lineRule="auto"/>
        <w:rPr>
          <w:rFonts w:hint="eastAsia" w:ascii="宋体" w:hAnsi="宋体" w:cs="宋体"/>
          <w:b/>
          <w:bCs/>
          <w:sz w:val="24"/>
          <w:highlight w:val="none"/>
          <w:lang w:val="en-US" w:eastAsia="zh-CN"/>
        </w:rPr>
      </w:pPr>
    </w:p>
    <w:p w14:paraId="722E712F">
      <w:pPr>
        <w:keepLines w:val="0"/>
        <w:pageBreakBefore w:val="0"/>
        <w:kinsoku/>
        <w:wordWrap/>
        <w:overflowPunct/>
        <w:topLinePunct w:val="0"/>
        <w:autoSpaceDE/>
        <w:autoSpaceDN/>
        <w:bidi w:val="0"/>
        <w:adjustRightInd/>
        <w:spacing w:line="240" w:lineRule="auto"/>
        <w:ind w:firstLine="482" w:firstLineChars="200"/>
        <w:jc w:val="left"/>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5包：智慧中医康复实训室建设项目</w:t>
      </w:r>
    </w:p>
    <w:tbl>
      <w:tblPr>
        <w:tblStyle w:val="4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4"/>
        <w:gridCol w:w="2758"/>
        <w:gridCol w:w="854"/>
        <w:gridCol w:w="854"/>
        <w:gridCol w:w="1188"/>
        <w:gridCol w:w="1890"/>
        <w:gridCol w:w="996"/>
      </w:tblGrid>
      <w:tr w14:paraId="5D598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40E4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213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91B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87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E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单价（元）</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D2B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2D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是否进口产品</w:t>
            </w:r>
          </w:p>
        </w:tc>
      </w:tr>
      <w:tr w14:paraId="22160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E41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41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中医AI的助教问诊系统</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F7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5FA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F9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E15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8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10B4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9F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ED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桌面智测机器人</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BB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B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D7A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13900.00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3B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13900.00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64A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6050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0C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C80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AI智能健康机器人</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94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284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EF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148000.00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504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148000.00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B8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4245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770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256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中医AI的助教问诊桌面</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D1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6EA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7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2980.00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81D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89400.00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02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D55F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9A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A7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讨论学习模块</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34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4E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8CF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2850.00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9A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17100.00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21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F515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7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5D3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类纸护眼交互平台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B3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C8E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45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19930.00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4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19930.00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F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51A72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1D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F8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移动教学讲台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E0B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3F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91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1670.00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194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1670.00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F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32452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B6C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8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环境氛围打造</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450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29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63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10000.00 </w:t>
            </w: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B1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9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否</w:t>
            </w:r>
          </w:p>
        </w:tc>
      </w:tr>
      <w:tr w14:paraId="4A52A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23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6A380">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合计</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A88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623D5">
            <w:pPr>
              <w:jc w:val="center"/>
              <w:rPr>
                <w:rFonts w:hint="eastAsia" w:ascii="宋体" w:hAnsi="宋体" w:eastAsia="宋体" w:cs="宋体"/>
                <w:i w:val="0"/>
                <w:iCs w:val="0"/>
                <w:color w:val="000000"/>
                <w:sz w:val="21"/>
                <w:szCs w:val="21"/>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A97CA">
            <w:pPr>
              <w:jc w:val="center"/>
              <w:rPr>
                <w:rFonts w:hint="eastAsia" w:ascii="宋体" w:hAnsi="宋体" w:eastAsia="宋体" w:cs="宋体"/>
                <w:i w:val="0"/>
                <w:iCs w:val="0"/>
                <w:color w:val="000000"/>
                <w:sz w:val="21"/>
                <w:szCs w:val="21"/>
                <w:u w:val="none"/>
              </w:rPr>
            </w:pPr>
          </w:p>
        </w:tc>
        <w:tc>
          <w:tcPr>
            <w:tcW w:w="1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7F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600000.00 </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E902">
            <w:pPr>
              <w:jc w:val="center"/>
              <w:rPr>
                <w:rFonts w:hint="eastAsia" w:ascii="宋体" w:hAnsi="宋体" w:eastAsia="宋体" w:cs="宋体"/>
                <w:i w:val="0"/>
                <w:iCs w:val="0"/>
                <w:color w:val="000000"/>
                <w:sz w:val="21"/>
                <w:szCs w:val="21"/>
                <w:u w:val="none"/>
              </w:rPr>
            </w:pPr>
          </w:p>
        </w:tc>
      </w:tr>
    </w:tbl>
    <w:p w14:paraId="2EA0C88C">
      <w:pPr>
        <w:keepLines w:val="0"/>
        <w:pageBreakBefore w:val="0"/>
        <w:kinsoku/>
        <w:wordWrap/>
        <w:overflowPunct/>
        <w:topLinePunct w:val="0"/>
        <w:autoSpaceDE/>
        <w:autoSpaceDN/>
        <w:bidi w:val="0"/>
        <w:adjustRightInd/>
        <w:spacing w:line="240" w:lineRule="auto"/>
        <w:rPr>
          <w:rFonts w:hint="eastAsia"/>
          <w:highlight w:val="none"/>
          <w:lang w:val="en-US" w:eastAsia="zh-CN"/>
        </w:rPr>
      </w:pPr>
    </w:p>
    <w:p w14:paraId="0B825150">
      <w:pPr>
        <w:keepLines w:val="0"/>
        <w:pageBreakBefore w:val="0"/>
        <w:kinsoku/>
        <w:wordWrap/>
        <w:overflowPunct/>
        <w:topLinePunct w:val="0"/>
        <w:autoSpaceDE/>
        <w:autoSpaceDN/>
        <w:bidi w:val="0"/>
        <w:adjustRightInd/>
        <w:spacing w:line="240" w:lineRule="auto"/>
        <w:rPr>
          <w:rFonts w:hint="eastAsia" w:ascii="宋体" w:hAnsi="宋体" w:eastAsia="宋体" w:cs="宋体"/>
          <w:b/>
          <w:bCs/>
          <w:kern w:val="2"/>
          <w:sz w:val="24"/>
          <w:szCs w:val="24"/>
          <w:highlight w:val="none"/>
          <w:lang w:val="en-US" w:eastAsia="zh-CN" w:bidi="ar-SA"/>
        </w:rPr>
      </w:pPr>
    </w:p>
    <w:p w14:paraId="712E0400">
      <w:pPr>
        <w:keepLines w:val="0"/>
        <w:pageBreakBefore w:val="0"/>
        <w:numPr>
          <w:ilvl w:val="0"/>
          <w:numId w:val="0"/>
        </w:numPr>
        <w:kinsoku/>
        <w:wordWrap/>
        <w:overflowPunct/>
        <w:topLinePunct w:val="0"/>
        <w:autoSpaceDE/>
        <w:autoSpaceDN/>
        <w:bidi w:val="0"/>
        <w:adjustRightInd/>
        <w:spacing w:line="240" w:lineRule="auto"/>
        <w:ind w:left="0" w:leftChars="0" w:firstLine="0" w:firstLineChars="0"/>
        <w:outlineLvl w:val="2"/>
        <w:rPr>
          <w:rFonts w:hint="eastAsia" w:ascii="宋体" w:hAnsi="宋体" w:cs="宋体"/>
          <w:b/>
          <w:bCs/>
          <w:sz w:val="24"/>
          <w:highlight w:val="none"/>
          <w:lang w:val="en-US" w:eastAsia="zh-CN"/>
        </w:rPr>
      </w:pPr>
      <w:r>
        <w:rPr>
          <w:rFonts w:hint="eastAsia" w:ascii="宋体" w:hAnsi="宋体" w:eastAsia="宋体" w:cs="宋体"/>
          <w:b/>
          <w:bCs/>
          <w:kern w:val="2"/>
          <w:sz w:val="24"/>
          <w:szCs w:val="24"/>
          <w:highlight w:val="none"/>
          <w:lang w:val="en-US" w:eastAsia="zh-CN" w:bidi="ar-SA"/>
        </w:rPr>
        <w:t>6</w:t>
      </w:r>
      <w:r>
        <w:rPr>
          <w:rFonts w:hint="eastAsia" w:ascii="宋体" w:hAnsi="宋体" w:cs="宋体"/>
          <w:b/>
          <w:bCs/>
          <w:kern w:val="2"/>
          <w:sz w:val="24"/>
          <w:szCs w:val="24"/>
          <w:highlight w:val="none"/>
          <w:lang w:val="en-US" w:eastAsia="zh-CN" w:bidi="ar-SA"/>
        </w:rPr>
        <w:t>包：</w:t>
      </w:r>
      <w:r>
        <w:rPr>
          <w:rFonts w:hint="eastAsia" w:ascii="宋体" w:hAnsi="宋体" w:cs="宋体"/>
          <w:b/>
          <w:bCs/>
          <w:sz w:val="24"/>
          <w:highlight w:val="none"/>
          <w:lang w:val="en-US" w:eastAsia="zh-CN"/>
        </w:rPr>
        <w:t>综合置管智慧实训室建设项目</w:t>
      </w:r>
    </w:p>
    <w:tbl>
      <w:tblPr>
        <w:tblStyle w:val="4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3046"/>
        <w:gridCol w:w="654"/>
        <w:gridCol w:w="746"/>
        <w:gridCol w:w="1476"/>
        <w:gridCol w:w="1785"/>
        <w:gridCol w:w="980"/>
      </w:tblGrid>
      <w:tr w14:paraId="58132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F93D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序号</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4BF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产品名称</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327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单位</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07B8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数量</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5E70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单价</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457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总价</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889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lang w:val="en-US"/>
              </w:rPr>
            </w:pPr>
            <w:r>
              <w:rPr>
                <w:rFonts w:hint="eastAsia" w:ascii="宋体" w:hAnsi="宋体" w:eastAsia="宋体" w:cs="宋体"/>
                <w:b w:val="0"/>
                <w:bCs w:val="0"/>
                <w:i w:val="0"/>
                <w:iCs w:val="0"/>
                <w:color w:val="000000"/>
                <w:kern w:val="0"/>
                <w:sz w:val="21"/>
                <w:szCs w:val="21"/>
                <w:u w:val="none"/>
                <w:lang w:val="en-US" w:eastAsia="zh-CN" w:bidi="ar"/>
              </w:rPr>
              <w:t>是否进口产品</w:t>
            </w:r>
          </w:p>
        </w:tc>
      </w:tr>
      <w:tr w14:paraId="06D6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A517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3DD4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综合置管教师机硬件平台</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3E1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AEB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E0C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86000.00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29F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86000.00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075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38C80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A521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3E62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洗胃术训练系统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7D86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487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4CD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218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C5D9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30B17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DFD6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C8E5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吸痰术训练系统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AA47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7F77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C49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B8F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1DA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47EE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444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C6CC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鼻饲术训练系统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7860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4F7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0693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6D2C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61000.00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93A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C60F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867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04F2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胃肠减压术训练系统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6358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C23C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51FA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46000.00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0F79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46000.00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489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48C2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231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04C0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三腔二囊管止血术训练系统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CE4D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858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386E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45000.00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31E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45000.00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BEB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DF4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A29F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7</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577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灌肠术训练系统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C7D5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FC8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CEF5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55000.00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A36E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55000.00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D483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5B8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C612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8</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B88C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女性导尿术训练系统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0D3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AFCE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E0A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58000.00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3D5F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58000.00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BF0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4BA06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F5DC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9</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65B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男性导尿术训练系统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57AE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F47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5342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55000.00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4C33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55000.00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223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A728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D015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10</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FDAB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综合置管智能女性模拟人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C7D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BB65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5AC6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83000.00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CD57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83000.00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50EA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248AD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FBA1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11</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F481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综合置管智能男性半身模型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722D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1F05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726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28000.00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3EF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28000.00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566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EE56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C063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12</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6BD0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综合置管教师机智能器械包</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DA0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921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AA1F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DA7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34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663C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E3A0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13</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7E1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综合置管教师机智能洗胃机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E45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7D2F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7257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49B4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EA0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2F0EA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B78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14</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FAAD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综合置管教师机智能吸痰机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455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72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F5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8500.00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B69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8500.00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68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AEF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BFF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15</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6E5C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综合置管教师机智能灌肠支架</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F404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36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862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DDAE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9A68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089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C59E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16</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D05D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治疗车</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AE4D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3806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03A9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0838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1500.00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B0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84AF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9E2B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17</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838B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病床单元</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3666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66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166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1800.00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24B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1800.00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22A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36C5C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F8D2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18</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6AD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智能信息管理系统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820E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项</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F1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70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2EF2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55A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38A7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B71A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19</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90E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教学交互及智能分析系统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8A44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91C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13EA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68000.00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47DA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68000.00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A8B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2B973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CF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20</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7001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智能评价系统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89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952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6574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A5E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30E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0EB10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7B8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21</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C003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上腔道置管学生机硬件平台</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3F3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D39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315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46000.00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4175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138000.00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AC6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64AF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3ACA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22</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1FB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上腔道置管学生机技能操作模块</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FF98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288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7856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60000.00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A4E0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180000.00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6A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BA4A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15FC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23</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756C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上腔道置管智能女性半身模型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CF8F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EBCD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F47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43000.00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B13C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129000.00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FA5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44E01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649A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24</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3B6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上腔道置管学生机智能洗胃机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FF49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7BED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A7E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12000.00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1F9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36000.00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D9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863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C3D0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25</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5798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上腔道置管学生机智能吸痰机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6F4F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2159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15EF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8500.00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9309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25500.00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F63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4C872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E0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26</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F0E8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下腔道置管学生机硬件平台</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4830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C54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9CA0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38000.00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B5F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114000.00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ABC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DB90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A9E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27</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5F4B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下腔道置管学生机技能操作模块</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5A8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859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8569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36000.00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C872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108000.00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4E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8C4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7704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28</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A30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下腔道置管智能男性模型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B77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5E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EBA2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27000.00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810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81000.00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653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0807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907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29</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9C43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下腔道置管智能女性模型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0FCE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2BF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D4A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23750.00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2EF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71250.00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CC6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68D85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5920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30</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1B3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移动支架示教交互系统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4A0E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59F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E8A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29800.00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0C6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29800.00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A464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5559F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8EA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31</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966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示教投屏展示硬件</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2D4D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台</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4183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6B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20500.00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6774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41000.00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2DA6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7EA8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4B9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32</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5AD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网络配套设备</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C81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项</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E998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ED85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4219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19000.00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0802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36AC9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31F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33</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A533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智慧多媒体教学系统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F22C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台</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1E32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827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25550.00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4E7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25550.00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DAF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20C05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A26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34</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39B2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常态化录播系统</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1F9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D5A0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FF86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14000.00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185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14000.00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5E8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76B05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BA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35</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37FD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教师双目摄像机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66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台</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0E3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5818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5250.00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375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5250.00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C9C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48DA5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96E5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36</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00E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学生双目摄像机</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A7F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台</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7CE0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470C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5250.00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48EB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5250.00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75E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D4D7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CFA4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37</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4C6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指向拾音话筒</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DFAB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支</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ADB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02F8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2200.00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4E4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4400.00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EC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614A6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84B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38</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2E7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材料费</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BDA0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7D5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721E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2600.00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4D29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2600.00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71D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6F0F8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243E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39</w:t>
            </w: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FEE6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安装费</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14B2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套</w:t>
            </w: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178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6F1F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4600.00 </w:t>
            </w: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8B5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 xml:space="preserve">4600.00 </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678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否</w:t>
            </w:r>
          </w:p>
        </w:tc>
      </w:tr>
      <w:tr w14:paraId="10393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C601A">
            <w:pPr>
              <w:jc w:val="center"/>
              <w:rPr>
                <w:rFonts w:hint="eastAsia" w:ascii="宋体" w:hAnsi="宋体" w:eastAsia="宋体" w:cs="宋体"/>
                <w:b w:val="0"/>
                <w:bCs w:val="0"/>
                <w:i w:val="0"/>
                <w:iCs w:val="0"/>
                <w:color w:val="000000"/>
                <w:sz w:val="21"/>
                <w:szCs w:val="21"/>
                <w:u w:val="none"/>
              </w:rPr>
            </w:pPr>
          </w:p>
        </w:tc>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EE3D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合计</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F97F7">
            <w:pPr>
              <w:jc w:val="center"/>
              <w:rPr>
                <w:rFonts w:hint="eastAsia" w:ascii="宋体" w:hAnsi="宋体" w:eastAsia="宋体" w:cs="宋体"/>
                <w:b w:val="0"/>
                <w:bCs w:val="0"/>
                <w:i w:val="0"/>
                <w:iCs w:val="0"/>
                <w:color w:val="000000"/>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1E630">
            <w:pPr>
              <w:jc w:val="center"/>
              <w:rPr>
                <w:rFonts w:hint="eastAsia" w:ascii="宋体" w:hAnsi="宋体" w:eastAsia="宋体" w:cs="宋体"/>
                <w:b w:val="0"/>
                <w:bCs w:val="0"/>
                <w:i w:val="0"/>
                <w:iCs w:val="0"/>
                <w:color w:val="000000"/>
                <w:sz w:val="21"/>
                <w:szCs w:val="21"/>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EA0F2">
            <w:pPr>
              <w:rPr>
                <w:rFonts w:hint="eastAsia" w:ascii="宋体" w:hAnsi="宋体" w:eastAsia="宋体" w:cs="宋体"/>
                <w:b w:val="0"/>
                <w:bCs w:val="0"/>
                <w:i w:val="0"/>
                <w:iCs w:val="0"/>
                <w:color w:val="000000"/>
                <w:sz w:val="21"/>
                <w:szCs w:val="21"/>
                <w:u w:val="none"/>
              </w:rPr>
            </w:pPr>
          </w:p>
        </w:tc>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14C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1900000.00</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6E13">
            <w:pPr>
              <w:jc w:val="center"/>
              <w:rPr>
                <w:rFonts w:hint="eastAsia" w:ascii="宋体" w:hAnsi="宋体" w:eastAsia="宋体" w:cs="宋体"/>
                <w:b w:val="0"/>
                <w:bCs w:val="0"/>
                <w:i w:val="0"/>
                <w:iCs w:val="0"/>
                <w:color w:val="000000"/>
                <w:sz w:val="21"/>
                <w:szCs w:val="21"/>
                <w:u w:val="none"/>
              </w:rPr>
            </w:pPr>
          </w:p>
        </w:tc>
      </w:tr>
    </w:tbl>
    <w:p w14:paraId="3315E8BE">
      <w:pPr>
        <w:keepLines w:val="0"/>
        <w:pageBreakBefore w:val="0"/>
        <w:kinsoku/>
        <w:wordWrap/>
        <w:overflowPunct/>
        <w:topLinePunct w:val="0"/>
        <w:autoSpaceDE/>
        <w:autoSpaceDN/>
        <w:bidi w:val="0"/>
        <w:adjustRightInd/>
        <w:spacing w:line="240" w:lineRule="auto"/>
      </w:pPr>
    </w:p>
    <w:p w14:paraId="13ED527F">
      <w:pPr>
        <w:spacing w:line="360" w:lineRule="auto"/>
        <w:ind w:firstLine="480" w:firstLineChars="200"/>
        <w:jc w:val="left"/>
        <w:rPr>
          <w:rFonts w:hint="default"/>
          <w:highlight w:val="none"/>
          <w:lang w:val="en-US" w:eastAsia="zh-CN"/>
        </w:rPr>
      </w:pPr>
      <w:r>
        <w:rPr>
          <w:rFonts w:hint="eastAsia" w:ascii="宋体" w:hAnsi="宋体" w:cs="宋体"/>
          <w:sz w:val="24"/>
          <w:highlight w:val="none"/>
        </w:rPr>
        <w:t>具体采购内容详见招标文件“第五章 采购内容及要求”。</w:t>
      </w:r>
    </w:p>
    <w:p w14:paraId="2CAD7FC2">
      <w:pPr>
        <w:keepLines w:val="0"/>
        <w:pageBreakBefore w:val="0"/>
        <w:kinsoku/>
        <w:wordWrap/>
        <w:overflowPunct/>
        <w:topLinePunct w:val="0"/>
        <w:autoSpaceDE/>
        <w:autoSpaceDN/>
        <w:bidi w:val="0"/>
        <w:spacing w:line="360" w:lineRule="auto"/>
        <w:ind w:firstLine="482" w:firstLineChars="200"/>
        <w:jc w:val="left"/>
        <w:rPr>
          <w:rFonts w:ascii="宋体" w:hAnsi="宋体" w:cs="宋体"/>
          <w:sz w:val="24"/>
          <w:highlight w:val="none"/>
        </w:rPr>
      </w:pPr>
      <w:r>
        <w:rPr>
          <w:rFonts w:hint="eastAsia" w:ascii="宋体" w:hAnsi="宋体" w:eastAsia="宋体" w:cs="宋体"/>
          <w:b/>
          <w:bCs/>
          <w:color w:val="auto"/>
          <w:sz w:val="24"/>
          <w:szCs w:val="24"/>
          <w:highlight w:val="none"/>
          <w:lang w:val="en-US" w:eastAsia="zh-CN"/>
        </w:rPr>
        <w:t>注：本项目分为1、2、3、4、5、6，六个分包，投标供应商可选择其中的一个或多个包投标，投标文件需按标包分别制作分别投标。每个</w:t>
      </w:r>
      <w:r>
        <w:rPr>
          <w:rFonts w:hint="eastAsia" w:ascii="宋体" w:hAnsi="宋体" w:cs="宋体"/>
          <w:b/>
          <w:bCs/>
          <w:color w:val="auto"/>
          <w:sz w:val="24"/>
          <w:szCs w:val="24"/>
          <w:highlight w:val="none"/>
          <w:lang w:val="en-US" w:eastAsia="zh-CN"/>
        </w:rPr>
        <w:t>包</w:t>
      </w:r>
      <w:r>
        <w:rPr>
          <w:rFonts w:hint="eastAsia" w:ascii="宋体" w:hAnsi="宋体" w:eastAsia="宋体" w:cs="宋体"/>
          <w:b/>
          <w:bCs/>
          <w:color w:val="auto"/>
          <w:sz w:val="24"/>
          <w:szCs w:val="24"/>
          <w:highlight w:val="none"/>
          <w:lang w:val="en-US" w:eastAsia="zh-CN"/>
        </w:rPr>
        <w:t>推荐1名</w:t>
      </w:r>
      <w:r>
        <w:rPr>
          <w:rFonts w:hint="eastAsia" w:ascii="宋体" w:hAnsi="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lang w:val="en-US" w:eastAsia="zh-CN"/>
        </w:rPr>
        <w:t>候选人中标，投标供应商</w:t>
      </w:r>
      <w:r>
        <w:rPr>
          <w:rFonts w:hint="eastAsia" w:ascii="宋体" w:hAnsi="宋体" w:cs="宋体"/>
          <w:b/>
          <w:bCs/>
          <w:color w:val="auto"/>
          <w:sz w:val="24"/>
          <w:szCs w:val="24"/>
          <w:highlight w:val="none"/>
          <w:lang w:val="en-US" w:eastAsia="zh-CN"/>
        </w:rPr>
        <w:t>可兼头兼中</w:t>
      </w:r>
      <w:r>
        <w:rPr>
          <w:rFonts w:hint="eastAsia" w:ascii="宋体" w:hAnsi="宋体" w:eastAsia="宋体" w:cs="宋体"/>
          <w:b/>
          <w:bCs/>
          <w:color w:val="auto"/>
          <w:sz w:val="24"/>
          <w:szCs w:val="24"/>
          <w:highlight w:val="none"/>
          <w:lang w:val="en-US" w:eastAsia="zh-CN"/>
        </w:rPr>
        <w:t>。评审顺序按</w:t>
      </w:r>
      <w:r>
        <w:rPr>
          <w:rFonts w:hint="eastAsia" w:ascii="宋体" w:hAnsi="宋体" w:cs="宋体"/>
          <w:b/>
          <w:bCs/>
          <w:color w:val="auto"/>
          <w:sz w:val="24"/>
          <w:szCs w:val="24"/>
          <w:highlight w:val="none"/>
          <w:lang w:val="en-US" w:eastAsia="zh-CN"/>
        </w:rPr>
        <w:t>包</w:t>
      </w:r>
      <w:r>
        <w:rPr>
          <w:rFonts w:hint="eastAsia" w:ascii="宋体" w:hAnsi="宋体" w:eastAsia="宋体" w:cs="宋体"/>
          <w:b/>
          <w:bCs/>
          <w:color w:val="auto"/>
          <w:sz w:val="24"/>
          <w:szCs w:val="24"/>
          <w:highlight w:val="none"/>
          <w:lang w:val="en-US" w:eastAsia="zh-CN"/>
        </w:rPr>
        <w:t>顺序进行评审。</w:t>
      </w:r>
    </w:p>
    <w:p w14:paraId="170B1204">
      <w:pPr>
        <w:ind w:firstLine="480" w:firstLineChars="200"/>
        <w:jc w:val="left"/>
        <w:rPr>
          <w:rFonts w:ascii="宋体" w:hAnsi="宋体" w:cs="宋体"/>
          <w:sz w:val="24"/>
          <w:highlight w:val="none"/>
        </w:rPr>
      </w:pPr>
      <w:r>
        <w:rPr>
          <w:rFonts w:hint="eastAsia" w:ascii="宋体" w:hAnsi="宋体" w:cs="宋体"/>
          <w:bCs/>
          <w:sz w:val="24"/>
          <w:highlight w:val="none"/>
        </w:rPr>
        <w:t>合同履行期限</w:t>
      </w:r>
      <w:r>
        <w:rPr>
          <w:rFonts w:hint="eastAsia" w:ascii="宋体" w:hAnsi="宋体" w:cs="宋体"/>
          <w:sz w:val="24"/>
          <w:highlight w:val="none"/>
        </w:rPr>
        <w:t>：自合同签订之日起</w:t>
      </w:r>
      <w:r>
        <w:rPr>
          <w:rFonts w:hint="eastAsia" w:ascii="宋体" w:hAnsi="宋体" w:cs="宋体"/>
          <w:sz w:val="24"/>
          <w:highlight w:val="none"/>
          <w:lang w:eastAsia="zh-CN"/>
        </w:rPr>
        <w:t>60个日历天内完成供货</w:t>
      </w:r>
      <w:r>
        <w:rPr>
          <w:rFonts w:hint="eastAsia" w:ascii="宋体" w:hAnsi="宋体" w:cs="宋体"/>
          <w:sz w:val="24"/>
          <w:highlight w:val="none"/>
        </w:rPr>
        <w:t>、系统建设</w:t>
      </w:r>
      <w:r>
        <w:rPr>
          <w:rFonts w:hint="eastAsia" w:ascii="宋体" w:hAnsi="宋体" w:cs="宋体"/>
          <w:sz w:val="24"/>
          <w:highlight w:val="none"/>
          <w:lang w:eastAsia="zh-CN"/>
        </w:rPr>
        <w:t>、</w:t>
      </w:r>
      <w:r>
        <w:rPr>
          <w:rFonts w:hint="eastAsia" w:ascii="宋体" w:hAnsi="宋体" w:cs="宋体"/>
          <w:sz w:val="24"/>
          <w:highlight w:val="none"/>
        </w:rPr>
        <w:t>安装</w:t>
      </w:r>
      <w:r>
        <w:rPr>
          <w:rFonts w:hint="eastAsia" w:ascii="宋体" w:hAnsi="宋体" w:cs="宋体"/>
          <w:sz w:val="24"/>
          <w:highlight w:val="none"/>
          <w:lang w:eastAsia="zh-CN"/>
        </w:rPr>
        <w:t>、</w:t>
      </w:r>
      <w:r>
        <w:rPr>
          <w:rFonts w:hint="eastAsia" w:ascii="宋体" w:hAnsi="宋体" w:cs="宋体"/>
          <w:sz w:val="24"/>
          <w:highlight w:val="none"/>
        </w:rPr>
        <w:t>调试及验收，满足采购人使用需求。</w:t>
      </w:r>
    </w:p>
    <w:p w14:paraId="1EBEE372">
      <w:pPr>
        <w:ind w:firstLine="480" w:firstLineChars="200"/>
        <w:jc w:val="left"/>
        <w:rPr>
          <w:rFonts w:ascii="宋体" w:hAnsi="宋体" w:cs="宋体"/>
          <w:bCs/>
          <w:sz w:val="24"/>
          <w:highlight w:val="none"/>
        </w:rPr>
      </w:pPr>
      <w:bookmarkStart w:id="11" w:name="_Toc35393799"/>
      <w:bookmarkStart w:id="12" w:name="_Toc35393630"/>
      <w:bookmarkStart w:id="13" w:name="_Toc28359090"/>
      <w:bookmarkStart w:id="14" w:name="_Toc28359013"/>
      <w:r>
        <w:rPr>
          <w:rFonts w:hint="eastAsia" w:ascii="宋体" w:hAnsi="宋体" w:cs="宋体"/>
          <w:bCs/>
          <w:sz w:val="24"/>
          <w:highlight w:val="none"/>
        </w:rPr>
        <w:t>本项目不接受联合体投标。</w:t>
      </w:r>
    </w:p>
    <w:p w14:paraId="1C28448A">
      <w:pPr>
        <w:ind w:firstLine="480" w:firstLineChars="200"/>
        <w:jc w:val="left"/>
        <w:outlineLvl w:val="1"/>
        <w:rPr>
          <w:rFonts w:ascii="宋体" w:hAnsi="宋体" w:cs="宋体"/>
          <w:sz w:val="24"/>
          <w:highlight w:val="none"/>
        </w:rPr>
      </w:pPr>
      <w:bookmarkStart w:id="15" w:name="_Toc24494"/>
      <w:r>
        <w:rPr>
          <w:rFonts w:hint="eastAsia" w:ascii="宋体" w:hAnsi="宋体" w:cs="宋体"/>
          <w:sz w:val="24"/>
          <w:highlight w:val="none"/>
        </w:rPr>
        <w:t>二、申请人的资格要求（1</w:t>
      </w:r>
      <w:r>
        <w:rPr>
          <w:rFonts w:hint="eastAsia" w:ascii="宋体" w:hAnsi="宋体" w:cs="宋体"/>
          <w:sz w:val="24"/>
          <w:highlight w:val="none"/>
          <w:lang w:val="en-US" w:eastAsia="zh-CN"/>
        </w:rPr>
        <w:t>-6</w:t>
      </w:r>
      <w:r>
        <w:rPr>
          <w:rFonts w:hint="eastAsia" w:ascii="宋体" w:hAnsi="宋体" w:cs="宋体"/>
          <w:sz w:val="24"/>
          <w:highlight w:val="none"/>
        </w:rPr>
        <w:t>包均适用）：</w:t>
      </w:r>
      <w:bookmarkEnd w:id="11"/>
      <w:bookmarkEnd w:id="12"/>
      <w:bookmarkEnd w:id="13"/>
      <w:bookmarkEnd w:id="14"/>
      <w:bookmarkEnd w:id="15"/>
    </w:p>
    <w:p w14:paraId="4FDA177B">
      <w:pPr>
        <w:ind w:firstLine="480" w:firstLineChars="200"/>
        <w:rPr>
          <w:rFonts w:ascii="宋体" w:hAnsi="宋体" w:cs="宋体"/>
          <w:sz w:val="24"/>
          <w:highlight w:val="none"/>
        </w:rPr>
      </w:pPr>
      <w:bookmarkStart w:id="16" w:name="_Toc28359014"/>
      <w:bookmarkStart w:id="17" w:name="_Toc28359091"/>
      <w:r>
        <w:rPr>
          <w:rFonts w:hint="eastAsia" w:ascii="宋体" w:hAnsi="宋体" w:cs="宋体"/>
          <w:sz w:val="24"/>
          <w:highlight w:val="none"/>
        </w:rPr>
        <w:t>1.满足《中华人民共和国政府采购法》第二十二条规定。</w:t>
      </w:r>
    </w:p>
    <w:p w14:paraId="7CC3B01B">
      <w:pPr>
        <w:ind w:firstLine="480" w:firstLineChars="200"/>
        <w:rPr>
          <w:rFonts w:ascii="宋体" w:hAnsi="宋体" w:cs="宋体"/>
          <w:sz w:val="24"/>
          <w:highlight w:val="none"/>
        </w:rPr>
      </w:pPr>
      <w:r>
        <w:rPr>
          <w:rFonts w:hint="eastAsia" w:ascii="宋体" w:hAnsi="宋体" w:cs="宋体"/>
          <w:sz w:val="24"/>
          <w:highlight w:val="none"/>
        </w:rPr>
        <w:t>1.1供应商在中国境内注册登记，具有独立承担民事责任的能力，提供有效的营业执照或者其他主体资格证明文件</w:t>
      </w:r>
      <w:r>
        <w:rPr>
          <w:rFonts w:hint="eastAsia" w:ascii="宋体" w:hAnsi="宋体" w:cs="宋体"/>
          <w:bCs/>
          <w:sz w:val="24"/>
          <w:highlight w:val="none"/>
        </w:rPr>
        <w:t>；</w:t>
      </w:r>
    </w:p>
    <w:p w14:paraId="246B13B5">
      <w:pPr>
        <w:ind w:firstLine="480" w:firstLineChars="200"/>
        <w:rPr>
          <w:rFonts w:hint="eastAsia" w:ascii="宋体" w:hAnsi="宋体" w:cs="宋体"/>
          <w:sz w:val="24"/>
          <w:highlight w:val="none"/>
        </w:rPr>
      </w:pPr>
      <w:r>
        <w:rPr>
          <w:rFonts w:hint="eastAsia" w:ascii="宋体" w:hAnsi="宋体" w:cs="宋体"/>
          <w:sz w:val="24"/>
          <w:highlight w:val="none"/>
        </w:rPr>
        <w:t>1.2</w:t>
      </w:r>
      <w:bookmarkStart w:id="18" w:name="_Hlk14085580"/>
      <w:r>
        <w:rPr>
          <w:rFonts w:hint="eastAsia" w:ascii="宋体" w:hAnsi="宋体" w:cs="宋体"/>
          <w:sz w:val="24"/>
          <w:highlight w:val="none"/>
        </w:rPr>
        <w:t>供应商自行承诺符合《中华人民共和国政府采购法》第二十二条规定及《中华人民共和国政府采购法实施条例》第十七条的相关要求；</w:t>
      </w:r>
    </w:p>
    <w:p w14:paraId="7A48079F">
      <w:pPr>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1.3</w:t>
      </w:r>
      <w:r>
        <w:rPr>
          <w:rFonts w:hint="eastAsia" w:ascii="宋体" w:hAnsi="宋体" w:cs="宋体"/>
          <w:sz w:val="24"/>
          <w:highlight w:val="none"/>
        </w:rPr>
        <w:t>投标文件递交截止时间前供应商在“信用中国”网站（www.creditchina.gov.cn）中未被列入：重大税收违法失信主体、政府采购严重违法失信行为记录名单；在“中国政府采购网”（www.ccgp.gov.cn）中未被列入：政府采购严重违法失信行为记录名单。供应商自拟格式承诺以上内容，加盖供应商公章或电子签章在投标文件中提供，以上信用信息由采购人或采购代理机构在开标会议结束后、评标前将通过“信用中国”网站</w:t>
      </w:r>
      <w:r>
        <w:rPr>
          <w:rFonts w:hint="eastAsia" w:ascii="宋体" w:hAnsi="宋体" w:cs="宋体"/>
          <w:sz w:val="24"/>
          <w:highlight w:val="none"/>
          <w:lang w:eastAsia="zh-CN"/>
        </w:rPr>
        <w:t>（</w:t>
      </w:r>
      <w:r>
        <w:rPr>
          <w:rFonts w:hint="eastAsia" w:ascii="宋体" w:hAnsi="宋体" w:cs="宋体"/>
          <w:sz w:val="24"/>
          <w:highlight w:val="none"/>
        </w:rPr>
        <w:t>www.creditchina.gov.cn</w:t>
      </w:r>
      <w:r>
        <w:rPr>
          <w:rFonts w:hint="eastAsia" w:ascii="宋体" w:hAnsi="宋体" w:cs="宋体"/>
          <w:sz w:val="24"/>
          <w:highlight w:val="none"/>
          <w:lang w:eastAsia="zh-CN"/>
        </w:rPr>
        <w:t>）</w:t>
      </w:r>
      <w:r>
        <w:rPr>
          <w:rFonts w:hint="eastAsia" w:ascii="宋体" w:hAnsi="宋体" w:cs="宋体"/>
          <w:sz w:val="24"/>
          <w:highlight w:val="none"/>
        </w:rPr>
        <w:t>、中国政府采购网（www.ccgp.gov.cn）查询供应商信用记录，上述网站信用信息查询结果的网页截图或网页打印稿作为证据留存，若供应商存在查证的以上相关记录，采购人有权取消其竞标（中标）资格）</w:t>
      </w:r>
      <w:r>
        <w:rPr>
          <w:rFonts w:hint="eastAsia" w:ascii="宋体" w:hAnsi="宋体" w:cs="宋体"/>
          <w:sz w:val="24"/>
          <w:highlight w:val="none"/>
          <w:lang w:eastAsia="zh-CN"/>
        </w:rPr>
        <w:t>。</w:t>
      </w:r>
    </w:p>
    <w:bookmarkEnd w:id="18"/>
    <w:p w14:paraId="574C7F19">
      <w:pPr>
        <w:ind w:firstLine="480" w:firstLineChars="200"/>
        <w:rPr>
          <w:rFonts w:ascii="宋体" w:hAnsi="宋体" w:cs="宋体"/>
          <w:bCs/>
          <w:sz w:val="24"/>
          <w:highlight w:val="none"/>
        </w:rPr>
      </w:pPr>
      <w:r>
        <w:rPr>
          <w:rFonts w:hint="eastAsia" w:ascii="宋体" w:hAnsi="宋体" w:cs="宋体"/>
          <w:bCs/>
          <w:sz w:val="24"/>
          <w:highlight w:val="none"/>
        </w:rPr>
        <w:t>2.落实政府采购政策需满足的资格要求：</w:t>
      </w:r>
      <w:r>
        <w:rPr>
          <w:rFonts w:hint="eastAsia" w:ascii="宋体" w:hAnsi="宋体" w:cs="宋体"/>
          <w:sz w:val="24"/>
          <w:highlight w:val="none"/>
        </w:rPr>
        <w:t>本项目专门面向中小企业（注：监狱企业、残疾人福利性单位视同小型或微型企业）预留份额采购。</w:t>
      </w:r>
    </w:p>
    <w:p w14:paraId="2CB4C2BE">
      <w:pPr>
        <w:ind w:firstLine="480" w:firstLineChars="200"/>
        <w:jc w:val="left"/>
        <w:rPr>
          <w:rFonts w:hint="eastAsia" w:ascii="宋体" w:hAnsi="宋体" w:cs="宋体"/>
          <w:sz w:val="24"/>
          <w:highlight w:val="none"/>
        </w:rPr>
      </w:pPr>
      <w:r>
        <w:rPr>
          <w:rFonts w:hint="eastAsia" w:ascii="宋体" w:hAnsi="宋体" w:cs="宋体"/>
          <w:sz w:val="24"/>
          <w:highlight w:val="none"/>
        </w:rPr>
        <w:t>3.本项目的特定资格要求：</w:t>
      </w:r>
    </w:p>
    <w:p w14:paraId="27049F43">
      <w:pPr>
        <w:spacing w:line="360" w:lineRule="auto"/>
        <w:ind w:firstLine="480" w:firstLineChars="200"/>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3.1</w:t>
      </w:r>
      <w:r>
        <w:rPr>
          <w:rFonts w:hint="eastAsia" w:ascii="宋体" w:hAnsi="宋体" w:eastAsia="宋体" w:cs="宋体"/>
          <w:sz w:val="24"/>
          <w:highlight w:val="none"/>
          <w:lang w:val="en-US" w:eastAsia="zh-CN"/>
        </w:rPr>
        <w:t>仅4包适用：供应商如果是代理商或经销商且所投产品为医疗器械的，须提供医疗器械经营许可证或医疗器械备案凭证、所投产品制造商医疗器械生产许可证、所投产品的医疗器械注册证及附件；</w:t>
      </w:r>
    </w:p>
    <w:p w14:paraId="3EABB98B">
      <w:pPr>
        <w:spacing w:line="360" w:lineRule="auto"/>
        <w:ind w:firstLine="480" w:firstLineChars="20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供应商如果是制造商且所投产品为医疗器械的（制造商工商注册地在中华人民共和国境外的，不作此要求），须提供医疗器械生产许可证、所投产品的医疗器械注册证及附件。</w:t>
      </w:r>
    </w:p>
    <w:p w14:paraId="41F61CB8">
      <w:pPr>
        <w:spacing w:line="360" w:lineRule="auto"/>
        <w:ind w:firstLine="480" w:firstLineChars="200"/>
        <w:jc w:val="lef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医疗器械生产证或经营许可证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cs="宋体"/>
          <w:sz w:val="24"/>
          <w:highlight w:val="none"/>
          <w:lang w:val="en-US" w:eastAsia="zh-CN"/>
        </w:rPr>
        <w:t>。</w:t>
      </w:r>
    </w:p>
    <w:p w14:paraId="2D9FB2A4">
      <w:pPr>
        <w:ind w:firstLine="480" w:firstLineChars="200"/>
        <w:jc w:val="left"/>
        <w:rPr>
          <w:rFonts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2</w:t>
      </w:r>
      <w:r>
        <w:rPr>
          <w:rFonts w:hint="eastAsia" w:ascii="宋体" w:hAnsi="宋体" w:cs="宋体"/>
          <w:sz w:val="24"/>
          <w:highlight w:val="none"/>
        </w:rPr>
        <w:t>联合体投标：本次招标不接受联合体投标。</w:t>
      </w:r>
    </w:p>
    <w:p w14:paraId="6294F938">
      <w:pPr>
        <w:ind w:firstLine="480" w:firstLineChars="200"/>
        <w:jc w:val="left"/>
        <w:rPr>
          <w:rFonts w:ascii="宋体" w:hAnsi="宋体" w:cs="宋体"/>
          <w:sz w:val="24"/>
          <w:highlight w:val="none"/>
        </w:rPr>
      </w:pPr>
      <w:r>
        <w:rPr>
          <w:rFonts w:hint="eastAsia" w:ascii="宋体" w:hAnsi="宋体" w:cs="宋体"/>
          <w:sz w:val="24"/>
          <w:highlight w:val="none"/>
        </w:rPr>
        <w:t>注：（1）与采购人存在利害关系可能影响招标公正性的法人、其他组织或者个人，不得参加投标；（2）单位负责人为同一人或者存在控股、管理关系的不同单位，不得参加同一采购项目（或同一标段）投标。</w:t>
      </w:r>
    </w:p>
    <w:bookmarkEnd w:id="16"/>
    <w:bookmarkEnd w:id="17"/>
    <w:p w14:paraId="0829C9AA">
      <w:pPr>
        <w:ind w:firstLine="480" w:firstLineChars="200"/>
        <w:jc w:val="left"/>
        <w:outlineLvl w:val="1"/>
        <w:rPr>
          <w:rFonts w:ascii="宋体" w:hAnsi="宋体" w:cs="宋体"/>
          <w:sz w:val="24"/>
          <w:highlight w:val="none"/>
        </w:rPr>
      </w:pPr>
      <w:bookmarkStart w:id="19" w:name="_Toc17945"/>
      <w:bookmarkStart w:id="20" w:name="_Toc35393634"/>
      <w:bookmarkStart w:id="21" w:name="_Toc28359017"/>
      <w:bookmarkStart w:id="22" w:name="_Toc28359094"/>
      <w:bookmarkStart w:id="23" w:name="_Toc35393803"/>
      <w:r>
        <w:rPr>
          <w:rFonts w:hint="eastAsia" w:ascii="宋体" w:hAnsi="宋体" w:cs="宋体"/>
          <w:sz w:val="24"/>
          <w:highlight w:val="none"/>
        </w:rPr>
        <w:t>三、获取招标文件</w:t>
      </w:r>
      <w:bookmarkEnd w:id="19"/>
    </w:p>
    <w:p w14:paraId="462A3CF3">
      <w:pPr>
        <w:ind w:firstLine="480" w:firstLineChars="200"/>
        <w:jc w:val="left"/>
        <w:rPr>
          <w:rFonts w:ascii="宋体" w:hAnsi="宋体" w:cs="宋体"/>
          <w:sz w:val="24"/>
          <w:highlight w:val="none"/>
        </w:rPr>
      </w:pPr>
      <w:bookmarkStart w:id="24" w:name="_Toc35393632"/>
      <w:bookmarkStart w:id="25" w:name="_Toc28359015"/>
      <w:bookmarkStart w:id="26" w:name="_Toc35393801"/>
      <w:bookmarkStart w:id="27" w:name="_Toc28359092"/>
      <w:r>
        <w:rPr>
          <w:rFonts w:ascii="宋体" w:hAnsi="宋体" w:cs="宋体"/>
          <w:sz w:val="24"/>
          <w:highlight w:val="none"/>
        </w:rPr>
        <w:t>时间：</w:t>
      </w:r>
      <w:r>
        <w:rPr>
          <w:rFonts w:hint="eastAsia" w:ascii="宋体" w:hAnsi="宋体" w:cs="宋体"/>
          <w:sz w:val="24"/>
          <w:highlight w:val="none"/>
        </w:rPr>
        <w:t>2026</w:t>
      </w:r>
      <w:r>
        <w:rPr>
          <w:rFonts w:ascii="宋体" w:hAnsi="宋体" w:cs="宋体"/>
          <w:sz w:val="24"/>
          <w:highlight w:val="none"/>
        </w:rPr>
        <w:t>年</w:t>
      </w:r>
      <w:r>
        <w:rPr>
          <w:rFonts w:hint="eastAsia" w:ascii="宋体" w:hAnsi="宋体" w:cs="宋体"/>
          <w:sz w:val="24"/>
          <w:highlight w:val="none"/>
          <w:lang w:val="en-US" w:eastAsia="zh-CN"/>
        </w:rPr>
        <w:t>5</w:t>
      </w:r>
      <w:r>
        <w:rPr>
          <w:rFonts w:ascii="宋体" w:hAnsi="宋体" w:cs="宋体"/>
          <w:sz w:val="24"/>
          <w:highlight w:val="none"/>
        </w:rPr>
        <w:t>月</w:t>
      </w:r>
      <w:r>
        <w:rPr>
          <w:rFonts w:hint="eastAsia" w:ascii="宋体" w:hAnsi="宋体" w:cs="宋体"/>
          <w:sz w:val="24"/>
          <w:highlight w:val="none"/>
          <w:lang w:val="en-US" w:eastAsia="zh-CN"/>
        </w:rPr>
        <w:t>8</w:t>
      </w:r>
      <w:r>
        <w:rPr>
          <w:rFonts w:ascii="宋体" w:hAnsi="宋体" w:cs="宋体"/>
          <w:sz w:val="24"/>
          <w:highlight w:val="none"/>
        </w:rPr>
        <w:t>日至</w:t>
      </w:r>
      <w:r>
        <w:rPr>
          <w:rFonts w:hint="eastAsia" w:ascii="宋体" w:hAnsi="宋体" w:cs="宋体"/>
          <w:sz w:val="24"/>
          <w:highlight w:val="none"/>
        </w:rPr>
        <w:t>2026</w:t>
      </w:r>
      <w:r>
        <w:rPr>
          <w:rFonts w:ascii="宋体" w:hAnsi="宋体" w:cs="宋体"/>
          <w:sz w:val="24"/>
          <w:highlight w:val="none"/>
        </w:rPr>
        <w:t>年</w:t>
      </w:r>
      <w:r>
        <w:rPr>
          <w:rFonts w:hint="eastAsia" w:ascii="宋体" w:hAnsi="宋体" w:cs="宋体"/>
          <w:sz w:val="24"/>
          <w:highlight w:val="none"/>
          <w:lang w:val="en-US" w:eastAsia="zh-CN"/>
        </w:rPr>
        <w:t>5</w:t>
      </w:r>
      <w:r>
        <w:rPr>
          <w:rFonts w:ascii="宋体" w:hAnsi="宋体" w:cs="宋体"/>
          <w:sz w:val="24"/>
          <w:highlight w:val="none"/>
        </w:rPr>
        <w:t>月</w:t>
      </w:r>
      <w:r>
        <w:rPr>
          <w:rFonts w:hint="eastAsia" w:ascii="宋体" w:hAnsi="宋体" w:cs="宋体"/>
          <w:sz w:val="24"/>
          <w:highlight w:val="none"/>
          <w:lang w:val="en-US" w:eastAsia="zh-CN"/>
        </w:rPr>
        <w:t>14</w:t>
      </w:r>
      <w:r>
        <w:rPr>
          <w:rFonts w:ascii="宋体" w:hAnsi="宋体" w:cs="宋体"/>
          <w:sz w:val="24"/>
          <w:highlight w:val="none"/>
        </w:rPr>
        <w:t>日</w:t>
      </w:r>
      <w:r>
        <w:rPr>
          <w:rFonts w:hint="eastAsia" w:ascii="宋体" w:hAnsi="宋体" w:cs="宋体"/>
          <w:sz w:val="24"/>
          <w:highlight w:val="none"/>
          <w:lang w:val="en-US" w:eastAsia="zh-CN"/>
        </w:rPr>
        <w:t>23</w:t>
      </w:r>
      <w:r>
        <w:rPr>
          <w:rFonts w:ascii="宋体" w:hAnsi="宋体" w:cs="宋体"/>
          <w:sz w:val="24"/>
          <w:highlight w:val="none"/>
        </w:rPr>
        <w:t>时</w:t>
      </w:r>
      <w:r>
        <w:rPr>
          <w:rFonts w:hint="eastAsia" w:ascii="宋体" w:hAnsi="宋体" w:cs="宋体"/>
          <w:sz w:val="24"/>
          <w:highlight w:val="none"/>
          <w:lang w:val="en-US" w:eastAsia="zh-CN"/>
        </w:rPr>
        <w:t>59</w:t>
      </w:r>
      <w:r>
        <w:rPr>
          <w:rFonts w:ascii="宋体" w:hAnsi="宋体" w:cs="宋体"/>
          <w:sz w:val="24"/>
          <w:highlight w:val="none"/>
        </w:rPr>
        <w:t>分</w:t>
      </w:r>
    </w:p>
    <w:p w14:paraId="5D7106F9">
      <w:pPr>
        <w:ind w:firstLine="480" w:firstLineChars="200"/>
        <w:jc w:val="left"/>
        <w:rPr>
          <w:rFonts w:ascii="宋体" w:hAnsi="宋体" w:cs="宋体"/>
          <w:sz w:val="24"/>
          <w:highlight w:val="none"/>
        </w:rPr>
      </w:pPr>
      <w:r>
        <w:rPr>
          <w:rFonts w:ascii="宋体" w:hAnsi="宋体" w:cs="宋体"/>
          <w:sz w:val="24"/>
          <w:highlight w:val="none"/>
        </w:rPr>
        <w:t>地点：</w:t>
      </w:r>
      <w:r>
        <w:rPr>
          <w:rFonts w:hint="eastAsia" w:ascii="宋体" w:hAnsi="宋体" w:cs="宋体"/>
          <w:sz w:val="24"/>
          <w:highlight w:val="none"/>
        </w:rPr>
        <w:t>供应商</w:t>
      </w:r>
      <w:r>
        <w:rPr>
          <w:rFonts w:ascii="宋体" w:hAnsi="宋体" w:cs="宋体"/>
          <w:sz w:val="24"/>
          <w:highlight w:val="none"/>
        </w:rPr>
        <w:t>须在“政采云”平台（http：//www.zcygov.cn）下载招标文件（操作路径：登录“政采云”平台</w:t>
      </w:r>
      <w:r>
        <w:rPr>
          <w:rFonts w:hint="eastAsia" w:ascii="宋体" w:hAnsi="宋体" w:cs="宋体"/>
          <w:sz w:val="24"/>
          <w:highlight w:val="none"/>
        </w:rPr>
        <w:t>－</w:t>
      </w:r>
      <w:r>
        <w:rPr>
          <w:rFonts w:ascii="宋体" w:hAnsi="宋体" w:cs="宋体"/>
          <w:sz w:val="24"/>
          <w:highlight w:val="none"/>
        </w:rPr>
        <w:t>项目采购</w:t>
      </w:r>
      <w:r>
        <w:rPr>
          <w:rFonts w:hint="eastAsia" w:ascii="宋体" w:hAnsi="宋体" w:cs="宋体"/>
          <w:sz w:val="24"/>
          <w:highlight w:val="none"/>
        </w:rPr>
        <w:t>－</w:t>
      </w:r>
      <w:r>
        <w:rPr>
          <w:rFonts w:ascii="宋体" w:hAnsi="宋体" w:cs="宋体"/>
          <w:sz w:val="24"/>
          <w:highlight w:val="none"/>
        </w:rPr>
        <w:t>获取采购文件</w:t>
      </w:r>
      <w:r>
        <w:rPr>
          <w:rFonts w:hint="eastAsia" w:ascii="宋体" w:hAnsi="宋体" w:cs="宋体"/>
          <w:sz w:val="24"/>
          <w:highlight w:val="none"/>
        </w:rPr>
        <w:t>－</w:t>
      </w:r>
      <w:r>
        <w:rPr>
          <w:rFonts w:ascii="宋体" w:hAnsi="宋体" w:cs="宋体"/>
          <w:sz w:val="24"/>
          <w:highlight w:val="none"/>
        </w:rPr>
        <w:t>找到本项目</w:t>
      </w:r>
      <w:r>
        <w:rPr>
          <w:rFonts w:hint="eastAsia" w:ascii="宋体" w:hAnsi="宋体" w:cs="宋体"/>
          <w:sz w:val="24"/>
          <w:highlight w:val="none"/>
        </w:rPr>
        <w:t>－</w:t>
      </w:r>
      <w:r>
        <w:rPr>
          <w:rFonts w:ascii="宋体" w:hAnsi="宋体" w:cs="宋体"/>
          <w:sz w:val="24"/>
          <w:highlight w:val="none"/>
        </w:rPr>
        <w:t>点击“申请获取采购文件”）。</w:t>
      </w:r>
    </w:p>
    <w:p w14:paraId="54257059">
      <w:pPr>
        <w:ind w:firstLine="480" w:firstLineChars="200"/>
        <w:jc w:val="left"/>
        <w:rPr>
          <w:rFonts w:ascii="宋体" w:hAnsi="宋体" w:cs="宋体"/>
          <w:sz w:val="24"/>
          <w:highlight w:val="none"/>
        </w:rPr>
      </w:pPr>
      <w:r>
        <w:rPr>
          <w:rFonts w:ascii="宋体" w:hAnsi="宋体" w:cs="宋体"/>
          <w:sz w:val="24"/>
          <w:highlight w:val="none"/>
        </w:rPr>
        <w:t>方式：凡有意参加投标的</w:t>
      </w:r>
      <w:r>
        <w:rPr>
          <w:rFonts w:hint="eastAsia" w:ascii="宋体" w:hAnsi="宋体" w:cs="宋体"/>
          <w:sz w:val="24"/>
          <w:highlight w:val="none"/>
        </w:rPr>
        <w:t>供应商</w:t>
      </w:r>
      <w:r>
        <w:rPr>
          <w:rFonts w:ascii="宋体" w:hAnsi="宋体" w:cs="宋体"/>
          <w:sz w:val="24"/>
          <w:highlight w:val="none"/>
        </w:rPr>
        <w:t>，须在政采云平台办理数字证书（CA），并通过政采云绑定数字证书（CA）后在网上获取采购文件及其他采购资料，数字证书（CA）详见其办理流程。注：</w:t>
      </w:r>
      <w:r>
        <w:rPr>
          <w:rFonts w:hint="eastAsia" w:ascii="宋体" w:hAnsi="宋体" w:cs="宋体"/>
          <w:sz w:val="24"/>
          <w:highlight w:val="none"/>
        </w:rPr>
        <w:t>供应商</w:t>
      </w:r>
      <w:r>
        <w:rPr>
          <w:rFonts w:ascii="宋体" w:hAnsi="宋体" w:cs="宋体"/>
          <w:sz w:val="24"/>
          <w:highlight w:val="none"/>
        </w:rPr>
        <w:t>如之前已在云南CA在线数字证书办理网进行过注册并办理过企业数字证书（CA）的，直接绑定即可，无需重复办理（2022年1月1日前在云南省公共资源交易平台办理过云南CA证书的需到原办理点进行升级后方可使用）。外省</w:t>
      </w:r>
      <w:r>
        <w:rPr>
          <w:rFonts w:hint="eastAsia" w:ascii="宋体" w:hAnsi="宋体" w:cs="宋体"/>
          <w:sz w:val="24"/>
          <w:highlight w:val="none"/>
        </w:rPr>
        <w:t>供应商</w:t>
      </w:r>
      <w:r>
        <w:rPr>
          <w:rFonts w:ascii="宋体" w:hAnsi="宋体" w:cs="宋体"/>
          <w:sz w:val="24"/>
          <w:highlight w:val="none"/>
        </w:rPr>
        <w:t>在政采云平台办理的其他CA可直接使用，无需重复办理。</w:t>
      </w:r>
    </w:p>
    <w:p w14:paraId="3B53E3C5">
      <w:pPr>
        <w:ind w:firstLine="480" w:firstLineChars="200"/>
        <w:jc w:val="left"/>
        <w:rPr>
          <w:rFonts w:ascii="宋体" w:hAnsi="宋体" w:cs="宋体"/>
          <w:sz w:val="24"/>
          <w:highlight w:val="none"/>
        </w:rPr>
      </w:pPr>
      <w:r>
        <w:rPr>
          <w:rFonts w:ascii="宋体" w:hAnsi="宋体" w:cs="宋体"/>
          <w:sz w:val="24"/>
          <w:highlight w:val="none"/>
        </w:rPr>
        <w:t>注：</w:t>
      </w:r>
      <w:r>
        <w:rPr>
          <w:rFonts w:hint="eastAsia" w:ascii="宋体" w:hAnsi="宋体" w:cs="宋体"/>
          <w:sz w:val="24"/>
          <w:highlight w:val="none"/>
        </w:rPr>
        <w:t>供应商</w:t>
      </w:r>
      <w:r>
        <w:rPr>
          <w:rFonts w:ascii="宋体" w:hAnsi="宋体" w:cs="宋体"/>
          <w:sz w:val="24"/>
          <w:highlight w:val="none"/>
        </w:rPr>
        <w:t>通过CA证书获取采购文件的视为合法获取了项目采购文件，具备本项目的投标资格。电子投标文件制作需要基于“政采云”平台（http：//www.zcygov.cn）获取的采购文件编制。</w:t>
      </w:r>
    </w:p>
    <w:p w14:paraId="1C55C373">
      <w:pPr>
        <w:ind w:firstLine="480" w:firstLineChars="200"/>
        <w:jc w:val="left"/>
        <w:rPr>
          <w:rFonts w:ascii="宋体" w:hAnsi="宋体" w:cs="宋体"/>
          <w:sz w:val="24"/>
          <w:highlight w:val="none"/>
        </w:rPr>
      </w:pPr>
      <w:r>
        <w:rPr>
          <w:rFonts w:ascii="宋体" w:hAnsi="宋体" w:cs="宋体"/>
          <w:sz w:val="24"/>
          <w:highlight w:val="none"/>
        </w:rPr>
        <w:t>售价：0元。</w:t>
      </w:r>
    </w:p>
    <w:p w14:paraId="2137E62D">
      <w:pPr>
        <w:ind w:firstLine="480" w:firstLineChars="200"/>
        <w:jc w:val="left"/>
        <w:outlineLvl w:val="1"/>
        <w:rPr>
          <w:rFonts w:ascii="宋体" w:hAnsi="宋体" w:cs="宋体"/>
          <w:sz w:val="24"/>
          <w:highlight w:val="none"/>
        </w:rPr>
      </w:pPr>
      <w:bookmarkStart w:id="28" w:name="_Toc18152"/>
      <w:bookmarkStart w:id="29" w:name="_Toc27472"/>
      <w:r>
        <w:rPr>
          <w:rFonts w:hint="eastAsia" w:ascii="宋体" w:hAnsi="宋体" w:cs="宋体"/>
          <w:sz w:val="24"/>
          <w:highlight w:val="none"/>
        </w:rPr>
        <w:t>四、</w:t>
      </w:r>
      <w:bookmarkEnd w:id="24"/>
      <w:bookmarkEnd w:id="25"/>
      <w:bookmarkEnd w:id="26"/>
      <w:bookmarkEnd w:id="27"/>
      <w:r>
        <w:rPr>
          <w:rFonts w:hint="eastAsia" w:ascii="宋体" w:hAnsi="宋体" w:cs="宋体"/>
          <w:sz w:val="24"/>
          <w:highlight w:val="none"/>
        </w:rPr>
        <w:t>提交投标文件截止时间、开标时间和地点</w:t>
      </w:r>
      <w:bookmarkEnd w:id="28"/>
      <w:bookmarkEnd w:id="29"/>
    </w:p>
    <w:p w14:paraId="78860630">
      <w:pPr>
        <w:ind w:firstLine="480" w:firstLineChars="200"/>
        <w:jc w:val="left"/>
        <w:rPr>
          <w:rFonts w:ascii="宋体" w:hAnsi="宋体" w:cs="宋体"/>
          <w:sz w:val="24"/>
          <w:highlight w:val="none"/>
        </w:rPr>
      </w:pPr>
      <w:r>
        <w:rPr>
          <w:rFonts w:ascii="宋体" w:hAnsi="宋体" w:cs="宋体"/>
          <w:sz w:val="24"/>
          <w:highlight w:val="none"/>
        </w:rPr>
        <w:t>截止时间：202</w:t>
      </w:r>
      <w:r>
        <w:rPr>
          <w:rFonts w:hint="eastAsia" w:ascii="宋体" w:hAnsi="宋体" w:cs="宋体"/>
          <w:sz w:val="24"/>
          <w:highlight w:val="none"/>
        </w:rPr>
        <w:t>6</w:t>
      </w:r>
      <w:r>
        <w:rPr>
          <w:rFonts w:ascii="宋体" w:hAnsi="宋体" w:cs="宋体"/>
          <w:sz w:val="24"/>
          <w:highlight w:val="none"/>
        </w:rPr>
        <w:t>年</w:t>
      </w:r>
      <w:r>
        <w:rPr>
          <w:rFonts w:hint="eastAsia" w:ascii="宋体" w:hAnsi="宋体" w:cs="宋体"/>
          <w:sz w:val="24"/>
          <w:highlight w:val="none"/>
          <w:lang w:val="en-US" w:eastAsia="zh-CN"/>
        </w:rPr>
        <w:t>5</w:t>
      </w:r>
      <w:r>
        <w:rPr>
          <w:rFonts w:ascii="宋体" w:hAnsi="宋体" w:cs="宋体"/>
          <w:sz w:val="24"/>
          <w:highlight w:val="none"/>
        </w:rPr>
        <w:t>月</w:t>
      </w:r>
      <w:r>
        <w:rPr>
          <w:rFonts w:hint="eastAsia" w:ascii="宋体" w:hAnsi="宋体" w:cs="宋体"/>
          <w:sz w:val="24"/>
          <w:highlight w:val="none"/>
          <w:lang w:val="en-US" w:eastAsia="zh-CN"/>
        </w:rPr>
        <w:t>29</w:t>
      </w:r>
      <w:r>
        <w:rPr>
          <w:rFonts w:ascii="宋体" w:hAnsi="宋体" w:cs="宋体"/>
          <w:sz w:val="24"/>
          <w:highlight w:val="none"/>
        </w:rPr>
        <w:t>日</w:t>
      </w:r>
      <w:r>
        <w:rPr>
          <w:rFonts w:hint="eastAsia" w:ascii="宋体" w:hAnsi="宋体" w:cs="宋体"/>
          <w:sz w:val="24"/>
          <w:highlight w:val="none"/>
          <w:lang w:val="en-US" w:eastAsia="zh-CN"/>
        </w:rPr>
        <w:t>9</w:t>
      </w:r>
      <w:r>
        <w:rPr>
          <w:rFonts w:ascii="宋体" w:hAnsi="宋体" w:cs="宋体"/>
          <w:sz w:val="24"/>
          <w:highlight w:val="none"/>
        </w:rPr>
        <w:t>时</w:t>
      </w:r>
      <w:r>
        <w:rPr>
          <w:rFonts w:hint="eastAsia" w:ascii="宋体" w:hAnsi="宋体" w:cs="宋体"/>
          <w:sz w:val="24"/>
          <w:highlight w:val="none"/>
        </w:rPr>
        <w:t>00</w:t>
      </w:r>
      <w:r>
        <w:rPr>
          <w:rFonts w:ascii="宋体" w:hAnsi="宋体" w:cs="宋体"/>
          <w:sz w:val="24"/>
          <w:highlight w:val="none"/>
        </w:rPr>
        <w:t>分（北京时间，下同）。</w:t>
      </w:r>
    </w:p>
    <w:p w14:paraId="48A86855">
      <w:pPr>
        <w:ind w:firstLine="480" w:firstLineChars="200"/>
        <w:jc w:val="left"/>
        <w:rPr>
          <w:rFonts w:ascii="宋体" w:hAnsi="宋体" w:cs="宋体"/>
          <w:sz w:val="24"/>
          <w:highlight w:val="none"/>
        </w:rPr>
      </w:pPr>
      <w:r>
        <w:rPr>
          <w:rFonts w:ascii="宋体" w:hAnsi="宋体" w:cs="宋体"/>
          <w:sz w:val="24"/>
          <w:highlight w:val="none"/>
        </w:rPr>
        <w:t>地点：政采云平台（http：//www.zcygov.cn）。</w:t>
      </w:r>
      <w:r>
        <w:rPr>
          <w:rFonts w:hint="eastAsia" w:ascii="宋体" w:hAnsi="宋体" w:cs="宋体"/>
          <w:sz w:val="24"/>
          <w:highlight w:val="none"/>
        </w:rPr>
        <w:t>供应商</w:t>
      </w:r>
      <w:r>
        <w:rPr>
          <w:rFonts w:ascii="宋体" w:hAnsi="宋体" w:cs="宋体"/>
          <w:sz w:val="24"/>
          <w:highlight w:val="none"/>
        </w:rPr>
        <w:t>应按照本项目招标文件和“政采云”平台的要求编制、加密后在投标文件提交截止时间前上传至“政采云”平台，投标文件提交截止时间前未完成投标文件上传的，视为撤回投标。</w:t>
      </w:r>
      <w:r>
        <w:rPr>
          <w:rFonts w:hint="eastAsia" w:ascii="宋体" w:hAnsi="宋体" w:cs="宋体"/>
          <w:sz w:val="24"/>
          <w:highlight w:val="none"/>
        </w:rPr>
        <w:t>供应商</w:t>
      </w:r>
      <w:r>
        <w:rPr>
          <w:rFonts w:ascii="宋体" w:hAnsi="宋体" w:cs="宋体"/>
          <w:sz w:val="24"/>
          <w:highlight w:val="none"/>
        </w:rPr>
        <w:t>在“政采云”平台提交电子版投标文件时，请填写参加远程采购活动经办人联系方式。</w:t>
      </w:r>
    </w:p>
    <w:p w14:paraId="7FB75952">
      <w:pPr>
        <w:ind w:firstLine="480" w:firstLineChars="200"/>
        <w:jc w:val="left"/>
        <w:outlineLvl w:val="1"/>
        <w:rPr>
          <w:rFonts w:ascii="宋体" w:hAnsi="宋体" w:cs="宋体"/>
          <w:sz w:val="24"/>
          <w:highlight w:val="none"/>
        </w:rPr>
      </w:pPr>
      <w:bookmarkStart w:id="30" w:name="_Toc11321"/>
      <w:r>
        <w:rPr>
          <w:rFonts w:hint="eastAsia" w:ascii="宋体" w:hAnsi="宋体" w:cs="宋体"/>
          <w:sz w:val="24"/>
          <w:highlight w:val="none"/>
        </w:rPr>
        <w:t>五、</w:t>
      </w:r>
      <w:bookmarkEnd w:id="20"/>
      <w:bookmarkEnd w:id="21"/>
      <w:bookmarkEnd w:id="22"/>
      <w:bookmarkEnd w:id="23"/>
      <w:r>
        <w:rPr>
          <w:rFonts w:hint="eastAsia" w:ascii="宋体" w:hAnsi="宋体" w:cs="宋体"/>
          <w:sz w:val="24"/>
          <w:highlight w:val="none"/>
        </w:rPr>
        <w:t>发布公告媒介及公告期限</w:t>
      </w:r>
      <w:bookmarkEnd w:id="30"/>
    </w:p>
    <w:p w14:paraId="37EA93D4">
      <w:pPr>
        <w:ind w:firstLine="480" w:firstLineChars="200"/>
        <w:jc w:val="left"/>
        <w:rPr>
          <w:rFonts w:ascii="宋体" w:hAnsi="宋体" w:cs="宋体"/>
          <w:sz w:val="24"/>
          <w:highlight w:val="none"/>
        </w:rPr>
      </w:pPr>
      <w:r>
        <w:rPr>
          <w:rFonts w:hint="eastAsia" w:ascii="宋体" w:hAnsi="宋体" w:cs="宋体"/>
          <w:sz w:val="24"/>
          <w:highlight w:val="none"/>
        </w:rPr>
        <w:t>自本公告发布之日起5个工作日。</w:t>
      </w:r>
    </w:p>
    <w:p w14:paraId="3D35FB5D">
      <w:pPr>
        <w:ind w:firstLine="480" w:firstLineChars="200"/>
        <w:jc w:val="left"/>
        <w:outlineLvl w:val="1"/>
        <w:rPr>
          <w:rFonts w:ascii="宋体" w:hAnsi="宋体" w:cs="宋体"/>
          <w:sz w:val="24"/>
          <w:highlight w:val="none"/>
        </w:rPr>
      </w:pPr>
      <w:bookmarkStart w:id="31" w:name="_Toc31032"/>
      <w:r>
        <w:rPr>
          <w:rFonts w:hint="eastAsia" w:ascii="宋体" w:hAnsi="宋体" w:cs="宋体"/>
          <w:sz w:val="24"/>
          <w:highlight w:val="none"/>
        </w:rPr>
        <w:t>六、其他补充事宜</w:t>
      </w:r>
      <w:bookmarkEnd w:id="31"/>
    </w:p>
    <w:p w14:paraId="5AF90656">
      <w:pPr>
        <w:rPr>
          <w:rFonts w:ascii="宋体" w:hAnsi="宋体" w:cs="宋体"/>
          <w:sz w:val="24"/>
          <w:highlight w:val="none"/>
        </w:rPr>
      </w:pPr>
      <w:r>
        <w:rPr>
          <w:rFonts w:hint="eastAsia"/>
          <w:highlight w:val="none"/>
        </w:rPr>
        <w:t xml:space="preserve"> </w:t>
      </w:r>
      <w:r>
        <w:rPr>
          <w:rFonts w:hint="eastAsia" w:ascii="宋体" w:hAnsi="宋体" w:cs="宋体"/>
          <w:sz w:val="24"/>
          <w:highlight w:val="none"/>
        </w:rPr>
        <w:t xml:space="preserve">   本公告同时在云南省政府采购网（http</w:t>
      </w:r>
      <w:r>
        <w:rPr>
          <w:rFonts w:hint="eastAsia" w:ascii="宋体" w:hAnsi="宋体" w:cs="宋体"/>
          <w:sz w:val="24"/>
          <w:highlight w:val="none"/>
          <w:lang w:eastAsia="zh-CN"/>
        </w:rPr>
        <w:t>：</w:t>
      </w:r>
      <w:r>
        <w:rPr>
          <w:rFonts w:hint="eastAsia" w:ascii="宋体" w:hAnsi="宋体" w:cs="宋体"/>
          <w:sz w:val="24"/>
          <w:highlight w:val="none"/>
        </w:rPr>
        <w:t>//www.yngp.com/）、政采云平台（http：//www.zcygov.cn）上发布，采购人及采购代理机构对其他网站或媒体转载的公告及公告内容不承担任何责任。</w:t>
      </w:r>
    </w:p>
    <w:p w14:paraId="1E74EC22">
      <w:pPr>
        <w:pStyle w:val="4"/>
        <w:numPr>
          <w:ilvl w:val="0"/>
          <w:numId w:val="0"/>
        </w:numPr>
        <w:ind w:left="420" w:leftChars="200"/>
        <w:jc w:val="left"/>
        <w:rPr>
          <w:rFonts w:ascii="宋体" w:hAnsi="宋体" w:eastAsia="宋体" w:cs="宋体"/>
          <w:b w:val="0"/>
          <w:sz w:val="24"/>
          <w:szCs w:val="24"/>
          <w:highlight w:val="none"/>
        </w:rPr>
      </w:pPr>
      <w:bookmarkStart w:id="32" w:name="_Toc28359018"/>
      <w:bookmarkStart w:id="33" w:name="_Toc35393805"/>
      <w:bookmarkStart w:id="34" w:name="_Toc35393636"/>
      <w:bookmarkStart w:id="35" w:name="_Toc16084"/>
      <w:bookmarkStart w:id="36" w:name="_Toc28359095"/>
      <w:r>
        <w:rPr>
          <w:rFonts w:hint="eastAsia" w:ascii="宋体" w:hAnsi="宋体" w:eastAsia="宋体" w:cs="宋体"/>
          <w:b w:val="0"/>
          <w:sz w:val="24"/>
          <w:szCs w:val="24"/>
          <w:highlight w:val="none"/>
        </w:rPr>
        <w:t>七、凡对本次采购提出询问，请按以下方式联系。</w:t>
      </w:r>
      <w:bookmarkEnd w:id="32"/>
      <w:bookmarkEnd w:id="33"/>
      <w:bookmarkEnd w:id="34"/>
      <w:bookmarkEnd w:id="35"/>
      <w:bookmarkEnd w:id="36"/>
    </w:p>
    <w:p w14:paraId="0693947E">
      <w:pPr>
        <w:ind w:firstLine="480" w:firstLineChars="200"/>
        <w:jc w:val="left"/>
        <w:rPr>
          <w:rFonts w:ascii="宋体" w:hAnsi="宋体" w:cs="宋体"/>
          <w:sz w:val="24"/>
          <w:highlight w:val="none"/>
        </w:rPr>
      </w:pPr>
      <w:bookmarkStart w:id="37" w:name="_Toc35393637"/>
      <w:bookmarkStart w:id="38" w:name="_Toc28359019"/>
      <w:bookmarkStart w:id="39" w:name="_Toc28359096"/>
      <w:bookmarkStart w:id="40" w:name="_Toc35393806"/>
      <w:r>
        <w:rPr>
          <w:rFonts w:hint="eastAsia" w:ascii="宋体" w:hAnsi="宋体" w:cs="宋体"/>
          <w:sz w:val="24"/>
          <w:highlight w:val="none"/>
        </w:rPr>
        <w:t>1.采购人信息</w:t>
      </w:r>
      <w:bookmarkEnd w:id="37"/>
      <w:bookmarkEnd w:id="38"/>
      <w:bookmarkEnd w:id="39"/>
      <w:bookmarkEnd w:id="40"/>
    </w:p>
    <w:p w14:paraId="66B46BD4">
      <w:pPr>
        <w:ind w:firstLine="480" w:firstLineChars="200"/>
        <w:jc w:val="left"/>
        <w:rPr>
          <w:rFonts w:hint="eastAsia" w:ascii="宋体" w:hAnsi="宋体" w:eastAsia="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玉溪职业技术学院（云南省玉溪工业财贸学校）</w:t>
      </w:r>
    </w:p>
    <w:p w14:paraId="32999DDA">
      <w:pPr>
        <w:ind w:firstLine="480" w:firstLineChars="200"/>
        <w:jc w:val="left"/>
        <w:rPr>
          <w:rFonts w:ascii="宋体" w:hAnsi="宋体" w:cs="宋体"/>
          <w:sz w:val="24"/>
          <w:highlight w:val="none"/>
        </w:rPr>
      </w:pPr>
      <w:r>
        <w:rPr>
          <w:rFonts w:hint="eastAsia" w:ascii="宋体" w:hAnsi="宋体" w:cs="宋体"/>
          <w:sz w:val="24"/>
          <w:highlight w:val="none"/>
        </w:rPr>
        <w:t>地    址：‌云南省玉溪市红塔区科创大道9号‌</w:t>
      </w:r>
    </w:p>
    <w:p w14:paraId="4A497502">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13529365460、13987722161、</w:t>
      </w:r>
      <w:r>
        <w:rPr>
          <w:rFonts w:hint="eastAsia" w:ascii="宋体" w:hAnsi="宋体" w:cs="宋体"/>
          <w:color w:val="auto"/>
          <w:sz w:val="24"/>
          <w:highlight w:val="none"/>
        </w:rPr>
        <w:t>0877-8885109</w:t>
      </w:r>
    </w:p>
    <w:p w14:paraId="7F1AAC22">
      <w:pPr>
        <w:tabs>
          <w:tab w:val="left" w:pos="1021"/>
        </w:tabs>
        <w:ind w:left="420" w:leftChars="200"/>
        <w:jc w:val="left"/>
        <w:rPr>
          <w:rFonts w:ascii="宋体" w:hAnsi="宋体" w:cs="宋体"/>
          <w:sz w:val="24"/>
          <w:highlight w:val="none"/>
        </w:rPr>
      </w:pPr>
      <w:bookmarkStart w:id="41" w:name="_Toc35393807"/>
      <w:bookmarkStart w:id="42" w:name="_Toc28359097"/>
      <w:bookmarkStart w:id="43" w:name="_Toc28359020"/>
      <w:bookmarkStart w:id="44" w:name="_Toc35393638"/>
      <w:r>
        <w:rPr>
          <w:rFonts w:hint="eastAsia" w:ascii="宋体" w:hAnsi="宋体" w:cs="宋体"/>
          <w:sz w:val="24"/>
          <w:highlight w:val="none"/>
        </w:rPr>
        <w:t>2.采购代理机构信息</w:t>
      </w:r>
      <w:bookmarkEnd w:id="41"/>
      <w:bookmarkEnd w:id="42"/>
      <w:bookmarkEnd w:id="43"/>
      <w:bookmarkEnd w:id="44"/>
    </w:p>
    <w:p w14:paraId="3D4A8F76">
      <w:pPr>
        <w:ind w:firstLine="480" w:firstLineChars="200"/>
        <w:jc w:val="left"/>
        <w:rPr>
          <w:rFonts w:ascii="宋体" w:hAnsi="宋体" w:cs="宋体"/>
          <w:sz w:val="24"/>
          <w:highlight w:val="none"/>
        </w:rPr>
      </w:pPr>
      <w:r>
        <w:rPr>
          <w:rFonts w:hint="eastAsia" w:ascii="宋体" w:hAnsi="宋体" w:cs="宋体"/>
          <w:sz w:val="24"/>
          <w:highlight w:val="none"/>
        </w:rPr>
        <w:t>名    称：晟和项目管理（云南）有限公司</w:t>
      </w:r>
    </w:p>
    <w:p w14:paraId="706E6620">
      <w:pPr>
        <w:ind w:firstLine="480" w:firstLineChars="200"/>
        <w:jc w:val="left"/>
        <w:rPr>
          <w:rFonts w:ascii="宋体" w:hAnsi="宋体" w:cs="宋体"/>
          <w:sz w:val="24"/>
          <w:highlight w:val="none"/>
        </w:rPr>
      </w:pPr>
      <w:r>
        <w:rPr>
          <w:rFonts w:hint="eastAsia" w:ascii="宋体" w:hAnsi="宋体" w:cs="宋体"/>
          <w:sz w:val="24"/>
          <w:highlight w:val="none"/>
        </w:rPr>
        <w:t>地　　址：云南省玉溪市红塔区李棋街道兰溪路天竹阁二楼</w:t>
      </w:r>
    </w:p>
    <w:p w14:paraId="5650C5AC">
      <w:pPr>
        <w:ind w:firstLine="480" w:firstLineChars="200"/>
        <w:jc w:val="left"/>
        <w:rPr>
          <w:rFonts w:ascii="宋体" w:hAnsi="宋体" w:cs="宋体"/>
          <w:sz w:val="24"/>
          <w:highlight w:val="none"/>
          <w:u w:val="single"/>
        </w:rPr>
      </w:pPr>
      <w:r>
        <w:rPr>
          <w:rFonts w:hint="eastAsia" w:ascii="宋体" w:hAnsi="宋体" w:cs="宋体"/>
          <w:sz w:val="24"/>
          <w:highlight w:val="none"/>
        </w:rPr>
        <w:t xml:space="preserve">联系方式：13887744954、15608770857  </w:t>
      </w:r>
    </w:p>
    <w:p w14:paraId="73BC2EA0">
      <w:pPr>
        <w:tabs>
          <w:tab w:val="left" w:pos="1021"/>
        </w:tabs>
        <w:ind w:left="420" w:leftChars="200"/>
        <w:jc w:val="left"/>
        <w:rPr>
          <w:rFonts w:ascii="宋体" w:hAnsi="宋体" w:cs="宋体"/>
          <w:sz w:val="24"/>
          <w:highlight w:val="none"/>
        </w:rPr>
      </w:pPr>
      <w:bookmarkStart w:id="45" w:name="_Toc28359021"/>
      <w:bookmarkStart w:id="46" w:name="_Toc35393808"/>
      <w:bookmarkStart w:id="47" w:name="_Toc35393639"/>
      <w:bookmarkStart w:id="48" w:name="_Toc28359098"/>
      <w:r>
        <w:rPr>
          <w:rFonts w:hint="eastAsia" w:ascii="宋体" w:hAnsi="宋体" w:cs="宋体"/>
          <w:sz w:val="24"/>
          <w:highlight w:val="none"/>
        </w:rPr>
        <w:t>3.项目联系方式</w:t>
      </w:r>
      <w:bookmarkEnd w:id="45"/>
      <w:bookmarkEnd w:id="46"/>
      <w:bookmarkEnd w:id="47"/>
      <w:bookmarkEnd w:id="48"/>
    </w:p>
    <w:p w14:paraId="1555937C">
      <w:pPr>
        <w:pStyle w:val="21"/>
        <w:ind w:firstLine="480" w:firstLineChars="200"/>
        <w:jc w:val="left"/>
        <w:rPr>
          <w:rFonts w:hAnsi="宋体"/>
          <w:sz w:val="24"/>
          <w:szCs w:val="24"/>
          <w:highlight w:val="none"/>
        </w:rPr>
      </w:pPr>
      <w:r>
        <w:rPr>
          <w:rFonts w:hint="eastAsia" w:hAnsi="宋体"/>
          <w:sz w:val="24"/>
          <w:szCs w:val="24"/>
          <w:highlight w:val="none"/>
        </w:rPr>
        <w:t>项目联系人：范溪文</w:t>
      </w:r>
    </w:p>
    <w:p w14:paraId="0F07AA22">
      <w:pPr>
        <w:pStyle w:val="21"/>
        <w:ind w:firstLine="480" w:firstLineChars="200"/>
        <w:jc w:val="left"/>
        <w:rPr>
          <w:highlight w:val="none"/>
        </w:rPr>
      </w:pPr>
      <w:r>
        <w:rPr>
          <w:rFonts w:hint="eastAsia" w:hAnsi="宋体"/>
          <w:sz w:val="24"/>
          <w:szCs w:val="24"/>
          <w:highlight w:val="none"/>
        </w:rPr>
        <w:t>电　　 话：13887744954</w:t>
      </w:r>
      <w:r>
        <w:rPr>
          <w:rFonts w:hint="eastAsia" w:hAnsi="宋体" w:cs="宋体"/>
          <w:sz w:val="24"/>
          <w:highlight w:val="none"/>
        </w:rPr>
        <w:t>、15608770857</w:t>
      </w:r>
    </w:p>
    <w:p w14:paraId="341682AA">
      <w:pPr>
        <w:pStyle w:val="3"/>
        <w:numPr>
          <w:ilvl w:val="0"/>
          <w:numId w:val="0"/>
        </w:numPr>
        <w:jc w:val="center"/>
        <w:rPr>
          <w:rFonts w:ascii="华文宋体" w:hAnsi="华文宋体" w:eastAsia="宋体"/>
          <w:b w:val="0"/>
          <w:bCs/>
          <w:kern w:val="0"/>
          <w:sz w:val="36"/>
          <w:szCs w:val="36"/>
          <w:highlight w:val="none"/>
        </w:rPr>
      </w:pPr>
      <w:r>
        <w:rPr>
          <w:rFonts w:ascii="宋体" w:eastAsia="宋体"/>
          <w:bCs/>
          <w:sz w:val="24"/>
          <w:highlight w:val="none"/>
        </w:rPr>
        <w:br w:type="page"/>
      </w:r>
      <w:bookmarkStart w:id="49" w:name="_Toc17730"/>
      <w:bookmarkStart w:id="50" w:name="_Toc16069"/>
      <w:bookmarkStart w:id="51" w:name="_Toc10496"/>
      <w:bookmarkStart w:id="52" w:name="_Toc15843"/>
      <w:bookmarkStart w:id="53" w:name="_Toc23997"/>
      <w:r>
        <w:rPr>
          <w:rFonts w:hint="eastAsia" w:eastAsia="宋体"/>
          <w:bCs/>
          <w:kern w:val="0"/>
          <w:sz w:val="36"/>
          <w:highlight w:val="none"/>
        </w:rPr>
        <w:t>第二章 供应商须知</w:t>
      </w:r>
      <w:bookmarkEnd w:id="49"/>
      <w:bookmarkEnd w:id="50"/>
      <w:bookmarkEnd w:id="51"/>
      <w:bookmarkEnd w:id="52"/>
      <w:bookmarkEnd w:id="53"/>
    </w:p>
    <w:p w14:paraId="5E9F82F5">
      <w:pPr>
        <w:keepNext/>
        <w:widowControl/>
        <w:ind w:left="559" w:hanging="559" w:hangingChars="199"/>
        <w:jc w:val="center"/>
        <w:outlineLvl w:val="1"/>
        <w:rPr>
          <w:rFonts w:ascii="宋体" w:hAnsi="宋体" w:cs="宋体"/>
          <w:b/>
          <w:bCs/>
          <w:iCs/>
          <w:kern w:val="0"/>
          <w:sz w:val="28"/>
          <w:szCs w:val="28"/>
          <w:highlight w:val="none"/>
          <w:lang w:bidi="en-US"/>
        </w:rPr>
      </w:pPr>
      <w:bookmarkStart w:id="54" w:name="_Toc11960"/>
      <w:bookmarkStart w:id="55" w:name="_Toc4095"/>
      <w:r>
        <w:rPr>
          <w:rFonts w:hint="eastAsia" w:ascii="宋体" w:hAnsi="宋体" w:cs="宋体"/>
          <w:b/>
          <w:bCs/>
          <w:iCs/>
          <w:kern w:val="0"/>
          <w:sz w:val="28"/>
          <w:szCs w:val="28"/>
          <w:highlight w:val="none"/>
          <w:lang w:bidi="en-US"/>
        </w:rPr>
        <w:t>一、供应商须知前附表</w:t>
      </w:r>
      <w:bookmarkEnd w:id="54"/>
      <w:bookmarkEnd w:id="55"/>
    </w:p>
    <w:tbl>
      <w:tblPr>
        <w:tblStyle w:val="41"/>
        <w:tblW w:w="9469" w:type="dxa"/>
        <w:jc w:val="center"/>
        <w:tblLayout w:type="fixed"/>
        <w:tblCellMar>
          <w:top w:w="15" w:type="dxa"/>
          <w:left w:w="15" w:type="dxa"/>
          <w:bottom w:w="15" w:type="dxa"/>
          <w:right w:w="15" w:type="dxa"/>
        </w:tblCellMar>
      </w:tblPr>
      <w:tblGrid>
        <w:gridCol w:w="1010"/>
        <w:gridCol w:w="2119"/>
        <w:gridCol w:w="6340"/>
      </w:tblGrid>
      <w:tr w14:paraId="3CF80136">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86FCA9F">
            <w:pPr>
              <w:widowControl/>
              <w:wordWrap w:val="0"/>
              <w:jc w:val="center"/>
              <w:rPr>
                <w:rFonts w:ascii="宋体" w:hAnsi="宋体" w:cs="宋体"/>
                <w:kern w:val="0"/>
                <w:sz w:val="24"/>
                <w:highlight w:val="none"/>
              </w:rPr>
            </w:pPr>
            <w:bookmarkStart w:id="56" w:name="_Toc232509426"/>
            <w:r>
              <w:rPr>
                <w:rFonts w:hint="eastAsia" w:ascii="宋体" w:hAnsi="宋体" w:cs="宋体"/>
                <w:b/>
                <w:bCs/>
                <w:kern w:val="0"/>
                <w:sz w:val="24"/>
                <w:highlight w:val="none"/>
              </w:rPr>
              <w:t>条款号</w:t>
            </w:r>
          </w:p>
        </w:tc>
        <w:tc>
          <w:tcPr>
            <w:tcW w:w="2119" w:type="dxa"/>
            <w:tcBorders>
              <w:top w:val="single" w:color="000000" w:sz="6" w:space="0"/>
              <w:left w:val="single" w:color="000000" w:sz="6" w:space="0"/>
              <w:bottom w:val="single" w:color="000000" w:sz="6" w:space="0"/>
              <w:right w:val="single" w:color="000000" w:sz="6" w:space="0"/>
            </w:tcBorders>
            <w:vAlign w:val="center"/>
          </w:tcPr>
          <w:p w14:paraId="63BCF287">
            <w:pPr>
              <w:widowControl/>
              <w:wordWrap w:val="0"/>
              <w:jc w:val="center"/>
              <w:rPr>
                <w:rFonts w:ascii="宋体" w:hAnsi="宋体" w:cs="宋体"/>
                <w:kern w:val="0"/>
                <w:sz w:val="24"/>
                <w:highlight w:val="none"/>
              </w:rPr>
            </w:pPr>
            <w:r>
              <w:rPr>
                <w:rFonts w:hint="eastAsia" w:ascii="宋体" w:hAnsi="宋体" w:cs="宋体"/>
                <w:b/>
                <w:bCs/>
                <w:kern w:val="0"/>
                <w:sz w:val="24"/>
                <w:highlight w:val="none"/>
              </w:rPr>
              <w:t>条 款 名 称</w:t>
            </w:r>
          </w:p>
        </w:tc>
        <w:tc>
          <w:tcPr>
            <w:tcW w:w="6340" w:type="dxa"/>
            <w:tcBorders>
              <w:top w:val="single" w:color="000000" w:sz="6" w:space="0"/>
              <w:left w:val="single" w:color="000000" w:sz="6" w:space="0"/>
              <w:bottom w:val="single" w:color="000000" w:sz="6" w:space="0"/>
              <w:right w:val="single" w:color="000000" w:sz="6" w:space="0"/>
            </w:tcBorders>
            <w:vAlign w:val="center"/>
          </w:tcPr>
          <w:p w14:paraId="62B10ACB">
            <w:pPr>
              <w:widowControl/>
              <w:wordWrap w:val="0"/>
              <w:jc w:val="center"/>
              <w:rPr>
                <w:rFonts w:ascii="宋体" w:hAnsi="宋体" w:cs="宋体"/>
                <w:kern w:val="0"/>
                <w:sz w:val="24"/>
                <w:highlight w:val="none"/>
              </w:rPr>
            </w:pPr>
            <w:r>
              <w:rPr>
                <w:rFonts w:hint="eastAsia" w:ascii="宋体" w:hAnsi="宋体" w:cs="宋体"/>
                <w:b/>
                <w:bCs/>
                <w:kern w:val="0"/>
                <w:sz w:val="24"/>
                <w:highlight w:val="none"/>
              </w:rPr>
              <w:t>编 列 内 容</w:t>
            </w:r>
          </w:p>
        </w:tc>
      </w:tr>
      <w:tr w14:paraId="72AE7A69">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1534AF0">
            <w:pPr>
              <w:widowControl/>
              <w:wordWrap w:val="0"/>
              <w:jc w:val="center"/>
              <w:rPr>
                <w:rFonts w:ascii="宋体" w:hAnsi="宋体" w:cs="宋体"/>
                <w:kern w:val="0"/>
                <w:sz w:val="24"/>
                <w:highlight w:val="none"/>
              </w:rPr>
            </w:pPr>
            <w:r>
              <w:rPr>
                <w:rFonts w:hint="eastAsia" w:ascii="宋体" w:hAnsi="宋体" w:cs="宋体"/>
                <w:kern w:val="0"/>
                <w:sz w:val="24"/>
                <w:highlight w:val="none"/>
              </w:rPr>
              <w:t>1.1.2</w:t>
            </w:r>
          </w:p>
        </w:tc>
        <w:tc>
          <w:tcPr>
            <w:tcW w:w="2119" w:type="dxa"/>
            <w:tcBorders>
              <w:top w:val="single" w:color="000000" w:sz="6" w:space="0"/>
              <w:left w:val="single" w:color="000000" w:sz="6" w:space="0"/>
              <w:bottom w:val="single" w:color="000000" w:sz="6" w:space="0"/>
              <w:right w:val="single" w:color="000000" w:sz="6" w:space="0"/>
            </w:tcBorders>
            <w:vAlign w:val="center"/>
          </w:tcPr>
          <w:p w14:paraId="436E9641">
            <w:pPr>
              <w:widowControl/>
              <w:wordWrap w:val="0"/>
              <w:jc w:val="center"/>
              <w:rPr>
                <w:rFonts w:ascii="宋体" w:hAnsi="宋体" w:cs="宋体"/>
                <w:kern w:val="0"/>
                <w:sz w:val="24"/>
                <w:highlight w:val="none"/>
              </w:rPr>
            </w:pPr>
            <w:r>
              <w:rPr>
                <w:rFonts w:hint="eastAsia" w:ascii="宋体" w:hAnsi="宋体" w:cs="宋体"/>
                <w:kern w:val="0"/>
                <w:sz w:val="24"/>
                <w:highlight w:val="none"/>
              </w:rPr>
              <w:t>采购人</w:t>
            </w:r>
          </w:p>
        </w:tc>
        <w:tc>
          <w:tcPr>
            <w:tcW w:w="6340" w:type="dxa"/>
            <w:tcBorders>
              <w:top w:val="single" w:color="000000" w:sz="6" w:space="0"/>
              <w:left w:val="single" w:color="000000" w:sz="6" w:space="0"/>
              <w:bottom w:val="single" w:color="000000" w:sz="6" w:space="0"/>
              <w:right w:val="single" w:color="000000" w:sz="6" w:space="0"/>
            </w:tcBorders>
          </w:tcPr>
          <w:p w14:paraId="048716E1">
            <w:pPr>
              <w:ind w:firstLine="4" w:firstLineChars="2"/>
              <w:rPr>
                <w:rFonts w:hint="eastAsia" w:ascii="宋体" w:hAnsi="宋体" w:eastAsia="宋体" w:cs="宋体"/>
                <w:sz w:val="24"/>
                <w:highlight w:val="none"/>
                <w:lang w:eastAsia="zh-CN"/>
              </w:rPr>
            </w:pPr>
            <w:r>
              <w:rPr>
                <w:rFonts w:hint="eastAsia" w:ascii="宋体" w:hAnsi="宋体" w:cs="宋体"/>
                <w:sz w:val="24"/>
                <w:highlight w:val="none"/>
              </w:rPr>
              <w:t>采购人：</w:t>
            </w:r>
            <w:r>
              <w:rPr>
                <w:rFonts w:hint="eastAsia" w:ascii="宋体" w:hAnsi="宋体" w:cs="宋体"/>
                <w:sz w:val="24"/>
                <w:highlight w:val="none"/>
                <w:lang w:eastAsia="zh-CN"/>
              </w:rPr>
              <w:t>玉溪职业技术学院（云南省玉溪工业财贸学校）</w:t>
            </w:r>
          </w:p>
          <w:p w14:paraId="4D85725B">
            <w:pPr>
              <w:ind w:firstLine="4" w:firstLineChars="2"/>
              <w:rPr>
                <w:rFonts w:ascii="宋体" w:hAnsi="宋体" w:cs="宋体"/>
                <w:sz w:val="24"/>
                <w:highlight w:val="none"/>
              </w:rPr>
            </w:pPr>
            <w:r>
              <w:rPr>
                <w:rFonts w:hint="eastAsia" w:ascii="宋体" w:hAnsi="宋体" w:cs="宋体"/>
                <w:sz w:val="24"/>
                <w:highlight w:val="none"/>
              </w:rPr>
              <w:t>地  址：‌云南省玉溪市红塔区科创大道9号‌</w:t>
            </w:r>
          </w:p>
          <w:p w14:paraId="1380E4E1">
            <w:pPr>
              <w:ind w:firstLine="4" w:firstLineChars="2"/>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期老师、高老师、张老师</w:t>
            </w:r>
          </w:p>
          <w:p w14:paraId="52D93AB8">
            <w:pPr>
              <w:ind w:firstLine="4" w:firstLineChars="2"/>
              <w:rPr>
                <w:rFonts w:ascii="宋体" w:hAnsi="宋体" w:cs="宋体"/>
                <w:sz w:val="24"/>
                <w:highlight w:val="none"/>
                <w:u w:val="single"/>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13529365460、13987722161、</w:t>
            </w:r>
            <w:r>
              <w:rPr>
                <w:rFonts w:hint="eastAsia" w:ascii="宋体" w:hAnsi="宋体" w:cs="宋体"/>
                <w:color w:val="auto"/>
                <w:sz w:val="24"/>
                <w:highlight w:val="none"/>
              </w:rPr>
              <w:t>0877-8885109</w:t>
            </w:r>
          </w:p>
        </w:tc>
      </w:tr>
      <w:tr w14:paraId="0BC714CC">
        <w:tblPrEx>
          <w:tblCellMar>
            <w:top w:w="15" w:type="dxa"/>
            <w:left w:w="15" w:type="dxa"/>
            <w:bottom w:w="15" w:type="dxa"/>
            <w:right w:w="15" w:type="dxa"/>
          </w:tblCellMar>
        </w:tblPrEx>
        <w:trPr>
          <w:trHeight w:val="9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A9AF89F">
            <w:pPr>
              <w:widowControl/>
              <w:wordWrap w:val="0"/>
              <w:jc w:val="center"/>
              <w:rPr>
                <w:rFonts w:ascii="宋体" w:hAnsi="宋体" w:cs="宋体"/>
                <w:kern w:val="0"/>
                <w:sz w:val="24"/>
                <w:highlight w:val="none"/>
              </w:rPr>
            </w:pPr>
            <w:r>
              <w:rPr>
                <w:rFonts w:hint="eastAsia" w:ascii="宋体" w:hAnsi="宋体" w:cs="宋体"/>
                <w:kern w:val="0"/>
                <w:sz w:val="24"/>
                <w:highlight w:val="none"/>
              </w:rPr>
              <w:t>1.1.3</w:t>
            </w:r>
          </w:p>
        </w:tc>
        <w:tc>
          <w:tcPr>
            <w:tcW w:w="2119" w:type="dxa"/>
            <w:tcBorders>
              <w:top w:val="single" w:color="000000" w:sz="6" w:space="0"/>
              <w:left w:val="single" w:color="000000" w:sz="6" w:space="0"/>
              <w:bottom w:val="single" w:color="000000" w:sz="6" w:space="0"/>
              <w:right w:val="single" w:color="000000" w:sz="6" w:space="0"/>
            </w:tcBorders>
            <w:vAlign w:val="center"/>
          </w:tcPr>
          <w:p w14:paraId="1640A396">
            <w:pPr>
              <w:widowControl/>
              <w:wordWrap w:val="0"/>
              <w:jc w:val="center"/>
              <w:rPr>
                <w:rFonts w:ascii="宋体" w:hAnsi="宋体" w:cs="宋体"/>
                <w:kern w:val="0"/>
                <w:sz w:val="24"/>
                <w:highlight w:val="none"/>
              </w:rPr>
            </w:pPr>
            <w:r>
              <w:rPr>
                <w:rFonts w:hint="eastAsia" w:ascii="宋体" w:hAnsi="宋体" w:cs="宋体"/>
                <w:kern w:val="0"/>
                <w:sz w:val="24"/>
                <w:highlight w:val="none"/>
              </w:rPr>
              <w:t>采购代理机构</w:t>
            </w:r>
          </w:p>
        </w:tc>
        <w:tc>
          <w:tcPr>
            <w:tcW w:w="6340" w:type="dxa"/>
            <w:tcBorders>
              <w:top w:val="single" w:color="000000" w:sz="6" w:space="0"/>
              <w:left w:val="single" w:color="000000" w:sz="6" w:space="0"/>
              <w:bottom w:val="single" w:color="000000" w:sz="6" w:space="0"/>
              <w:right w:val="single" w:color="000000" w:sz="6" w:space="0"/>
            </w:tcBorders>
          </w:tcPr>
          <w:p w14:paraId="48D07155">
            <w:pPr>
              <w:rPr>
                <w:rFonts w:ascii="宋体" w:hAnsi="宋体" w:cs="宋体"/>
                <w:sz w:val="24"/>
                <w:highlight w:val="none"/>
              </w:rPr>
            </w:pPr>
            <w:r>
              <w:rPr>
                <w:rFonts w:hint="eastAsia" w:ascii="宋体" w:hAnsi="宋体" w:cs="宋体"/>
                <w:kern w:val="0"/>
                <w:sz w:val="24"/>
                <w:highlight w:val="none"/>
              </w:rPr>
              <w:t>采购代理机构</w:t>
            </w:r>
            <w:r>
              <w:rPr>
                <w:rFonts w:hint="eastAsia" w:ascii="宋体" w:hAnsi="宋体" w:cs="宋体"/>
                <w:sz w:val="24"/>
                <w:highlight w:val="none"/>
              </w:rPr>
              <w:t>：晟和项目管理（云南）有限公司</w:t>
            </w:r>
          </w:p>
          <w:p w14:paraId="7F989A6C">
            <w:pPr>
              <w:rPr>
                <w:rFonts w:ascii="宋体" w:hAnsi="宋体" w:cs="宋体"/>
                <w:sz w:val="24"/>
                <w:highlight w:val="none"/>
              </w:rPr>
            </w:pPr>
            <w:r>
              <w:rPr>
                <w:rFonts w:hint="eastAsia" w:ascii="宋体" w:hAnsi="宋体" w:cs="宋体"/>
                <w:sz w:val="24"/>
                <w:highlight w:val="none"/>
              </w:rPr>
              <w:t>地址：云南省玉溪市红塔区李棋街道兰溪路天竹阁二楼</w:t>
            </w:r>
          </w:p>
          <w:p w14:paraId="1C692B8E">
            <w:pPr>
              <w:rPr>
                <w:rFonts w:ascii="宋体" w:hAnsi="宋体" w:cs="宋体"/>
                <w:sz w:val="24"/>
                <w:highlight w:val="none"/>
              </w:rPr>
            </w:pPr>
            <w:r>
              <w:rPr>
                <w:rFonts w:hint="eastAsia" w:ascii="宋体" w:hAnsi="宋体" w:cs="宋体"/>
                <w:sz w:val="24"/>
                <w:highlight w:val="none"/>
              </w:rPr>
              <w:t>联系人：</w:t>
            </w:r>
            <w:r>
              <w:rPr>
                <w:rFonts w:hint="eastAsia" w:hAnsi="宋体"/>
                <w:sz w:val="24"/>
                <w:highlight w:val="none"/>
              </w:rPr>
              <w:t>范溪文</w:t>
            </w:r>
          </w:p>
          <w:p w14:paraId="09B8A60E">
            <w:pPr>
              <w:rPr>
                <w:rFonts w:ascii="宋体" w:hAnsi="宋体" w:cs="宋体"/>
                <w:sz w:val="24"/>
                <w:highlight w:val="none"/>
              </w:rPr>
            </w:pPr>
            <w:r>
              <w:rPr>
                <w:rFonts w:hint="eastAsia" w:ascii="宋体" w:hAnsi="宋体" w:cs="宋体"/>
                <w:sz w:val="24"/>
                <w:highlight w:val="none"/>
              </w:rPr>
              <w:t>联系电话：13887744954、15608770857</w:t>
            </w:r>
          </w:p>
        </w:tc>
      </w:tr>
      <w:tr w14:paraId="06C3A804">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F7581F1">
            <w:pPr>
              <w:widowControl/>
              <w:wordWrap w:val="0"/>
              <w:jc w:val="center"/>
              <w:rPr>
                <w:rFonts w:ascii="宋体" w:hAnsi="宋体" w:cs="宋体"/>
                <w:kern w:val="0"/>
                <w:sz w:val="24"/>
                <w:highlight w:val="none"/>
              </w:rPr>
            </w:pPr>
            <w:r>
              <w:rPr>
                <w:rFonts w:hint="eastAsia" w:ascii="宋体" w:hAnsi="宋体" w:cs="宋体"/>
                <w:kern w:val="0"/>
                <w:sz w:val="24"/>
                <w:highlight w:val="none"/>
              </w:rPr>
              <w:t>1.1.4</w:t>
            </w:r>
          </w:p>
        </w:tc>
        <w:tc>
          <w:tcPr>
            <w:tcW w:w="2119" w:type="dxa"/>
            <w:tcBorders>
              <w:top w:val="single" w:color="000000" w:sz="6" w:space="0"/>
              <w:left w:val="single" w:color="000000" w:sz="6" w:space="0"/>
              <w:bottom w:val="single" w:color="000000" w:sz="6" w:space="0"/>
              <w:right w:val="single" w:color="000000" w:sz="6" w:space="0"/>
            </w:tcBorders>
            <w:vAlign w:val="center"/>
          </w:tcPr>
          <w:p w14:paraId="0A06DE5C">
            <w:pPr>
              <w:widowControl/>
              <w:wordWrap w:val="0"/>
              <w:jc w:val="center"/>
              <w:rPr>
                <w:rFonts w:ascii="宋体" w:hAnsi="宋体" w:cs="宋体"/>
                <w:kern w:val="0"/>
                <w:sz w:val="24"/>
                <w:highlight w:val="none"/>
              </w:rPr>
            </w:pPr>
            <w:r>
              <w:rPr>
                <w:rFonts w:hint="eastAsia" w:ascii="宋体" w:hAnsi="宋体" w:cs="宋体"/>
                <w:kern w:val="0"/>
                <w:sz w:val="24"/>
                <w:highlight w:val="none"/>
              </w:rPr>
              <w:t>项目名称</w:t>
            </w:r>
          </w:p>
        </w:tc>
        <w:tc>
          <w:tcPr>
            <w:tcW w:w="6340" w:type="dxa"/>
            <w:tcBorders>
              <w:top w:val="single" w:color="000000" w:sz="6" w:space="0"/>
              <w:left w:val="single" w:color="000000" w:sz="6" w:space="0"/>
              <w:bottom w:val="single" w:color="000000" w:sz="6" w:space="0"/>
              <w:right w:val="single" w:color="000000" w:sz="6" w:space="0"/>
            </w:tcBorders>
            <w:vAlign w:val="center"/>
          </w:tcPr>
          <w:p w14:paraId="448D20CD">
            <w:pPr>
              <w:widowControl/>
              <w:wordWrap w:val="0"/>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玉溪职业技术学院（云南省玉溪工业财贸学校）人工智能赋能医药康养专业群建设项目</w:t>
            </w:r>
          </w:p>
          <w:p w14:paraId="753026D8">
            <w:pPr>
              <w:widowControl/>
              <w:wordWrap w:val="0"/>
              <w:jc w:val="left"/>
              <w:rPr>
                <w:rFonts w:ascii="宋体" w:hAnsi="宋体" w:cs="宋体"/>
                <w:bCs/>
                <w:sz w:val="24"/>
                <w:highlight w:val="none"/>
              </w:rPr>
            </w:pPr>
            <w:r>
              <w:rPr>
                <w:rFonts w:hint="eastAsia" w:ascii="宋体" w:hAnsi="宋体" w:cs="宋体"/>
                <w:bCs/>
                <w:sz w:val="24"/>
                <w:highlight w:val="none"/>
              </w:rPr>
              <w:t>标段（包）名称：</w:t>
            </w:r>
          </w:p>
          <w:p w14:paraId="534F2C85">
            <w:pPr>
              <w:widowControl/>
              <w:wordWrap w:val="0"/>
              <w:jc w:val="left"/>
              <w:rPr>
                <w:rFonts w:ascii="宋体" w:hAnsi="宋体" w:cs="宋体"/>
                <w:bCs/>
                <w:sz w:val="24"/>
                <w:highlight w:val="none"/>
              </w:rPr>
            </w:pPr>
            <w:r>
              <w:rPr>
                <w:rFonts w:hint="eastAsia" w:ascii="宋体" w:hAnsi="宋体" w:cs="宋体"/>
                <w:bCs/>
                <w:sz w:val="24"/>
                <w:highlight w:val="none"/>
              </w:rPr>
              <w:t>1包名称：</w:t>
            </w:r>
            <w:r>
              <w:rPr>
                <w:rFonts w:hint="eastAsia" w:ascii="宋体" w:hAnsi="宋体" w:cs="宋体"/>
                <w:sz w:val="24"/>
                <w:highlight w:val="none"/>
                <w:lang w:val="en-US" w:eastAsia="zh-CN"/>
              </w:rPr>
              <w:t>智能（数智）生物医药特色虚拟仿真实训室</w:t>
            </w:r>
          </w:p>
          <w:p w14:paraId="31818DE4">
            <w:pPr>
              <w:widowControl/>
              <w:wordWrap w:val="0"/>
              <w:jc w:val="left"/>
              <w:rPr>
                <w:rFonts w:hint="eastAsia" w:ascii="宋体" w:hAnsi="宋体" w:cs="宋体"/>
                <w:sz w:val="24"/>
                <w:highlight w:val="none"/>
                <w:lang w:val="en-US" w:eastAsia="zh-CN"/>
              </w:rPr>
            </w:pPr>
            <w:r>
              <w:rPr>
                <w:rFonts w:hint="eastAsia" w:ascii="宋体" w:hAnsi="宋体" w:cs="宋体"/>
                <w:bCs/>
                <w:sz w:val="24"/>
                <w:highlight w:val="none"/>
              </w:rPr>
              <w:t>2包名称：</w:t>
            </w:r>
            <w:r>
              <w:rPr>
                <w:rFonts w:hint="eastAsia" w:ascii="宋体" w:hAnsi="宋体" w:cs="宋体"/>
                <w:sz w:val="24"/>
                <w:highlight w:val="none"/>
                <w:lang w:val="en-US" w:eastAsia="zh-CN"/>
              </w:rPr>
              <w:t>生物制药理化检测实验室</w:t>
            </w:r>
          </w:p>
          <w:p w14:paraId="28AAFD1E">
            <w:pPr>
              <w:widowControl/>
              <w:wordWrap w:val="0"/>
              <w:jc w:val="left"/>
              <w:rPr>
                <w:rFonts w:hint="eastAsia" w:ascii="宋体" w:hAnsi="宋体" w:cs="宋体"/>
                <w:sz w:val="24"/>
                <w:highlight w:val="none"/>
                <w:lang w:val="en-US" w:eastAsia="zh-CN"/>
              </w:rPr>
            </w:pPr>
            <w:r>
              <w:rPr>
                <w:rFonts w:hint="eastAsia" w:ascii="宋体" w:hAnsi="宋体" w:cs="宋体"/>
                <w:bCs/>
                <w:sz w:val="24"/>
                <w:highlight w:val="none"/>
                <w:lang w:val="en-US" w:eastAsia="zh-CN"/>
              </w:rPr>
              <w:t>3</w:t>
            </w:r>
            <w:r>
              <w:rPr>
                <w:rFonts w:hint="eastAsia" w:ascii="宋体" w:hAnsi="宋体" w:cs="宋体"/>
                <w:bCs/>
                <w:sz w:val="24"/>
                <w:highlight w:val="none"/>
              </w:rPr>
              <w:t>包名称：</w:t>
            </w:r>
            <w:r>
              <w:rPr>
                <w:rFonts w:hint="eastAsia" w:ascii="宋体" w:hAnsi="宋体" w:cs="宋体"/>
                <w:sz w:val="24"/>
                <w:highlight w:val="none"/>
                <w:lang w:val="en-US" w:eastAsia="zh-CN"/>
              </w:rPr>
              <w:t>文旅综合基础实训室建设项目</w:t>
            </w:r>
          </w:p>
          <w:p w14:paraId="391165C8">
            <w:pPr>
              <w:widowControl/>
              <w:wordWrap w:val="0"/>
              <w:jc w:val="left"/>
              <w:rPr>
                <w:rFonts w:hint="eastAsia" w:ascii="宋体" w:hAnsi="宋体" w:cs="宋体"/>
                <w:sz w:val="24"/>
                <w:highlight w:val="none"/>
                <w:lang w:val="en-US" w:eastAsia="zh-CN"/>
              </w:rPr>
            </w:pPr>
            <w:r>
              <w:rPr>
                <w:rFonts w:hint="eastAsia" w:ascii="宋体" w:hAnsi="宋体" w:cs="宋体"/>
                <w:bCs/>
                <w:sz w:val="24"/>
                <w:highlight w:val="none"/>
                <w:lang w:val="en-US" w:eastAsia="zh-CN"/>
              </w:rPr>
              <w:t>4</w:t>
            </w:r>
            <w:r>
              <w:rPr>
                <w:rFonts w:hint="eastAsia" w:ascii="宋体" w:hAnsi="宋体" w:cs="宋体"/>
                <w:bCs/>
                <w:sz w:val="24"/>
                <w:highlight w:val="none"/>
              </w:rPr>
              <w:t>包名称：</w:t>
            </w:r>
            <w:r>
              <w:rPr>
                <w:rFonts w:hint="eastAsia" w:ascii="宋体" w:hAnsi="宋体" w:cs="宋体"/>
                <w:sz w:val="24"/>
                <w:highlight w:val="none"/>
                <w:lang w:val="en-US" w:eastAsia="zh-CN"/>
              </w:rPr>
              <w:t>高原运动康复实训基地建设项目</w:t>
            </w:r>
          </w:p>
          <w:p w14:paraId="5FA12896">
            <w:pPr>
              <w:widowControl/>
              <w:wordWrap w:val="0"/>
              <w:jc w:val="left"/>
              <w:rPr>
                <w:rFonts w:hint="eastAsia" w:ascii="宋体" w:hAnsi="宋体" w:cs="宋体"/>
                <w:sz w:val="24"/>
                <w:highlight w:val="none"/>
                <w:lang w:val="en-US" w:eastAsia="zh-CN"/>
              </w:rPr>
            </w:pPr>
            <w:r>
              <w:rPr>
                <w:rFonts w:hint="eastAsia" w:ascii="宋体" w:hAnsi="宋体" w:cs="宋体"/>
                <w:bCs/>
                <w:sz w:val="24"/>
                <w:highlight w:val="none"/>
                <w:lang w:val="en-US" w:eastAsia="zh-CN"/>
              </w:rPr>
              <w:t>5</w:t>
            </w:r>
            <w:r>
              <w:rPr>
                <w:rFonts w:hint="eastAsia" w:ascii="宋体" w:hAnsi="宋体" w:cs="宋体"/>
                <w:bCs/>
                <w:sz w:val="24"/>
                <w:highlight w:val="none"/>
              </w:rPr>
              <w:t>包名称：</w:t>
            </w:r>
            <w:r>
              <w:rPr>
                <w:rFonts w:hint="eastAsia" w:ascii="宋体" w:hAnsi="宋体" w:cs="宋体"/>
                <w:sz w:val="24"/>
                <w:highlight w:val="none"/>
                <w:lang w:val="en-US" w:eastAsia="zh-CN"/>
              </w:rPr>
              <w:t>智慧中医康复实训室建设项目</w:t>
            </w:r>
          </w:p>
          <w:p w14:paraId="1F6BD47E">
            <w:pPr>
              <w:widowControl/>
              <w:wordWrap w:val="0"/>
              <w:jc w:val="left"/>
              <w:rPr>
                <w:rFonts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包名称：</w:t>
            </w:r>
            <w:r>
              <w:rPr>
                <w:rFonts w:hint="eastAsia" w:ascii="宋体" w:hAnsi="宋体" w:cs="宋体"/>
                <w:sz w:val="24"/>
                <w:highlight w:val="none"/>
                <w:lang w:val="en-US" w:eastAsia="zh-CN"/>
              </w:rPr>
              <w:t>综合置管智慧实训室建设项目</w:t>
            </w:r>
          </w:p>
        </w:tc>
      </w:tr>
      <w:tr w14:paraId="3A72E7A4">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B114472">
            <w:pPr>
              <w:widowControl/>
              <w:wordWrap w:val="0"/>
              <w:jc w:val="center"/>
              <w:rPr>
                <w:rFonts w:ascii="宋体" w:hAnsi="宋体" w:cs="宋体"/>
                <w:kern w:val="0"/>
                <w:sz w:val="24"/>
                <w:highlight w:val="none"/>
              </w:rPr>
            </w:pPr>
            <w:r>
              <w:rPr>
                <w:rFonts w:hint="eastAsia" w:ascii="宋体" w:hAnsi="宋体" w:cs="宋体"/>
                <w:kern w:val="0"/>
                <w:sz w:val="24"/>
                <w:highlight w:val="none"/>
              </w:rPr>
              <w:t>1.1.5</w:t>
            </w:r>
          </w:p>
        </w:tc>
        <w:tc>
          <w:tcPr>
            <w:tcW w:w="2119" w:type="dxa"/>
            <w:tcBorders>
              <w:top w:val="single" w:color="000000" w:sz="6" w:space="0"/>
              <w:left w:val="single" w:color="000000" w:sz="6" w:space="0"/>
              <w:bottom w:val="single" w:color="000000" w:sz="6" w:space="0"/>
              <w:right w:val="single" w:color="000000" w:sz="6" w:space="0"/>
            </w:tcBorders>
            <w:vAlign w:val="center"/>
          </w:tcPr>
          <w:p w14:paraId="007B9C97">
            <w:pPr>
              <w:widowControl/>
              <w:wordWrap w:val="0"/>
              <w:jc w:val="center"/>
              <w:rPr>
                <w:rFonts w:ascii="宋体" w:hAnsi="宋体" w:cs="宋体"/>
                <w:kern w:val="0"/>
                <w:sz w:val="24"/>
                <w:highlight w:val="none"/>
              </w:rPr>
            </w:pPr>
            <w:r>
              <w:rPr>
                <w:rFonts w:hint="eastAsia" w:ascii="宋体" w:hAnsi="宋体" w:cs="宋体"/>
                <w:kern w:val="0"/>
                <w:sz w:val="24"/>
                <w:highlight w:val="none"/>
              </w:rPr>
              <w:t>项目地点</w:t>
            </w:r>
          </w:p>
        </w:tc>
        <w:tc>
          <w:tcPr>
            <w:tcW w:w="6340" w:type="dxa"/>
            <w:tcBorders>
              <w:top w:val="single" w:color="000000" w:sz="6" w:space="0"/>
              <w:left w:val="single" w:color="000000" w:sz="6" w:space="0"/>
              <w:bottom w:val="single" w:color="000000" w:sz="6" w:space="0"/>
              <w:right w:val="single" w:color="000000" w:sz="6" w:space="0"/>
            </w:tcBorders>
            <w:vAlign w:val="center"/>
          </w:tcPr>
          <w:p w14:paraId="2132F1CC">
            <w:pPr>
              <w:widowControl/>
              <w:wordWrap w:val="0"/>
              <w:jc w:val="left"/>
              <w:rPr>
                <w:rFonts w:ascii="宋体" w:hAnsi="宋体" w:cs="宋体"/>
                <w:kern w:val="0"/>
                <w:sz w:val="24"/>
                <w:highlight w:val="none"/>
                <w:u w:val="single"/>
              </w:rPr>
            </w:pPr>
            <w:r>
              <w:rPr>
                <w:rFonts w:hint="eastAsia" w:ascii="宋体" w:hAnsi="宋体" w:cs="宋体"/>
                <w:sz w:val="24"/>
                <w:highlight w:val="none"/>
              </w:rPr>
              <w:t>玉溪市或采购人指定地点</w:t>
            </w:r>
          </w:p>
        </w:tc>
      </w:tr>
      <w:tr w14:paraId="707E47EA">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52D5D53">
            <w:pPr>
              <w:widowControl/>
              <w:wordWrap w:val="0"/>
              <w:jc w:val="center"/>
              <w:rPr>
                <w:rFonts w:ascii="宋体" w:hAnsi="宋体" w:cs="宋体"/>
                <w:kern w:val="0"/>
                <w:sz w:val="24"/>
                <w:highlight w:val="none"/>
              </w:rPr>
            </w:pPr>
            <w:r>
              <w:rPr>
                <w:rFonts w:hint="eastAsia" w:ascii="宋体" w:hAnsi="宋体" w:cs="宋体"/>
                <w:kern w:val="0"/>
                <w:sz w:val="24"/>
                <w:highlight w:val="none"/>
              </w:rPr>
              <w:t>1.1.6</w:t>
            </w:r>
          </w:p>
        </w:tc>
        <w:tc>
          <w:tcPr>
            <w:tcW w:w="2119" w:type="dxa"/>
            <w:tcBorders>
              <w:top w:val="single" w:color="000000" w:sz="6" w:space="0"/>
              <w:left w:val="single" w:color="000000" w:sz="6" w:space="0"/>
              <w:bottom w:val="single" w:color="000000" w:sz="6" w:space="0"/>
              <w:right w:val="single" w:color="000000" w:sz="6" w:space="0"/>
            </w:tcBorders>
            <w:vAlign w:val="center"/>
          </w:tcPr>
          <w:p w14:paraId="18621A1D">
            <w:pPr>
              <w:widowControl/>
              <w:wordWrap w:val="0"/>
              <w:jc w:val="center"/>
              <w:rPr>
                <w:rFonts w:ascii="宋体" w:hAnsi="宋体" w:cs="宋体"/>
                <w:kern w:val="0"/>
                <w:sz w:val="24"/>
                <w:highlight w:val="none"/>
              </w:rPr>
            </w:pPr>
            <w:r>
              <w:rPr>
                <w:rFonts w:hint="eastAsia" w:ascii="宋体" w:hAnsi="宋体" w:cs="宋体"/>
                <w:sz w:val="24"/>
                <w:highlight w:val="none"/>
              </w:rPr>
              <w:t>预算金额</w:t>
            </w:r>
          </w:p>
        </w:tc>
        <w:tc>
          <w:tcPr>
            <w:tcW w:w="6340" w:type="dxa"/>
            <w:tcBorders>
              <w:top w:val="single" w:color="000000" w:sz="6" w:space="0"/>
              <w:left w:val="single" w:color="000000" w:sz="6" w:space="0"/>
              <w:bottom w:val="single" w:color="000000" w:sz="6" w:space="0"/>
              <w:right w:val="single" w:color="000000" w:sz="6" w:space="0"/>
            </w:tcBorders>
            <w:vAlign w:val="center"/>
          </w:tcPr>
          <w:p w14:paraId="06907FAA">
            <w:pPr>
              <w:widowControl/>
              <w:wordWrap w:val="0"/>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eastAsia="zh-CN"/>
              </w:rPr>
              <w:t>6269320.00</w:t>
            </w:r>
            <w:r>
              <w:rPr>
                <w:rFonts w:hint="eastAsia" w:ascii="宋体" w:hAnsi="宋体" w:cs="宋体"/>
                <w:sz w:val="24"/>
                <w:highlight w:val="none"/>
              </w:rPr>
              <w:t>元（</w:t>
            </w:r>
            <w:r>
              <w:rPr>
                <w:rFonts w:hint="eastAsia" w:ascii="宋体" w:hAnsi="宋体" w:cs="宋体"/>
                <w:sz w:val="24"/>
                <w:highlight w:val="none"/>
                <w:lang w:val="en-US" w:eastAsia="zh-CN"/>
              </w:rPr>
              <w:t>人民币大写：陆佰贰拾陆万玖仟叁佰贰拾元整</w:t>
            </w:r>
            <w:r>
              <w:rPr>
                <w:rFonts w:hint="eastAsia" w:ascii="宋体" w:hAnsi="宋体" w:cs="宋体"/>
                <w:sz w:val="24"/>
                <w:highlight w:val="none"/>
              </w:rPr>
              <w:t>），其中1包：</w:t>
            </w:r>
            <w:r>
              <w:rPr>
                <w:rFonts w:hint="eastAsia" w:ascii="宋体" w:hAnsi="宋体" w:cs="宋体"/>
                <w:sz w:val="24"/>
                <w:highlight w:val="none"/>
                <w:lang w:eastAsia="zh-CN"/>
              </w:rPr>
              <w:t>722200</w:t>
            </w:r>
            <w:r>
              <w:rPr>
                <w:rFonts w:hint="eastAsia" w:ascii="宋体" w:hAnsi="宋体" w:cs="宋体"/>
                <w:sz w:val="24"/>
                <w:highlight w:val="none"/>
              </w:rPr>
              <w:t>.00元，2包：¥</w:t>
            </w:r>
            <w:r>
              <w:rPr>
                <w:rFonts w:hint="eastAsia" w:ascii="宋体" w:hAnsi="宋体" w:cs="宋体"/>
                <w:sz w:val="24"/>
                <w:highlight w:val="none"/>
                <w:lang w:val="en-US" w:eastAsia="zh-CN"/>
              </w:rPr>
              <w:t>800000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eastAsia="zh-CN"/>
              </w:rPr>
              <w:t>1247120.00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eastAsia="zh-CN"/>
              </w:rPr>
              <w:t>1000000.00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600000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1900000</w:t>
            </w:r>
            <w:r>
              <w:rPr>
                <w:rFonts w:hint="eastAsia" w:ascii="宋体" w:hAnsi="宋体" w:cs="宋体"/>
                <w:sz w:val="24"/>
                <w:highlight w:val="none"/>
              </w:rPr>
              <w:t>.00元。</w:t>
            </w:r>
          </w:p>
        </w:tc>
      </w:tr>
      <w:tr w14:paraId="1DC4FB9E">
        <w:tblPrEx>
          <w:tblCellMar>
            <w:top w:w="15" w:type="dxa"/>
            <w:left w:w="15" w:type="dxa"/>
            <w:bottom w:w="15" w:type="dxa"/>
            <w:right w:w="15" w:type="dxa"/>
          </w:tblCellMar>
        </w:tblPrEx>
        <w:trPr>
          <w:trHeight w:val="506"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799CDD3">
            <w:pPr>
              <w:widowControl/>
              <w:wordWrap w:val="0"/>
              <w:jc w:val="center"/>
              <w:rPr>
                <w:rFonts w:ascii="宋体" w:hAnsi="宋体" w:cs="宋体"/>
                <w:kern w:val="0"/>
                <w:sz w:val="24"/>
                <w:highlight w:val="none"/>
              </w:rPr>
            </w:pPr>
            <w:r>
              <w:rPr>
                <w:rFonts w:hint="eastAsia" w:ascii="宋体" w:hAnsi="宋体" w:cs="宋体"/>
                <w:kern w:val="0"/>
                <w:sz w:val="24"/>
                <w:highlight w:val="none"/>
              </w:rPr>
              <w:t>1.2.1</w:t>
            </w:r>
          </w:p>
        </w:tc>
        <w:tc>
          <w:tcPr>
            <w:tcW w:w="2119" w:type="dxa"/>
            <w:tcBorders>
              <w:top w:val="single" w:color="000000" w:sz="6" w:space="0"/>
              <w:left w:val="single" w:color="000000" w:sz="6" w:space="0"/>
              <w:bottom w:val="single" w:color="000000" w:sz="6" w:space="0"/>
              <w:right w:val="single" w:color="000000" w:sz="6" w:space="0"/>
            </w:tcBorders>
            <w:vAlign w:val="center"/>
          </w:tcPr>
          <w:p w14:paraId="2279EE32">
            <w:pPr>
              <w:widowControl/>
              <w:wordWrap w:val="0"/>
              <w:jc w:val="center"/>
              <w:rPr>
                <w:rFonts w:ascii="宋体" w:hAnsi="宋体" w:cs="宋体"/>
                <w:kern w:val="0"/>
                <w:sz w:val="24"/>
                <w:highlight w:val="none"/>
              </w:rPr>
            </w:pPr>
            <w:r>
              <w:rPr>
                <w:rFonts w:hint="eastAsia" w:ascii="宋体" w:hAnsi="宋体" w:cs="宋体"/>
                <w:kern w:val="0"/>
                <w:sz w:val="24"/>
                <w:highlight w:val="none"/>
              </w:rPr>
              <w:t>资金来源</w:t>
            </w:r>
          </w:p>
        </w:tc>
        <w:tc>
          <w:tcPr>
            <w:tcW w:w="6340" w:type="dxa"/>
            <w:tcBorders>
              <w:top w:val="single" w:color="000000" w:sz="6" w:space="0"/>
              <w:left w:val="single" w:color="000000" w:sz="6" w:space="0"/>
              <w:bottom w:val="single" w:color="000000" w:sz="6" w:space="0"/>
              <w:right w:val="single" w:color="000000" w:sz="6" w:space="0"/>
            </w:tcBorders>
            <w:vAlign w:val="center"/>
          </w:tcPr>
          <w:p w14:paraId="3AB3C623">
            <w:pPr>
              <w:widowControl/>
              <w:jc w:val="left"/>
              <w:rPr>
                <w:rFonts w:ascii="宋体" w:hAnsi="宋体" w:cs="宋体"/>
                <w:sz w:val="24"/>
                <w:highlight w:val="none"/>
              </w:rPr>
            </w:pPr>
            <w:r>
              <w:rPr>
                <w:rFonts w:hint="eastAsia" w:ascii="宋体" w:hAnsi="宋体" w:cs="宋体"/>
                <w:sz w:val="24"/>
                <w:highlight w:val="none"/>
              </w:rPr>
              <w:t>财政资金</w:t>
            </w:r>
          </w:p>
        </w:tc>
      </w:tr>
      <w:tr w14:paraId="54D6F6E7">
        <w:tblPrEx>
          <w:tblCellMar>
            <w:top w:w="15" w:type="dxa"/>
            <w:left w:w="15" w:type="dxa"/>
            <w:bottom w:w="15" w:type="dxa"/>
            <w:right w:w="15" w:type="dxa"/>
          </w:tblCellMar>
        </w:tblPrEx>
        <w:trPr>
          <w:trHeight w:val="9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8F59A24">
            <w:pPr>
              <w:widowControl/>
              <w:wordWrap w:val="0"/>
              <w:jc w:val="center"/>
              <w:rPr>
                <w:rFonts w:ascii="宋体" w:hAnsi="宋体" w:cs="宋体"/>
                <w:kern w:val="0"/>
                <w:sz w:val="24"/>
                <w:highlight w:val="none"/>
              </w:rPr>
            </w:pPr>
            <w:r>
              <w:rPr>
                <w:rFonts w:hint="eastAsia" w:ascii="宋体" w:hAnsi="宋体" w:cs="宋体"/>
                <w:kern w:val="0"/>
                <w:sz w:val="24"/>
                <w:highlight w:val="none"/>
              </w:rPr>
              <w:t>1.2.2</w:t>
            </w:r>
          </w:p>
        </w:tc>
        <w:tc>
          <w:tcPr>
            <w:tcW w:w="2119" w:type="dxa"/>
            <w:tcBorders>
              <w:top w:val="single" w:color="000000" w:sz="6" w:space="0"/>
              <w:left w:val="single" w:color="000000" w:sz="6" w:space="0"/>
              <w:bottom w:val="single" w:color="000000" w:sz="6" w:space="0"/>
              <w:right w:val="single" w:color="000000" w:sz="6" w:space="0"/>
            </w:tcBorders>
            <w:vAlign w:val="center"/>
          </w:tcPr>
          <w:p w14:paraId="71272454">
            <w:pPr>
              <w:widowControl/>
              <w:wordWrap w:val="0"/>
              <w:jc w:val="center"/>
              <w:rPr>
                <w:rFonts w:ascii="宋体" w:hAnsi="宋体" w:cs="宋体"/>
                <w:kern w:val="0"/>
                <w:sz w:val="24"/>
                <w:highlight w:val="none"/>
              </w:rPr>
            </w:pPr>
            <w:r>
              <w:rPr>
                <w:rFonts w:hint="eastAsia" w:ascii="宋体" w:hAnsi="宋体" w:cs="宋体"/>
                <w:kern w:val="0"/>
                <w:sz w:val="24"/>
                <w:highlight w:val="none"/>
              </w:rPr>
              <w:t>出资比例</w:t>
            </w:r>
          </w:p>
        </w:tc>
        <w:tc>
          <w:tcPr>
            <w:tcW w:w="6340" w:type="dxa"/>
            <w:tcBorders>
              <w:top w:val="single" w:color="000000" w:sz="6" w:space="0"/>
              <w:left w:val="single" w:color="000000" w:sz="6" w:space="0"/>
              <w:bottom w:val="single" w:color="000000" w:sz="6" w:space="0"/>
              <w:right w:val="single" w:color="000000" w:sz="6" w:space="0"/>
            </w:tcBorders>
            <w:vAlign w:val="center"/>
          </w:tcPr>
          <w:p w14:paraId="05A98EC6">
            <w:pPr>
              <w:widowControl/>
              <w:jc w:val="left"/>
              <w:rPr>
                <w:rFonts w:ascii="宋体" w:hAnsi="宋体" w:cs="宋体"/>
                <w:sz w:val="24"/>
                <w:highlight w:val="none"/>
              </w:rPr>
            </w:pPr>
            <w:r>
              <w:rPr>
                <w:rFonts w:hint="eastAsia" w:ascii="宋体" w:hAnsi="宋体" w:cs="宋体"/>
                <w:sz w:val="24"/>
                <w:highlight w:val="none"/>
              </w:rPr>
              <w:t>100%</w:t>
            </w:r>
          </w:p>
        </w:tc>
      </w:tr>
      <w:tr w14:paraId="062053FD">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5CAE5DE">
            <w:pPr>
              <w:widowControl/>
              <w:wordWrap w:val="0"/>
              <w:jc w:val="center"/>
              <w:rPr>
                <w:rFonts w:ascii="宋体" w:hAnsi="宋体" w:cs="宋体"/>
                <w:kern w:val="0"/>
                <w:sz w:val="24"/>
                <w:highlight w:val="none"/>
              </w:rPr>
            </w:pPr>
            <w:r>
              <w:rPr>
                <w:rFonts w:hint="eastAsia" w:ascii="宋体" w:hAnsi="宋体" w:cs="宋体"/>
                <w:kern w:val="0"/>
                <w:sz w:val="24"/>
                <w:highlight w:val="none"/>
              </w:rPr>
              <w:t>1.2.3</w:t>
            </w:r>
          </w:p>
        </w:tc>
        <w:tc>
          <w:tcPr>
            <w:tcW w:w="2119" w:type="dxa"/>
            <w:tcBorders>
              <w:top w:val="single" w:color="000000" w:sz="6" w:space="0"/>
              <w:left w:val="single" w:color="000000" w:sz="6" w:space="0"/>
              <w:bottom w:val="single" w:color="000000" w:sz="6" w:space="0"/>
              <w:right w:val="single" w:color="000000" w:sz="6" w:space="0"/>
            </w:tcBorders>
            <w:vAlign w:val="center"/>
          </w:tcPr>
          <w:p w14:paraId="63E14957">
            <w:pPr>
              <w:widowControl/>
              <w:wordWrap w:val="0"/>
              <w:jc w:val="center"/>
              <w:rPr>
                <w:rFonts w:ascii="宋体" w:hAnsi="宋体" w:cs="宋体"/>
                <w:kern w:val="0"/>
                <w:sz w:val="24"/>
                <w:highlight w:val="none"/>
              </w:rPr>
            </w:pPr>
            <w:r>
              <w:rPr>
                <w:rFonts w:hint="eastAsia" w:ascii="宋体" w:hAnsi="宋体" w:cs="宋体"/>
                <w:sz w:val="24"/>
                <w:highlight w:val="none"/>
              </w:rPr>
              <w:t>资金落实情况</w:t>
            </w:r>
          </w:p>
        </w:tc>
        <w:tc>
          <w:tcPr>
            <w:tcW w:w="6340" w:type="dxa"/>
            <w:tcBorders>
              <w:top w:val="single" w:color="000000" w:sz="6" w:space="0"/>
              <w:left w:val="single" w:color="000000" w:sz="6" w:space="0"/>
              <w:bottom w:val="single" w:color="000000" w:sz="6" w:space="0"/>
              <w:right w:val="single" w:color="000000" w:sz="6" w:space="0"/>
            </w:tcBorders>
            <w:vAlign w:val="center"/>
          </w:tcPr>
          <w:p w14:paraId="54C78AB0">
            <w:pPr>
              <w:widowControl/>
              <w:jc w:val="left"/>
              <w:rPr>
                <w:rFonts w:ascii="宋体" w:hAnsi="宋体" w:cs="宋体"/>
                <w:sz w:val="24"/>
                <w:highlight w:val="none"/>
              </w:rPr>
            </w:pPr>
            <w:r>
              <w:rPr>
                <w:rFonts w:hint="eastAsia" w:ascii="宋体" w:hAnsi="宋体" w:cs="宋体"/>
                <w:sz w:val="24"/>
                <w:highlight w:val="none"/>
              </w:rPr>
              <w:t>已落实</w:t>
            </w:r>
          </w:p>
        </w:tc>
      </w:tr>
      <w:tr w14:paraId="78B4CEC9">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142C06B">
            <w:pPr>
              <w:widowControl/>
              <w:wordWrap w:val="0"/>
              <w:jc w:val="center"/>
              <w:rPr>
                <w:rFonts w:ascii="宋体" w:hAnsi="宋体" w:cs="宋体"/>
                <w:kern w:val="0"/>
                <w:sz w:val="24"/>
                <w:highlight w:val="none"/>
              </w:rPr>
            </w:pPr>
            <w:r>
              <w:rPr>
                <w:rFonts w:hint="eastAsia" w:ascii="宋体" w:hAnsi="宋体" w:cs="宋体"/>
                <w:kern w:val="0"/>
                <w:sz w:val="24"/>
                <w:highlight w:val="none"/>
              </w:rPr>
              <w:t>1.3.1</w:t>
            </w:r>
          </w:p>
        </w:tc>
        <w:tc>
          <w:tcPr>
            <w:tcW w:w="2119" w:type="dxa"/>
            <w:tcBorders>
              <w:top w:val="single" w:color="000000" w:sz="6" w:space="0"/>
              <w:left w:val="single" w:color="000000" w:sz="6" w:space="0"/>
              <w:bottom w:val="single" w:color="000000" w:sz="6" w:space="0"/>
              <w:right w:val="single" w:color="000000" w:sz="6" w:space="0"/>
            </w:tcBorders>
            <w:vAlign w:val="center"/>
          </w:tcPr>
          <w:p w14:paraId="18DC827E">
            <w:pPr>
              <w:widowControl/>
              <w:wordWrap w:val="0"/>
              <w:jc w:val="center"/>
              <w:rPr>
                <w:rFonts w:ascii="宋体" w:hAnsi="宋体" w:cs="宋体"/>
                <w:kern w:val="0"/>
                <w:sz w:val="24"/>
                <w:highlight w:val="none"/>
              </w:rPr>
            </w:pPr>
            <w:r>
              <w:rPr>
                <w:rFonts w:hint="eastAsia" w:ascii="宋体" w:hAnsi="宋体" w:cs="宋体"/>
                <w:kern w:val="0"/>
                <w:sz w:val="24"/>
                <w:highlight w:val="none"/>
              </w:rPr>
              <w:t>采购需求</w:t>
            </w:r>
          </w:p>
        </w:tc>
        <w:tc>
          <w:tcPr>
            <w:tcW w:w="6340" w:type="dxa"/>
            <w:tcBorders>
              <w:top w:val="single" w:color="000000" w:sz="6" w:space="0"/>
              <w:left w:val="single" w:color="000000" w:sz="6" w:space="0"/>
              <w:bottom w:val="single" w:color="000000" w:sz="6" w:space="0"/>
              <w:right w:val="single" w:color="000000" w:sz="6" w:space="0"/>
            </w:tcBorders>
            <w:vAlign w:val="center"/>
          </w:tcPr>
          <w:p w14:paraId="5E86E966">
            <w:pPr>
              <w:rPr>
                <w:rFonts w:ascii="宋体" w:hAnsi="宋体" w:cs="宋体"/>
                <w:sz w:val="24"/>
                <w:highlight w:val="none"/>
              </w:rPr>
            </w:pPr>
            <w:r>
              <w:rPr>
                <w:rFonts w:hint="eastAsia" w:ascii="宋体" w:hAnsi="宋体" w:cs="宋体"/>
                <w:sz w:val="24"/>
                <w:highlight w:val="none"/>
              </w:rPr>
              <w:t>详见招标文件“第五章 采购内容及要求”。</w:t>
            </w:r>
          </w:p>
        </w:tc>
      </w:tr>
      <w:tr w14:paraId="0DD2DD63">
        <w:tblPrEx>
          <w:tblCellMar>
            <w:top w:w="15" w:type="dxa"/>
            <w:left w:w="15" w:type="dxa"/>
            <w:bottom w:w="15" w:type="dxa"/>
            <w:right w:w="15" w:type="dxa"/>
          </w:tblCellMar>
        </w:tblPrEx>
        <w:trPr>
          <w:trHeight w:val="9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4B6DE1F7">
            <w:pPr>
              <w:widowControl/>
              <w:wordWrap w:val="0"/>
              <w:jc w:val="center"/>
              <w:rPr>
                <w:rFonts w:ascii="宋体" w:hAnsi="宋体" w:cs="宋体"/>
                <w:kern w:val="0"/>
                <w:sz w:val="24"/>
                <w:highlight w:val="none"/>
              </w:rPr>
            </w:pPr>
            <w:r>
              <w:rPr>
                <w:rFonts w:hint="eastAsia" w:ascii="宋体" w:hAnsi="宋体" w:cs="宋体"/>
                <w:kern w:val="0"/>
                <w:sz w:val="24"/>
                <w:highlight w:val="none"/>
              </w:rPr>
              <w:t>1.3.2</w:t>
            </w:r>
          </w:p>
        </w:tc>
        <w:tc>
          <w:tcPr>
            <w:tcW w:w="2119" w:type="dxa"/>
            <w:tcBorders>
              <w:top w:val="single" w:color="000000" w:sz="6" w:space="0"/>
              <w:left w:val="single" w:color="000000" w:sz="6" w:space="0"/>
              <w:bottom w:val="single" w:color="000000" w:sz="6" w:space="0"/>
              <w:right w:val="single" w:color="000000" w:sz="6" w:space="0"/>
            </w:tcBorders>
            <w:vAlign w:val="center"/>
          </w:tcPr>
          <w:p w14:paraId="51829EC4">
            <w:pPr>
              <w:widowControl/>
              <w:wordWrap w:val="0"/>
              <w:jc w:val="center"/>
              <w:rPr>
                <w:rFonts w:ascii="宋体" w:hAnsi="宋体" w:cs="宋体"/>
                <w:kern w:val="0"/>
                <w:sz w:val="24"/>
                <w:highlight w:val="none"/>
              </w:rPr>
            </w:pPr>
            <w:r>
              <w:rPr>
                <w:rFonts w:hint="eastAsia" w:ascii="宋体" w:hAnsi="宋体" w:cs="宋体"/>
                <w:bCs/>
                <w:sz w:val="24"/>
                <w:highlight w:val="none"/>
              </w:rPr>
              <w:t>合同履行期限</w:t>
            </w:r>
          </w:p>
        </w:tc>
        <w:tc>
          <w:tcPr>
            <w:tcW w:w="6340" w:type="dxa"/>
            <w:tcBorders>
              <w:top w:val="single" w:color="000000" w:sz="6" w:space="0"/>
              <w:left w:val="single" w:color="000000" w:sz="6" w:space="0"/>
              <w:bottom w:val="single" w:color="000000" w:sz="6" w:space="0"/>
              <w:right w:val="single" w:color="000000" w:sz="6" w:space="0"/>
            </w:tcBorders>
            <w:vAlign w:val="center"/>
          </w:tcPr>
          <w:p w14:paraId="1B119D79">
            <w:pPr>
              <w:widowControl/>
              <w:wordWrap w:val="0"/>
              <w:jc w:val="left"/>
              <w:rPr>
                <w:rFonts w:ascii="宋体" w:hAnsi="宋体" w:cs="宋体"/>
                <w:sz w:val="24"/>
                <w:highlight w:val="none"/>
              </w:rPr>
            </w:pPr>
            <w:r>
              <w:rPr>
                <w:rFonts w:hint="eastAsia" w:ascii="宋体" w:hAnsi="宋体" w:cs="宋体"/>
                <w:sz w:val="24"/>
                <w:highlight w:val="none"/>
              </w:rPr>
              <w:t>自合同签订之日起</w:t>
            </w:r>
            <w:r>
              <w:rPr>
                <w:rFonts w:hint="eastAsia" w:ascii="宋体" w:hAnsi="宋体" w:cs="宋体"/>
                <w:sz w:val="24"/>
                <w:highlight w:val="none"/>
                <w:lang w:eastAsia="zh-CN"/>
              </w:rPr>
              <w:t>60个日历天内完成供货</w:t>
            </w:r>
            <w:r>
              <w:rPr>
                <w:rFonts w:hint="eastAsia" w:ascii="宋体" w:hAnsi="宋体" w:cs="宋体"/>
                <w:sz w:val="24"/>
                <w:highlight w:val="none"/>
              </w:rPr>
              <w:t>、系统建设</w:t>
            </w:r>
            <w:r>
              <w:rPr>
                <w:rFonts w:hint="eastAsia" w:ascii="宋体" w:hAnsi="宋体" w:cs="宋体"/>
                <w:sz w:val="24"/>
                <w:highlight w:val="none"/>
                <w:lang w:eastAsia="zh-CN"/>
              </w:rPr>
              <w:t>、</w:t>
            </w:r>
            <w:r>
              <w:rPr>
                <w:rFonts w:hint="eastAsia" w:ascii="宋体" w:hAnsi="宋体" w:cs="宋体"/>
                <w:sz w:val="24"/>
                <w:highlight w:val="none"/>
              </w:rPr>
              <w:t>安装</w:t>
            </w:r>
            <w:r>
              <w:rPr>
                <w:rFonts w:hint="eastAsia" w:ascii="宋体" w:hAnsi="宋体" w:cs="宋体"/>
                <w:sz w:val="24"/>
                <w:highlight w:val="none"/>
                <w:lang w:eastAsia="zh-CN"/>
              </w:rPr>
              <w:t>、</w:t>
            </w:r>
            <w:r>
              <w:rPr>
                <w:rFonts w:hint="eastAsia" w:ascii="宋体" w:hAnsi="宋体" w:cs="宋体"/>
                <w:sz w:val="24"/>
                <w:highlight w:val="none"/>
              </w:rPr>
              <w:t>调试及验收，满足采购人使用需求。</w:t>
            </w:r>
          </w:p>
        </w:tc>
      </w:tr>
      <w:tr w14:paraId="5191A919">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D83DBCE">
            <w:pPr>
              <w:widowControl/>
              <w:wordWrap w:val="0"/>
              <w:jc w:val="center"/>
              <w:rPr>
                <w:rFonts w:ascii="宋体" w:hAnsi="宋体" w:cs="宋体"/>
                <w:kern w:val="0"/>
                <w:sz w:val="24"/>
                <w:highlight w:val="none"/>
              </w:rPr>
            </w:pPr>
            <w:r>
              <w:rPr>
                <w:rFonts w:hint="eastAsia" w:ascii="宋体" w:hAnsi="宋体" w:cs="宋体"/>
                <w:kern w:val="0"/>
                <w:sz w:val="24"/>
                <w:highlight w:val="none"/>
              </w:rPr>
              <w:t>1.3.3</w:t>
            </w:r>
          </w:p>
        </w:tc>
        <w:tc>
          <w:tcPr>
            <w:tcW w:w="2119" w:type="dxa"/>
            <w:tcBorders>
              <w:top w:val="single" w:color="000000" w:sz="6" w:space="0"/>
              <w:left w:val="single" w:color="000000" w:sz="6" w:space="0"/>
              <w:bottom w:val="single" w:color="000000" w:sz="6" w:space="0"/>
              <w:right w:val="single" w:color="000000" w:sz="6" w:space="0"/>
            </w:tcBorders>
            <w:vAlign w:val="center"/>
          </w:tcPr>
          <w:p w14:paraId="76945A8E">
            <w:pPr>
              <w:widowControl/>
              <w:wordWrap w:val="0"/>
              <w:jc w:val="center"/>
              <w:rPr>
                <w:rFonts w:ascii="宋体" w:hAnsi="宋体" w:cs="宋体"/>
                <w:kern w:val="0"/>
                <w:sz w:val="24"/>
                <w:highlight w:val="none"/>
              </w:rPr>
            </w:pPr>
            <w:r>
              <w:rPr>
                <w:rFonts w:hint="eastAsia" w:ascii="宋体" w:hAnsi="宋体" w:cs="宋体"/>
                <w:kern w:val="0"/>
                <w:sz w:val="24"/>
                <w:highlight w:val="none"/>
              </w:rPr>
              <w:t>质量要求</w:t>
            </w:r>
          </w:p>
        </w:tc>
        <w:tc>
          <w:tcPr>
            <w:tcW w:w="6340" w:type="dxa"/>
            <w:tcBorders>
              <w:top w:val="single" w:color="000000" w:sz="6" w:space="0"/>
              <w:left w:val="single" w:color="000000" w:sz="6" w:space="0"/>
              <w:bottom w:val="single" w:color="000000" w:sz="6" w:space="0"/>
              <w:right w:val="single" w:color="000000" w:sz="6" w:space="0"/>
            </w:tcBorders>
            <w:vAlign w:val="center"/>
          </w:tcPr>
          <w:p w14:paraId="3462E901">
            <w:pPr>
              <w:adjustRightInd w:val="0"/>
              <w:rPr>
                <w:highlight w:val="none"/>
              </w:rPr>
            </w:pPr>
            <w:r>
              <w:rPr>
                <w:rFonts w:hint="eastAsia" w:ascii="宋体"/>
                <w:sz w:val="24"/>
                <w:highlight w:val="none"/>
              </w:rPr>
              <w:t>提供的货物为全新产品，达到国家及行业现行质量标准、验收标准，一次性验收合格，能正常投入使用，满足采购人要求及招标文件相关要求，并</w:t>
            </w:r>
            <w:r>
              <w:rPr>
                <w:rFonts w:hint="eastAsia" w:ascii="宋体" w:hAnsi="宋体" w:cs="宋体"/>
                <w:sz w:val="24"/>
                <w:highlight w:val="none"/>
              </w:rPr>
              <w:t>保证使用期间不存在侵犯第三方知识产权的情形。</w:t>
            </w:r>
          </w:p>
        </w:tc>
      </w:tr>
      <w:tr w14:paraId="3D84523A">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C1106D6">
            <w:pPr>
              <w:widowControl/>
              <w:wordWrap w:val="0"/>
              <w:jc w:val="center"/>
              <w:rPr>
                <w:rFonts w:ascii="宋体" w:hAnsi="宋体" w:cs="宋体"/>
                <w:kern w:val="0"/>
                <w:sz w:val="24"/>
                <w:highlight w:val="none"/>
              </w:rPr>
            </w:pPr>
            <w:r>
              <w:rPr>
                <w:rFonts w:hint="eastAsia" w:ascii="宋体" w:hAnsi="宋体" w:cs="宋体"/>
                <w:kern w:val="0"/>
                <w:sz w:val="24"/>
                <w:highlight w:val="none"/>
              </w:rPr>
              <w:t>1.3.4</w:t>
            </w:r>
          </w:p>
        </w:tc>
        <w:tc>
          <w:tcPr>
            <w:tcW w:w="2119" w:type="dxa"/>
            <w:tcBorders>
              <w:top w:val="single" w:color="000000" w:sz="6" w:space="0"/>
              <w:left w:val="single" w:color="000000" w:sz="6" w:space="0"/>
              <w:bottom w:val="single" w:color="000000" w:sz="6" w:space="0"/>
              <w:right w:val="single" w:color="000000" w:sz="6" w:space="0"/>
            </w:tcBorders>
            <w:vAlign w:val="center"/>
          </w:tcPr>
          <w:p w14:paraId="14402905">
            <w:pPr>
              <w:widowControl/>
              <w:wordWrap w:val="0"/>
              <w:jc w:val="center"/>
              <w:rPr>
                <w:rFonts w:ascii="宋体" w:hAnsi="宋体" w:cs="宋体"/>
                <w:kern w:val="0"/>
                <w:sz w:val="24"/>
                <w:highlight w:val="none"/>
              </w:rPr>
            </w:pPr>
            <w:r>
              <w:rPr>
                <w:rFonts w:hint="eastAsia" w:ascii="宋体" w:hAnsi="宋体" w:cs="宋体"/>
                <w:kern w:val="0"/>
                <w:sz w:val="24"/>
                <w:highlight w:val="none"/>
              </w:rPr>
              <w:t>标段划分</w:t>
            </w:r>
          </w:p>
        </w:tc>
        <w:tc>
          <w:tcPr>
            <w:tcW w:w="6340" w:type="dxa"/>
            <w:tcBorders>
              <w:top w:val="single" w:color="000000" w:sz="6" w:space="0"/>
              <w:left w:val="single" w:color="000000" w:sz="6" w:space="0"/>
              <w:bottom w:val="single" w:color="000000" w:sz="6" w:space="0"/>
              <w:right w:val="single" w:color="000000" w:sz="6" w:space="0"/>
            </w:tcBorders>
            <w:vAlign w:val="center"/>
          </w:tcPr>
          <w:p w14:paraId="7EE68258">
            <w:pPr>
              <w:keepLines w:val="0"/>
              <w:pageBreakBefore w:val="0"/>
              <w:kinsoku/>
              <w:wordWrap/>
              <w:overflowPunct/>
              <w:topLinePunct w:val="0"/>
              <w:autoSpaceDE/>
              <w:autoSpaceDN/>
              <w:bidi w:val="0"/>
              <w:spacing w:line="360" w:lineRule="auto"/>
              <w:jc w:val="left"/>
              <w:rPr>
                <w:rFonts w:ascii="宋体" w:hAnsi="宋体" w:cs="宋体"/>
                <w:sz w:val="24"/>
                <w:highlight w:val="none"/>
              </w:rPr>
            </w:pPr>
            <w:r>
              <w:rPr>
                <w:rFonts w:hint="eastAsia" w:ascii="宋体" w:hAnsi="宋体" w:eastAsia="宋体" w:cs="宋体"/>
                <w:b/>
                <w:bCs/>
                <w:color w:val="auto"/>
                <w:sz w:val="24"/>
                <w:szCs w:val="24"/>
                <w:highlight w:val="none"/>
                <w:lang w:val="en-US" w:eastAsia="zh-CN"/>
              </w:rPr>
              <w:t>本项目分为1、2、3、4、5、6，六个分包，投标供应商可选择其中的一个或多个包投标，投标文件需按标包分别制作分别投标。每个</w:t>
            </w:r>
            <w:r>
              <w:rPr>
                <w:rFonts w:hint="eastAsia" w:ascii="宋体" w:hAnsi="宋体" w:cs="宋体"/>
                <w:b/>
                <w:bCs/>
                <w:color w:val="auto"/>
                <w:sz w:val="24"/>
                <w:szCs w:val="24"/>
                <w:highlight w:val="none"/>
                <w:lang w:val="en-US" w:eastAsia="zh-CN"/>
              </w:rPr>
              <w:t>包</w:t>
            </w:r>
            <w:r>
              <w:rPr>
                <w:rFonts w:hint="eastAsia" w:ascii="宋体" w:hAnsi="宋体" w:eastAsia="宋体" w:cs="宋体"/>
                <w:b/>
                <w:bCs/>
                <w:color w:val="auto"/>
                <w:sz w:val="24"/>
                <w:szCs w:val="24"/>
                <w:highlight w:val="none"/>
                <w:lang w:val="en-US" w:eastAsia="zh-CN"/>
              </w:rPr>
              <w:t>推荐1名</w:t>
            </w:r>
            <w:r>
              <w:rPr>
                <w:rFonts w:hint="eastAsia" w:ascii="宋体" w:hAnsi="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lang w:val="en-US" w:eastAsia="zh-CN"/>
              </w:rPr>
              <w:t>候选人中标，投标供应商</w:t>
            </w:r>
            <w:r>
              <w:rPr>
                <w:rFonts w:hint="eastAsia" w:ascii="宋体" w:hAnsi="宋体" w:cs="宋体"/>
                <w:b/>
                <w:bCs/>
                <w:color w:val="auto"/>
                <w:sz w:val="24"/>
                <w:szCs w:val="24"/>
                <w:highlight w:val="none"/>
                <w:lang w:val="en-US" w:eastAsia="zh-CN"/>
              </w:rPr>
              <w:t>可兼头兼中</w:t>
            </w:r>
            <w:r>
              <w:rPr>
                <w:rFonts w:hint="eastAsia" w:ascii="宋体" w:hAnsi="宋体" w:eastAsia="宋体" w:cs="宋体"/>
                <w:b/>
                <w:bCs/>
                <w:color w:val="auto"/>
                <w:sz w:val="24"/>
                <w:szCs w:val="24"/>
                <w:highlight w:val="none"/>
                <w:lang w:val="en-US" w:eastAsia="zh-CN"/>
              </w:rPr>
              <w:t>。评审顺序按</w:t>
            </w:r>
            <w:r>
              <w:rPr>
                <w:rFonts w:hint="eastAsia" w:ascii="宋体" w:hAnsi="宋体" w:cs="宋体"/>
                <w:b/>
                <w:bCs/>
                <w:color w:val="auto"/>
                <w:sz w:val="24"/>
                <w:szCs w:val="24"/>
                <w:highlight w:val="none"/>
                <w:lang w:val="en-US" w:eastAsia="zh-CN"/>
              </w:rPr>
              <w:t>包</w:t>
            </w:r>
            <w:r>
              <w:rPr>
                <w:rFonts w:hint="eastAsia" w:ascii="宋体" w:hAnsi="宋体" w:eastAsia="宋体" w:cs="宋体"/>
                <w:b/>
                <w:bCs/>
                <w:color w:val="auto"/>
                <w:sz w:val="24"/>
                <w:szCs w:val="24"/>
                <w:highlight w:val="none"/>
                <w:lang w:val="en-US" w:eastAsia="zh-CN"/>
              </w:rPr>
              <w:t>顺序进行评审。</w:t>
            </w:r>
          </w:p>
          <w:p w14:paraId="08A1AD5C">
            <w:pPr>
              <w:pStyle w:val="2"/>
              <w:ind w:firstLine="0" w:firstLineChars="0"/>
              <w:rPr>
                <w:rFonts w:ascii="宋体" w:hAnsi="宋体" w:cs="宋体"/>
                <w:sz w:val="24"/>
                <w:highlight w:val="none"/>
              </w:rPr>
            </w:pPr>
            <w:r>
              <w:rPr>
                <w:rFonts w:hint="eastAsia" w:ascii="宋体" w:hAnsi="宋体" w:cs="宋体"/>
                <w:b/>
                <w:bCs/>
                <w:szCs w:val="24"/>
                <w:highlight w:val="none"/>
              </w:rPr>
              <w:t>除有特殊说明外，招标文件内容适用</w:t>
            </w:r>
            <w:r>
              <w:rPr>
                <w:rFonts w:hint="eastAsia" w:ascii="宋体" w:hAnsi="宋体" w:cs="宋体"/>
                <w:b/>
                <w:bCs/>
                <w:szCs w:val="24"/>
                <w:highlight w:val="none"/>
                <w:lang w:val="en-US" w:eastAsia="zh-CN"/>
              </w:rPr>
              <w:t>六</w:t>
            </w:r>
            <w:r>
              <w:rPr>
                <w:rFonts w:hint="eastAsia" w:ascii="宋体" w:hAnsi="宋体" w:cs="宋体"/>
                <w:b/>
                <w:bCs/>
                <w:szCs w:val="24"/>
                <w:highlight w:val="none"/>
              </w:rPr>
              <w:t>个包。</w:t>
            </w:r>
          </w:p>
        </w:tc>
      </w:tr>
      <w:tr w14:paraId="5353E7A0">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8535091">
            <w:pPr>
              <w:widowControl/>
              <w:wordWrap w:val="0"/>
              <w:jc w:val="center"/>
              <w:rPr>
                <w:rFonts w:ascii="宋体" w:hAnsi="宋体" w:cs="宋体"/>
                <w:kern w:val="0"/>
                <w:sz w:val="24"/>
                <w:highlight w:val="none"/>
              </w:rPr>
            </w:pPr>
            <w:r>
              <w:rPr>
                <w:rFonts w:hint="eastAsia" w:ascii="宋体" w:hAnsi="宋体" w:cs="宋体"/>
                <w:kern w:val="0"/>
                <w:sz w:val="24"/>
                <w:highlight w:val="none"/>
              </w:rPr>
              <w:t>1.4.1</w:t>
            </w:r>
          </w:p>
        </w:tc>
        <w:tc>
          <w:tcPr>
            <w:tcW w:w="2119" w:type="dxa"/>
            <w:tcBorders>
              <w:top w:val="single" w:color="000000" w:sz="6" w:space="0"/>
              <w:left w:val="single" w:color="000000" w:sz="6" w:space="0"/>
              <w:bottom w:val="single" w:color="000000" w:sz="6" w:space="0"/>
              <w:right w:val="single" w:color="000000" w:sz="6" w:space="0"/>
            </w:tcBorders>
            <w:vAlign w:val="center"/>
          </w:tcPr>
          <w:p w14:paraId="4F4687D1">
            <w:pPr>
              <w:adjustRightInd w:val="0"/>
              <w:rPr>
                <w:rFonts w:ascii="宋体" w:hAnsi="宋体" w:cs="宋体"/>
                <w:sz w:val="24"/>
                <w:highlight w:val="none"/>
              </w:rPr>
            </w:pPr>
            <w:r>
              <w:rPr>
                <w:rFonts w:hint="eastAsia" w:ascii="宋体" w:hAnsi="宋体" w:cs="宋体"/>
                <w:sz w:val="24"/>
                <w:highlight w:val="none"/>
              </w:rPr>
              <w:t>供应商资格要求</w:t>
            </w:r>
          </w:p>
        </w:tc>
        <w:tc>
          <w:tcPr>
            <w:tcW w:w="6340" w:type="dxa"/>
            <w:tcBorders>
              <w:top w:val="single" w:color="000000" w:sz="6" w:space="0"/>
              <w:left w:val="single" w:color="000000" w:sz="6" w:space="0"/>
              <w:bottom w:val="single" w:color="000000" w:sz="6" w:space="0"/>
              <w:right w:val="single" w:color="000000" w:sz="6" w:space="0"/>
            </w:tcBorders>
            <w:vAlign w:val="center"/>
          </w:tcPr>
          <w:p w14:paraId="5FD53F28">
            <w:pPr>
              <w:rPr>
                <w:rFonts w:ascii="宋体" w:hAnsi="宋体" w:cs="宋体"/>
                <w:sz w:val="24"/>
                <w:highlight w:val="none"/>
              </w:rPr>
            </w:pPr>
            <w:r>
              <w:rPr>
                <w:rFonts w:hint="eastAsia" w:ascii="宋体" w:hAnsi="宋体" w:cs="宋体"/>
                <w:sz w:val="24"/>
                <w:highlight w:val="none"/>
              </w:rPr>
              <w:t>申请人的资格要求（1</w:t>
            </w:r>
            <w:r>
              <w:rPr>
                <w:rFonts w:hint="eastAsia" w:ascii="宋体" w:hAnsi="宋体" w:cs="宋体"/>
                <w:sz w:val="24"/>
                <w:highlight w:val="none"/>
                <w:lang w:val="en-US" w:eastAsia="zh-CN"/>
              </w:rPr>
              <w:t>-6</w:t>
            </w:r>
            <w:r>
              <w:rPr>
                <w:rFonts w:hint="eastAsia" w:ascii="宋体" w:hAnsi="宋体" w:cs="宋体"/>
                <w:sz w:val="24"/>
                <w:highlight w:val="none"/>
              </w:rPr>
              <w:t>包均适用）：</w:t>
            </w:r>
          </w:p>
          <w:p w14:paraId="3A51ED74">
            <w:pPr>
              <w:jc w:val="left"/>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016393A7">
            <w:pPr>
              <w:jc w:val="left"/>
              <w:rPr>
                <w:rFonts w:hint="eastAsia" w:ascii="宋体" w:hAnsi="宋体" w:cs="宋体"/>
                <w:sz w:val="24"/>
                <w:highlight w:val="none"/>
              </w:rPr>
            </w:pPr>
            <w:r>
              <w:rPr>
                <w:rFonts w:hint="eastAsia" w:ascii="宋体" w:hAnsi="宋体" w:cs="宋体"/>
                <w:sz w:val="24"/>
                <w:highlight w:val="none"/>
              </w:rPr>
              <w:t>1.1供应商在中国境内注册登记，具有独立承担民事责任的能力，提供有效的营业执照或者其他主体资格证明文件；</w:t>
            </w:r>
          </w:p>
          <w:p w14:paraId="0373F8D3">
            <w:pPr>
              <w:jc w:val="left"/>
              <w:rPr>
                <w:rFonts w:hint="eastAsia" w:ascii="宋体" w:hAnsi="宋体" w:cs="宋体"/>
                <w:sz w:val="24"/>
                <w:highlight w:val="none"/>
              </w:rPr>
            </w:pPr>
            <w:r>
              <w:rPr>
                <w:rFonts w:hint="eastAsia" w:ascii="宋体" w:hAnsi="宋体" w:cs="宋体"/>
                <w:sz w:val="24"/>
                <w:highlight w:val="none"/>
              </w:rPr>
              <w:t>1.2供应商自行承诺符合《中华人民共和国政府采购法》第二十二条规定及《中华人民共和国政府采购法实施条例》第十七条的相关要求；</w:t>
            </w:r>
          </w:p>
          <w:p w14:paraId="28262AE2">
            <w:pPr>
              <w:jc w:val="left"/>
              <w:rPr>
                <w:rFonts w:hint="eastAsia" w:ascii="宋体" w:hAnsi="宋体" w:cs="宋体"/>
                <w:sz w:val="24"/>
                <w:highlight w:val="none"/>
              </w:rPr>
            </w:pPr>
            <w:r>
              <w:rPr>
                <w:rFonts w:hint="eastAsia" w:ascii="宋体" w:hAnsi="宋体" w:cs="宋体"/>
                <w:sz w:val="24"/>
                <w:highlight w:val="none"/>
              </w:rPr>
              <w:t>1.3投标文件递交截止时间前供应商在“信用中国”网站（www.creditchina.gov.cn）中未被列入：重大税收违法失信主体、政府采购严重违法失信行为记录名单；在“中国政府采购网”（www.ccgp.gov.cn）中未被列入：政府采购严重违法失信行为记录名单。供应商自拟格式承诺以上内容，加盖供应商公章或电子签章在投标文件中提供，以上信用信息由采购人或采购代理机构在开标会议结束后、评标前将通过“信用中国”网站</w:t>
            </w:r>
            <w:r>
              <w:rPr>
                <w:rFonts w:hint="eastAsia" w:ascii="宋体" w:hAnsi="宋体" w:cs="宋体"/>
                <w:sz w:val="24"/>
                <w:highlight w:val="none"/>
                <w:lang w:eastAsia="zh-CN"/>
              </w:rPr>
              <w:t>（</w:t>
            </w:r>
            <w:r>
              <w:rPr>
                <w:rFonts w:hint="eastAsia" w:ascii="宋体" w:hAnsi="宋体" w:cs="宋体"/>
                <w:sz w:val="24"/>
                <w:highlight w:val="none"/>
              </w:rPr>
              <w:t>www.creditchina.gov.cn</w:t>
            </w:r>
            <w:r>
              <w:rPr>
                <w:rFonts w:hint="eastAsia" w:ascii="宋体" w:hAnsi="宋体" w:cs="宋体"/>
                <w:sz w:val="24"/>
                <w:highlight w:val="none"/>
                <w:lang w:eastAsia="zh-CN"/>
              </w:rPr>
              <w:t>）</w:t>
            </w:r>
            <w:r>
              <w:rPr>
                <w:rFonts w:hint="eastAsia" w:ascii="宋体" w:hAnsi="宋体" w:cs="宋体"/>
                <w:sz w:val="24"/>
                <w:highlight w:val="none"/>
              </w:rPr>
              <w:t>、中国政府采购网（www.ccgp.gov.cn）查询供应商信用记录，上述网站信用信息查询结果的网页截图或网页打印稿作为证据留存，若供应商存在查证的以上相关记录，采购人有权取消其竞标（中标）资格）。</w:t>
            </w:r>
          </w:p>
          <w:p w14:paraId="36FAF666">
            <w:pPr>
              <w:numPr>
                <w:ilvl w:val="0"/>
                <w:numId w:val="4"/>
              </w:numPr>
              <w:jc w:val="left"/>
              <w:rPr>
                <w:rFonts w:hint="eastAsia" w:ascii="宋体" w:hAnsi="宋体" w:cs="宋体"/>
                <w:sz w:val="24"/>
                <w:highlight w:val="none"/>
              </w:rPr>
            </w:pPr>
            <w:r>
              <w:rPr>
                <w:rFonts w:hint="eastAsia" w:ascii="宋体" w:hAnsi="宋体" w:cs="宋体"/>
                <w:sz w:val="24"/>
                <w:highlight w:val="none"/>
              </w:rPr>
              <w:t>落实政府采购政策需满足的资格要求：本项目专门面向中小企业（注：监狱企业、残疾人福利性单位视同小型或微型企业）预留份额采购。</w:t>
            </w:r>
          </w:p>
          <w:p w14:paraId="0562C2F3">
            <w:pPr>
              <w:numPr>
                <w:ilvl w:val="0"/>
                <w:numId w:val="0"/>
              </w:numPr>
              <w:jc w:val="left"/>
              <w:rPr>
                <w:rFonts w:hint="eastAsia" w:ascii="宋体" w:hAnsi="宋体" w:cs="宋体"/>
                <w:sz w:val="24"/>
                <w:highlight w:val="none"/>
              </w:rPr>
            </w:pPr>
            <w:r>
              <w:rPr>
                <w:rFonts w:hint="eastAsia" w:ascii="宋体" w:hAnsi="宋体" w:cs="宋体"/>
                <w:sz w:val="24"/>
                <w:highlight w:val="none"/>
              </w:rPr>
              <w:t>3.本项目的特定资格要求：</w:t>
            </w:r>
          </w:p>
          <w:p w14:paraId="7434DAA3">
            <w:pPr>
              <w:jc w:val="left"/>
              <w:rPr>
                <w:rFonts w:hint="eastAsia" w:ascii="宋体" w:hAnsi="宋体" w:cs="宋体"/>
                <w:sz w:val="24"/>
                <w:highlight w:val="none"/>
              </w:rPr>
            </w:pPr>
            <w:r>
              <w:rPr>
                <w:rFonts w:hint="eastAsia" w:ascii="宋体" w:hAnsi="宋体" w:cs="宋体"/>
                <w:sz w:val="24"/>
                <w:highlight w:val="none"/>
              </w:rPr>
              <w:t>3.1仅4包适用：供应商如果是代理商或经销商且所投产品为医疗器械的，须提供医疗器械经营许可证或医疗器械备案凭证、所投产品制造商医疗器械生产许可证、所投产品的医疗器械注册证及附件；</w:t>
            </w:r>
          </w:p>
          <w:p w14:paraId="008974E7">
            <w:pPr>
              <w:jc w:val="left"/>
              <w:rPr>
                <w:rFonts w:hint="eastAsia" w:ascii="宋体" w:hAnsi="宋体" w:cs="宋体"/>
                <w:sz w:val="24"/>
                <w:highlight w:val="none"/>
              </w:rPr>
            </w:pPr>
            <w:r>
              <w:rPr>
                <w:rFonts w:hint="eastAsia" w:ascii="宋体" w:hAnsi="宋体" w:cs="宋体"/>
                <w:sz w:val="24"/>
                <w:highlight w:val="none"/>
              </w:rPr>
              <w:t>供应商如果是制造商且所投产品为医疗器械的（制造商工商注册地在中华人民共和国境外的，不作此要求），须提供医疗器械生产许可证、所投产品的医疗器械注册证及附件。</w:t>
            </w:r>
          </w:p>
          <w:p w14:paraId="7EE8E9D2">
            <w:pPr>
              <w:jc w:val="left"/>
              <w:rPr>
                <w:rFonts w:hint="eastAsia" w:ascii="宋体" w:hAnsi="宋体" w:cs="宋体"/>
                <w:sz w:val="24"/>
                <w:highlight w:val="none"/>
              </w:rPr>
            </w:pPr>
            <w:r>
              <w:rPr>
                <w:rFonts w:hint="eastAsia" w:ascii="宋体" w:hAnsi="宋体" w:cs="宋体"/>
                <w:sz w:val="24"/>
                <w:highlight w:val="none"/>
              </w:rPr>
              <w:t>医疗器械生产证或经营许可证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061DF971">
            <w:pPr>
              <w:jc w:val="left"/>
              <w:rPr>
                <w:rFonts w:hint="eastAsia" w:ascii="宋体" w:hAnsi="宋体" w:cs="宋体"/>
                <w:sz w:val="24"/>
                <w:highlight w:val="none"/>
              </w:rPr>
            </w:pPr>
            <w:r>
              <w:rPr>
                <w:rFonts w:hint="eastAsia" w:ascii="宋体" w:hAnsi="宋体" w:cs="宋体"/>
                <w:sz w:val="24"/>
                <w:highlight w:val="none"/>
              </w:rPr>
              <w:t>3.2联合体投标：本次招标不接受联合体投标。</w:t>
            </w:r>
          </w:p>
          <w:p w14:paraId="191365D3">
            <w:pPr>
              <w:jc w:val="left"/>
              <w:rPr>
                <w:rFonts w:ascii="宋体" w:hAnsi="宋体" w:cs="宋体"/>
                <w:sz w:val="24"/>
                <w:highlight w:val="none"/>
              </w:rPr>
            </w:pPr>
            <w:r>
              <w:rPr>
                <w:rFonts w:hint="eastAsia" w:ascii="宋体" w:hAnsi="宋体" w:cs="宋体"/>
                <w:sz w:val="24"/>
                <w:highlight w:val="none"/>
              </w:rPr>
              <w:t>注：（1）与采购人存在利害关系可能影响招标公正性的法人、其他组织或者个人，不得参加投标；（2）单位负责人为同一人或者存在控股、管理关系的不同单位，不得参加同一采购项目（或同一标段）投标。</w:t>
            </w:r>
          </w:p>
        </w:tc>
      </w:tr>
      <w:tr w14:paraId="67578B9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4E9BDEA">
            <w:pPr>
              <w:widowControl/>
              <w:wordWrap w:val="0"/>
              <w:jc w:val="center"/>
              <w:rPr>
                <w:rFonts w:ascii="宋体" w:hAnsi="宋体" w:cs="宋体"/>
                <w:kern w:val="0"/>
                <w:sz w:val="24"/>
                <w:highlight w:val="none"/>
              </w:rPr>
            </w:pPr>
            <w:r>
              <w:rPr>
                <w:rFonts w:hint="eastAsia" w:ascii="宋体" w:hAnsi="宋体" w:cs="宋体"/>
                <w:kern w:val="0"/>
                <w:sz w:val="24"/>
                <w:highlight w:val="none"/>
              </w:rPr>
              <w:t>1.4.3</w:t>
            </w:r>
          </w:p>
        </w:tc>
        <w:tc>
          <w:tcPr>
            <w:tcW w:w="2119" w:type="dxa"/>
            <w:tcBorders>
              <w:top w:val="single" w:color="000000" w:sz="6" w:space="0"/>
              <w:left w:val="single" w:color="000000" w:sz="6" w:space="0"/>
              <w:bottom w:val="single" w:color="000000" w:sz="6" w:space="0"/>
              <w:right w:val="single" w:color="000000" w:sz="6" w:space="0"/>
            </w:tcBorders>
            <w:vAlign w:val="center"/>
          </w:tcPr>
          <w:p w14:paraId="26279D37">
            <w:pPr>
              <w:widowControl/>
              <w:wordWrap w:val="0"/>
              <w:jc w:val="center"/>
              <w:rPr>
                <w:rFonts w:ascii="宋体" w:hAnsi="宋体" w:cs="宋体"/>
                <w:kern w:val="0"/>
                <w:sz w:val="24"/>
                <w:highlight w:val="none"/>
              </w:rPr>
            </w:pPr>
            <w:r>
              <w:rPr>
                <w:rFonts w:hint="eastAsia" w:ascii="宋体" w:hAnsi="宋体" w:cs="宋体"/>
                <w:kern w:val="0"/>
                <w:sz w:val="24"/>
                <w:highlight w:val="none"/>
              </w:rPr>
              <w:t>是否接受联合体投标</w:t>
            </w:r>
          </w:p>
        </w:tc>
        <w:tc>
          <w:tcPr>
            <w:tcW w:w="6340" w:type="dxa"/>
            <w:tcBorders>
              <w:top w:val="single" w:color="000000" w:sz="6" w:space="0"/>
              <w:left w:val="single" w:color="000000" w:sz="6" w:space="0"/>
              <w:bottom w:val="single" w:color="000000" w:sz="6" w:space="0"/>
              <w:right w:val="single" w:color="000000" w:sz="6" w:space="0"/>
            </w:tcBorders>
            <w:vAlign w:val="center"/>
          </w:tcPr>
          <w:p w14:paraId="58C70D56">
            <w:pPr>
              <w:widowControl/>
              <w:wordWrap w:val="0"/>
              <w:jc w:val="left"/>
              <w:rPr>
                <w:rFonts w:ascii="宋体" w:hAnsi="宋体" w:cs="宋体"/>
                <w:kern w:val="0"/>
                <w:sz w:val="24"/>
                <w:highlight w:val="none"/>
              </w:rPr>
            </w:pPr>
            <w:r>
              <w:rPr>
                <w:rFonts w:hint="eastAsia" w:ascii="宋体" w:hAnsi="宋体" w:cs="宋体"/>
                <w:kern w:val="0"/>
                <w:sz w:val="24"/>
                <w:highlight w:val="none"/>
              </w:rPr>
              <w:t>不接受</w:t>
            </w:r>
          </w:p>
        </w:tc>
      </w:tr>
      <w:tr w14:paraId="62AF9BBE">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492D030">
            <w:pPr>
              <w:widowControl/>
              <w:wordWrap w:val="0"/>
              <w:jc w:val="center"/>
              <w:rPr>
                <w:rFonts w:ascii="宋体" w:hAnsi="宋体" w:cs="宋体"/>
                <w:kern w:val="0"/>
                <w:sz w:val="24"/>
                <w:highlight w:val="none"/>
              </w:rPr>
            </w:pPr>
            <w:r>
              <w:rPr>
                <w:rFonts w:hint="eastAsia" w:ascii="宋体" w:hAnsi="宋体" w:cs="宋体"/>
                <w:kern w:val="0"/>
                <w:sz w:val="24"/>
                <w:highlight w:val="none"/>
              </w:rPr>
              <w:t>1.5</w:t>
            </w:r>
          </w:p>
        </w:tc>
        <w:tc>
          <w:tcPr>
            <w:tcW w:w="2119" w:type="dxa"/>
            <w:tcBorders>
              <w:top w:val="single" w:color="000000" w:sz="6" w:space="0"/>
              <w:left w:val="single" w:color="000000" w:sz="6" w:space="0"/>
              <w:bottom w:val="single" w:color="000000" w:sz="6" w:space="0"/>
              <w:right w:val="single" w:color="000000" w:sz="6" w:space="0"/>
            </w:tcBorders>
            <w:vAlign w:val="center"/>
          </w:tcPr>
          <w:p w14:paraId="2F497AFC">
            <w:pPr>
              <w:widowControl/>
              <w:wordWrap w:val="0"/>
              <w:jc w:val="center"/>
              <w:rPr>
                <w:rFonts w:ascii="宋体" w:hAnsi="宋体" w:cs="宋体"/>
                <w:kern w:val="0"/>
                <w:sz w:val="24"/>
                <w:highlight w:val="none"/>
              </w:rPr>
            </w:pPr>
            <w:r>
              <w:rPr>
                <w:rFonts w:hint="eastAsia" w:ascii="宋体" w:hAnsi="宋体" w:cs="宋体"/>
                <w:sz w:val="24"/>
                <w:highlight w:val="none"/>
                <w:lang w:bidi="en-US"/>
              </w:rPr>
              <w:t>费用承担</w:t>
            </w:r>
          </w:p>
        </w:tc>
        <w:tc>
          <w:tcPr>
            <w:tcW w:w="6340" w:type="dxa"/>
            <w:tcBorders>
              <w:top w:val="single" w:color="000000" w:sz="6" w:space="0"/>
              <w:left w:val="single" w:color="000000" w:sz="6" w:space="0"/>
              <w:bottom w:val="single" w:color="000000" w:sz="6" w:space="0"/>
              <w:right w:val="single" w:color="000000" w:sz="6" w:space="0"/>
            </w:tcBorders>
            <w:vAlign w:val="center"/>
          </w:tcPr>
          <w:p w14:paraId="30FFDC35">
            <w:pPr>
              <w:widowControl/>
              <w:wordWrap w:val="0"/>
              <w:jc w:val="left"/>
              <w:rPr>
                <w:rFonts w:ascii="宋体" w:hAnsi="宋体" w:cs="宋体"/>
                <w:kern w:val="0"/>
                <w:sz w:val="24"/>
                <w:highlight w:val="none"/>
              </w:rPr>
            </w:pPr>
            <w:r>
              <w:rPr>
                <w:rFonts w:hint="eastAsia" w:ascii="宋体" w:hAnsi="宋体" w:cs="宋体"/>
                <w:kern w:val="0"/>
                <w:sz w:val="24"/>
                <w:highlight w:val="none"/>
              </w:rPr>
              <w:t>供应商应承担其参加本次招标活动自身所发生的费用</w:t>
            </w:r>
          </w:p>
        </w:tc>
      </w:tr>
      <w:tr w14:paraId="20205F9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05F6B499">
            <w:pPr>
              <w:widowControl/>
              <w:wordWrap w:val="0"/>
              <w:jc w:val="center"/>
              <w:rPr>
                <w:rFonts w:ascii="宋体" w:hAnsi="宋体" w:cs="宋体"/>
                <w:kern w:val="0"/>
                <w:sz w:val="24"/>
                <w:highlight w:val="none"/>
              </w:rPr>
            </w:pPr>
            <w:r>
              <w:rPr>
                <w:rFonts w:hint="eastAsia" w:ascii="宋体" w:hAnsi="宋体" w:cs="宋体"/>
                <w:kern w:val="0"/>
                <w:sz w:val="24"/>
                <w:highlight w:val="none"/>
              </w:rPr>
              <w:t>1.6</w:t>
            </w:r>
          </w:p>
        </w:tc>
        <w:tc>
          <w:tcPr>
            <w:tcW w:w="2119" w:type="dxa"/>
            <w:tcBorders>
              <w:top w:val="single" w:color="000000" w:sz="6" w:space="0"/>
              <w:left w:val="single" w:color="000000" w:sz="6" w:space="0"/>
              <w:bottom w:val="single" w:color="000000" w:sz="6" w:space="0"/>
              <w:right w:val="single" w:color="000000" w:sz="6" w:space="0"/>
            </w:tcBorders>
            <w:vAlign w:val="center"/>
          </w:tcPr>
          <w:p w14:paraId="647B0CA0">
            <w:pPr>
              <w:widowControl/>
              <w:wordWrap w:val="0"/>
              <w:jc w:val="center"/>
              <w:rPr>
                <w:rFonts w:ascii="宋体" w:hAnsi="宋体" w:cs="宋体"/>
                <w:kern w:val="0"/>
                <w:sz w:val="24"/>
                <w:highlight w:val="none"/>
              </w:rPr>
            </w:pPr>
            <w:r>
              <w:rPr>
                <w:rFonts w:hint="eastAsia" w:ascii="宋体" w:hAnsi="宋体" w:cs="宋体"/>
                <w:kern w:val="0"/>
                <w:sz w:val="24"/>
                <w:highlight w:val="none"/>
              </w:rPr>
              <w:t>保密</w:t>
            </w:r>
          </w:p>
        </w:tc>
        <w:tc>
          <w:tcPr>
            <w:tcW w:w="6340" w:type="dxa"/>
            <w:tcBorders>
              <w:top w:val="single" w:color="000000" w:sz="6" w:space="0"/>
              <w:left w:val="single" w:color="000000" w:sz="6" w:space="0"/>
              <w:bottom w:val="single" w:color="000000" w:sz="6" w:space="0"/>
              <w:right w:val="single" w:color="000000" w:sz="6" w:space="0"/>
            </w:tcBorders>
            <w:vAlign w:val="center"/>
          </w:tcPr>
          <w:p w14:paraId="5FA0350F">
            <w:pPr>
              <w:widowControl/>
              <w:wordWrap w:val="0"/>
              <w:jc w:val="left"/>
              <w:rPr>
                <w:rFonts w:ascii="宋体" w:hAnsi="宋体" w:cs="宋体"/>
                <w:kern w:val="0"/>
                <w:sz w:val="24"/>
                <w:highlight w:val="none"/>
              </w:rPr>
            </w:pPr>
            <w:r>
              <w:rPr>
                <w:rFonts w:hint="eastAsia" w:ascii="宋体" w:hAnsi="宋体" w:cs="宋体"/>
                <w:kern w:val="0"/>
                <w:sz w:val="24"/>
                <w:highlight w:val="none"/>
              </w:rPr>
              <w:t>参与招标投标活动的各方应对招标文件和投标文件中的商业和技术等秘密保密，违者应对由此造成的后果承担法律责任。</w:t>
            </w:r>
          </w:p>
        </w:tc>
      </w:tr>
      <w:tr w14:paraId="13ED8650">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500B160">
            <w:pPr>
              <w:widowControl/>
              <w:wordWrap w:val="0"/>
              <w:jc w:val="center"/>
              <w:rPr>
                <w:rFonts w:ascii="宋体" w:hAnsi="宋体" w:cs="宋体"/>
                <w:kern w:val="0"/>
                <w:sz w:val="24"/>
                <w:highlight w:val="none"/>
              </w:rPr>
            </w:pPr>
            <w:r>
              <w:rPr>
                <w:rFonts w:hint="eastAsia" w:ascii="宋体" w:hAnsi="宋体" w:cs="宋体"/>
                <w:kern w:val="0"/>
                <w:sz w:val="24"/>
                <w:highlight w:val="none"/>
              </w:rPr>
              <w:t>1.7</w:t>
            </w:r>
          </w:p>
        </w:tc>
        <w:tc>
          <w:tcPr>
            <w:tcW w:w="2119" w:type="dxa"/>
            <w:tcBorders>
              <w:top w:val="single" w:color="000000" w:sz="6" w:space="0"/>
              <w:left w:val="single" w:color="000000" w:sz="6" w:space="0"/>
              <w:bottom w:val="single" w:color="000000" w:sz="6" w:space="0"/>
              <w:right w:val="single" w:color="000000" w:sz="6" w:space="0"/>
            </w:tcBorders>
            <w:vAlign w:val="center"/>
          </w:tcPr>
          <w:p w14:paraId="56A17136">
            <w:pPr>
              <w:widowControl/>
              <w:wordWrap w:val="0"/>
              <w:jc w:val="center"/>
              <w:rPr>
                <w:rFonts w:ascii="宋体" w:hAnsi="宋体" w:cs="宋体"/>
                <w:kern w:val="0"/>
                <w:sz w:val="24"/>
                <w:highlight w:val="none"/>
              </w:rPr>
            </w:pPr>
            <w:r>
              <w:rPr>
                <w:rFonts w:hint="eastAsia" w:ascii="宋体" w:hAnsi="宋体" w:cs="宋体"/>
                <w:kern w:val="0"/>
                <w:sz w:val="24"/>
                <w:highlight w:val="none"/>
              </w:rPr>
              <w:t>语言文字</w:t>
            </w:r>
          </w:p>
        </w:tc>
        <w:tc>
          <w:tcPr>
            <w:tcW w:w="6340" w:type="dxa"/>
            <w:tcBorders>
              <w:top w:val="single" w:color="000000" w:sz="6" w:space="0"/>
              <w:left w:val="single" w:color="000000" w:sz="6" w:space="0"/>
              <w:bottom w:val="single" w:color="000000" w:sz="6" w:space="0"/>
              <w:right w:val="single" w:color="000000" w:sz="6" w:space="0"/>
            </w:tcBorders>
            <w:vAlign w:val="center"/>
          </w:tcPr>
          <w:p w14:paraId="0A810D72">
            <w:pPr>
              <w:widowControl/>
              <w:wordWrap w:val="0"/>
              <w:jc w:val="left"/>
              <w:rPr>
                <w:rFonts w:ascii="宋体" w:hAnsi="宋体" w:cs="宋体"/>
                <w:kern w:val="0"/>
                <w:sz w:val="24"/>
                <w:highlight w:val="none"/>
              </w:rPr>
            </w:pPr>
            <w:r>
              <w:rPr>
                <w:rFonts w:hint="eastAsia" w:ascii="宋体" w:hAnsi="宋体" w:cs="宋体"/>
                <w:kern w:val="0"/>
                <w:sz w:val="24"/>
                <w:highlight w:val="none"/>
              </w:rPr>
              <w:t>除专用术语外，与招标投标有关的语言均使用中文。必要时专用术语应附有中文注释。</w:t>
            </w:r>
          </w:p>
        </w:tc>
      </w:tr>
      <w:tr w14:paraId="0A0FB89D">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A4671DF">
            <w:pPr>
              <w:widowControl/>
              <w:wordWrap w:val="0"/>
              <w:jc w:val="center"/>
              <w:rPr>
                <w:rFonts w:ascii="宋体" w:hAnsi="宋体" w:cs="宋体"/>
                <w:kern w:val="0"/>
                <w:sz w:val="24"/>
                <w:highlight w:val="none"/>
              </w:rPr>
            </w:pPr>
            <w:r>
              <w:rPr>
                <w:rFonts w:hint="eastAsia" w:ascii="宋体" w:hAnsi="宋体" w:cs="宋体"/>
                <w:kern w:val="0"/>
                <w:sz w:val="24"/>
                <w:highlight w:val="none"/>
              </w:rPr>
              <w:t>1.8</w:t>
            </w:r>
          </w:p>
        </w:tc>
        <w:tc>
          <w:tcPr>
            <w:tcW w:w="2119" w:type="dxa"/>
            <w:tcBorders>
              <w:top w:val="single" w:color="000000" w:sz="6" w:space="0"/>
              <w:left w:val="single" w:color="000000" w:sz="6" w:space="0"/>
              <w:bottom w:val="single" w:color="000000" w:sz="6" w:space="0"/>
              <w:right w:val="single" w:color="000000" w:sz="6" w:space="0"/>
            </w:tcBorders>
            <w:vAlign w:val="center"/>
          </w:tcPr>
          <w:p w14:paraId="1B8B4471">
            <w:pPr>
              <w:widowControl/>
              <w:wordWrap w:val="0"/>
              <w:jc w:val="center"/>
              <w:rPr>
                <w:rFonts w:ascii="宋体" w:hAnsi="宋体" w:cs="宋体"/>
                <w:kern w:val="0"/>
                <w:sz w:val="24"/>
                <w:highlight w:val="none"/>
              </w:rPr>
            </w:pPr>
            <w:r>
              <w:rPr>
                <w:rFonts w:hint="eastAsia" w:ascii="宋体" w:hAnsi="宋体" w:cs="宋体"/>
                <w:kern w:val="0"/>
                <w:sz w:val="24"/>
                <w:highlight w:val="none"/>
              </w:rPr>
              <w:t>计量单位</w:t>
            </w:r>
          </w:p>
        </w:tc>
        <w:tc>
          <w:tcPr>
            <w:tcW w:w="6340" w:type="dxa"/>
            <w:tcBorders>
              <w:top w:val="single" w:color="000000" w:sz="6" w:space="0"/>
              <w:left w:val="single" w:color="000000" w:sz="6" w:space="0"/>
              <w:bottom w:val="single" w:color="000000" w:sz="6" w:space="0"/>
              <w:right w:val="single" w:color="000000" w:sz="6" w:space="0"/>
            </w:tcBorders>
            <w:vAlign w:val="center"/>
          </w:tcPr>
          <w:p w14:paraId="48CD6104">
            <w:pPr>
              <w:widowControl/>
              <w:wordWrap w:val="0"/>
              <w:jc w:val="left"/>
              <w:rPr>
                <w:rFonts w:ascii="宋体" w:hAnsi="宋体" w:cs="宋体"/>
                <w:kern w:val="0"/>
                <w:sz w:val="24"/>
                <w:highlight w:val="none"/>
              </w:rPr>
            </w:pPr>
            <w:r>
              <w:rPr>
                <w:rFonts w:hint="eastAsia" w:ascii="宋体" w:hAnsi="宋体" w:cs="宋体"/>
                <w:kern w:val="0"/>
                <w:sz w:val="24"/>
                <w:highlight w:val="none"/>
              </w:rPr>
              <w:t>所有计量均采用中华人民共和国法定计量单位。</w:t>
            </w:r>
          </w:p>
        </w:tc>
      </w:tr>
      <w:tr w14:paraId="3DAECAE3">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82A1091">
            <w:pPr>
              <w:widowControl/>
              <w:wordWrap w:val="0"/>
              <w:jc w:val="center"/>
              <w:rPr>
                <w:rFonts w:ascii="宋体" w:hAnsi="宋体" w:cs="宋体"/>
                <w:kern w:val="0"/>
                <w:sz w:val="24"/>
                <w:highlight w:val="none"/>
              </w:rPr>
            </w:pPr>
            <w:r>
              <w:rPr>
                <w:rFonts w:hint="eastAsia" w:ascii="宋体" w:hAnsi="宋体" w:cs="宋体"/>
                <w:kern w:val="0"/>
                <w:sz w:val="24"/>
                <w:highlight w:val="none"/>
              </w:rPr>
              <w:t>1.9.1</w:t>
            </w:r>
          </w:p>
        </w:tc>
        <w:tc>
          <w:tcPr>
            <w:tcW w:w="2119" w:type="dxa"/>
            <w:tcBorders>
              <w:top w:val="single" w:color="000000" w:sz="6" w:space="0"/>
              <w:left w:val="single" w:color="000000" w:sz="6" w:space="0"/>
              <w:bottom w:val="single" w:color="000000" w:sz="6" w:space="0"/>
              <w:right w:val="single" w:color="000000" w:sz="6" w:space="0"/>
            </w:tcBorders>
            <w:vAlign w:val="center"/>
          </w:tcPr>
          <w:p w14:paraId="20CA40A0">
            <w:pPr>
              <w:widowControl/>
              <w:wordWrap w:val="0"/>
              <w:jc w:val="center"/>
              <w:rPr>
                <w:rFonts w:ascii="宋体" w:hAnsi="宋体" w:cs="宋体"/>
                <w:kern w:val="0"/>
                <w:sz w:val="24"/>
                <w:highlight w:val="none"/>
              </w:rPr>
            </w:pPr>
            <w:r>
              <w:rPr>
                <w:rFonts w:hint="eastAsia" w:ascii="宋体" w:hAnsi="宋体" w:cs="宋体"/>
                <w:kern w:val="0"/>
                <w:sz w:val="24"/>
                <w:highlight w:val="none"/>
              </w:rPr>
              <w:t>踏勘现场</w:t>
            </w:r>
          </w:p>
        </w:tc>
        <w:tc>
          <w:tcPr>
            <w:tcW w:w="6340" w:type="dxa"/>
            <w:tcBorders>
              <w:top w:val="single" w:color="000000" w:sz="6" w:space="0"/>
              <w:left w:val="single" w:color="000000" w:sz="6" w:space="0"/>
              <w:bottom w:val="single" w:color="000000" w:sz="6" w:space="0"/>
              <w:right w:val="single" w:color="000000" w:sz="6" w:space="0"/>
            </w:tcBorders>
            <w:vAlign w:val="center"/>
          </w:tcPr>
          <w:p w14:paraId="0A1E0B93">
            <w:pPr>
              <w:widowControl/>
              <w:wordWrap w:val="0"/>
              <w:jc w:val="left"/>
              <w:rPr>
                <w:rFonts w:ascii="宋体" w:hAnsi="宋体" w:cs="宋体"/>
                <w:kern w:val="0"/>
                <w:sz w:val="24"/>
                <w:highlight w:val="none"/>
              </w:rPr>
            </w:pPr>
            <w:r>
              <w:rPr>
                <w:rFonts w:hint="eastAsia" w:ascii="宋体" w:hAnsi="宋体" w:cs="宋体"/>
                <w:kern w:val="0"/>
                <w:sz w:val="24"/>
                <w:highlight w:val="none"/>
              </w:rPr>
              <w:t>不组织</w:t>
            </w:r>
          </w:p>
        </w:tc>
      </w:tr>
      <w:tr w14:paraId="6E028F26">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75AA410D">
            <w:pPr>
              <w:widowControl/>
              <w:wordWrap w:val="0"/>
              <w:jc w:val="center"/>
              <w:rPr>
                <w:rFonts w:ascii="宋体" w:hAnsi="宋体" w:cs="宋体"/>
                <w:kern w:val="0"/>
                <w:sz w:val="24"/>
                <w:highlight w:val="none"/>
              </w:rPr>
            </w:pPr>
            <w:r>
              <w:rPr>
                <w:rFonts w:hint="eastAsia" w:ascii="宋体" w:hAnsi="宋体" w:cs="宋体"/>
                <w:kern w:val="0"/>
                <w:sz w:val="24"/>
                <w:highlight w:val="none"/>
              </w:rPr>
              <w:t>1.10.1</w:t>
            </w:r>
          </w:p>
        </w:tc>
        <w:tc>
          <w:tcPr>
            <w:tcW w:w="2119" w:type="dxa"/>
            <w:tcBorders>
              <w:top w:val="single" w:color="000000" w:sz="6" w:space="0"/>
              <w:left w:val="single" w:color="000000" w:sz="6" w:space="0"/>
              <w:bottom w:val="single" w:color="000000" w:sz="6" w:space="0"/>
              <w:right w:val="single" w:color="000000" w:sz="6" w:space="0"/>
            </w:tcBorders>
            <w:vAlign w:val="center"/>
          </w:tcPr>
          <w:p w14:paraId="1F8E80B8">
            <w:pPr>
              <w:widowControl/>
              <w:wordWrap w:val="0"/>
              <w:jc w:val="center"/>
              <w:rPr>
                <w:rFonts w:ascii="宋体" w:hAnsi="宋体" w:cs="宋体"/>
                <w:kern w:val="0"/>
                <w:sz w:val="24"/>
                <w:highlight w:val="none"/>
              </w:rPr>
            </w:pPr>
            <w:r>
              <w:rPr>
                <w:rFonts w:hint="eastAsia" w:ascii="宋体" w:hAnsi="宋体" w:cs="宋体"/>
                <w:kern w:val="0"/>
                <w:sz w:val="24"/>
                <w:highlight w:val="none"/>
              </w:rPr>
              <w:t>投标预备会</w:t>
            </w:r>
          </w:p>
        </w:tc>
        <w:tc>
          <w:tcPr>
            <w:tcW w:w="6340" w:type="dxa"/>
            <w:tcBorders>
              <w:top w:val="single" w:color="000000" w:sz="6" w:space="0"/>
              <w:left w:val="single" w:color="000000" w:sz="6" w:space="0"/>
              <w:bottom w:val="single" w:color="000000" w:sz="6" w:space="0"/>
              <w:right w:val="single" w:color="000000" w:sz="6" w:space="0"/>
            </w:tcBorders>
            <w:vAlign w:val="center"/>
          </w:tcPr>
          <w:p w14:paraId="38ECC306">
            <w:pPr>
              <w:widowControl/>
              <w:wordWrap w:val="0"/>
              <w:jc w:val="left"/>
              <w:rPr>
                <w:rFonts w:ascii="宋体" w:hAnsi="宋体" w:cs="宋体"/>
                <w:kern w:val="0"/>
                <w:sz w:val="24"/>
                <w:highlight w:val="none"/>
              </w:rPr>
            </w:pPr>
            <w:r>
              <w:rPr>
                <w:rFonts w:hint="eastAsia" w:ascii="宋体" w:hAnsi="宋体" w:cs="宋体"/>
                <w:kern w:val="0"/>
                <w:sz w:val="24"/>
                <w:highlight w:val="none"/>
              </w:rPr>
              <w:t>不召开</w:t>
            </w:r>
          </w:p>
        </w:tc>
      </w:tr>
      <w:tr w14:paraId="0CA590CD">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733A9A11">
            <w:pPr>
              <w:widowControl/>
              <w:wordWrap w:val="0"/>
              <w:jc w:val="center"/>
              <w:rPr>
                <w:rFonts w:ascii="宋体" w:hAnsi="宋体" w:cs="宋体"/>
                <w:kern w:val="0"/>
                <w:sz w:val="24"/>
                <w:highlight w:val="none"/>
              </w:rPr>
            </w:pPr>
            <w:r>
              <w:rPr>
                <w:rFonts w:hint="eastAsia" w:ascii="宋体" w:hAnsi="宋体" w:cs="宋体"/>
                <w:kern w:val="0"/>
                <w:sz w:val="24"/>
                <w:highlight w:val="none"/>
              </w:rPr>
              <w:t>1.10.2</w:t>
            </w:r>
          </w:p>
        </w:tc>
        <w:tc>
          <w:tcPr>
            <w:tcW w:w="2119" w:type="dxa"/>
            <w:tcBorders>
              <w:top w:val="single" w:color="000000" w:sz="6" w:space="0"/>
              <w:left w:val="single" w:color="000000" w:sz="6" w:space="0"/>
              <w:bottom w:val="single" w:color="000000" w:sz="6" w:space="0"/>
              <w:right w:val="single" w:color="000000" w:sz="6" w:space="0"/>
            </w:tcBorders>
            <w:vAlign w:val="center"/>
          </w:tcPr>
          <w:p w14:paraId="2A35625B">
            <w:pPr>
              <w:widowControl/>
              <w:wordWrap w:val="0"/>
              <w:jc w:val="center"/>
              <w:rPr>
                <w:rFonts w:ascii="宋体" w:hAnsi="宋体" w:cs="宋体"/>
                <w:kern w:val="0"/>
                <w:sz w:val="24"/>
                <w:highlight w:val="none"/>
              </w:rPr>
            </w:pPr>
            <w:r>
              <w:rPr>
                <w:rFonts w:hint="eastAsia" w:ascii="宋体" w:hAnsi="宋体" w:cs="宋体"/>
                <w:kern w:val="0"/>
                <w:sz w:val="24"/>
                <w:highlight w:val="none"/>
              </w:rPr>
              <w:t>供应商提出问题的截止时间</w:t>
            </w:r>
          </w:p>
        </w:tc>
        <w:tc>
          <w:tcPr>
            <w:tcW w:w="6340" w:type="dxa"/>
            <w:tcBorders>
              <w:top w:val="single" w:color="000000" w:sz="6" w:space="0"/>
              <w:left w:val="single" w:color="000000" w:sz="6" w:space="0"/>
              <w:bottom w:val="single" w:color="000000" w:sz="6" w:space="0"/>
              <w:right w:val="single" w:color="000000" w:sz="6" w:space="0"/>
            </w:tcBorders>
            <w:vAlign w:val="center"/>
          </w:tcPr>
          <w:p w14:paraId="5D0B115A">
            <w:pPr>
              <w:widowControl/>
              <w:wordWrap w:val="0"/>
              <w:jc w:val="left"/>
              <w:rPr>
                <w:rFonts w:ascii="宋体" w:hAnsi="宋体" w:cs="宋体"/>
                <w:kern w:val="0"/>
                <w:sz w:val="24"/>
                <w:highlight w:val="none"/>
              </w:rPr>
            </w:pPr>
            <w:r>
              <w:rPr>
                <w:rFonts w:hint="eastAsia" w:ascii="宋体" w:hAnsi="宋体" w:cs="宋体"/>
                <w:kern w:val="0"/>
                <w:sz w:val="24"/>
                <w:highlight w:val="none"/>
              </w:rPr>
              <w:t>开标时间前10天</w:t>
            </w:r>
          </w:p>
        </w:tc>
      </w:tr>
      <w:tr w14:paraId="2E35B8D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46B0B98D">
            <w:pPr>
              <w:widowControl/>
              <w:wordWrap w:val="0"/>
              <w:jc w:val="center"/>
              <w:rPr>
                <w:rFonts w:ascii="宋体" w:hAnsi="宋体" w:cs="宋体"/>
                <w:kern w:val="0"/>
                <w:sz w:val="24"/>
                <w:highlight w:val="none"/>
              </w:rPr>
            </w:pPr>
            <w:r>
              <w:rPr>
                <w:rFonts w:hint="eastAsia" w:ascii="宋体" w:hAnsi="宋体" w:cs="宋体"/>
                <w:kern w:val="0"/>
                <w:sz w:val="24"/>
                <w:highlight w:val="none"/>
              </w:rPr>
              <w:t>1.10.3</w:t>
            </w:r>
          </w:p>
        </w:tc>
        <w:tc>
          <w:tcPr>
            <w:tcW w:w="2119" w:type="dxa"/>
            <w:tcBorders>
              <w:top w:val="single" w:color="000000" w:sz="6" w:space="0"/>
              <w:left w:val="single" w:color="000000" w:sz="6" w:space="0"/>
              <w:bottom w:val="single" w:color="000000" w:sz="6" w:space="0"/>
              <w:right w:val="single" w:color="000000" w:sz="6" w:space="0"/>
            </w:tcBorders>
            <w:vAlign w:val="center"/>
          </w:tcPr>
          <w:p w14:paraId="04CB2F17">
            <w:pPr>
              <w:widowControl/>
              <w:wordWrap w:val="0"/>
              <w:jc w:val="center"/>
              <w:rPr>
                <w:rFonts w:ascii="宋体" w:hAnsi="宋体" w:cs="宋体"/>
                <w:kern w:val="0"/>
                <w:sz w:val="24"/>
                <w:highlight w:val="none"/>
              </w:rPr>
            </w:pPr>
            <w:r>
              <w:rPr>
                <w:rFonts w:hint="eastAsia" w:ascii="宋体" w:hAnsi="宋体" w:cs="宋体"/>
                <w:kern w:val="0"/>
                <w:sz w:val="24"/>
                <w:highlight w:val="none"/>
              </w:rPr>
              <w:t>采购人澄清的时间和方法</w:t>
            </w:r>
          </w:p>
        </w:tc>
        <w:tc>
          <w:tcPr>
            <w:tcW w:w="6340" w:type="dxa"/>
            <w:tcBorders>
              <w:top w:val="single" w:color="000000" w:sz="6" w:space="0"/>
              <w:left w:val="single" w:color="000000" w:sz="6" w:space="0"/>
              <w:bottom w:val="single" w:color="000000" w:sz="6" w:space="0"/>
              <w:right w:val="single" w:color="000000" w:sz="6" w:space="0"/>
            </w:tcBorders>
            <w:vAlign w:val="center"/>
          </w:tcPr>
          <w:p w14:paraId="01DA492B">
            <w:pPr>
              <w:widowControl/>
              <w:wordWrap w:val="0"/>
              <w:jc w:val="left"/>
              <w:rPr>
                <w:rFonts w:ascii="宋体" w:hAnsi="宋体" w:cs="宋体"/>
                <w:kern w:val="0"/>
                <w:sz w:val="24"/>
                <w:highlight w:val="none"/>
              </w:rPr>
            </w:pPr>
            <w:r>
              <w:rPr>
                <w:rFonts w:hint="eastAsia" w:ascii="宋体" w:hAnsi="宋体" w:cs="宋体"/>
                <w:kern w:val="0"/>
                <w:sz w:val="24"/>
                <w:highlight w:val="none"/>
              </w:rPr>
              <w:t>投标截止时间至少15日前，在</w:t>
            </w:r>
            <w:r>
              <w:rPr>
                <w:rFonts w:hint="eastAsia" w:ascii="宋体" w:hAnsi="宋体" w:cs="宋体"/>
                <w:sz w:val="24"/>
                <w:highlight w:val="none"/>
              </w:rPr>
              <w:t>原公告发布媒体上发布澄清公告</w:t>
            </w:r>
          </w:p>
        </w:tc>
      </w:tr>
      <w:tr w14:paraId="716AF43B">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E019947">
            <w:pPr>
              <w:widowControl/>
              <w:wordWrap w:val="0"/>
              <w:jc w:val="center"/>
              <w:rPr>
                <w:rFonts w:ascii="宋体" w:hAnsi="宋体" w:cs="宋体"/>
                <w:kern w:val="0"/>
                <w:sz w:val="24"/>
                <w:highlight w:val="none"/>
              </w:rPr>
            </w:pPr>
            <w:r>
              <w:rPr>
                <w:rFonts w:hint="eastAsia" w:ascii="宋体" w:hAnsi="宋体" w:cs="宋体"/>
                <w:kern w:val="0"/>
                <w:sz w:val="24"/>
                <w:highlight w:val="none"/>
              </w:rPr>
              <w:t>1.11</w:t>
            </w:r>
          </w:p>
        </w:tc>
        <w:tc>
          <w:tcPr>
            <w:tcW w:w="2119" w:type="dxa"/>
            <w:tcBorders>
              <w:top w:val="single" w:color="000000" w:sz="6" w:space="0"/>
              <w:left w:val="single" w:color="000000" w:sz="6" w:space="0"/>
              <w:bottom w:val="single" w:color="000000" w:sz="6" w:space="0"/>
              <w:right w:val="single" w:color="000000" w:sz="6" w:space="0"/>
            </w:tcBorders>
            <w:vAlign w:val="center"/>
          </w:tcPr>
          <w:p w14:paraId="7E6222F6">
            <w:pPr>
              <w:widowControl/>
              <w:wordWrap w:val="0"/>
              <w:jc w:val="center"/>
              <w:rPr>
                <w:rFonts w:ascii="宋体" w:hAnsi="宋体" w:cs="宋体"/>
                <w:kern w:val="0"/>
                <w:sz w:val="24"/>
                <w:highlight w:val="none"/>
              </w:rPr>
            </w:pPr>
            <w:r>
              <w:rPr>
                <w:rFonts w:hint="eastAsia" w:ascii="宋体" w:hAnsi="宋体" w:cs="宋体"/>
                <w:kern w:val="0"/>
                <w:sz w:val="24"/>
                <w:highlight w:val="none"/>
              </w:rPr>
              <w:t>分包</w:t>
            </w:r>
          </w:p>
        </w:tc>
        <w:tc>
          <w:tcPr>
            <w:tcW w:w="6340" w:type="dxa"/>
            <w:tcBorders>
              <w:top w:val="single" w:color="000000" w:sz="6" w:space="0"/>
              <w:left w:val="single" w:color="000000" w:sz="6" w:space="0"/>
              <w:bottom w:val="single" w:color="000000" w:sz="6" w:space="0"/>
              <w:right w:val="single" w:color="000000" w:sz="6" w:space="0"/>
            </w:tcBorders>
            <w:vAlign w:val="center"/>
          </w:tcPr>
          <w:p w14:paraId="15E44655">
            <w:pPr>
              <w:widowControl/>
              <w:wordWrap w:val="0"/>
              <w:jc w:val="left"/>
              <w:rPr>
                <w:rFonts w:ascii="宋体" w:hAnsi="宋体" w:cs="宋体"/>
                <w:kern w:val="0"/>
                <w:sz w:val="24"/>
                <w:highlight w:val="none"/>
              </w:rPr>
            </w:pPr>
            <w:r>
              <w:rPr>
                <w:rFonts w:hint="eastAsia" w:ascii="宋体" w:hAnsi="宋体" w:cs="宋体"/>
                <w:kern w:val="0"/>
                <w:sz w:val="24"/>
                <w:highlight w:val="none"/>
              </w:rPr>
              <w:t>不允许</w:t>
            </w:r>
          </w:p>
        </w:tc>
      </w:tr>
      <w:tr w14:paraId="24ECEF8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F2874F8">
            <w:pPr>
              <w:widowControl/>
              <w:wordWrap w:val="0"/>
              <w:jc w:val="center"/>
              <w:rPr>
                <w:rFonts w:ascii="宋体" w:hAnsi="宋体" w:cs="宋体"/>
                <w:kern w:val="0"/>
                <w:sz w:val="24"/>
                <w:highlight w:val="none"/>
              </w:rPr>
            </w:pPr>
            <w:r>
              <w:rPr>
                <w:rFonts w:hint="eastAsia" w:ascii="宋体" w:hAnsi="宋体" w:cs="宋体"/>
                <w:kern w:val="0"/>
                <w:sz w:val="24"/>
                <w:highlight w:val="none"/>
              </w:rPr>
              <w:t>1.12</w:t>
            </w:r>
          </w:p>
        </w:tc>
        <w:tc>
          <w:tcPr>
            <w:tcW w:w="2119" w:type="dxa"/>
            <w:tcBorders>
              <w:top w:val="single" w:color="000000" w:sz="6" w:space="0"/>
              <w:left w:val="single" w:color="000000" w:sz="6" w:space="0"/>
              <w:bottom w:val="single" w:color="000000" w:sz="6" w:space="0"/>
              <w:right w:val="single" w:color="000000" w:sz="6" w:space="0"/>
            </w:tcBorders>
            <w:vAlign w:val="center"/>
          </w:tcPr>
          <w:p w14:paraId="3E1C198C">
            <w:pPr>
              <w:widowControl/>
              <w:wordWrap w:val="0"/>
              <w:jc w:val="center"/>
              <w:rPr>
                <w:rFonts w:ascii="宋体" w:hAnsi="宋体" w:cs="宋体"/>
                <w:kern w:val="0"/>
                <w:sz w:val="24"/>
                <w:highlight w:val="none"/>
              </w:rPr>
            </w:pPr>
            <w:r>
              <w:rPr>
                <w:rFonts w:hint="eastAsia" w:ascii="宋体" w:hAnsi="宋体" w:cs="宋体"/>
                <w:kern w:val="0"/>
                <w:sz w:val="24"/>
                <w:highlight w:val="none"/>
              </w:rPr>
              <w:t>偏离</w:t>
            </w:r>
          </w:p>
        </w:tc>
        <w:tc>
          <w:tcPr>
            <w:tcW w:w="6340" w:type="dxa"/>
            <w:tcBorders>
              <w:top w:val="single" w:color="000000" w:sz="6" w:space="0"/>
              <w:left w:val="single" w:color="000000" w:sz="6" w:space="0"/>
              <w:bottom w:val="single" w:color="000000" w:sz="6" w:space="0"/>
              <w:right w:val="single" w:color="000000" w:sz="6" w:space="0"/>
            </w:tcBorders>
            <w:vAlign w:val="center"/>
          </w:tcPr>
          <w:p w14:paraId="570CE653">
            <w:pPr>
              <w:widowControl/>
              <w:wordWrap w:val="0"/>
              <w:jc w:val="left"/>
              <w:rPr>
                <w:rFonts w:ascii="宋体" w:hAnsi="宋体" w:cs="宋体"/>
                <w:kern w:val="0"/>
                <w:sz w:val="24"/>
                <w:highlight w:val="none"/>
              </w:rPr>
            </w:pPr>
            <w:r>
              <w:rPr>
                <w:rFonts w:hint="eastAsia" w:ascii="宋体" w:hAnsi="宋体" w:cs="宋体"/>
                <w:kern w:val="0"/>
                <w:sz w:val="24"/>
                <w:highlight w:val="none"/>
              </w:rPr>
              <w:t>允许正偏离，负偏离的根据评标办法评审</w:t>
            </w:r>
          </w:p>
        </w:tc>
      </w:tr>
      <w:tr w14:paraId="155083C7">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0AD9457">
            <w:pPr>
              <w:widowControl/>
              <w:wordWrap w:val="0"/>
              <w:jc w:val="center"/>
              <w:rPr>
                <w:rFonts w:ascii="宋体" w:hAnsi="宋体" w:cs="宋体"/>
                <w:kern w:val="0"/>
                <w:sz w:val="24"/>
                <w:highlight w:val="none"/>
              </w:rPr>
            </w:pPr>
            <w:r>
              <w:rPr>
                <w:rFonts w:hint="eastAsia" w:ascii="宋体" w:hAnsi="宋体" w:cs="宋体"/>
                <w:kern w:val="0"/>
                <w:sz w:val="24"/>
                <w:highlight w:val="none"/>
              </w:rPr>
              <w:t>2.2.1</w:t>
            </w:r>
          </w:p>
        </w:tc>
        <w:tc>
          <w:tcPr>
            <w:tcW w:w="2119" w:type="dxa"/>
            <w:tcBorders>
              <w:top w:val="single" w:color="000000" w:sz="6" w:space="0"/>
              <w:left w:val="single" w:color="000000" w:sz="6" w:space="0"/>
              <w:bottom w:val="single" w:color="000000" w:sz="6" w:space="0"/>
              <w:right w:val="single" w:color="000000" w:sz="6" w:space="0"/>
            </w:tcBorders>
            <w:vAlign w:val="center"/>
          </w:tcPr>
          <w:p w14:paraId="0E208AFA">
            <w:pPr>
              <w:widowControl/>
              <w:wordWrap w:val="0"/>
              <w:jc w:val="center"/>
              <w:rPr>
                <w:rFonts w:ascii="宋体" w:hAnsi="宋体" w:cs="宋体"/>
                <w:kern w:val="0"/>
                <w:sz w:val="24"/>
                <w:highlight w:val="none"/>
              </w:rPr>
            </w:pPr>
            <w:r>
              <w:rPr>
                <w:rFonts w:hint="eastAsia" w:ascii="宋体" w:hAnsi="宋体" w:cs="宋体"/>
                <w:kern w:val="0"/>
                <w:sz w:val="24"/>
                <w:highlight w:val="none"/>
              </w:rPr>
              <w:t>供应商要求澄清招标文件的截止时间</w:t>
            </w:r>
          </w:p>
        </w:tc>
        <w:tc>
          <w:tcPr>
            <w:tcW w:w="6340" w:type="dxa"/>
            <w:tcBorders>
              <w:top w:val="single" w:color="000000" w:sz="6" w:space="0"/>
              <w:left w:val="single" w:color="000000" w:sz="6" w:space="0"/>
              <w:bottom w:val="single" w:color="000000" w:sz="6" w:space="0"/>
              <w:right w:val="single" w:color="000000" w:sz="6" w:space="0"/>
            </w:tcBorders>
            <w:vAlign w:val="center"/>
          </w:tcPr>
          <w:p w14:paraId="1180433C">
            <w:pPr>
              <w:widowControl/>
              <w:wordWrap w:val="0"/>
              <w:jc w:val="left"/>
              <w:rPr>
                <w:rFonts w:ascii="宋体" w:hAnsi="宋体" w:cs="宋体"/>
                <w:kern w:val="0"/>
                <w:sz w:val="24"/>
                <w:highlight w:val="none"/>
              </w:rPr>
            </w:pPr>
            <w:r>
              <w:rPr>
                <w:rFonts w:hint="eastAsia" w:ascii="宋体" w:hAnsi="宋体" w:cs="宋体"/>
                <w:kern w:val="0"/>
                <w:sz w:val="24"/>
                <w:highlight w:val="none"/>
              </w:rPr>
              <w:t>同1．10．2的时间要求</w:t>
            </w:r>
          </w:p>
          <w:p w14:paraId="00A000EF">
            <w:pPr>
              <w:widowControl/>
              <w:wordWrap w:val="0"/>
              <w:jc w:val="left"/>
              <w:rPr>
                <w:rFonts w:ascii="宋体" w:hAnsi="宋体" w:cs="宋体"/>
                <w:kern w:val="0"/>
                <w:sz w:val="24"/>
                <w:highlight w:val="none"/>
              </w:rPr>
            </w:pPr>
            <w:r>
              <w:rPr>
                <w:rFonts w:hint="eastAsia" w:ascii="宋体" w:hAnsi="宋体" w:cs="宋体"/>
                <w:kern w:val="0"/>
                <w:sz w:val="24"/>
                <w:highlight w:val="none"/>
              </w:rPr>
              <w:t>提交投标文件截止时间前10日，供应商应仔细阅读和检查招标文件的全部内容。如发现缺页或附件不全，应及时向采购人提出，以便补齐。如有疑问，应在供应商须知前附表规定的时间前在“政采云”平台（http：//www.zcygov.cn），要求采购人对招标文件予以澄清。</w:t>
            </w:r>
          </w:p>
        </w:tc>
      </w:tr>
      <w:tr w14:paraId="453C7742">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4CDC308D">
            <w:pPr>
              <w:widowControl/>
              <w:wordWrap w:val="0"/>
              <w:jc w:val="center"/>
              <w:rPr>
                <w:rFonts w:ascii="宋体" w:hAnsi="宋体" w:cs="宋体"/>
                <w:kern w:val="0"/>
                <w:sz w:val="24"/>
                <w:highlight w:val="none"/>
              </w:rPr>
            </w:pPr>
            <w:r>
              <w:rPr>
                <w:rFonts w:hint="eastAsia" w:ascii="宋体" w:hAnsi="宋体" w:cs="宋体"/>
                <w:kern w:val="0"/>
                <w:sz w:val="24"/>
                <w:highlight w:val="none"/>
              </w:rPr>
              <w:t>2.2.2</w:t>
            </w:r>
          </w:p>
        </w:tc>
        <w:tc>
          <w:tcPr>
            <w:tcW w:w="2119" w:type="dxa"/>
            <w:tcBorders>
              <w:top w:val="single" w:color="000000" w:sz="6" w:space="0"/>
              <w:left w:val="single" w:color="000000" w:sz="6" w:space="0"/>
              <w:bottom w:val="single" w:color="000000" w:sz="6" w:space="0"/>
              <w:right w:val="single" w:color="000000" w:sz="6" w:space="0"/>
            </w:tcBorders>
            <w:vAlign w:val="center"/>
          </w:tcPr>
          <w:p w14:paraId="363F6C99">
            <w:pPr>
              <w:widowControl/>
              <w:wordWrap w:val="0"/>
              <w:jc w:val="center"/>
              <w:rPr>
                <w:rFonts w:ascii="宋体" w:hAnsi="宋体" w:cs="宋体"/>
                <w:kern w:val="0"/>
                <w:sz w:val="24"/>
                <w:highlight w:val="none"/>
              </w:rPr>
            </w:pPr>
            <w:r>
              <w:rPr>
                <w:rFonts w:hint="eastAsia" w:ascii="宋体" w:hAnsi="宋体" w:cs="宋体"/>
                <w:kern w:val="0"/>
                <w:sz w:val="24"/>
                <w:highlight w:val="none"/>
              </w:rPr>
              <w:t>投标截止时间</w:t>
            </w:r>
          </w:p>
        </w:tc>
        <w:tc>
          <w:tcPr>
            <w:tcW w:w="6340" w:type="dxa"/>
            <w:tcBorders>
              <w:top w:val="single" w:color="000000" w:sz="6" w:space="0"/>
              <w:left w:val="single" w:color="000000" w:sz="6" w:space="0"/>
              <w:bottom w:val="single" w:color="000000" w:sz="6" w:space="0"/>
              <w:right w:val="single" w:color="000000" w:sz="6" w:space="0"/>
            </w:tcBorders>
            <w:vAlign w:val="center"/>
          </w:tcPr>
          <w:p w14:paraId="3A3603CC">
            <w:pPr>
              <w:widowControl/>
              <w:wordWrap w:val="0"/>
              <w:jc w:val="left"/>
              <w:rPr>
                <w:rFonts w:ascii="宋体" w:hAnsi="宋体" w:cs="宋体"/>
                <w:kern w:val="0"/>
                <w:sz w:val="24"/>
                <w:highlight w:val="none"/>
              </w:rPr>
            </w:pPr>
            <w:r>
              <w:rPr>
                <w:rFonts w:hint="eastAsia" w:ascii="宋体" w:hAnsi="宋体" w:cs="宋体"/>
                <w:kern w:val="0"/>
                <w:sz w:val="24"/>
                <w:highlight w:val="none"/>
              </w:rPr>
              <w:t>2026年</w:t>
            </w:r>
            <w:r>
              <w:rPr>
                <w:rFonts w:hint="eastAsia" w:ascii="宋体" w:hAnsi="宋体" w:cs="宋体"/>
                <w:kern w:val="0"/>
                <w:sz w:val="24"/>
                <w:highlight w:val="none"/>
                <w:lang w:val="en-US" w:eastAsia="zh-CN"/>
              </w:rPr>
              <w:t>5</w:t>
            </w:r>
            <w:r>
              <w:rPr>
                <w:rFonts w:hint="eastAsia" w:ascii="宋体" w:hAnsi="宋体" w:cs="宋体"/>
                <w:kern w:val="0"/>
                <w:sz w:val="24"/>
                <w:highlight w:val="none"/>
              </w:rPr>
              <w:t>月</w:t>
            </w:r>
            <w:r>
              <w:rPr>
                <w:rFonts w:hint="eastAsia" w:ascii="宋体" w:hAnsi="宋体" w:cs="宋体"/>
                <w:kern w:val="0"/>
                <w:sz w:val="24"/>
                <w:highlight w:val="none"/>
                <w:lang w:val="en-US" w:eastAsia="zh-CN"/>
              </w:rPr>
              <w:t>29</w:t>
            </w:r>
            <w:r>
              <w:rPr>
                <w:rFonts w:hint="eastAsia" w:ascii="宋体" w:hAnsi="宋体" w:cs="宋体"/>
                <w:kern w:val="0"/>
                <w:sz w:val="24"/>
                <w:highlight w:val="none"/>
              </w:rPr>
              <w:t>日</w:t>
            </w:r>
            <w:r>
              <w:rPr>
                <w:rFonts w:hint="eastAsia" w:ascii="宋体" w:hAnsi="宋体" w:cs="宋体"/>
                <w:kern w:val="0"/>
                <w:sz w:val="24"/>
                <w:highlight w:val="none"/>
                <w:lang w:val="en-US" w:eastAsia="zh-CN"/>
              </w:rPr>
              <w:t>9</w:t>
            </w:r>
            <w:r>
              <w:rPr>
                <w:rFonts w:hint="eastAsia" w:ascii="宋体" w:hAnsi="宋体" w:cs="宋体"/>
                <w:kern w:val="0"/>
                <w:sz w:val="24"/>
                <w:highlight w:val="none"/>
              </w:rPr>
              <w:t>时00分</w:t>
            </w:r>
          </w:p>
        </w:tc>
      </w:tr>
      <w:tr w14:paraId="1547BE86">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BB80A20">
            <w:pPr>
              <w:widowControl/>
              <w:wordWrap w:val="0"/>
              <w:jc w:val="center"/>
              <w:rPr>
                <w:rFonts w:ascii="宋体" w:hAnsi="宋体" w:cs="宋体"/>
                <w:kern w:val="0"/>
                <w:sz w:val="24"/>
                <w:highlight w:val="none"/>
              </w:rPr>
            </w:pPr>
            <w:r>
              <w:rPr>
                <w:rFonts w:hint="eastAsia" w:ascii="宋体" w:hAnsi="宋体" w:cs="宋体"/>
                <w:kern w:val="0"/>
                <w:sz w:val="24"/>
                <w:highlight w:val="none"/>
              </w:rPr>
              <w:t>2.2.3</w:t>
            </w:r>
          </w:p>
        </w:tc>
        <w:tc>
          <w:tcPr>
            <w:tcW w:w="2119" w:type="dxa"/>
            <w:tcBorders>
              <w:top w:val="single" w:color="000000" w:sz="6" w:space="0"/>
              <w:left w:val="single" w:color="000000" w:sz="6" w:space="0"/>
              <w:bottom w:val="single" w:color="000000" w:sz="6" w:space="0"/>
              <w:right w:val="single" w:color="000000" w:sz="6" w:space="0"/>
            </w:tcBorders>
            <w:vAlign w:val="center"/>
          </w:tcPr>
          <w:p w14:paraId="1E693DBA">
            <w:pPr>
              <w:widowControl/>
              <w:wordWrap w:val="0"/>
              <w:jc w:val="center"/>
              <w:rPr>
                <w:rFonts w:ascii="宋体" w:hAnsi="宋体" w:cs="宋体"/>
                <w:kern w:val="0"/>
                <w:sz w:val="24"/>
                <w:highlight w:val="none"/>
              </w:rPr>
            </w:pPr>
            <w:r>
              <w:rPr>
                <w:rFonts w:hint="eastAsia" w:ascii="宋体" w:hAnsi="宋体" w:cs="宋体"/>
                <w:kern w:val="0"/>
                <w:sz w:val="24"/>
                <w:highlight w:val="none"/>
              </w:rPr>
              <w:t>供应商确认收到招标文件澄清的时间</w:t>
            </w:r>
          </w:p>
        </w:tc>
        <w:tc>
          <w:tcPr>
            <w:tcW w:w="6340" w:type="dxa"/>
            <w:tcBorders>
              <w:top w:val="single" w:color="000000" w:sz="6" w:space="0"/>
              <w:left w:val="single" w:color="000000" w:sz="6" w:space="0"/>
              <w:bottom w:val="single" w:color="000000" w:sz="6" w:space="0"/>
              <w:right w:val="single" w:color="000000" w:sz="6" w:space="0"/>
            </w:tcBorders>
            <w:vAlign w:val="center"/>
          </w:tcPr>
          <w:p w14:paraId="4671C2B7">
            <w:pPr>
              <w:widowControl/>
              <w:wordWrap w:val="0"/>
              <w:jc w:val="left"/>
              <w:rPr>
                <w:rFonts w:ascii="宋体" w:hAnsi="宋体" w:cs="宋体"/>
                <w:kern w:val="0"/>
                <w:sz w:val="24"/>
                <w:highlight w:val="none"/>
              </w:rPr>
            </w:pPr>
            <w:r>
              <w:rPr>
                <w:rFonts w:hint="eastAsia" w:ascii="宋体" w:hAnsi="宋体" w:cs="宋体"/>
                <w:kern w:val="0"/>
                <w:sz w:val="24"/>
                <w:highlight w:val="none"/>
              </w:rPr>
              <w:t>供应商收到澄清文件24小时内。</w:t>
            </w:r>
          </w:p>
        </w:tc>
      </w:tr>
      <w:tr w14:paraId="2277FEA9">
        <w:tblPrEx>
          <w:tblCellMar>
            <w:top w:w="15" w:type="dxa"/>
            <w:left w:w="15" w:type="dxa"/>
            <w:bottom w:w="15" w:type="dxa"/>
            <w:right w:w="15" w:type="dxa"/>
          </w:tblCellMar>
        </w:tblPrEx>
        <w:trPr>
          <w:trHeight w:val="18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7C64DE90">
            <w:pPr>
              <w:widowControl/>
              <w:wordWrap w:val="0"/>
              <w:jc w:val="center"/>
              <w:rPr>
                <w:rFonts w:ascii="宋体" w:hAnsi="宋体" w:cs="宋体"/>
                <w:kern w:val="0"/>
                <w:sz w:val="24"/>
                <w:highlight w:val="none"/>
              </w:rPr>
            </w:pPr>
            <w:r>
              <w:rPr>
                <w:rFonts w:hint="eastAsia" w:ascii="宋体" w:hAnsi="宋体" w:cs="宋体"/>
                <w:kern w:val="0"/>
                <w:sz w:val="24"/>
                <w:highlight w:val="none"/>
              </w:rPr>
              <w:t>3.2.1</w:t>
            </w:r>
          </w:p>
        </w:tc>
        <w:tc>
          <w:tcPr>
            <w:tcW w:w="2119" w:type="dxa"/>
            <w:tcBorders>
              <w:top w:val="single" w:color="000000" w:sz="6" w:space="0"/>
              <w:left w:val="single" w:color="000000" w:sz="6" w:space="0"/>
              <w:bottom w:val="single" w:color="000000" w:sz="6" w:space="0"/>
              <w:right w:val="single" w:color="000000" w:sz="6" w:space="0"/>
            </w:tcBorders>
            <w:vAlign w:val="center"/>
          </w:tcPr>
          <w:p w14:paraId="44BB29E1">
            <w:pPr>
              <w:widowControl/>
              <w:wordWrap w:val="0"/>
              <w:jc w:val="center"/>
              <w:rPr>
                <w:rFonts w:ascii="宋体" w:hAnsi="宋体" w:cs="宋体"/>
                <w:kern w:val="0"/>
                <w:sz w:val="24"/>
                <w:highlight w:val="none"/>
              </w:rPr>
            </w:pPr>
            <w:r>
              <w:rPr>
                <w:rFonts w:hint="eastAsia" w:ascii="宋体" w:hAnsi="宋体" w:cs="宋体"/>
                <w:kern w:val="0"/>
                <w:sz w:val="24"/>
                <w:highlight w:val="none"/>
              </w:rPr>
              <w:t>报价方式</w:t>
            </w:r>
          </w:p>
        </w:tc>
        <w:tc>
          <w:tcPr>
            <w:tcW w:w="6340" w:type="dxa"/>
            <w:tcBorders>
              <w:top w:val="single" w:color="000000" w:sz="6" w:space="0"/>
              <w:left w:val="single" w:color="000000" w:sz="6" w:space="0"/>
              <w:bottom w:val="single" w:color="000000" w:sz="6" w:space="0"/>
              <w:right w:val="single" w:color="000000" w:sz="6" w:space="0"/>
            </w:tcBorders>
            <w:vAlign w:val="center"/>
          </w:tcPr>
          <w:p w14:paraId="5B428869">
            <w:pPr>
              <w:widowControl/>
              <w:wordWrap w:val="0"/>
              <w:jc w:val="left"/>
              <w:rPr>
                <w:rFonts w:ascii="宋体" w:hAnsi="宋体" w:cs="宋体"/>
                <w:kern w:val="0"/>
                <w:sz w:val="24"/>
                <w:highlight w:val="none"/>
              </w:rPr>
            </w:pPr>
            <w:r>
              <w:rPr>
                <w:rFonts w:hint="eastAsia" w:asciiTheme="minorEastAsia" w:hAnsiTheme="minorEastAsia" w:eastAsiaTheme="minorEastAsia" w:cstheme="minorEastAsia"/>
                <w:b/>
                <w:bCs/>
                <w:sz w:val="24"/>
                <w:highlight w:val="none"/>
              </w:rPr>
              <w:t>综合单价报价，供应商根据招标文件要求及企业自身情况，依据采购人所提供的采购产品清单及预算单价进行最合理报价，供应商所报总报价及综合单价均不能超出采购人提供的预算总价及预算单价，否则投标文件按无效处理。</w:t>
            </w:r>
          </w:p>
        </w:tc>
      </w:tr>
      <w:tr w14:paraId="24A85F7F">
        <w:tblPrEx>
          <w:tblCellMar>
            <w:top w:w="15" w:type="dxa"/>
            <w:left w:w="15" w:type="dxa"/>
            <w:bottom w:w="15" w:type="dxa"/>
            <w:right w:w="15" w:type="dxa"/>
          </w:tblCellMar>
        </w:tblPrEx>
        <w:trPr>
          <w:trHeight w:val="18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70715D0D">
            <w:pPr>
              <w:widowControl/>
              <w:wordWrap w:val="0"/>
              <w:jc w:val="center"/>
              <w:rPr>
                <w:rFonts w:ascii="宋体" w:hAnsi="宋体" w:cs="宋体"/>
                <w:kern w:val="0"/>
                <w:sz w:val="24"/>
                <w:highlight w:val="none"/>
              </w:rPr>
            </w:pPr>
            <w:r>
              <w:rPr>
                <w:rFonts w:hint="eastAsia" w:ascii="宋体" w:hAnsi="宋体" w:cs="宋体"/>
                <w:kern w:val="0"/>
                <w:sz w:val="24"/>
                <w:highlight w:val="none"/>
              </w:rPr>
              <w:t>3.3.1</w:t>
            </w:r>
          </w:p>
        </w:tc>
        <w:tc>
          <w:tcPr>
            <w:tcW w:w="2119" w:type="dxa"/>
            <w:tcBorders>
              <w:top w:val="single" w:color="000000" w:sz="6" w:space="0"/>
              <w:left w:val="single" w:color="000000" w:sz="6" w:space="0"/>
              <w:bottom w:val="single" w:color="000000" w:sz="6" w:space="0"/>
              <w:right w:val="single" w:color="000000" w:sz="6" w:space="0"/>
            </w:tcBorders>
            <w:vAlign w:val="center"/>
          </w:tcPr>
          <w:p w14:paraId="480BBCC0">
            <w:pPr>
              <w:widowControl/>
              <w:wordWrap w:val="0"/>
              <w:jc w:val="center"/>
              <w:rPr>
                <w:rFonts w:ascii="宋体" w:hAnsi="宋体" w:cs="宋体"/>
                <w:sz w:val="24"/>
                <w:highlight w:val="none"/>
                <w:shd w:val="clear" w:color="auto" w:fill="E5F0FF"/>
              </w:rPr>
            </w:pPr>
            <w:r>
              <w:rPr>
                <w:rFonts w:hint="eastAsia" w:ascii="宋体" w:hAnsi="宋体" w:cs="宋体"/>
                <w:kern w:val="0"/>
                <w:sz w:val="24"/>
                <w:highlight w:val="none"/>
              </w:rPr>
              <w:t>投标有效期</w:t>
            </w:r>
          </w:p>
        </w:tc>
        <w:tc>
          <w:tcPr>
            <w:tcW w:w="6340" w:type="dxa"/>
            <w:tcBorders>
              <w:top w:val="single" w:color="000000" w:sz="6" w:space="0"/>
              <w:left w:val="single" w:color="000000" w:sz="6" w:space="0"/>
              <w:bottom w:val="single" w:color="000000" w:sz="6" w:space="0"/>
              <w:right w:val="single" w:color="000000" w:sz="6" w:space="0"/>
            </w:tcBorders>
            <w:vAlign w:val="center"/>
          </w:tcPr>
          <w:p w14:paraId="0554E380">
            <w:pPr>
              <w:widowControl/>
              <w:wordWrap w:val="0"/>
              <w:jc w:val="left"/>
              <w:rPr>
                <w:rFonts w:ascii="宋体" w:hAnsi="宋体" w:cs="宋体"/>
                <w:sz w:val="24"/>
                <w:highlight w:val="none"/>
                <w:shd w:val="clear" w:color="auto" w:fill="E5F0FF"/>
              </w:rPr>
            </w:pPr>
            <w:r>
              <w:rPr>
                <w:rFonts w:hint="eastAsia" w:ascii="宋体" w:hAnsi="宋体" w:cs="宋体"/>
                <w:kern w:val="0"/>
                <w:sz w:val="24"/>
                <w:highlight w:val="none"/>
              </w:rPr>
              <w:t>为</w:t>
            </w:r>
            <w:r>
              <w:rPr>
                <w:rFonts w:hint="eastAsia" w:ascii="宋体" w:hAnsi="宋体" w:cs="宋体"/>
                <w:kern w:val="0"/>
                <w:sz w:val="24"/>
                <w:highlight w:val="none"/>
                <w:u w:val="single"/>
              </w:rPr>
              <w:t>90</w:t>
            </w:r>
            <w:r>
              <w:rPr>
                <w:rFonts w:hint="eastAsia" w:ascii="宋体" w:hAnsi="宋体" w:cs="宋体"/>
                <w:kern w:val="0"/>
                <w:sz w:val="24"/>
                <w:highlight w:val="none"/>
              </w:rPr>
              <w:t>日历天，从投标截止之日算起。</w:t>
            </w:r>
          </w:p>
        </w:tc>
      </w:tr>
      <w:tr w14:paraId="15A62E3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right w:val="single" w:color="000000" w:sz="6" w:space="0"/>
            </w:tcBorders>
            <w:vAlign w:val="center"/>
          </w:tcPr>
          <w:p w14:paraId="6A64553D">
            <w:pPr>
              <w:widowControl/>
              <w:wordWrap w:val="0"/>
              <w:jc w:val="center"/>
              <w:rPr>
                <w:rFonts w:ascii="宋体" w:hAnsi="宋体" w:cs="宋体"/>
                <w:kern w:val="0"/>
                <w:sz w:val="24"/>
                <w:highlight w:val="none"/>
              </w:rPr>
            </w:pPr>
            <w:r>
              <w:rPr>
                <w:rFonts w:hint="eastAsia" w:ascii="宋体" w:hAnsi="宋体" w:cs="宋体"/>
                <w:kern w:val="0"/>
                <w:sz w:val="24"/>
                <w:highlight w:val="none"/>
              </w:rPr>
              <w:t>3.4.1</w:t>
            </w:r>
          </w:p>
        </w:tc>
        <w:tc>
          <w:tcPr>
            <w:tcW w:w="2119" w:type="dxa"/>
            <w:tcBorders>
              <w:top w:val="single" w:color="000000" w:sz="6" w:space="0"/>
              <w:left w:val="single" w:color="000000" w:sz="6" w:space="0"/>
              <w:right w:val="single" w:color="000000" w:sz="6" w:space="0"/>
            </w:tcBorders>
            <w:vAlign w:val="center"/>
          </w:tcPr>
          <w:p w14:paraId="2626F7A7">
            <w:pPr>
              <w:snapToGrid w:val="0"/>
              <w:jc w:val="center"/>
              <w:rPr>
                <w:rFonts w:ascii="宋体" w:hAnsi="宋体" w:cs="宋体"/>
                <w:kern w:val="0"/>
                <w:sz w:val="24"/>
                <w:highlight w:val="none"/>
              </w:rPr>
            </w:pPr>
            <w:r>
              <w:rPr>
                <w:rFonts w:hint="eastAsia" w:ascii="宋体" w:hAnsi="宋体" w:cs="宋体"/>
                <w:kern w:val="0"/>
                <w:sz w:val="24"/>
                <w:highlight w:val="none"/>
              </w:rPr>
              <w:t>投标保证金</w:t>
            </w:r>
          </w:p>
        </w:tc>
        <w:tc>
          <w:tcPr>
            <w:tcW w:w="6340" w:type="dxa"/>
            <w:tcBorders>
              <w:top w:val="single" w:color="000000" w:sz="6" w:space="0"/>
              <w:left w:val="single" w:color="000000" w:sz="6" w:space="0"/>
              <w:bottom w:val="single" w:color="000000" w:sz="6" w:space="0"/>
              <w:right w:val="single" w:color="000000" w:sz="6" w:space="0"/>
            </w:tcBorders>
            <w:vAlign w:val="center"/>
          </w:tcPr>
          <w:p w14:paraId="3FF78A20">
            <w:pPr>
              <w:topLinePunct/>
              <w:adjustRightInd w:val="0"/>
              <w:snapToGrid w:val="0"/>
              <w:rPr>
                <w:rFonts w:ascii="宋体" w:hAnsi="宋体" w:cs="宋体"/>
                <w:kern w:val="0"/>
                <w:sz w:val="24"/>
                <w:highlight w:val="none"/>
              </w:rPr>
            </w:pPr>
            <w:r>
              <w:rPr>
                <w:rFonts w:hint="eastAsia" w:ascii="宋体" w:hAnsi="宋体" w:cs="宋体"/>
                <w:kern w:val="0"/>
                <w:sz w:val="24"/>
                <w:highlight w:val="none"/>
                <w:lang w:eastAsia="en-US"/>
              </w:rPr>
              <w:fldChar w:fldCharType="begin"/>
            </w:r>
            <w:r>
              <w:rPr>
                <w:rFonts w:hint="eastAsia" w:ascii="宋体" w:hAnsi="宋体" w:cs="宋体"/>
                <w:kern w:val="0"/>
                <w:sz w:val="24"/>
                <w:highlight w:val="none"/>
              </w:rPr>
              <w:instrText xml:space="preserve"> AUTOTEXT  input141 \* MERGEFORMAT </w:instrText>
            </w:r>
            <w:r>
              <w:rPr>
                <w:rFonts w:hint="eastAsia" w:ascii="宋体" w:hAnsi="宋体" w:cs="宋体"/>
                <w:kern w:val="0"/>
                <w:sz w:val="24"/>
                <w:highlight w:val="none"/>
                <w:lang w:eastAsia="en-US"/>
              </w:rPr>
              <w:fldChar w:fldCharType="separate"/>
            </w:r>
            <w:r>
              <w:rPr>
                <w:rFonts w:hint="eastAsia" w:ascii="宋体" w:hAnsi="宋体" w:cs="宋体"/>
                <w:kern w:val="0"/>
                <w:sz w:val="24"/>
                <w:highlight w:val="none"/>
              </w:rPr>
              <w:t>□</w:t>
            </w:r>
            <w:r>
              <w:rPr>
                <w:rFonts w:hint="eastAsia" w:ascii="宋体" w:hAnsi="宋体" w:cs="宋体"/>
                <w:kern w:val="0"/>
                <w:sz w:val="24"/>
                <w:highlight w:val="none"/>
                <w:lang w:eastAsia="en-US"/>
              </w:rPr>
              <w:fldChar w:fldCharType="end"/>
            </w:r>
            <w:r>
              <w:rPr>
                <w:rFonts w:hint="eastAsia" w:ascii="宋体" w:hAnsi="宋体" w:cs="宋体"/>
                <w:kern w:val="0"/>
                <w:sz w:val="24"/>
                <w:highlight w:val="none"/>
              </w:rPr>
              <w:t>不要求递交投标保证金</w:t>
            </w:r>
          </w:p>
          <w:p w14:paraId="167AB9E8">
            <w:pPr>
              <w:adjustRightInd w:val="0"/>
              <w:snapToGrid w:val="0"/>
              <w:rPr>
                <w:rFonts w:ascii="宋体" w:hAnsi="宋体" w:cs="宋体"/>
                <w:kern w:val="0"/>
                <w:sz w:val="24"/>
                <w:highlight w:val="none"/>
              </w:rPr>
            </w:pPr>
            <w:r>
              <w:rPr>
                <w:rFonts w:hint="eastAsia" w:ascii="宋体" w:hAnsi="宋体" w:cs="宋体"/>
                <w:kern w:val="0"/>
                <w:sz w:val="24"/>
                <w:highlight w:val="none"/>
                <w:lang w:eastAsia="en-US"/>
              </w:rPr>
              <w:fldChar w:fldCharType="begin"/>
            </w:r>
            <w:r>
              <w:rPr>
                <w:rFonts w:hint="eastAsia" w:ascii="宋体" w:hAnsi="宋体" w:cs="宋体"/>
                <w:kern w:val="0"/>
                <w:sz w:val="24"/>
                <w:highlight w:val="none"/>
              </w:rPr>
              <w:instrText xml:space="preserve"> AUTOTEXT  input142 \* MERGEFORMAT </w:instrText>
            </w:r>
            <w:r>
              <w:rPr>
                <w:rFonts w:hint="eastAsia" w:ascii="宋体" w:hAnsi="宋体" w:cs="宋体"/>
                <w:kern w:val="0"/>
                <w:sz w:val="24"/>
                <w:highlight w:val="none"/>
                <w:lang w:eastAsia="en-US"/>
              </w:rPr>
              <w:fldChar w:fldCharType="separate"/>
            </w:r>
            <w:r>
              <w:rPr>
                <w:rFonts w:hint="eastAsia" w:ascii="宋体" w:hAnsi="宋体" w:cs="宋体"/>
                <w:kern w:val="0"/>
                <w:sz w:val="24"/>
                <w:highlight w:val="none"/>
              </w:rPr>
              <w:t>☑</w:t>
            </w:r>
            <w:r>
              <w:rPr>
                <w:rFonts w:hint="eastAsia" w:ascii="宋体" w:hAnsi="宋体" w:cs="宋体"/>
                <w:kern w:val="0"/>
                <w:sz w:val="24"/>
                <w:highlight w:val="none"/>
                <w:lang w:eastAsia="en-US"/>
              </w:rPr>
              <w:fldChar w:fldCharType="end"/>
            </w:r>
            <w:r>
              <w:rPr>
                <w:rFonts w:hint="eastAsia" w:ascii="宋体" w:hAnsi="宋体" w:cs="宋体"/>
                <w:kern w:val="0"/>
                <w:sz w:val="24"/>
                <w:highlight w:val="none"/>
              </w:rPr>
              <w:t>要求递交投标保证金</w:t>
            </w:r>
          </w:p>
          <w:p w14:paraId="7D3AA94F">
            <w:pPr>
              <w:rPr>
                <w:rFonts w:ascii="宋体" w:hAnsi="宋体" w:cs="宋体"/>
                <w:b/>
                <w:bCs/>
                <w:sz w:val="24"/>
                <w:highlight w:val="none"/>
              </w:rPr>
            </w:pPr>
            <w:r>
              <w:rPr>
                <w:rFonts w:hint="eastAsia" w:ascii="宋体" w:hAnsi="宋体" w:cs="宋体"/>
                <w:b/>
                <w:bCs/>
                <w:sz w:val="24"/>
                <w:highlight w:val="none"/>
              </w:rPr>
              <w:t>一、投标保证金提交方式</w:t>
            </w:r>
          </w:p>
          <w:p w14:paraId="4E7E2619">
            <w:pPr>
              <w:spacing w:line="336" w:lineRule="auto"/>
              <w:rPr>
                <w:rFonts w:ascii="宋体" w:hAnsi="宋体" w:cs="宋体"/>
                <w:sz w:val="24"/>
                <w:highlight w:val="none"/>
              </w:rPr>
            </w:pPr>
            <w:r>
              <w:rPr>
                <w:rFonts w:hint="eastAsia" w:ascii="宋体" w:hAnsi="宋体" w:cs="宋体"/>
                <w:sz w:val="24"/>
                <w:highlight w:val="none"/>
              </w:rPr>
              <w:t>保证金的提交方式：</w:t>
            </w:r>
            <w:r>
              <w:rPr>
                <w:rFonts w:hint="eastAsia" w:ascii="宋体" w:hAnsi="宋体" w:cs="宋体"/>
                <w:sz w:val="24"/>
                <w:highlight w:val="none"/>
                <w:u w:val="single"/>
                <w:shd w:val="clear" w:color="auto" w:fill="FFFFFF" w:themeFill="background1"/>
              </w:rPr>
              <w:t>支票、汇票、本票、保函、电汇、网银或金融机构、担保机构出具的保函；其他非现金形式：银行转账。</w:t>
            </w:r>
          </w:p>
          <w:p w14:paraId="58886439">
            <w:pPr>
              <w:rPr>
                <w:rFonts w:ascii="宋体" w:hAnsi="宋体" w:cs="宋体"/>
                <w:sz w:val="24"/>
                <w:highlight w:val="none"/>
              </w:rPr>
            </w:pPr>
            <w:r>
              <w:rPr>
                <w:rFonts w:hint="eastAsia" w:ascii="宋体" w:hAnsi="宋体" w:cs="宋体"/>
                <w:sz w:val="24"/>
                <w:highlight w:val="none"/>
              </w:rPr>
              <w:t>（一）银行转账：投标（交易）保证金应以供应商自身的名义提交，并且必须从其基本账户转出，不得以其他分支机构其他名义提交（按照规定，供应商可以为自然人的项目除外）。</w:t>
            </w:r>
          </w:p>
          <w:p w14:paraId="0379C211">
            <w:pPr>
              <w:rPr>
                <w:rFonts w:ascii="宋体" w:hAnsi="宋体" w:cs="宋体"/>
                <w:sz w:val="24"/>
                <w:highlight w:val="none"/>
              </w:rPr>
            </w:pPr>
            <w:r>
              <w:rPr>
                <w:rFonts w:hint="eastAsia" w:ascii="宋体" w:hAnsi="宋体" w:cs="宋体"/>
                <w:sz w:val="24"/>
                <w:highlight w:val="none"/>
              </w:rPr>
              <w:t>（二）银行保函：保函申请人必须是供应商，受益人必须是采购人，保证人必须是供应商基本账号的开户银行；银行保函必须正确填写受益人和申请人的全称，并与招标文件规定的名称相一致，以免造成投标无效。</w:t>
            </w:r>
          </w:p>
          <w:p w14:paraId="7116B41B">
            <w:pPr>
              <w:rPr>
                <w:rFonts w:ascii="宋体" w:hAnsi="宋体" w:cs="宋体"/>
                <w:sz w:val="24"/>
                <w:highlight w:val="none"/>
              </w:rPr>
            </w:pPr>
            <w:r>
              <w:rPr>
                <w:rFonts w:hint="eastAsia" w:ascii="宋体" w:hAnsi="宋体" w:cs="宋体"/>
                <w:sz w:val="24"/>
                <w:highlight w:val="none"/>
              </w:rPr>
              <w:t>（三）保证保险：1.当供应商未能按照招投标文件要求履行投标义务而导致采购人受到损失时，由保险公司按照保险合同对采购人的损失承担代偿责任。2.供应商在支付投标保证金保险费时，必须使用基本账号资金支付购买，未从基本账户转出支付保费造成经济纠纷的应由企业自行承担。3.在投标保证保险中，供应商为投保人，采购人为被保险人。</w:t>
            </w:r>
          </w:p>
          <w:p w14:paraId="0F0856EA">
            <w:pPr>
              <w:rPr>
                <w:rFonts w:ascii="宋体" w:hAnsi="宋体" w:cs="宋体"/>
                <w:b/>
                <w:bCs/>
                <w:sz w:val="24"/>
                <w:highlight w:val="none"/>
              </w:rPr>
            </w:pPr>
            <w:r>
              <w:rPr>
                <w:rFonts w:hint="eastAsia" w:ascii="宋体" w:hAnsi="宋体" w:cs="宋体"/>
                <w:b/>
                <w:bCs/>
                <w:sz w:val="24"/>
                <w:highlight w:val="none"/>
              </w:rPr>
              <w:t>二、投标保证金的提交时间</w:t>
            </w:r>
          </w:p>
          <w:p w14:paraId="4DFB0016">
            <w:pPr>
              <w:rPr>
                <w:rFonts w:ascii="宋体" w:hAnsi="宋体" w:cs="宋体"/>
                <w:sz w:val="24"/>
                <w:highlight w:val="none"/>
              </w:rPr>
            </w:pPr>
            <w:r>
              <w:rPr>
                <w:rFonts w:hint="eastAsia" w:ascii="宋体" w:hAnsi="宋体" w:cs="宋体"/>
                <w:sz w:val="24"/>
                <w:highlight w:val="none"/>
              </w:rPr>
              <w:t>供应商需在投标截止时间前递交保证金，到账时间以实际到达专用账号时间为准，未在投标截止时间前到账的保证金视为未提交；未确认的保证金视为未提交；</w:t>
            </w:r>
          </w:p>
          <w:p w14:paraId="313F24DC">
            <w:pPr>
              <w:numPr>
                <w:ilvl w:val="0"/>
                <w:numId w:val="5"/>
              </w:numPr>
              <w:rPr>
                <w:rFonts w:ascii="宋体" w:hAnsi="宋体" w:cs="宋体"/>
                <w:b/>
                <w:bCs/>
                <w:sz w:val="24"/>
                <w:highlight w:val="none"/>
              </w:rPr>
            </w:pPr>
            <w:r>
              <w:rPr>
                <w:rFonts w:hint="eastAsia" w:ascii="宋体" w:hAnsi="宋体" w:cs="宋体"/>
                <w:b/>
                <w:bCs/>
                <w:sz w:val="24"/>
                <w:highlight w:val="none"/>
              </w:rPr>
              <w:t>投标保证金的办理程序</w:t>
            </w:r>
          </w:p>
          <w:p w14:paraId="5E75CFBB">
            <w:pPr>
              <w:rPr>
                <w:rFonts w:ascii="宋体" w:hAnsi="宋体" w:cs="宋体"/>
                <w:sz w:val="24"/>
                <w:highlight w:val="none"/>
              </w:rPr>
            </w:pPr>
            <w:r>
              <w:rPr>
                <w:rFonts w:hint="eastAsia" w:ascii="宋体" w:hAnsi="宋体" w:cs="宋体"/>
                <w:sz w:val="24"/>
                <w:highlight w:val="none"/>
              </w:rPr>
              <w:t>（一）采用银行转账方式：</w:t>
            </w:r>
          </w:p>
          <w:p w14:paraId="68AF2188">
            <w:pPr>
              <w:rPr>
                <w:rFonts w:hint="eastAsia" w:ascii="宋体" w:hAnsi="宋体" w:eastAsia="宋体" w:cs="宋体"/>
                <w:bCs/>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玉溪职业技术学院（云南省玉溪工业财贸学校）人工智能赋能医药康养专业群建设项目</w:t>
            </w:r>
          </w:p>
          <w:p w14:paraId="21A64E20">
            <w:pPr>
              <w:rPr>
                <w:rFonts w:ascii="宋体" w:hAnsi="宋体" w:cs="宋体"/>
                <w:sz w:val="24"/>
                <w:highlight w:val="none"/>
              </w:rPr>
            </w:pPr>
            <w:r>
              <w:rPr>
                <w:rFonts w:hint="eastAsia" w:ascii="宋体" w:hAnsi="宋体" w:cs="宋体"/>
                <w:sz w:val="24"/>
                <w:highlight w:val="none"/>
              </w:rPr>
              <w:t>户名：晟和项目管理（云南）有限公司</w:t>
            </w:r>
          </w:p>
          <w:p w14:paraId="040FF4CD">
            <w:pPr>
              <w:rPr>
                <w:rFonts w:ascii="宋体" w:hAnsi="宋体" w:cs="宋体"/>
                <w:sz w:val="24"/>
                <w:highlight w:val="none"/>
              </w:rPr>
            </w:pPr>
            <w:r>
              <w:rPr>
                <w:rFonts w:hint="eastAsia" w:ascii="宋体" w:hAnsi="宋体" w:cs="宋体"/>
                <w:sz w:val="24"/>
                <w:highlight w:val="none"/>
              </w:rPr>
              <w:t>开户行：</w:t>
            </w:r>
            <w:r>
              <w:rPr>
                <w:rFonts w:hint="eastAsia" w:ascii="宋体" w:hAnsi="宋体" w:cs="宋体"/>
                <w:b/>
                <w:bCs/>
                <w:sz w:val="24"/>
                <w:highlight w:val="none"/>
              </w:rPr>
              <w:t>云南红塔银行股份有限公司峨山支行</w:t>
            </w:r>
          </w:p>
          <w:p w14:paraId="732F0169">
            <w:pPr>
              <w:rPr>
                <w:rFonts w:ascii="宋体" w:hAnsi="宋体" w:cs="宋体"/>
                <w:sz w:val="24"/>
                <w:highlight w:val="none"/>
              </w:rPr>
            </w:pPr>
            <w:r>
              <w:rPr>
                <w:rFonts w:hint="eastAsia" w:ascii="宋体" w:hAnsi="宋体" w:cs="宋体"/>
                <w:sz w:val="24"/>
                <w:highlight w:val="none"/>
              </w:rPr>
              <w:t>保证金提交账号：</w:t>
            </w:r>
            <w:r>
              <w:rPr>
                <w:rFonts w:hint="eastAsia" w:ascii="宋体" w:hAnsi="宋体" w:cs="宋体"/>
                <w:b/>
                <w:bCs/>
                <w:sz w:val="24"/>
                <w:highlight w:val="none"/>
              </w:rPr>
              <w:t>3201120000000076</w:t>
            </w:r>
          </w:p>
          <w:p w14:paraId="6D560809">
            <w:pPr>
              <w:rPr>
                <w:rFonts w:hint="eastAsia" w:ascii="宋体" w:hAnsi="宋体" w:eastAsia="宋体" w:cs="宋体"/>
                <w:sz w:val="24"/>
                <w:highlight w:val="none"/>
                <w:lang w:eastAsia="zh-CN"/>
              </w:rPr>
            </w:pPr>
            <w:r>
              <w:rPr>
                <w:rFonts w:hint="eastAsia" w:ascii="宋体" w:hAnsi="宋体" w:cs="宋体"/>
                <w:sz w:val="24"/>
                <w:highlight w:val="none"/>
              </w:rPr>
              <w:t>保证金金额：1包：</w:t>
            </w:r>
            <w:r>
              <w:rPr>
                <w:rFonts w:hint="eastAsia" w:ascii="宋体" w:hAnsi="宋体" w:cs="宋体"/>
                <w:sz w:val="24"/>
                <w:highlight w:val="none"/>
                <w:lang w:val="en-US" w:eastAsia="zh-CN"/>
              </w:rPr>
              <w:t>6</w:t>
            </w:r>
            <w:r>
              <w:rPr>
                <w:rFonts w:hint="eastAsia" w:ascii="宋体" w:hAnsi="宋体" w:cs="宋体"/>
                <w:sz w:val="24"/>
                <w:highlight w:val="none"/>
              </w:rPr>
              <w:t>000.00元；2包：</w:t>
            </w:r>
            <w:r>
              <w:rPr>
                <w:rFonts w:hint="eastAsia" w:ascii="宋体" w:hAnsi="宋体" w:cs="宋体"/>
                <w:sz w:val="24"/>
                <w:highlight w:val="none"/>
                <w:lang w:val="en-US" w:eastAsia="zh-CN"/>
              </w:rPr>
              <w:t>4</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val="en-US" w:eastAsia="zh-CN"/>
              </w:rPr>
              <w:t>75</w:t>
            </w:r>
            <w:r>
              <w:rPr>
                <w:rFonts w:hint="eastAsia" w:ascii="宋体" w:hAnsi="宋体" w:cs="宋体"/>
                <w:sz w:val="24"/>
                <w:highlight w:val="none"/>
              </w:rPr>
              <w:t>00.00元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val="en-US" w:eastAsia="zh-CN"/>
              </w:rPr>
              <w:t>5</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3</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7</w:t>
            </w:r>
            <w:r>
              <w:rPr>
                <w:rFonts w:hint="eastAsia" w:ascii="宋体" w:hAnsi="宋体" w:cs="宋体"/>
                <w:sz w:val="24"/>
                <w:highlight w:val="none"/>
              </w:rPr>
              <w:t>000.00元</w:t>
            </w:r>
            <w:r>
              <w:rPr>
                <w:rFonts w:hint="eastAsia" w:ascii="宋体" w:hAnsi="宋体" w:cs="宋体"/>
                <w:sz w:val="24"/>
                <w:highlight w:val="none"/>
                <w:lang w:eastAsia="zh-CN"/>
              </w:rPr>
              <w:t>。</w:t>
            </w:r>
          </w:p>
          <w:p w14:paraId="187F3AE2">
            <w:pPr>
              <w:adjustRightInd w:val="0"/>
              <w:snapToGrid w:val="0"/>
              <w:rPr>
                <w:rFonts w:ascii="宋体" w:hAnsi="宋体" w:cs="宋体"/>
                <w:b/>
                <w:bCs/>
                <w:sz w:val="24"/>
                <w:highlight w:val="none"/>
              </w:rPr>
            </w:pPr>
            <w:r>
              <w:rPr>
                <w:rFonts w:hint="eastAsia" w:ascii="宋体" w:hAnsi="宋体" w:cs="宋体"/>
                <w:b/>
                <w:bCs/>
                <w:kern w:val="0"/>
                <w:sz w:val="24"/>
                <w:highlight w:val="none"/>
              </w:rPr>
              <w:t>注：打款时请备注项目编号。</w:t>
            </w:r>
          </w:p>
          <w:p w14:paraId="64029C15">
            <w:pPr>
              <w:snapToGrid w:val="0"/>
              <w:jc w:val="left"/>
              <w:rPr>
                <w:rFonts w:ascii="宋体" w:hAnsi="宋体" w:cs="宋体"/>
                <w:sz w:val="24"/>
                <w:highlight w:val="none"/>
              </w:rPr>
            </w:pPr>
            <w:r>
              <w:rPr>
                <w:rFonts w:hint="eastAsia" w:ascii="宋体" w:hAnsi="宋体" w:cs="宋体"/>
                <w:sz w:val="24"/>
                <w:highlight w:val="none"/>
              </w:rPr>
              <w:t>供应商未按照招标文件要求提交保证金的响应无效。</w:t>
            </w:r>
          </w:p>
          <w:p w14:paraId="532AC35F">
            <w:pPr>
              <w:snapToGrid w:val="0"/>
              <w:jc w:val="left"/>
              <w:rPr>
                <w:rFonts w:ascii="宋体" w:hAnsi="宋体" w:cs="宋体"/>
                <w:sz w:val="24"/>
                <w:highlight w:val="none"/>
              </w:rPr>
            </w:pPr>
            <w:r>
              <w:rPr>
                <w:rFonts w:hint="eastAsia" w:ascii="宋体" w:hAnsi="宋体" w:cs="宋体"/>
                <w:sz w:val="24"/>
                <w:highlight w:val="none"/>
              </w:rPr>
              <w:t>投标保证金退还说明：</w:t>
            </w:r>
          </w:p>
          <w:p w14:paraId="2A95E303">
            <w:pPr>
              <w:pStyle w:val="21"/>
              <w:rPr>
                <w:sz w:val="24"/>
                <w:szCs w:val="22"/>
                <w:highlight w:val="none"/>
              </w:rPr>
            </w:pPr>
            <w:r>
              <w:rPr>
                <w:rFonts w:hint="eastAsia" w:cs="宋体"/>
                <w:sz w:val="24"/>
                <w:szCs w:val="22"/>
                <w:highlight w:val="none"/>
                <w:shd w:val="clear" w:color="auto" w:fill="FFFFFF" w:themeFill="background1"/>
              </w:rPr>
              <w:t>未中标的供应商的投标保证金将在发出中标通知书后五个工作日内退还。中标人的投标保证金，在采购人与中标人签订合同五个工作日内退还。</w:t>
            </w:r>
          </w:p>
          <w:p w14:paraId="5332B937">
            <w:pPr>
              <w:adjustRightInd w:val="0"/>
              <w:snapToGrid w:val="0"/>
              <w:rPr>
                <w:rFonts w:ascii="宋体" w:hAnsi="宋体" w:cs="宋体"/>
                <w:kern w:val="0"/>
                <w:sz w:val="24"/>
                <w:highlight w:val="none"/>
              </w:rPr>
            </w:pPr>
            <w:r>
              <w:rPr>
                <w:rFonts w:hint="eastAsia" w:ascii="宋体" w:hAnsi="宋体" w:cs="宋体"/>
                <w:sz w:val="24"/>
                <w:highlight w:val="none"/>
              </w:rPr>
              <w:t>工作时间（工作日）：上午8</w:t>
            </w:r>
            <w:r>
              <w:rPr>
                <w:rFonts w:hint="eastAsia" w:ascii="宋体" w:hAnsi="宋体" w:cs="宋体"/>
                <w:sz w:val="24"/>
                <w:highlight w:val="none"/>
                <w:lang w:eastAsia="zh-CN"/>
              </w:rPr>
              <w:t>:</w:t>
            </w:r>
            <w:r>
              <w:rPr>
                <w:rFonts w:hint="eastAsia" w:ascii="宋体" w:hAnsi="宋体" w:cs="宋体"/>
                <w:sz w:val="24"/>
                <w:highlight w:val="none"/>
              </w:rPr>
              <w:t>30--12</w:t>
            </w:r>
            <w:r>
              <w:rPr>
                <w:rFonts w:hint="eastAsia" w:ascii="宋体" w:hAnsi="宋体" w:cs="宋体"/>
                <w:sz w:val="24"/>
                <w:highlight w:val="none"/>
                <w:lang w:eastAsia="zh-CN"/>
              </w:rPr>
              <w:t>:</w:t>
            </w:r>
            <w:r>
              <w:rPr>
                <w:rFonts w:hint="eastAsia" w:ascii="宋体" w:hAnsi="宋体" w:cs="宋体"/>
                <w:sz w:val="24"/>
                <w:highlight w:val="none"/>
              </w:rPr>
              <w:t>00下午14</w:t>
            </w:r>
            <w:r>
              <w:rPr>
                <w:rFonts w:hint="eastAsia" w:ascii="宋体" w:hAnsi="宋体" w:cs="宋体"/>
                <w:sz w:val="24"/>
                <w:highlight w:val="none"/>
                <w:lang w:eastAsia="zh-CN"/>
              </w:rPr>
              <w:t>：</w:t>
            </w:r>
            <w:r>
              <w:rPr>
                <w:rFonts w:hint="eastAsia" w:ascii="宋体" w:hAnsi="宋体" w:cs="宋体"/>
                <w:sz w:val="24"/>
                <w:highlight w:val="none"/>
              </w:rPr>
              <w:t>30--18</w:t>
            </w:r>
            <w:r>
              <w:rPr>
                <w:rFonts w:hint="eastAsia" w:ascii="宋体" w:hAnsi="宋体" w:cs="宋体"/>
                <w:sz w:val="24"/>
                <w:highlight w:val="none"/>
                <w:lang w:eastAsia="zh-CN"/>
              </w:rPr>
              <w:t>:</w:t>
            </w:r>
            <w:r>
              <w:rPr>
                <w:rFonts w:hint="eastAsia" w:ascii="宋体" w:hAnsi="宋体" w:cs="宋体"/>
                <w:sz w:val="24"/>
                <w:highlight w:val="none"/>
              </w:rPr>
              <w:t>00</w:t>
            </w:r>
            <w:r>
              <w:rPr>
                <w:rFonts w:hint="eastAsia" w:ascii="宋体" w:hAnsi="宋体" w:cs="宋体"/>
                <w:kern w:val="0"/>
                <w:sz w:val="24"/>
                <w:highlight w:val="none"/>
              </w:rPr>
              <w:t>。</w:t>
            </w:r>
          </w:p>
          <w:p w14:paraId="5BF845A0">
            <w:pPr>
              <w:adjustRightInd w:val="0"/>
              <w:snapToGrid w:val="0"/>
              <w:rPr>
                <w:rFonts w:ascii="宋体" w:hAnsi="宋体" w:cs="宋体"/>
                <w:kern w:val="0"/>
                <w:sz w:val="24"/>
                <w:highlight w:val="none"/>
              </w:rPr>
            </w:pPr>
            <w:r>
              <w:rPr>
                <w:rFonts w:hint="eastAsia" w:ascii="宋体" w:hAnsi="宋体" w:cs="宋体"/>
                <w:kern w:val="0"/>
                <w:sz w:val="24"/>
                <w:highlight w:val="none"/>
                <w:lang w:eastAsia="en-US"/>
              </w:rPr>
              <w:fldChar w:fldCharType="begin"/>
            </w:r>
            <w:r>
              <w:rPr>
                <w:rFonts w:hint="eastAsia" w:ascii="宋体" w:hAnsi="宋体" w:cs="宋体"/>
                <w:kern w:val="0"/>
                <w:sz w:val="24"/>
                <w:highlight w:val="none"/>
              </w:rPr>
              <w:instrText xml:space="preserve"> AUTOTEXT  input535 \* MERGEFORMAT </w:instrText>
            </w:r>
            <w:r>
              <w:rPr>
                <w:rFonts w:hint="eastAsia" w:ascii="宋体" w:hAnsi="宋体" w:cs="宋体"/>
                <w:kern w:val="0"/>
                <w:sz w:val="24"/>
                <w:highlight w:val="none"/>
                <w:lang w:eastAsia="en-US"/>
              </w:rPr>
              <w:fldChar w:fldCharType="separate"/>
            </w:r>
            <w:r>
              <w:rPr>
                <w:rFonts w:hint="eastAsia" w:ascii="宋体" w:hAnsi="宋体" w:cs="宋体"/>
                <w:kern w:val="0"/>
                <w:sz w:val="24"/>
                <w:highlight w:val="none"/>
              </w:rPr>
              <w:t>☑</w:t>
            </w:r>
            <w:r>
              <w:rPr>
                <w:rFonts w:hint="eastAsia" w:ascii="宋体" w:hAnsi="宋体" w:cs="宋体"/>
                <w:kern w:val="0"/>
                <w:sz w:val="24"/>
                <w:highlight w:val="none"/>
                <w:lang w:eastAsia="en-US"/>
              </w:rPr>
              <w:fldChar w:fldCharType="end"/>
            </w:r>
            <w:r>
              <w:rPr>
                <w:rFonts w:hint="eastAsia" w:ascii="宋体" w:hAnsi="宋体" w:cs="宋体"/>
                <w:kern w:val="0"/>
                <w:sz w:val="24"/>
                <w:highlight w:val="none"/>
              </w:rPr>
              <w:t>（二）采用银行保函方式：</w:t>
            </w:r>
          </w:p>
          <w:p w14:paraId="5E93F260">
            <w:pPr>
              <w:adjustRightInd w:val="0"/>
              <w:snapToGrid w:val="0"/>
              <w:rPr>
                <w:rFonts w:hint="eastAsia" w:ascii="宋体" w:hAnsi="宋体" w:eastAsia="宋体" w:cs="宋体"/>
                <w:kern w:val="0"/>
                <w:sz w:val="24"/>
                <w:highlight w:val="none"/>
                <w:lang w:eastAsia="zh-CN"/>
              </w:rPr>
            </w:pPr>
            <w:r>
              <w:rPr>
                <w:rFonts w:hint="eastAsia" w:ascii="宋体" w:hAnsi="宋体" w:cs="宋体"/>
                <w:kern w:val="0"/>
                <w:sz w:val="24"/>
                <w:highlight w:val="none"/>
              </w:rPr>
              <w:t>项目名称：</w:t>
            </w:r>
            <w:r>
              <w:rPr>
                <w:rFonts w:hint="eastAsia" w:ascii="宋体" w:hAnsi="宋体" w:cs="宋体"/>
                <w:sz w:val="24"/>
                <w:highlight w:val="none"/>
                <w:lang w:eastAsia="zh-CN"/>
              </w:rPr>
              <w:t>玉溪职业技术学院（云南省玉溪工业财贸学校）人工智能赋能医药康养专业群建设项目</w:t>
            </w:r>
          </w:p>
          <w:p w14:paraId="6CC63240">
            <w:pPr>
              <w:adjustRightInd w:val="0"/>
              <w:snapToGrid w:val="0"/>
              <w:rPr>
                <w:rFonts w:ascii="宋体" w:hAnsi="宋体" w:cs="宋体"/>
                <w:kern w:val="0"/>
                <w:sz w:val="24"/>
                <w:highlight w:val="none"/>
              </w:rPr>
            </w:pPr>
            <w:r>
              <w:rPr>
                <w:rFonts w:hint="eastAsia" w:ascii="宋体" w:hAnsi="宋体" w:cs="宋体"/>
                <w:kern w:val="0"/>
                <w:sz w:val="24"/>
                <w:highlight w:val="none"/>
              </w:rPr>
              <w:t>保证金金额：</w:t>
            </w:r>
            <w:r>
              <w:rPr>
                <w:rFonts w:hint="eastAsia" w:ascii="宋体" w:hAnsi="宋体" w:cs="宋体"/>
                <w:sz w:val="24"/>
                <w:highlight w:val="none"/>
              </w:rPr>
              <w:t>1包：</w:t>
            </w:r>
            <w:r>
              <w:rPr>
                <w:rFonts w:hint="eastAsia" w:ascii="宋体" w:hAnsi="宋体" w:cs="宋体"/>
                <w:sz w:val="24"/>
                <w:highlight w:val="none"/>
                <w:lang w:val="en-US" w:eastAsia="zh-CN"/>
              </w:rPr>
              <w:t>6</w:t>
            </w:r>
            <w:r>
              <w:rPr>
                <w:rFonts w:hint="eastAsia" w:ascii="宋体" w:hAnsi="宋体" w:cs="宋体"/>
                <w:sz w:val="24"/>
                <w:highlight w:val="none"/>
              </w:rPr>
              <w:t>000.00元；2包：</w:t>
            </w:r>
            <w:r>
              <w:rPr>
                <w:rFonts w:hint="eastAsia" w:ascii="宋体" w:hAnsi="宋体" w:cs="宋体"/>
                <w:sz w:val="24"/>
                <w:highlight w:val="none"/>
                <w:lang w:val="en-US" w:eastAsia="zh-CN"/>
              </w:rPr>
              <w:t>4</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val="en-US" w:eastAsia="zh-CN"/>
              </w:rPr>
              <w:t>75</w:t>
            </w:r>
            <w:r>
              <w:rPr>
                <w:rFonts w:hint="eastAsia" w:ascii="宋体" w:hAnsi="宋体" w:cs="宋体"/>
                <w:sz w:val="24"/>
                <w:highlight w:val="none"/>
              </w:rPr>
              <w:t>00.00元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val="en-US" w:eastAsia="zh-CN"/>
              </w:rPr>
              <w:t>5</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3</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7</w:t>
            </w:r>
            <w:r>
              <w:rPr>
                <w:rFonts w:hint="eastAsia" w:ascii="宋体" w:hAnsi="宋体" w:cs="宋体"/>
                <w:sz w:val="24"/>
                <w:highlight w:val="none"/>
              </w:rPr>
              <w:t>000.00元</w:t>
            </w:r>
            <w:r>
              <w:rPr>
                <w:rFonts w:hint="eastAsia" w:ascii="宋体" w:hAnsi="宋体" w:cs="宋体"/>
                <w:sz w:val="24"/>
                <w:highlight w:val="none"/>
                <w:lang w:eastAsia="zh-CN"/>
              </w:rPr>
              <w:t>。</w:t>
            </w:r>
          </w:p>
          <w:p w14:paraId="0A82B83D">
            <w:pPr>
              <w:adjustRightInd w:val="0"/>
              <w:snapToGrid w:val="0"/>
              <w:rPr>
                <w:rFonts w:ascii="宋体" w:hAnsi="宋体" w:cs="宋体"/>
                <w:kern w:val="0"/>
                <w:sz w:val="24"/>
                <w:highlight w:val="none"/>
              </w:rPr>
            </w:pPr>
            <w:r>
              <w:rPr>
                <w:rFonts w:hint="eastAsia" w:ascii="宋体" w:hAnsi="宋体" w:cs="宋体"/>
                <w:kern w:val="0"/>
                <w:sz w:val="24"/>
                <w:highlight w:val="none"/>
              </w:rPr>
              <w:t>办理程序：</w:t>
            </w:r>
            <w:r>
              <w:rPr>
                <w:rFonts w:hint="eastAsia" w:ascii="宋体" w:hAnsi="宋体" w:cs="宋体"/>
                <w:kern w:val="0"/>
                <w:sz w:val="24"/>
                <w:highlight w:val="none"/>
                <w:u w:val="single"/>
                <w:lang w:eastAsia="en-US"/>
              </w:rPr>
              <w:fldChar w:fldCharType="begin"/>
            </w:r>
            <w:r>
              <w:rPr>
                <w:rFonts w:hint="eastAsia" w:ascii="宋体" w:hAnsi="宋体" w:cs="宋体"/>
                <w:kern w:val="0"/>
                <w:sz w:val="24"/>
                <w:highlight w:val="none"/>
                <w:u w:val="single"/>
              </w:rPr>
              <w:instrText xml:space="preserve"> AUTOTEXT  input479 \* MERGEFORMAT </w:instrText>
            </w:r>
            <w:r>
              <w:rPr>
                <w:rFonts w:hint="eastAsia" w:ascii="宋体" w:hAnsi="宋体" w:cs="宋体"/>
                <w:kern w:val="0"/>
                <w:sz w:val="24"/>
                <w:highlight w:val="none"/>
                <w:u w:val="single"/>
                <w:lang w:eastAsia="en-US"/>
              </w:rPr>
              <w:fldChar w:fldCharType="separate"/>
            </w:r>
            <w:r>
              <w:rPr>
                <w:rFonts w:hint="eastAsia" w:ascii="宋体" w:hAnsi="宋体" w:cs="宋体"/>
                <w:kern w:val="0"/>
                <w:sz w:val="24"/>
                <w:highlight w:val="none"/>
                <w:u w:val="single"/>
              </w:rPr>
              <w:t>自行办理</w:t>
            </w:r>
            <w:r>
              <w:rPr>
                <w:rFonts w:hint="eastAsia" w:ascii="宋体" w:hAnsi="宋体" w:cs="宋体"/>
                <w:kern w:val="0"/>
                <w:sz w:val="24"/>
                <w:highlight w:val="none"/>
                <w:u w:val="single"/>
                <w:lang w:eastAsia="en-US"/>
              </w:rPr>
              <w:fldChar w:fldCharType="end"/>
            </w:r>
            <w:r>
              <w:rPr>
                <w:rFonts w:hint="eastAsia" w:ascii="宋体" w:hAnsi="宋体" w:cs="宋体"/>
                <w:kern w:val="0"/>
                <w:sz w:val="24"/>
                <w:highlight w:val="none"/>
              </w:rPr>
              <w:t>。</w:t>
            </w:r>
          </w:p>
          <w:p w14:paraId="53E2C0B8">
            <w:pPr>
              <w:adjustRightInd w:val="0"/>
              <w:snapToGrid w:val="0"/>
              <w:rPr>
                <w:rFonts w:ascii="宋体" w:hAnsi="宋体" w:cs="宋体"/>
                <w:kern w:val="0"/>
                <w:sz w:val="24"/>
                <w:highlight w:val="none"/>
              </w:rPr>
            </w:pPr>
            <w:r>
              <w:rPr>
                <w:rFonts w:hint="eastAsia" w:ascii="宋体" w:hAnsi="宋体" w:cs="宋体"/>
                <w:kern w:val="0"/>
                <w:sz w:val="24"/>
                <w:highlight w:val="none"/>
                <w:lang w:eastAsia="en-US"/>
              </w:rPr>
              <w:fldChar w:fldCharType="begin"/>
            </w:r>
            <w:r>
              <w:rPr>
                <w:rFonts w:hint="eastAsia" w:ascii="宋体" w:hAnsi="宋体" w:cs="宋体"/>
                <w:kern w:val="0"/>
                <w:sz w:val="24"/>
                <w:highlight w:val="none"/>
              </w:rPr>
              <w:instrText xml:space="preserve"> AUTOTEXT  input536 \* MERGEFORMAT </w:instrText>
            </w:r>
            <w:r>
              <w:rPr>
                <w:rFonts w:hint="eastAsia" w:ascii="宋体" w:hAnsi="宋体" w:cs="宋体"/>
                <w:kern w:val="0"/>
                <w:sz w:val="24"/>
                <w:highlight w:val="none"/>
                <w:lang w:eastAsia="en-US"/>
              </w:rPr>
              <w:fldChar w:fldCharType="separate"/>
            </w:r>
            <w:r>
              <w:rPr>
                <w:rFonts w:hint="eastAsia" w:ascii="宋体" w:hAnsi="宋体" w:cs="宋体"/>
                <w:kern w:val="0"/>
                <w:sz w:val="24"/>
                <w:highlight w:val="none"/>
              </w:rPr>
              <w:t>☑</w:t>
            </w:r>
            <w:r>
              <w:rPr>
                <w:rFonts w:hint="eastAsia" w:ascii="宋体" w:hAnsi="宋体" w:cs="宋体"/>
                <w:kern w:val="0"/>
                <w:sz w:val="24"/>
                <w:highlight w:val="none"/>
                <w:lang w:eastAsia="en-US"/>
              </w:rPr>
              <w:fldChar w:fldCharType="end"/>
            </w:r>
            <w:r>
              <w:rPr>
                <w:rFonts w:hint="eastAsia" w:ascii="宋体" w:hAnsi="宋体" w:cs="宋体"/>
                <w:kern w:val="0"/>
                <w:sz w:val="24"/>
                <w:highlight w:val="none"/>
              </w:rPr>
              <w:t>（三）采用投标保证保险方式：</w:t>
            </w:r>
          </w:p>
          <w:p w14:paraId="3D083467">
            <w:pPr>
              <w:adjustRightInd w:val="0"/>
              <w:snapToGrid w:val="0"/>
              <w:rPr>
                <w:rFonts w:hint="eastAsia" w:ascii="宋体" w:hAnsi="宋体" w:eastAsia="宋体" w:cs="宋体"/>
                <w:sz w:val="24"/>
                <w:highlight w:val="none"/>
                <w:lang w:eastAsia="zh-CN"/>
              </w:rPr>
            </w:pPr>
            <w:r>
              <w:rPr>
                <w:rFonts w:hint="eastAsia" w:ascii="宋体" w:hAnsi="宋体" w:cs="宋体"/>
                <w:kern w:val="0"/>
                <w:sz w:val="24"/>
                <w:highlight w:val="none"/>
              </w:rPr>
              <w:t>项目名称：</w:t>
            </w:r>
            <w:r>
              <w:rPr>
                <w:rFonts w:hint="eastAsia" w:ascii="宋体" w:hAnsi="宋体" w:cs="宋体"/>
                <w:sz w:val="24"/>
                <w:highlight w:val="none"/>
                <w:lang w:eastAsia="zh-CN"/>
              </w:rPr>
              <w:t>玉溪职业技术学院（云南省玉溪工业财贸学校）人工智能赋能医药康养专业群建设项目</w:t>
            </w:r>
          </w:p>
          <w:p w14:paraId="7ECF19EC">
            <w:pPr>
              <w:adjustRightInd w:val="0"/>
              <w:snapToGrid w:val="0"/>
              <w:rPr>
                <w:rFonts w:ascii="宋体" w:hAnsi="宋体" w:cs="宋体"/>
                <w:kern w:val="0"/>
                <w:sz w:val="24"/>
                <w:highlight w:val="none"/>
              </w:rPr>
            </w:pPr>
            <w:r>
              <w:rPr>
                <w:rFonts w:hint="eastAsia" w:ascii="宋体" w:hAnsi="宋体" w:cs="宋体"/>
                <w:kern w:val="0"/>
                <w:sz w:val="24"/>
                <w:highlight w:val="none"/>
              </w:rPr>
              <w:t>保证金金额：</w:t>
            </w:r>
            <w:r>
              <w:rPr>
                <w:rFonts w:hint="eastAsia" w:ascii="宋体" w:hAnsi="宋体" w:cs="宋体"/>
                <w:sz w:val="24"/>
                <w:highlight w:val="none"/>
              </w:rPr>
              <w:t>1包：</w:t>
            </w:r>
            <w:r>
              <w:rPr>
                <w:rFonts w:hint="eastAsia" w:ascii="宋体" w:hAnsi="宋体" w:cs="宋体"/>
                <w:sz w:val="24"/>
                <w:highlight w:val="none"/>
                <w:lang w:val="en-US" w:eastAsia="zh-CN"/>
              </w:rPr>
              <w:t>6</w:t>
            </w:r>
            <w:r>
              <w:rPr>
                <w:rFonts w:hint="eastAsia" w:ascii="宋体" w:hAnsi="宋体" w:cs="宋体"/>
                <w:sz w:val="24"/>
                <w:highlight w:val="none"/>
              </w:rPr>
              <w:t>000.00元；2包：</w:t>
            </w:r>
            <w:r>
              <w:rPr>
                <w:rFonts w:hint="eastAsia" w:ascii="宋体" w:hAnsi="宋体" w:cs="宋体"/>
                <w:sz w:val="24"/>
                <w:highlight w:val="none"/>
                <w:lang w:val="en-US" w:eastAsia="zh-CN"/>
              </w:rPr>
              <w:t>4</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val="en-US" w:eastAsia="zh-CN"/>
              </w:rPr>
              <w:t>75</w:t>
            </w:r>
            <w:r>
              <w:rPr>
                <w:rFonts w:hint="eastAsia" w:ascii="宋体" w:hAnsi="宋体" w:cs="宋体"/>
                <w:sz w:val="24"/>
                <w:highlight w:val="none"/>
              </w:rPr>
              <w:t>00.00元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val="en-US" w:eastAsia="zh-CN"/>
              </w:rPr>
              <w:t>5</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3</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7</w:t>
            </w:r>
            <w:r>
              <w:rPr>
                <w:rFonts w:hint="eastAsia" w:ascii="宋体" w:hAnsi="宋体" w:cs="宋体"/>
                <w:sz w:val="24"/>
                <w:highlight w:val="none"/>
              </w:rPr>
              <w:t>000.00元</w:t>
            </w:r>
            <w:r>
              <w:rPr>
                <w:rFonts w:hint="eastAsia" w:ascii="宋体" w:hAnsi="宋体" w:cs="宋体"/>
                <w:sz w:val="24"/>
                <w:highlight w:val="none"/>
                <w:lang w:eastAsia="zh-CN"/>
              </w:rPr>
              <w:t>。</w:t>
            </w:r>
          </w:p>
          <w:p w14:paraId="6A227003">
            <w:pPr>
              <w:adjustRightInd w:val="0"/>
              <w:snapToGrid w:val="0"/>
              <w:rPr>
                <w:rFonts w:ascii="宋体" w:hAnsi="宋体" w:cs="宋体"/>
                <w:kern w:val="0"/>
                <w:sz w:val="24"/>
                <w:highlight w:val="none"/>
              </w:rPr>
            </w:pPr>
            <w:r>
              <w:rPr>
                <w:rFonts w:hint="eastAsia" w:ascii="宋体" w:hAnsi="宋体" w:cs="宋体"/>
                <w:kern w:val="0"/>
                <w:sz w:val="24"/>
                <w:highlight w:val="none"/>
              </w:rPr>
              <w:t>办理程序：</w:t>
            </w:r>
            <w:r>
              <w:rPr>
                <w:rFonts w:hint="eastAsia" w:ascii="宋体" w:hAnsi="宋体" w:cs="宋体"/>
                <w:kern w:val="0"/>
                <w:sz w:val="24"/>
                <w:highlight w:val="none"/>
                <w:u w:val="single"/>
                <w:lang w:eastAsia="en-US"/>
              </w:rPr>
              <w:fldChar w:fldCharType="begin"/>
            </w:r>
            <w:r>
              <w:rPr>
                <w:rFonts w:hint="eastAsia" w:ascii="宋体" w:hAnsi="宋体" w:cs="宋体"/>
                <w:kern w:val="0"/>
                <w:sz w:val="24"/>
                <w:highlight w:val="none"/>
                <w:u w:val="single"/>
              </w:rPr>
              <w:instrText xml:space="preserve"> AUTOTEXT  input479 \* MERGEFORMAT </w:instrText>
            </w:r>
            <w:r>
              <w:rPr>
                <w:rFonts w:hint="eastAsia" w:ascii="宋体" w:hAnsi="宋体" w:cs="宋体"/>
                <w:kern w:val="0"/>
                <w:sz w:val="24"/>
                <w:highlight w:val="none"/>
                <w:u w:val="single"/>
                <w:lang w:eastAsia="en-US"/>
              </w:rPr>
              <w:fldChar w:fldCharType="separate"/>
            </w:r>
            <w:r>
              <w:rPr>
                <w:rFonts w:hint="eastAsia" w:ascii="宋体" w:hAnsi="宋体" w:cs="宋体"/>
                <w:kern w:val="0"/>
                <w:sz w:val="24"/>
                <w:highlight w:val="none"/>
                <w:u w:val="single"/>
              </w:rPr>
              <w:t>自行办理</w:t>
            </w:r>
            <w:r>
              <w:rPr>
                <w:rFonts w:hint="eastAsia" w:ascii="宋体" w:hAnsi="宋体" w:cs="宋体"/>
                <w:kern w:val="0"/>
                <w:sz w:val="24"/>
                <w:highlight w:val="none"/>
                <w:u w:val="single"/>
                <w:lang w:eastAsia="en-US"/>
              </w:rPr>
              <w:fldChar w:fldCharType="end"/>
            </w:r>
            <w:r>
              <w:rPr>
                <w:rFonts w:hint="eastAsia" w:ascii="宋体" w:hAnsi="宋体" w:cs="宋体"/>
                <w:kern w:val="0"/>
                <w:sz w:val="24"/>
                <w:highlight w:val="none"/>
              </w:rPr>
              <w:t>。</w:t>
            </w:r>
          </w:p>
          <w:p w14:paraId="463017E7">
            <w:pPr>
              <w:adjustRightInd w:val="0"/>
              <w:snapToGrid w:val="0"/>
              <w:rPr>
                <w:rFonts w:ascii="宋体" w:hAnsi="宋体" w:cs="宋体"/>
                <w:kern w:val="0"/>
                <w:sz w:val="24"/>
                <w:highlight w:val="none"/>
              </w:rPr>
            </w:pPr>
            <w:r>
              <w:rPr>
                <w:rFonts w:hint="eastAsia" w:ascii="宋体" w:hAnsi="宋体" w:cs="宋体"/>
                <w:kern w:val="0"/>
                <w:sz w:val="24"/>
                <w:highlight w:val="none"/>
                <w:lang w:eastAsia="en-US"/>
              </w:rPr>
              <w:fldChar w:fldCharType="begin"/>
            </w:r>
            <w:r>
              <w:rPr>
                <w:rFonts w:hint="eastAsia" w:ascii="宋体" w:hAnsi="宋体" w:cs="宋体"/>
                <w:kern w:val="0"/>
                <w:sz w:val="24"/>
                <w:highlight w:val="none"/>
              </w:rPr>
              <w:instrText xml:space="preserve"> AUTOTEXT  input536 \* MERGEFORMAT </w:instrText>
            </w:r>
            <w:r>
              <w:rPr>
                <w:rFonts w:hint="eastAsia" w:ascii="宋体" w:hAnsi="宋体" w:cs="宋体"/>
                <w:kern w:val="0"/>
                <w:sz w:val="24"/>
                <w:highlight w:val="none"/>
                <w:lang w:eastAsia="en-US"/>
              </w:rPr>
              <w:fldChar w:fldCharType="separate"/>
            </w:r>
            <w:r>
              <w:rPr>
                <w:rFonts w:hint="eastAsia" w:ascii="宋体" w:hAnsi="宋体" w:cs="宋体"/>
                <w:kern w:val="0"/>
                <w:sz w:val="24"/>
                <w:highlight w:val="none"/>
              </w:rPr>
              <w:t>☑</w:t>
            </w:r>
            <w:r>
              <w:rPr>
                <w:rFonts w:hint="eastAsia" w:ascii="宋体" w:hAnsi="宋体" w:cs="宋体"/>
                <w:kern w:val="0"/>
                <w:sz w:val="24"/>
                <w:highlight w:val="none"/>
                <w:lang w:eastAsia="en-US"/>
              </w:rPr>
              <w:fldChar w:fldCharType="end"/>
            </w:r>
            <w:r>
              <w:rPr>
                <w:rFonts w:hint="eastAsia" w:ascii="宋体" w:hAnsi="宋体" w:cs="宋体"/>
                <w:kern w:val="0"/>
                <w:sz w:val="24"/>
                <w:highlight w:val="none"/>
              </w:rPr>
              <w:t>（四）其他方式：</w:t>
            </w:r>
          </w:p>
          <w:p w14:paraId="3E11D993">
            <w:pPr>
              <w:adjustRightInd w:val="0"/>
              <w:snapToGrid w:val="0"/>
              <w:rPr>
                <w:rFonts w:hint="eastAsia" w:ascii="宋体" w:hAnsi="宋体" w:eastAsia="宋体" w:cs="宋体"/>
                <w:sz w:val="24"/>
                <w:highlight w:val="none"/>
                <w:lang w:eastAsia="zh-CN"/>
              </w:rPr>
            </w:pPr>
            <w:r>
              <w:rPr>
                <w:rFonts w:hint="eastAsia" w:ascii="宋体" w:hAnsi="宋体" w:cs="宋体"/>
                <w:kern w:val="0"/>
                <w:sz w:val="24"/>
                <w:highlight w:val="none"/>
              </w:rPr>
              <w:t>项目名称：</w:t>
            </w:r>
            <w:r>
              <w:rPr>
                <w:rFonts w:hint="eastAsia" w:ascii="宋体" w:hAnsi="宋体" w:cs="宋体"/>
                <w:sz w:val="24"/>
                <w:highlight w:val="none"/>
                <w:lang w:eastAsia="zh-CN"/>
              </w:rPr>
              <w:t>玉溪职业技术学院（云南省玉溪工业财贸学校）人工智能赋能医药康养专业群建设项目</w:t>
            </w:r>
          </w:p>
          <w:p w14:paraId="4DD4C261">
            <w:pPr>
              <w:adjustRightInd w:val="0"/>
              <w:snapToGrid w:val="0"/>
              <w:rPr>
                <w:rFonts w:ascii="宋体" w:hAnsi="宋体" w:cs="宋体"/>
                <w:kern w:val="0"/>
                <w:sz w:val="24"/>
                <w:highlight w:val="none"/>
              </w:rPr>
            </w:pPr>
            <w:r>
              <w:rPr>
                <w:rFonts w:hint="eastAsia" w:ascii="宋体" w:hAnsi="宋体" w:cs="宋体"/>
                <w:kern w:val="0"/>
                <w:sz w:val="24"/>
                <w:highlight w:val="none"/>
              </w:rPr>
              <w:t>保证金金额：</w:t>
            </w:r>
            <w:r>
              <w:rPr>
                <w:rFonts w:hint="eastAsia" w:ascii="宋体" w:hAnsi="宋体" w:cs="宋体"/>
                <w:sz w:val="24"/>
                <w:highlight w:val="none"/>
              </w:rPr>
              <w:t>1包：</w:t>
            </w:r>
            <w:r>
              <w:rPr>
                <w:rFonts w:hint="eastAsia" w:ascii="宋体" w:hAnsi="宋体" w:cs="宋体"/>
                <w:sz w:val="24"/>
                <w:highlight w:val="none"/>
                <w:lang w:val="en-US" w:eastAsia="zh-CN"/>
              </w:rPr>
              <w:t>6</w:t>
            </w:r>
            <w:r>
              <w:rPr>
                <w:rFonts w:hint="eastAsia" w:ascii="宋体" w:hAnsi="宋体" w:cs="宋体"/>
                <w:sz w:val="24"/>
                <w:highlight w:val="none"/>
              </w:rPr>
              <w:t>000.00元；2包：</w:t>
            </w:r>
            <w:r>
              <w:rPr>
                <w:rFonts w:hint="eastAsia" w:ascii="宋体" w:hAnsi="宋体" w:cs="宋体"/>
                <w:sz w:val="24"/>
                <w:highlight w:val="none"/>
                <w:lang w:val="en-US" w:eastAsia="zh-CN"/>
              </w:rPr>
              <w:t>4</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val="en-US" w:eastAsia="zh-CN"/>
              </w:rPr>
              <w:t>75</w:t>
            </w:r>
            <w:r>
              <w:rPr>
                <w:rFonts w:hint="eastAsia" w:ascii="宋体" w:hAnsi="宋体" w:cs="宋体"/>
                <w:sz w:val="24"/>
                <w:highlight w:val="none"/>
              </w:rPr>
              <w:t>00.00元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val="en-US" w:eastAsia="zh-CN"/>
              </w:rPr>
              <w:t>5</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3</w:t>
            </w:r>
            <w:r>
              <w:rPr>
                <w:rFonts w:hint="eastAsia" w:ascii="宋体" w:hAnsi="宋体" w:cs="宋体"/>
                <w:sz w:val="24"/>
                <w:highlight w:val="none"/>
              </w:rPr>
              <w:t>000.00元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7</w:t>
            </w:r>
            <w:r>
              <w:rPr>
                <w:rFonts w:hint="eastAsia" w:ascii="宋体" w:hAnsi="宋体" w:cs="宋体"/>
                <w:sz w:val="24"/>
                <w:highlight w:val="none"/>
              </w:rPr>
              <w:t>000.00元</w:t>
            </w:r>
            <w:r>
              <w:rPr>
                <w:rFonts w:hint="eastAsia" w:ascii="宋体" w:hAnsi="宋体" w:cs="宋体"/>
                <w:sz w:val="24"/>
                <w:highlight w:val="none"/>
                <w:lang w:eastAsia="zh-CN"/>
              </w:rPr>
              <w:t>。</w:t>
            </w:r>
          </w:p>
          <w:p w14:paraId="7631E53E">
            <w:pPr>
              <w:adjustRightInd w:val="0"/>
              <w:snapToGrid w:val="0"/>
              <w:rPr>
                <w:rFonts w:ascii="宋体" w:hAnsi="宋体" w:cs="宋体"/>
                <w:sz w:val="24"/>
                <w:highlight w:val="none"/>
              </w:rPr>
            </w:pPr>
            <w:r>
              <w:rPr>
                <w:rFonts w:hint="eastAsia" w:ascii="宋体" w:hAnsi="宋体" w:cs="宋体"/>
                <w:kern w:val="0"/>
                <w:sz w:val="24"/>
                <w:highlight w:val="none"/>
              </w:rPr>
              <w:t>办理程序：</w:t>
            </w:r>
            <w:r>
              <w:rPr>
                <w:rFonts w:hint="eastAsia" w:ascii="宋体" w:hAnsi="宋体" w:cs="宋体"/>
                <w:kern w:val="0"/>
                <w:sz w:val="24"/>
                <w:highlight w:val="none"/>
                <w:u w:val="single"/>
                <w:lang w:eastAsia="en-US"/>
              </w:rPr>
              <w:fldChar w:fldCharType="begin"/>
            </w:r>
            <w:r>
              <w:rPr>
                <w:rFonts w:hint="eastAsia" w:ascii="宋体" w:hAnsi="宋体" w:cs="宋体"/>
                <w:kern w:val="0"/>
                <w:sz w:val="24"/>
                <w:highlight w:val="none"/>
                <w:u w:val="single"/>
              </w:rPr>
              <w:instrText xml:space="preserve"> AUTOTEXT  input479 \* MERGEFORMAT </w:instrText>
            </w:r>
            <w:r>
              <w:rPr>
                <w:rFonts w:hint="eastAsia" w:ascii="宋体" w:hAnsi="宋体" w:cs="宋体"/>
                <w:kern w:val="0"/>
                <w:sz w:val="24"/>
                <w:highlight w:val="none"/>
                <w:u w:val="single"/>
                <w:lang w:eastAsia="en-US"/>
              </w:rPr>
              <w:fldChar w:fldCharType="separate"/>
            </w:r>
            <w:r>
              <w:rPr>
                <w:rFonts w:hint="eastAsia" w:ascii="宋体" w:hAnsi="宋体" w:cs="宋体"/>
                <w:kern w:val="0"/>
                <w:sz w:val="24"/>
                <w:highlight w:val="none"/>
                <w:u w:val="single"/>
              </w:rPr>
              <w:t>自行办理</w:t>
            </w:r>
            <w:r>
              <w:rPr>
                <w:rFonts w:hint="eastAsia" w:ascii="宋体" w:hAnsi="宋体" w:cs="宋体"/>
                <w:kern w:val="0"/>
                <w:sz w:val="24"/>
                <w:highlight w:val="none"/>
                <w:u w:val="single"/>
                <w:lang w:eastAsia="en-US"/>
              </w:rPr>
              <w:fldChar w:fldCharType="end"/>
            </w:r>
            <w:r>
              <w:rPr>
                <w:rFonts w:hint="eastAsia" w:ascii="宋体" w:hAnsi="宋体" w:cs="宋体"/>
                <w:kern w:val="0"/>
                <w:sz w:val="24"/>
                <w:highlight w:val="none"/>
              </w:rPr>
              <w:t>。</w:t>
            </w:r>
          </w:p>
          <w:p w14:paraId="73346BD7">
            <w:pPr>
              <w:adjustRightInd w:val="0"/>
              <w:snapToGrid w:val="0"/>
              <w:rPr>
                <w:rFonts w:ascii="宋体" w:hAnsi="宋体" w:cs="宋体"/>
                <w:kern w:val="0"/>
                <w:sz w:val="24"/>
                <w:highlight w:val="none"/>
              </w:rPr>
            </w:pPr>
            <w:r>
              <w:rPr>
                <w:rFonts w:hint="eastAsia" w:ascii="宋体" w:hAnsi="宋体" w:cs="宋体"/>
                <w:kern w:val="0"/>
                <w:sz w:val="24"/>
                <w:highlight w:val="none"/>
              </w:rPr>
              <w:t>注：1.保证金必须从供应商的基本账户划出；</w:t>
            </w:r>
          </w:p>
          <w:p w14:paraId="3D19FBBC">
            <w:pPr>
              <w:adjustRightInd w:val="0"/>
              <w:snapToGrid w:val="0"/>
              <w:ind w:firstLine="480" w:firstLineChars="200"/>
              <w:rPr>
                <w:rFonts w:ascii="宋体" w:hAnsi="宋体" w:cs="宋体"/>
                <w:kern w:val="0"/>
                <w:sz w:val="24"/>
                <w:highlight w:val="none"/>
              </w:rPr>
            </w:pPr>
            <w:r>
              <w:rPr>
                <w:rFonts w:hint="eastAsia" w:ascii="宋体" w:hAnsi="宋体" w:cs="宋体"/>
                <w:kern w:val="0"/>
                <w:sz w:val="24"/>
                <w:highlight w:val="none"/>
              </w:rPr>
              <w:t>2.保证金以转账电汇、网银或保函等，其他非现金方式存入账户；</w:t>
            </w:r>
          </w:p>
          <w:p w14:paraId="28DB330A">
            <w:pPr>
              <w:adjustRightInd w:val="0"/>
              <w:snapToGrid w:val="0"/>
              <w:ind w:firstLine="480" w:firstLineChars="200"/>
              <w:rPr>
                <w:rFonts w:ascii="宋体" w:hAnsi="宋体" w:cs="宋体"/>
                <w:kern w:val="0"/>
                <w:sz w:val="24"/>
                <w:highlight w:val="none"/>
              </w:rPr>
            </w:pPr>
            <w:r>
              <w:rPr>
                <w:rFonts w:hint="eastAsia" w:ascii="宋体" w:hAnsi="宋体" w:cs="宋体"/>
                <w:kern w:val="0"/>
                <w:sz w:val="24"/>
                <w:highlight w:val="none"/>
              </w:rPr>
              <w:t>3.保证金到账时间以保证金专用账户实际到账时间为准，未在投标截止时间前到账的保证金无效；</w:t>
            </w:r>
          </w:p>
          <w:p w14:paraId="7C41D501">
            <w:pPr>
              <w:adjustRightInd w:val="0"/>
              <w:snapToGrid w:val="0"/>
              <w:ind w:firstLine="480" w:firstLineChars="200"/>
              <w:rPr>
                <w:rFonts w:ascii="宋体" w:hAnsi="宋体" w:cs="宋体"/>
                <w:kern w:val="0"/>
                <w:sz w:val="24"/>
                <w:highlight w:val="none"/>
              </w:rPr>
            </w:pPr>
            <w:r>
              <w:rPr>
                <w:rFonts w:hint="eastAsia" w:ascii="宋体" w:hAnsi="宋体" w:cs="宋体"/>
                <w:kern w:val="0"/>
                <w:sz w:val="24"/>
                <w:highlight w:val="none"/>
              </w:rPr>
              <w:t>4.投标保证金一般不得超过投标估算值的2%，最高不能超过80万元。</w:t>
            </w:r>
          </w:p>
          <w:p w14:paraId="0495876B">
            <w:pPr>
              <w:adjustRightInd w:val="0"/>
              <w:snapToGrid w:val="0"/>
              <w:ind w:firstLine="480" w:firstLineChars="200"/>
              <w:rPr>
                <w:rFonts w:ascii="宋体" w:hAnsi="宋体" w:cs="宋体"/>
                <w:kern w:val="0"/>
                <w:sz w:val="24"/>
                <w:highlight w:val="none"/>
              </w:rPr>
            </w:pPr>
            <w:r>
              <w:rPr>
                <w:rFonts w:hint="eastAsia" w:ascii="宋体" w:hAnsi="宋体" w:cs="宋体"/>
                <w:kern w:val="0"/>
                <w:sz w:val="24"/>
                <w:highlight w:val="none"/>
              </w:rPr>
              <w:t>请潜在供应商在跨行转账时考虑以下因素：1、按照人民银行相关规定，跨行转账在工作日下午四点半前办理手续，可以保证实时跨行到账；2、跨行转账尽量采用电汇方式。</w:t>
            </w:r>
          </w:p>
          <w:p w14:paraId="7778D7AE">
            <w:pPr>
              <w:rPr>
                <w:rFonts w:ascii="宋体" w:hAnsi="宋体" w:cs="宋体"/>
                <w:b/>
                <w:bCs/>
                <w:sz w:val="24"/>
                <w:highlight w:val="none"/>
              </w:rPr>
            </w:pPr>
            <w:r>
              <w:rPr>
                <w:rFonts w:hint="eastAsia" w:ascii="宋体" w:hAnsi="宋体" w:cs="宋体"/>
                <w:b/>
                <w:bCs/>
                <w:sz w:val="24"/>
                <w:highlight w:val="none"/>
              </w:rPr>
              <w:t>四、有下列情形之一的，投标保证金将不予退还：</w:t>
            </w:r>
          </w:p>
          <w:p w14:paraId="71F716CF">
            <w:pPr>
              <w:rPr>
                <w:rFonts w:ascii="宋体" w:hAnsi="宋体" w:cs="宋体"/>
                <w:sz w:val="24"/>
                <w:highlight w:val="none"/>
              </w:rPr>
            </w:pPr>
            <w:r>
              <w:rPr>
                <w:rFonts w:hint="eastAsia" w:ascii="宋体" w:hAnsi="宋体" w:cs="宋体"/>
                <w:sz w:val="24"/>
                <w:highlight w:val="none"/>
              </w:rPr>
              <w:t>（1）供应商在招标文件规定的投标有效期内撤回其投标文件的；</w:t>
            </w:r>
          </w:p>
          <w:p w14:paraId="2F32F2EB">
            <w:pPr>
              <w:rPr>
                <w:rFonts w:ascii="宋体" w:hAnsi="宋体" w:cs="宋体"/>
                <w:sz w:val="24"/>
                <w:highlight w:val="none"/>
              </w:rPr>
            </w:pPr>
            <w:r>
              <w:rPr>
                <w:rFonts w:hint="eastAsia" w:ascii="宋体" w:hAnsi="宋体" w:cs="宋体"/>
                <w:sz w:val="24"/>
                <w:highlight w:val="none"/>
              </w:rPr>
              <w:t>（2）供应商拒绝接受修正标价的；</w:t>
            </w:r>
          </w:p>
          <w:p w14:paraId="509DF49E">
            <w:pPr>
              <w:rPr>
                <w:rFonts w:ascii="宋体" w:hAnsi="宋体" w:cs="宋体"/>
                <w:sz w:val="24"/>
                <w:highlight w:val="none"/>
              </w:rPr>
            </w:pPr>
            <w:r>
              <w:rPr>
                <w:rFonts w:hint="eastAsia" w:ascii="宋体" w:hAnsi="宋体" w:cs="宋体"/>
                <w:sz w:val="24"/>
                <w:highlight w:val="none"/>
              </w:rPr>
              <w:t>（3）中标人未能在规定期限内签订合同的，或在签订合同时要求变更投标承诺和变更投标报价的（含单价、合价或总价的）；</w:t>
            </w:r>
          </w:p>
          <w:p w14:paraId="56BE23AB">
            <w:pPr>
              <w:rPr>
                <w:rFonts w:ascii="宋体" w:hAnsi="宋体" w:cs="宋体"/>
                <w:sz w:val="24"/>
                <w:highlight w:val="none"/>
              </w:rPr>
            </w:pPr>
            <w:r>
              <w:rPr>
                <w:rFonts w:hint="eastAsia" w:ascii="宋体" w:hAnsi="宋体" w:cs="宋体"/>
                <w:sz w:val="24"/>
                <w:highlight w:val="none"/>
              </w:rPr>
              <w:t>（4）中标人对招标文件（含合同条款等）的内容提出修改要求的；</w:t>
            </w:r>
          </w:p>
          <w:p w14:paraId="576B41E5">
            <w:pPr>
              <w:rPr>
                <w:rFonts w:ascii="宋体" w:hAnsi="宋体" w:cs="宋体"/>
                <w:sz w:val="24"/>
                <w:highlight w:val="none"/>
              </w:rPr>
            </w:pPr>
            <w:r>
              <w:rPr>
                <w:rFonts w:hint="eastAsia" w:ascii="宋体" w:hAnsi="宋体" w:cs="宋体"/>
                <w:sz w:val="24"/>
                <w:highlight w:val="none"/>
              </w:rPr>
              <w:t>（5）供应商无故不参加投标或者出现不廉洁行为的；</w:t>
            </w:r>
          </w:p>
          <w:p w14:paraId="48CBC1D0">
            <w:pPr>
              <w:rPr>
                <w:rFonts w:ascii="宋体" w:hAnsi="宋体" w:cs="宋体"/>
                <w:sz w:val="24"/>
                <w:highlight w:val="none"/>
              </w:rPr>
            </w:pPr>
            <w:r>
              <w:rPr>
                <w:rFonts w:hint="eastAsia" w:ascii="宋体" w:hAnsi="宋体" w:cs="宋体"/>
                <w:sz w:val="24"/>
                <w:highlight w:val="none"/>
              </w:rPr>
              <w:t>（6）供应商采用不正当的手段骗取中标的；</w:t>
            </w:r>
          </w:p>
          <w:p w14:paraId="4BD71750">
            <w:pPr>
              <w:rPr>
                <w:rFonts w:ascii="宋体"/>
                <w:sz w:val="24"/>
                <w:highlight w:val="none"/>
              </w:rPr>
            </w:pPr>
            <w:r>
              <w:rPr>
                <w:rFonts w:hint="eastAsia" w:ascii="宋体" w:hAnsi="宋体" w:cs="宋体"/>
                <w:sz w:val="24"/>
                <w:highlight w:val="none"/>
              </w:rPr>
              <w:t>（7）法律法规规定的其他情形。</w:t>
            </w:r>
          </w:p>
        </w:tc>
      </w:tr>
      <w:tr w14:paraId="3EADC43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right w:val="single" w:color="000000" w:sz="6" w:space="0"/>
            </w:tcBorders>
            <w:vAlign w:val="center"/>
          </w:tcPr>
          <w:p w14:paraId="234862EE">
            <w:pPr>
              <w:widowControl/>
              <w:wordWrap w:val="0"/>
              <w:jc w:val="center"/>
              <w:rPr>
                <w:rFonts w:ascii="宋体" w:hAnsi="宋体" w:cs="宋体"/>
                <w:kern w:val="0"/>
                <w:sz w:val="24"/>
                <w:highlight w:val="none"/>
              </w:rPr>
            </w:pPr>
            <w:r>
              <w:rPr>
                <w:rFonts w:hint="eastAsia" w:ascii="宋体" w:hAnsi="宋体" w:cs="宋体"/>
                <w:kern w:val="0"/>
                <w:sz w:val="24"/>
                <w:highlight w:val="none"/>
              </w:rPr>
              <w:t>3.4.3</w:t>
            </w:r>
          </w:p>
        </w:tc>
        <w:tc>
          <w:tcPr>
            <w:tcW w:w="2119" w:type="dxa"/>
            <w:tcBorders>
              <w:top w:val="single" w:color="000000" w:sz="6" w:space="0"/>
              <w:left w:val="single" w:color="000000" w:sz="6" w:space="0"/>
              <w:right w:val="single" w:color="000000" w:sz="6" w:space="0"/>
            </w:tcBorders>
            <w:vAlign w:val="center"/>
          </w:tcPr>
          <w:p w14:paraId="2B08019B">
            <w:pPr>
              <w:widowControl/>
              <w:wordWrap w:val="0"/>
              <w:jc w:val="center"/>
              <w:rPr>
                <w:rFonts w:ascii="宋体" w:hAnsi="宋体" w:cs="宋体"/>
                <w:kern w:val="0"/>
                <w:sz w:val="24"/>
                <w:highlight w:val="none"/>
              </w:rPr>
            </w:pPr>
            <w:r>
              <w:rPr>
                <w:rFonts w:hint="eastAsia" w:ascii="宋体" w:hAnsi="宋体" w:cs="宋体"/>
                <w:kern w:val="0"/>
                <w:sz w:val="24"/>
                <w:highlight w:val="none"/>
              </w:rPr>
              <w:t>投标保证金的退还</w:t>
            </w:r>
          </w:p>
        </w:tc>
        <w:tc>
          <w:tcPr>
            <w:tcW w:w="6340" w:type="dxa"/>
            <w:tcBorders>
              <w:top w:val="single" w:color="000000" w:sz="6" w:space="0"/>
              <w:left w:val="single" w:color="000000" w:sz="6" w:space="0"/>
              <w:bottom w:val="single" w:color="000000" w:sz="6" w:space="0"/>
              <w:right w:val="single" w:color="000000" w:sz="6" w:space="0"/>
            </w:tcBorders>
            <w:vAlign w:val="center"/>
          </w:tcPr>
          <w:p w14:paraId="6D32532D">
            <w:pPr>
              <w:widowControl/>
              <w:wordWrap w:val="0"/>
              <w:jc w:val="left"/>
              <w:rPr>
                <w:rFonts w:ascii="宋体" w:hAnsi="宋体" w:cs="宋体"/>
                <w:sz w:val="24"/>
                <w:highlight w:val="none"/>
              </w:rPr>
            </w:pPr>
            <w:r>
              <w:rPr>
                <w:rFonts w:hint="eastAsia" w:ascii="宋体" w:hAnsi="宋体" w:cs="宋体"/>
                <w:kern w:val="0"/>
                <w:sz w:val="24"/>
                <w:highlight w:val="none"/>
              </w:rPr>
              <w:t>以银行转账方式的投标保证金退还到投标人的基本账户。</w:t>
            </w:r>
          </w:p>
        </w:tc>
      </w:tr>
      <w:tr w14:paraId="74CAB303">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B4CFD99">
            <w:pPr>
              <w:widowControl/>
              <w:wordWrap w:val="0"/>
              <w:jc w:val="center"/>
              <w:rPr>
                <w:rFonts w:ascii="宋体" w:hAnsi="宋体" w:cs="宋体"/>
                <w:kern w:val="0"/>
                <w:sz w:val="24"/>
                <w:highlight w:val="none"/>
              </w:rPr>
            </w:pPr>
            <w:r>
              <w:rPr>
                <w:rFonts w:hint="eastAsia" w:ascii="宋体" w:hAnsi="宋体" w:cs="宋体"/>
                <w:kern w:val="0"/>
                <w:sz w:val="24"/>
                <w:highlight w:val="none"/>
              </w:rPr>
              <w:t>3.6</w:t>
            </w:r>
          </w:p>
        </w:tc>
        <w:tc>
          <w:tcPr>
            <w:tcW w:w="2119" w:type="dxa"/>
            <w:tcBorders>
              <w:top w:val="single" w:color="000000" w:sz="6" w:space="0"/>
              <w:left w:val="single" w:color="000000" w:sz="6" w:space="0"/>
              <w:bottom w:val="single" w:color="000000" w:sz="6" w:space="0"/>
              <w:right w:val="single" w:color="000000" w:sz="6" w:space="0"/>
            </w:tcBorders>
            <w:vAlign w:val="center"/>
          </w:tcPr>
          <w:p w14:paraId="43A98FFA">
            <w:pPr>
              <w:widowControl/>
              <w:wordWrap w:val="0"/>
              <w:jc w:val="center"/>
              <w:rPr>
                <w:rFonts w:ascii="宋体" w:hAnsi="宋体" w:cs="宋体"/>
                <w:kern w:val="0"/>
                <w:sz w:val="24"/>
                <w:highlight w:val="none"/>
              </w:rPr>
            </w:pPr>
            <w:r>
              <w:rPr>
                <w:rFonts w:hint="eastAsia" w:ascii="宋体" w:hAnsi="宋体" w:cs="宋体"/>
                <w:kern w:val="0"/>
                <w:sz w:val="24"/>
                <w:highlight w:val="none"/>
              </w:rPr>
              <w:t>是否允许递交备选投标方案</w:t>
            </w:r>
          </w:p>
        </w:tc>
        <w:tc>
          <w:tcPr>
            <w:tcW w:w="6340" w:type="dxa"/>
            <w:tcBorders>
              <w:top w:val="single" w:color="000000" w:sz="6" w:space="0"/>
              <w:left w:val="single" w:color="000000" w:sz="6" w:space="0"/>
              <w:bottom w:val="single" w:color="000000" w:sz="6" w:space="0"/>
              <w:right w:val="single" w:color="000000" w:sz="6" w:space="0"/>
            </w:tcBorders>
            <w:vAlign w:val="center"/>
          </w:tcPr>
          <w:p w14:paraId="5B0548E7">
            <w:pPr>
              <w:widowControl/>
              <w:wordWrap w:val="0"/>
              <w:jc w:val="left"/>
              <w:rPr>
                <w:rFonts w:ascii="宋体" w:hAnsi="宋体" w:cs="宋体"/>
                <w:kern w:val="0"/>
                <w:sz w:val="24"/>
                <w:highlight w:val="none"/>
              </w:rPr>
            </w:pPr>
            <w:r>
              <w:rPr>
                <w:rFonts w:hint="eastAsia" w:ascii="宋体" w:hAnsi="宋体" w:cs="宋体"/>
                <w:kern w:val="0"/>
                <w:sz w:val="24"/>
                <w:highlight w:val="none"/>
              </w:rPr>
              <w:t>不允许</w:t>
            </w:r>
          </w:p>
        </w:tc>
      </w:tr>
      <w:tr w14:paraId="1F0669CE">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F4265EA">
            <w:pPr>
              <w:widowControl/>
              <w:wordWrap w:val="0"/>
              <w:jc w:val="center"/>
              <w:rPr>
                <w:rFonts w:ascii="宋体" w:hAnsi="宋体" w:cs="宋体"/>
                <w:kern w:val="0"/>
                <w:sz w:val="24"/>
                <w:highlight w:val="none"/>
              </w:rPr>
            </w:pPr>
            <w:r>
              <w:rPr>
                <w:rFonts w:hint="eastAsia" w:ascii="宋体" w:hAnsi="宋体" w:cs="宋体"/>
                <w:kern w:val="0"/>
                <w:sz w:val="24"/>
                <w:highlight w:val="none"/>
              </w:rPr>
              <w:t>3.7.1</w:t>
            </w:r>
          </w:p>
        </w:tc>
        <w:tc>
          <w:tcPr>
            <w:tcW w:w="2119" w:type="dxa"/>
            <w:tcBorders>
              <w:top w:val="single" w:color="000000" w:sz="6" w:space="0"/>
              <w:left w:val="single" w:color="000000" w:sz="6" w:space="0"/>
              <w:bottom w:val="single" w:color="000000" w:sz="6" w:space="0"/>
              <w:right w:val="single" w:color="000000" w:sz="6" w:space="0"/>
            </w:tcBorders>
            <w:vAlign w:val="center"/>
          </w:tcPr>
          <w:p w14:paraId="514C842B">
            <w:pPr>
              <w:widowControl/>
              <w:wordWrap w:val="0"/>
              <w:jc w:val="center"/>
              <w:rPr>
                <w:rFonts w:ascii="宋体" w:hAnsi="宋体" w:cs="宋体"/>
                <w:kern w:val="0"/>
                <w:sz w:val="24"/>
                <w:highlight w:val="none"/>
              </w:rPr>
            </w:pPr>
            <w:r>
              <w:rPr>
                <w:rFonts w:hint="eastAsia" w:ascii="宋体" w:hAnsi="宋体" w:cs="宋体"/>
                <w:kern w:val="0"/>
                <w:sz w:val="24"/>
                <w:highlight w:val="none"/>
              </w:rPr>
              <w:t>投标文件格式</w:t>
            </w:r>
          </w:p>
        </w:tc>
        <w:tc>
          <w:tcPr>
            <w:tcW w:w="6340" w:type="dxa"/>
            <w:tcBorders>
              <w:top w:val="single" w:color="000000" w:sz="6" w:space="0"/>
              <w:left w:val="single" w:color="000000" w:sz="6" w:space="0"/>
              <w:bottom w:val="single" w:color="000000" w:sz="6" w:space="0"/>
              <w:right w:val="single" w:color="000000" w:sz="6" w:space="0"/>
            </w:tcBorders>
            <w:vAlign w:val="center"/>
          </w:tcPr>
          <w:p w14:paraId="7F774E5E">
            <w:pPr>
              <w:widowControl/>
              <w:wordWrap w:val="0"/>
              <w:jc w:val="left"/>
              <w:rPr>
                <w:rFonts w:ascii="宋体" w:hAnsi="宋体" w:cs="宋体"/>
                <w:kern w:val="0"/>
                <w:sz w:val="24"/>
                <w:highlight w:val="none"/>
              </w:rPr>
            </w:pPr>
            <w:r>
              <w:rPr>
                <w:rFonts w:hint="eastAsia" w:ascii="宋体" w:hAnsi="宋体" w:cs="宋体"/>
                <w:kern w:val="0"/>
                <w:sz w:val="24"/>
                <w:highlight w:val="none"/>
              </w:rPr>
              <w:t>详见“第四章  投标文件格式”</w:t>
            </w:r>
          </w:p>
        </w:tc>
      </w:tr>
      <w:tr w14:paraId="545AAFD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415CED7">
            <w:pPr>
              <w:widowControl/>
              <w:wordWrap w:val="0"/>
              <w:jc w:val="center"/>
              <w:rPr>
                <w:rFonts w:ascii="宋体" w:hAnsi="宋体" w:cs="宋体"/>
                <w:kern w:val="0"/>
                <w:sz w:val="24"/>
                <w:highlight w:val="none"/>
              </w:rPr>
            </w:pPr>
            <w:r>
              <w:rPr>
                <w:rFonts w:hint="eastAsia" w:ascii="宋体" w:hAnsi="宋体" w:cs="宋体"/>
                <w:kern w:val="0"/>
                <w:sz w:val="24"/>
                <w:highlight w:val="none"/>
              </w:rPr>
              <w:t>3.7.3</w:t>
            </w:r>
          </w:p>
        </w:tc>
        <w:tc>
          <w:tcPr>
            <w:tcW w:w="2119" w:type="dxa"/>
            <w:tcBorders>
              <w:top w:val="single" w:color="000000" w:sz="6" w:space="0"/>
              <w:left w:val="single" w:color="000000" w:sz="6" w:space="0"/>
              <w:bottom w:val="single" w:color="000000" w:sz="6" w:space="0"/>
              <w:right w:val="single" w:color="000000" w:sz="6" w:space="0"/>
            </w:tcBorders>
            <w:vAlign w:val="center"/>
          </w:tcPr>
          <w:p w14:paraId="63ACE120">
            <w:pPr>
              <w:widowControl/>
              <w:wordWrap w:val="0"/>
              <w:jc w:val="center"/>
              <w:rPr>
                <w:rFonts w:ascii="宋体" w:hAnsi="宋体" w:cs="宋体"/>
                <w:kern w:val="0"/>
                <w:sz w:val="24"/>
                <w:highlight w:val="none"/>
              </w:rPr>
            </w:pPr>
            <w:r>
              <w:rPr>
                <w:rFonts w:hint="eastAsia" w:ascii="宋体" w:hAnsi="宋体" w:cs="宋体"/>
                <w:kern w:val="0"/>
                <w:sz w:val="24"/>
                <w:highlight w:val="none"/>
              </w:rPr>
              <w:t>投标文件的签署</w:t>
            </w:r>
          </w:p>
        </w:tc>
        <w:tc>
          <w:tcPr>
            <w:tcW w:w="6340" w:type="dxa"/>
            <w:tcBorders>
              <w:top w:val="single" w:color="000000" w:sz="6" w:space="0"/>
              <w:left w:val="single" w:color="000000" w:sz="6" w:space="0"/>
              <w:bottom w:val="single" w:color="000000" w:sz="6" w:space="0"/>
              <w:right w:val="single" w:color="000000" w:sz="6" w:space="0"/>
            </w:tcBorders>
            <w:vAlign w:val="center"/>
          </w:tcPr>
          <w:p w14:paraId="7A456C5A">
            <w:pPr>
              <w:widowControl/>
              <w:wordWrap w:val="0"/>
              <w:jc w:val="left"/>
              <w:rPr>
                <w:rFonts w:ascii="宋体" w:hAnsi="宋体" w:cs="宋体"/>
                <w:kern w:val="0"/>
                <w:sz w:val="24"/>
                <w:highlight w:val="none"/>
              </w:rPr>
            </w:pPr>
            <w:r>
              <w:rPr>
                <w:rFonts w:hint="eastAsia" w:ascii="宋体" w:hAnsi="宋体" w:cs="宋体"/>
                <w:sz w:val="24"/>
                <w:highlight w:val="none"/>
              </w:rPr>
              <w:t>投标文件应按招标文件要求进行签字或盖章或电子签章。由供应商的法定代表人或其委托代理人签字或盖章，未按招标文件要求进行签字或加盖公章或电子签章的投标文件将做不通过初步评审处理；由委托代理人签字或盖章的，投标文件中应附有法定代表人的授权委托书。</w:t>
            </w:r>
          </w:p>
        </w:tc>
      </w:tr>
      <w:tr w14:paraId="09312DF8">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6185107">
            <w:pPr>
              <w:widowControl/>
              <w:wordWrap w:val="0"/>
              <w:jc w:val="center"/>
              <w:rPr>
                <w:rFonts w:ascii="宋体" w:hAnsi="宋体" w:cs="宋体"/>
                <w:kern w:val="0"/>
                <w:sz w:val="24"/>
                <w:highlight w:val="none"/>
              </w:rPr>
            </w:pPr>
            <w:r>
              <w:rPr>
                <w:rFonts w:hint="eastAsia" w:ascii="宋体" w:hAnsi="宋体" w:cs="宋体"/>
                <w:kern w:val="0"/>
                <w:sz w:val="24"/>
                <w:highlight w:val="none"/>
              </w:rPr>
              <w:t>4.1.1</w:t>
            </w:r>
          </w:p>
        </w:tc>
        <w:tc>
          <w:tcPr>
            <w:tcW w:w="2119" w:type="dxa"/>
            <w:tcBorders>
              <w:top w:val="single" w:color="000000" w:sz="6" w:space="0"/>
              <w:left w:val="single" w:color="000000" w:sz="6" w:space="0"/>
              <w:bottom w:val="single" w:color="000000" w:sz="6" w:space="0"/>
              <w:right w:val="single" w:color="000000" w:sz="6" w:space="0"/>
            </w:tcBorders>
            <w:vAlign w:val="center"/>
          </w:tcPr>
          <w:p w14:paraId="5DE93A6E">
            <w:pPr>
              <w:widowControl/>
              <w:wordWrap w:val="0"/>
              <w:jc w:val="center"/>
              <w:rPr>
                <w:rFonts w:ascii="宋体" w:hAnsi="宋体" w:cs="宋体"/>
                <w:sz w:val="24"/>
                <w:highlight w:val="none"/>
              </w:rPr>
            </w:pPr>
            <w:r>
              <w:rPr>
                <w:rFonts w:hint="eastAsia" w:ascii="宋体" w:hAnsi="宋体" w:cs="宋体"/>
                <w:kern w:val="0"/>
                <w:sz w:val="24"/>
                <w:highlight w:val="none"/>
              </w:rPr>
              <w:t>投标文件递交及有关内容</w:t>
            </w:r>
          </w:p>
        </w:tc>
        <w:tc>
          <w:tcPr>
            <w:tcW w:w="6340" w:type="dxa"/>
            <w:tcBorders>
              <w:top w:val="single" w:color="000000" w:sz="6" w:space="0"/>
              <w:left w:val="single" w:color="000000" w:sz="6" w:space="0"/>
              <w:bottom w:val="single" w:color="000000" w:sz="6" w:space="0"/>
              <w:right w:val="single" w:color="000000" w:sz="6" w:space="0"/>
            </w:tcBorders>
            <w:vAlign w:val="center"/>
          </w:tcPr>
          <w:p w14:paraId="57737356">
            <w:pPr>
              <w:pStyle w:val="2"/>
              <w:ind w:firstLine="0" w:firstLineChars="0"/>
              <w:rPr>
                <w:rFonts w:ascii="宋体" w:hAnsi="宋体" w:cs="宋体"/>
                <w:highlight w:val="none"/>
              </w:rPr>
            </w:pPr>
            <w:r>
              <w:rPr>
                <w:rFonts w:hint="eastAsia" w:ascii="宋体" w:hAnsi="宋体" w:cs="宋体"/>
                <w:highlight w:val="none"/>
              </w:rPr>
              <w:t>网上递交：网上递交网址为政采云平台（https</w:t>
            </w:r>
            <w:r>
              <w:rPr>
                <w:rFonts w:hint="eastAsia" w:ascii="宋体" w:hAnsi="宋体" w:cs="宋体"/>
                <w:highlight w:val="none"/>
                <w:lang w:eastAsia="zh-CN"/>
              </w:rPr>
              <w:t>：</w:t>
            </w:r>
            <w:r>
              <w:rPr>
                <w:rFonts w:hint="eastAsia" w:ascii="宋体" w:hAnsi="宋体" w:cs="宋体"/>
                <w:highlight w:val="none"/>
              </w:rPr>
              <w:t>//www.zcygov.cn/），投标截止时间前未完成投标文件传输的，视为撤回投标文件。</w:t>
            </w:r>
          </w:p>
          <w:p w14:paraId="031CA13B">
            <w:pPr>
              <w:jc w:val="left"/>
              <w:rPr>
                <w:rFonts w:ascii="宋体" w:hAnsi="宋体" w:cs="宋体"/>
                <w:bCs/>
                <w:sz w:val="24"/>
                <w:highlight w:val="none"/>
              </w:rPr>
            </w:pPr>
            <w:r>
              <w:rPr>
                <w:rFonts w:hint="eastAsia" w:ascii="宋体" w:hAnsi="宋体" w:cs="宋体"/>
                <w:bCs/>
                <w:sz w:val="24"/>
                <w:highlight w:val="none"/>
              </w:rPr>
              <w:t>投标文件全部采用电子文档，供应商应安装客户端软件—“政采云电子交易客户端”，并按照采购文件和政采云电子交易平台的要求编制，编制后应进行电子签名及加密。</w:t>
            </w:r>
          </w:p>
          <w:p w14:paraId="7C6218FD">
            <w:pPr>
              <w:jc w:val="left"/>
              <w:rPr>
                <w:rFonts w:ascii="宋体" w:hAnsi="宋体" w:cs="宋体"/>
                <w:bCs/>
                <w:sz w:val="24"/>
                <w:highlight w:val="none"/>
              </w:rPr>
            </w:pPr>
            <w:r>
              <w:rPr>
                <w:rFonts w:hint="eastAsia" w:ascii="宋体" w:hAnsi="宋体" w:cs="宋体"/>
                <w:bCs/>
                <w:sz w:val="24"/>
                <w:highlight w:val="none"/>
              </w:rPr>
              <w:t>（1）如供应商提交的电子标书不符合政采云电子交易平台要求或开标时无法读取导入或解密，其投标文件将不予受理。</w:t>
            </w:r>
          </w:p>
          <w:p w14:paraId="5A65A9D5">
            <w:pPr>
              <w:widowControl/>
              <w:wordWrap w:val="0"/>
              <w:jc w:val="left"/>
              <w:rPr>
                <w:rFonts w:ascii="宋体" w:hAnsi="宋体" w:cs="宋体"/>
                <w:kern w:val="0"/>
                <w:sz w:val="24"/>
                <w:highlight w:val="none"/>
              </w:rPr>
            </w:pPr>
            <w:r>
              <w:rPr>
                <w:rFonts w:hint="eastAsia" w:ascii="宋体" w:hAnsi="宋体" w:cs="宋体"/>
                <w:bCs/>
                <w:sz w:val="24"/>
                <w:highlight w:val="none"/>
              </w:rPr>
              <w:t>（2）投标文件中提供的资料（扫描件），内容必须清晰可辨，若内容模糊，无法辨识，均视为未提供。</w:t>
            </w:r>
          </w:p>
        </w:tc>
      </w:tr>
      <w:tr w14:paraId="57DE5F04">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EBD318D">
            <w:pPr>
              <w:widowControl/>
              <w:wordWrap w:val="0"/>
              <w:jc w:val="center"/>
              <w:rPr>
                <w:rFonts w:ascii="宋体" w:hAnsi="宋体" w:cs="宋体"/>
                <w:kern w:val="0"/>
                <w:sz w:val="24"/>
                <w:highlight w:val="none"/>
              </w:rPr>
            </w:pPr>
            <w:r>
              <w:rPr>
                <w:rFonts w:hint="eastAsia" w:ascii="宋体" w:hAnsi="宋体" w:cs="宋体"/>
                <w:kern w:val="0"/>
                <w:sz w:val="24"/>
                <w:highlight w:val="none"/>
              </w:rPr>
              <w:t>4.1.2</w:t>
            </w:r>
          </w:p>
        </w:tc>
        <w:tc>
          <w:tcPr>
            <w:tcW w:w="2119" w:type="dxa"/>
            <w:tcBorders>
              <w:top w:val="single" w:color="000000" w:sz="6" w:space="0"/>
              <w:left w:val="single" w:color="000000" w:sz="6" w:space="0"/>
              <w:bottom w:val="single" w:color="000000" w:sz="6" w:space="0"/>
              <w:right w:val="single" w:color="000000" w:sz="6" w:space="0"/>
            </w:tcBorders>
            <w:vAlign w:val="center"/>
          </w:tcPr>
          <w:p w14:paraId="7B22B95F">
            <w:pPr>
              <w:widowControl/>
              <w:wordWrap w:val="0"/>
              <w:jc w:val="left"/>
              <w:rPr>
                <w:rFonts w:ascii="宋体" w:hAnsi="宋体" w:cs="宋体"/>
                <w:kern w:val="0"/>
                <w:sz w:val="24"/>
                <w:highlight w:val="none"/>
              </w:rPr>
            </w:pPr>
            <w:r>
              <w:rPr>
                <w:rFonts w:hint="eastAsia" w:ascii="宋体" w:hAnsi="宋体" w:cs="宋体"/>
                <w:kern w:val="0"/>
                <w:sz w:val="24"/>
                <w:highlight w:val="none"/>
              </w:rPr>
              <w:t>投标文件的加密</w:t>
            </w:r>
          </w:p>
        </w:tc>
        <w:tc>
          <w:tcPr>
            <w:tcW w:w="6340" w:type="dxa"/>
            <w:tcBorders>
              <w:top w:val="single" w:color="000000" w:sz="6" w:space="0"/>
              <w:left w:val="single" w:color="000000" w:sz="6" w:space="0"/>
              <w:bottom w:val="single" w:color="000000" w:sz="6" w:space="0"/>
              <w:right w:val="single" w:color="000000" w:sz="6" w:space="0"/>
            </w:tcBorders>
            <w:vAlign w:val="center"/>
          </w:tcPr>
          <w:p w14:paraId="7E2E78D4">
            <w:pPr>
              <w:widowControl/>
              <w:wordWrap w:val="0"/>
              <w:jc w:val="left"/>
              <w:rPr>
                <w:rFonts w:ascii="宋体" w:hAnsi="宋体" w:cs="宋体"/>
                <w:kern w:val="0"/>
                <w:sz w:val="24"/>
                <w:highlight w:val="none"/>
              </w:rPr>
            </w:pPr>
            <w:r>
              <w:rPr>
                <w:rFonts w:hint="eastAsia" w:ascii="宋体" w:hAnsi="宋体" w:cs="宋体"/>
                <w:kern w:val="0"/>
                <w:sz w:val="24"/>
                <w:highlight w:val="none"/>
              </w:rPr>
              <w:t>投标文件制作完成后，供应商应使用CA数字证书对投标文件进行文件加密，形成加密的投标文件。</w:t>
            </w:r>
          </w:p>
        </w:tc>
      </w:tr>
      <w:tr w14:paraId="79C0728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08EFFBFE">
            <w:pPr>
              <w:widowControl/>
              <w:wordWrap w:val="0"/>
              <w:jc w:val="center"/>
              <w:rPr>
                <w:rFonts w:ascii="宋体" w:hAnsi="宋体" w:cs="宋体"/>
                <w:kern w:val="0"/>
                <w:sz w:val="24"/>
                <w:highlight w:val="none"/>
              </w:rPr>
            </w:pPr>
            <w:r>
              <w:rPr>
                <w:rFonts w:hint="eastAsia" w:ascii="宋体" w:hAnsi="宋体" w:cs="宋体"/>
                <w:kern w:val="0"/>
                <w:sz w:val="24"/>
                <w:highlight w:val="none"/>
              </w:rPr>
              <w:t>4.2.2</w:t>
            </w:r>
          </w:p>
        </w:tc>
        <w:tc>
          <w:tcPr>
            <w:tcW w:w="2119" w:type="dxa"/>
            <w:tcBorders>
              <w:top w:val="single" w:color="000000" w:sz="6" w:space="0"/>
              <w:left w:val="single" w:color="000000" w:sz="6" w:space="0"/>
              <w:bottom w:val="single" w:color="000000" w:sz="6" w:space="0"/>
              <w:right w:val="single" w:color="000000" w:sz="6" w:space="0"/>
            </w:tcBorders>
            <w:vAlign w:val="center"/>
          </w:tcPr>
          <w:p w14:paraId="79A2E316">
            <w:pPr>
              <w:widowControl/>
              <w:wordWrap w:val="0"/>
              <w:jc w:val="center"/>
              <w:rPr>
                <w:rFonts w:ascii="宋体" w:hAnsi="宋体" w:cs="宋体"/>
                <w:kern w:val="0"/>
                <w:sz w:val="24"/>
                <w:highlight w:val="none"/>
              </w:rPr>
            </w:pPr>
            <w:r>
              <w:rPr>
                <w:rFonts w:hint="eastAsia" w:ascii="宋体" w:hAnsi="宋体" w:cs="宋体"/>
                <w:kern w:val="0"/>
                <w:sz w:val="24"/>
                <w:highlight w:val="none"/>
              </w:rPr>
              <w:t>是否退还投标文件</w:t>
            </w:r>
          </w:p>
        </w:tc>
        <w:tc>
          <w:tcPr>
            <w:tcW w:w="6340" w:type="dxa"/>
            <w:tcBorders>
              <w:top w:val="single" w:color="000000" w:sz="6" w:space="0"/>
              <w:left w:val="single" w:color="000000" w:sz="6" w:space="0"/>
              <w:bottom w:val="single" w:color="000000" w:sz="6" w:space="0"/>
              <w:right w:val="single" w:color="000000" w:sz="6" w:space="0"/>
            </w:tcBorders>
            <w:vAlign w:val="center"/>
          </w:tcPr>
          <w:p w14:paraId="78EEBC73">
            <w:pPr>
              <w:widowControl/>
              <w:wordWrap w:val="0"/>
              <w:jc w:val="left"/>
              <w:rPr>
                <w:rFonts w:ascii="宋体" w:hAnsi="宋体" w:cs="宋体"/>
                <w:kern w:val="0"/>
                <w:sz w:val="24"/>
                <w:highlight w:val="none"/>
              </w:rPr>
            </w:pPr>
            <w:r>
              <w:rPr>
                <w:rFonts w:hint="eastAsia" w:ascii="宋体" w:hAnsi="宋体" w:cs="宋体"/>
                <w:kern w:val="0"/>
                <w:sz w:val="24"/>
                <w:highlight w:val="none"/>
              </w:rPr>
              <w:t>否</w:t>
            </w:r>
          </w:p>
        </w:tc>
      </w:tr>
      <w:tr w14:paraId="0BFB6E2E">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6F75EEA">
            <w:pPr>
              <w:widowControl/>
              <w:wordWrap w:val="0"/>
              <w:ind w:firstLine="240" w:firstLineChars="100"/>
              <w:jc w:val="left"/>
              <w:rPr>
                <w:rFonts w:ascii="宋体" w:hAnsi="宋体" w:cs="宋体"/>
                <w:kern w:val="0"/>
                <w:sz w:val="24"/>
                <w:highlight w:val="none"/>
              </w:rPr>
            </w:pPr>
            <w:r>
              <w:rPr>
                <w:rFonts w:hint="eastAsia" w:ascii="宋体" w:hAnsi="宋体" w:cs="宋体"/>
                <w:kern w:val="0"/>
                <w:sz w:val="24"/>
                <w:highlight w:val="none"/>
              </w:rPr>
              <w:t>4.2.3</w:t>
            </w:r>
          </w:p>
        </w:tc>
        <w:tc>
          <w:tcPr>
            <w:tcW w:w="2119" w:type="dxa"/>
            <w:tcBorders>
              <w:top w:val="single" w:color="000000" w:sz="6" w:space="0"/>
              <w:left w:val="single" w:color="000000" w:sz="6" w:space="0"/>
              <w:bottom w:val="single" w:color="000000" w:sz="6" w:space="0"/>
              <w:right w:val="single" w:color="000000" w:sz="6" w:space="0"/>
            </w:tcBorders>
            <w:vAlign w:val="center"/>
          </w:tcPr>
          <w:p w14:paraId="3B01332A">
            <w:pPr>
              <w:widowControl/>
              <w:wordWrap w:val="0"/>
              <w:jc w:val="left"/>
              <w:rPr>
                <w:rFonts w:ascii="宋体" w:hAnsi="宋体" w:cs="宋体"/>
                <w:kern w:val="0"/>
                <w:sz w:val="24"/>
                <w:highlight w:val="none"/>
              </w:rPr>
            </w:pPr>
            <w:r>
              <w:rPr>
                <w:rFonts w:hint="eastAsia" w:ascii="宋体" w:hAnsi="宋体" w:cs="宋体"/>
                <w:kern w:val="0"/>
                <w:sz w:val="24"/>
                <w:highlight w:val="none"/>
              </w:rPr>
              <w:t>上传电子投标文件</w:t>
            </w:r>
          </w:p>
        </w:tc>
        <w:tc>
          <w:tcPr>
            <w:tcW w:w="6340" w:type="dxa"/>
            <w:tcBorders>
              <w:top w:val="single" w:color="000000" w:sz="6" w:space="0"/>
              <w:left w:val="single" w:color="000000" w:sz="6" w:space="0"/>
              <w:bottom w:val="single" w:color="000000" w:sz="6" w:space="0"/>
              <w:right w:val="single" w:color="000000" w:sz="6" w:space="0"/>
            </w:tcBorders>
            <w:vAlign w:val="center"/>
          </w:tcPr>
          <w:p w14:paraId="3814AB46">
            <w:pPr>
              <w:widowControl/>
              <w:wordWrap w:val="0"/>
              <w:jc w:val="left"/>
              <w:rPr>
                <w:rFonts w:ascii="宋体" w:hAnsi="宋体" w:cs="宋体"/>
                <w:kern w:val="0"/>
                <w:sz w:val="24"/>
                <w:highlight w:val="none"/>
              </w:rPr>
            </w:pPr>
            <w:r>
              <w:rPr>
                <w:rFonts w:hint="eastAsia" w:ascii="宋体" w:hAnsi="宋体" w:cs="宋体"/>
                <w:sz w:val="24"/>
                <w:highlight w:val="none"/>
              </w:rPr>
              <w:t>供应商应按照本项目招标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tc>
      </w:tr>
      <w:tr w14:paraId="7DA50FA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47BE94B5">
            <w:pPr>
              <w:widowControl/>
              <w:wordWrap w:val="0"/>
              <w:jc w:val="center"/>
              <w:rPr>
                <w:rFonts w:ascii="宋体" w:hAnsi="宋体" w:cs="宋体"/>
                <w:kern w:val="0"/>
                <w:sz w:val="24"/>
                <w:highlight w:val="none"/>
              </w:rPr>
            </w:pPr>
            <w:r>
              <w:rPr>
                <w:rFonts w:hint="eastAsia" w:ascii="宋体" w:hAnsi="宋体" w:cs="宋体"/>
                <w:kern w:val="0"/>
                <w:sz w:val="24"/>
                <w:highlight w:val="none"/>
              </w:rPr>
              <w:t>5.1</w:t>
            </w:r>
          </w:p>
        </w:tc>
        <w:tc>
          <w:tcPr>
            <w:tcW w:w="2119" w:type="dxa"/>
            <w:tcBorders>
              <w:top w:val="single" w:color="000000" w:sz="6" w:space="0"/>
              <w:left w:val="single" w:color="000000" w:sz="6" w:space="0"/>
              <w:bottom w:val="single" w:color="000000" w:sz="6" w:space="0"/>
              <w:right w:val="single" w:color="000000" w:sz="6" w:space="0"/>
            </w:tcBorders>
            <w:vAlign w:val="center"/>
          </w:tcPr>
          <w:p w14:paraId="755BADDB">
            <w:pPr>
              <w:widowControl/>
              <w:wordWrap w:val="0"/>
              <w:jc w:val="center"/>
              <w:rPr>
                <w:rFonts w:ascii="宋体" w:hAnsi="宋体" w:cs="宋体"/>
                <w:kern w:val="0"/>
                <w:sz w:val="24"/>
                <w:highlight w:val="none"/>
              </w:rPr>
            </w:pPr>
            <w:r>
              <w:rPr>
                <w:rFonts w:hint="eastAsia" w:ascii="宋体" w:hAnsi="宋体" w:cs="宋体"/>
                <w:kern w:val="0"/>
                <w:sz w:val="24"/>
                <w:highlight w:val="none"/>
              </w:rPr>
              <w:t>开标时间和地点</w:t>
            </w:r>
          </w:p>
        </w:tc>
        <w:tc>
          <w:tcPr>
            <w:tcW w:w="6340" w:type="dxa"/>
            <w:tcBorders>
              <w:top w:val="single" w:color="000000" w:sz="6" w:space="0"/>
              <w:left w:val="single" w:color="000000" w:sz="6" w:space="0"/>
              <w:bottom w:val="single" w:color="000000" w:sz="6" w:space="0"/>
              <w:right w:val="single" w:color="000000" w:sz="6" w:space="0"/>
            </w:tcBorders>
            <w:vAlign w:val="center"/>
          </w:tcPr>
          <w:p w14:paraId="59299D0C">
            <w:pPr>
              <w:jc w:val="left"/>
              <w:rPr>
                <w:rFonts w:ascii="宋体" w:hAnsi="宋体" w:cs="宋体"/>
                <w:bCs/>
                <w:sz w:val="24"/>
                <w:highlight w:val="none"/>
              </w:rPr>
            </w:pPr>
            <w:r>
              <w:rPr>
                <w:rFonts w:hint="eastAsia" w:ascii="宋体" w:hAnsi="宋体" w:cs="宋体"/>
                <w:bCs/>
                <w:sz w:val="24"/>
                <w:highlight w:val="none"/>
              </w:rPr>
              <w:t>开标时间：</w:t>
            </w:r>
            <w:r>
              <w:rPr>
                <w:rFonts w:ascii="宋体" w:hAnsi="宋体" w:cs="宋体"/>
                <w:sz w:val="24"/>
                <w:highlight w:val="none"/>
              </w:rPr>
              <w:t>202</w:t>
            </w:r>
            <w:r>
              <w:rPr>
                <w:rFonts w:hint="eastAsia" w:ascii="宋体" w:hAnsi="宋体" w:cs="宋体"/>
                <w:sz w:val="24"/>
                <w:highlight w:val="none"/>
              </w:rPr>
              <w:t>6</w:t>
            </w:r>
            <w:r>
              <w:rPr>
                <w:rFonts w:ascii="宋体" w:hAnsi="宋体" w:cs="宋体"/>
                <w:sz w:val="24"/>
                <w:highlight w:val="none"/>
              </w:rPr>
              <w:t>年</w:t>
            </w:r>
            <w:r>
              <w:rPr>
                <w:rFonts w:hint="eastAsia" w:ascii="宋体" w:hAnsi="宋体" w:cs="宋体"/>
                <w:sz w:val="24"/>
                <w:highlight w:val="none"/>
                <w:lang w:val="en-US" w:eastAsia="zh-CN"/>
              </w:rPr>
              <w:t>5</w:t>
            </w:r>
            <w:r>
              <w:rPr>
                <w:rFonts w:ascii="宋体" w:hAnsi="宋体" w:cs="宋体"/>
                <w:sz w:val="24"/>
                <w:highlight w:val="none"/>
              </w:rPr>
              <w:t>月</w:t>
            </w:r>
            <w:r>
              <w:rPr>
                <w:rFonts w:hint="eastAsia" w:ascii="宋体" w:hAnsi="宋体" w:cs="宋体"/>
                <w:sz w:val="24"/>
                <w:highlight w:val="none"/>
                <w:lang w:val="en-US" w:eastAsia="zh-CN"/>
              </w:rPr>
              <w:t>29</w:t>
            </w:r>
            <w:r>
              <w:rPr>
                <w:rFonts w:ascii="宋体" w:hAnsi="宋体" w:cs="宋体"/>
                <w:sz w:val="24"/>
                <w:highlight w:val="none"/>
              </w:rPr>
              <w:t>日</w:t>
            </w:r>
            <w:r>
              <w:rPr>
                <w:rFonts w:hint="eastAsia" w:ascii="宋体" w:hAnsi="宋体" w:cs="宋体"/>
                <w:sz w:val="24"/>
                <w:highlight w:val="none"/>
                <w:lang w:val="en-US" w:eastAsia="zh-CN"/>
              </w:rPr>
              <w:t>9</w:t>
            </w:r>
            <w:r>
              <w:rPr>
                <w:rFonts w:ascii="宋体" w:hAnsi="宋体" w:cs="宋体"/>
                <w:sz w:val="24"/>
                <w:highlight w:val="none"/>
              </w:rPr>
              <w:t>时</w:t>
            </w:r>
            <w:r>
              <w:rPr>
                <w:rFonts w:hint="eastAsia" w:ascii="宋体" w:hAnsi="宋体" w:cs="宋体"/>
                <w:sz w:val="24"/>
                <w:highlight w:val="none"/>
              </w:rPr>
              <w:t>00</w:t>
            </w:r>
            <w:r>
              <w:rPr>
                <w:rFonts w:ascii="宋体" w:hAnsi="宋体" w:cs="宋体"/>
                <w:sz w:val="24"/>
                <w:highlight w:val="none"/>
              </w:rPr>
              <w:t>分（北京时间，下同）</w:t>
            </w:r>
          </w:p>
          <w:p w14:paraId="2C7AC42E">
            <w:pPr>
              <w:jc w:val="left"/>
              <w:rPr>
                <w:rFonts w:ascii="宋体" w:hAnsi="宋体" w:cs="宋体"/>
                <w:bCs/>
                <w:sz w:val="24"/>
                <w:highlight w:val="none"/>
              </w:rPr>
            </w:pPr>
            <w:r>
              <w:rPr>
                <w:rFonts w:hint="eastAsia" w:ascii="宋体" w:hAnsi="宋体" w:cs="宋体"/>
                <w:bCs/>
                <w:sz w:val="24"/>
                <w:highlight w:val="none"/>
              </w:rPr>
              <w:t>开标地点：</w:t>
            </w:r>
            <w:r>
              <w:rPr>
                <w:rFonts w:ascii="宋体" w:hAnsi="宋体" w:cs="宋体"/>
                <w:sz w:val="24"/>
                <w:highlight w:val="none"/>
              </w:rPr>
              <w:t>政采云平台（http：//www.zcygov.cn）。</w:t>
            </w:r>
            <w:r>
              <w:rPr>
                <w:rFonts w:hint="eastAsia" w:ascii="宋体" w:hAnsi="宋体" w:cs="宋体"/>
                <w:bCs/>
                <w:sz w:val="24"/>
                <w:highlight w:val="none"/>
              </w:rPr>
              <w:t>本项目采用网上智能开标系统网上远程解密，供应商无须到现场开标现场解密。</w:t>
            </w:r>
          </w:p>
          <w:p w14:paraId="7CC4E4FC">
            <w:pPr>
              <w:jc w:val="left"/>
              <w:rPr>
                <w:rFonts w:ascii="宋体" w:hAnsi="宋体" w:cs="宋体"/>
                <w:bCs/>
                <w:sz w:val="24"/>
                <w:highlight w:val="none"/>
              </w:rPr>
            </w:pPr>
            <w:r>
              <w:rPr>
                <w:rFonts w:hint="eastAsia" w:ascii="宋体" w:hAnsi="宋体" w:cs="宋体"/>
                <w:bCs/>
                <w:sz w:val="24"/>
                <w:highlight w:val="none"/>
              </w:rPr>
              <w:t>（1）采购代理机构依托电子交易平台发起开始解密指令，供应商须使用加密时所用的CA锁按平台提示和投标文件的规定登录到“政采云”平台电子开标大厅签到，并在发起解密指令之时起60分钟内完成对电子投标文件在线解密。</w:t>
            </w:r>
          </w:p>
          <w:p w14:paraId="2891944E">
            <w:pPr>
              <w:jc w:val="left"/>
              <w:rPr>
                <w:rFonts w:ascii="宋体" w:hAnsi="宋体" w:cs="宋体"/>
                <w:bCs/>
                <w:sz w:val="24"/>
                <w:highlight w:val="none"/>
              </w:rPr>
            </w:pPr>
            <w:r>
              <w:rPr>
                <w:rFonts w:hint="eastAsia" w:ascii="宋体" w:hAnsi="宋体" w:cs="宋体"/>
                <w:bCs/>
                <w:sz w:val="24"/>
                <w:highlight w:val="none"/>
              </w:rPr>
              <w:t>（2）发起解密指令之时起30分钟内供应商还未进行解密的，代理机构可通知供应商，供应商未预留联系方式或预留联系方式无效，导致代理机构无法联系到供应商进行解密的，视为撤回投标文件。</w:t>
            </w:r>
          </w:p>
          <w:p w14:paraId="73F33871">
            <w:pPr>
              <w:jc w:val="left"/>
              <w:rPr>
                <w:rFonts w:ascii="宋体" w:hAnsi="宋体" w:cs="宋体"/>
                <w:bCs/>
                <w:sz w:val="24"/>
                <w:highlight w:val="none"/>
              </w:rPr>
            </w:pPr>
            <w:r>
              <w:rPr>
                <w:rFonts w:hint="eastAsia" w:ascii="宋体" w:hAnsi="宋体" w:cs="宋体"/>
                <w:bCs/>
                <w:sz w:val="24"/>
                <w:highlight w:val="none"/>
              </w:rPr>
              <w:t>（3）供应商若对本项目在线开标过程有任何异议，应在开标结束指令下达前提出。否则，视为供应商对本项目开标过程无任何异议。在规定解密截止时间后已解密的供应商不足三家的，按规定重新组织采购。供应商未参加本项目远程在线开标的，视同认可开标结果。</w:t>
            </w:r>
          </w:p>
          <w:p w14:paraId="54C94B86">
            <w:pPr>
              <w:wordWrap w:val="0"/>
              <w:autoSpaceDN w:val="0"/>
              <w:jc w:val="left"/>
              <w:rPr>
                <w:rFonts w:ascii="宋体" w:hAnsi="宋体" w:cs="宋体"/>
                <w:bCs/>
                <w:sz w:val="24"/>
                <w:highlight w:val="none"/>
              </w:rPr>
            </w:pPr>
            <w:r>
              <w:rPr>
                <w:rFonts w:hint="eastAsia" w:ascii="宋体" w:hAnsi="宋体" w:cs="宋体"/>
                <w:bCs/>
                <w:sz w:val="24"/>
                <w:highlight w:val="none"/>
              </w:rPr>
              <w:t>（4）因开标系统、开标现场网络、设备及其他特殊原因，导致不能正常解密投标文件的，经核实和上报相关部门同意后，可再次下达网上解密指令来延长解密时间。</w:t>
            </w:r>
          </w:p>
          <w:p w14:paraId="496332EA">
            <w:pPr>
              <w:pStyle w:val="2"/>
              <w:ind w:firstLine="0" w:firstLineChars="0"/>
              <w:rPr>
                <w:highlight w:val="none"/>
              </w:rPr>
            </w:pPr>
            <w:r>
              <w:rPr>
                <w:rFonts w:hint="eastAsia" w:ascii="宋体" w:hAnsi="宋体" w:cs="宋体"/>
                <w:bCs/>
                <w:highlight w:val="none"/>
              </w:rPr>
              <w:t>（5）本项目包含</w:t>
            </w:r>
            <w:r>
              <w:rPr>
                <w:rFonts w:hint="eastAsia" w:ascii="宋体" w:hAnsi="宋体" w:cs="宋体"/>
                <w:bCs/>
                <w:highlight w:val="none"/>
                <w:lang w:val="en-US" w:eastAsia="zh-CN"/>
              </w:rPr>
              <w:t>六</w:t>
            </w:r>
            <w:r>
              <w:rPr>
                <w:rFonts w:hint="eastAsia" w:ascii="宋体" w:hAnsi="宋体" w:cs="宋体"/>
                <w:bCs/>
                <w:highlight w:val="none"/>
              </w:rPr>
              <w:t>个包，开标顺序按包号顺序，1包→2包→</w:t>
            </w:r>
            <w:r>
              <w:rPr>
                <w:rFonts w:hint="eastAsia" w:ascii="宋体" w:hAnsi="宋体" w:cs="宋体"/>
                <w:bCs/>
                <w:highlight w:val="none"/>
                <w:lang w:val="en-US" w:eastAsia="zh-CN"/>
              </w:rPr>
              <w:t>3</w:t>
            </w:r>
            <w:r>
              <w:rPr>
                <w:rFonts w:hint="eastAsia" w:ascii="宋体" w:hAnsi="宋体" w:cs="宋体"/>
                <w:bCs/>
                <w:highlight w:val="none"/>
              </w:rPr>
              <w:t>包→</w:t>
            </w:r>
            <w:r>
              <w:rPr>
                <w:rFonts w:hint="eastAsia" w:ascii="宋体" w:hAnsi="宋体" w:cs="宋体"/>
                <w:bCs/>
                <w:highlight w:val="none"/>
                <w:lang w:val="en-US" w:eastAsia="zh-CN"/>
              </w:rPr>
              <w:t>4</w:t>
            </w:r>
            <w:r>
              <w:rPr>
                <w:rFonts w:hint="eastAsia" w:ascii="宋体" w:hAnsi="宋体" w:cs="宋体"/>
                <w:bCs/>
                <w:highlight w:val="none"/>
              </w:rPr>
              <w:t>包→</w:t>
            </w:r>
            <w:r>
              <w:rPr>
                <w:rFonts w:hint="eastAsia" w:ascii="宋体" w:hAnsi="宋体" w:cs="宋体"/>
                <w:bCs/>
                <w:highlight w:val="none"/>
                <w:lang w:val="en-US" w:eastAsia="zh-CN"/>
              </w:rPr>
              <w:t>5</w:t>
            </w:r>
            <w:r>
              <w:rPr>
                <w:rFonts w:hint="eastAsia" w:ascii="宋体" w:hAnsi="宋体" w:cs="宋体"/>
                <w:bCs/>
                <w:highlight w:val="none"/>
              </w:rPr>
              <w:t>包→</w:t>
            </w:r>
            <w:r>
              <w:rPr>
                <w:rFonts w:hint="eastAsia" w:ascii="宋体" w:hAnsi="宋体" w:cs="宋体"/>
                <w:bCs/>
                <w:highlight w:val="none"/>
                <w:lang w:val="en-US" w:eastAsia="zh-CN"/>
              </w:rPr>
              <w:t>6</w:t>
            </w:r>
            <w:r>
              <w:rPr>
                <w:rFonts w:hint="eastAsia" w:ascii="宋体" w:hAnsi="宋体" w:cs="宋体"/>
                <w:bCs/>
                <w:highlight w:val="none"/>
              </w:rPr>
              <w:t>包开标。</w:t>
            </w:r>
          </w:p>
        </w:tc>
      </w:tr>
      <w:tr w14:paraId="240A004A">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4057436D">
            <w:pPr>
              <w:widowControl/>
              <w:wordWrap w:val="0"/>
              <w:jc w:val="center"/>
              <w:rPr>
                <w:rFonts w:ascii="宋体" w:hAnsi="宋体" w:cs="宋体"/>
                <w:kern w:val="0"/>
                <w:sz w:val="24"/>
                <w:highlight w:val="none"/>
              </w:rPr>
            </w:pPr>
            <w:r>
              <w:rPr>
                <w:rFonts w:hint="eastAsia" w:ascii="宋体" w:hAnsi="宋体" w:cs="宋体"/>
                <w:kern w:val="0"/>
                <w:sz w:val="24"/>
                <w:highlight w:val="none"/>
              </w:rPr>
              <w:t>5.2</w:t>
            </w:r>
          </w:p>
        </w:tc>
        <w:tc>
          <w:tcPr>
            <w:tcW w:w="2119" w:type="dxa"/>
            <w:tcBorders>
              <w:top w:val="single" w:color="000000" w:sz="6" w:space="0"/>
              <w:left w:val="single" w:color="000000" w:sz="6" w:space="0"/>
              <w:bottom w:val="single" w:color="000000" w:sz="6" w:space="0"/>
              <w:right w:val="single" w:color="000000" w:sz="6" w:space="0"/>
            </w:tcBorders>
            <w:vAlign w:val="center"/>
          </w:tcPr>
          <w:p w14:paraId="6EC295DF">
            <w:pPr>
              <w:widowControl/>
              <w:wordWrap w:val="0"/>
              <w:jc w:val="center"/>
              <w:rPr>
                <w:rFonts w:ascii="宋体" w:hAnsi="宋体" w:cs="宋体"/>
                <w:kern w:val="0"/>
                <w:sz w:val="24"/>
                <w:highlight w:val="none"/>
              </w:rPr>
            </w:pPr>
            <w:r>
              <w:rPr>
                <w:rFonts w:hint="eastAsia" w:ascii="宋体" w:hAnsi="宋体" w:cs="宋体"/>
                <w:kern w:val="0"/>
                <w:sz w:val="24"/>
                <w:highlight w:val="none"/>
              </w:rPr>
              <w:t>开标程序</w:t>
            </w:r>
          </w:p>
        </w:tc>
        <w:tc>
          <w:tcPr>
            <w:tcW w:w="6340" w:type="dxa"/>
            <w:tcBorders>
              <w:top w:val="single" w:color="000000" w:sz="6" w:space="0"/>
              <w:left w:val="single" w:color="000000" w:sz="6" w:space="0"/>
              <w:bottom w:val="single" w:color="000000" w:sz="6" w:space="0"/>
              <w:right w:val="single" w:color="000000" w:sz="6" w:space="0"/>
            </w:tcBorders>
            <w:vAlign w:val="center"/>
          </w:tcPr>
          <w:p w14:paraId="39FC6DB8">
            <w:pPr>
              <w:widowControl/>
              <w:wordWrap w:val="0"/>
              <w:jc w:val="left"/>
              <w:rPr>
                <w:rFonts w:ascii="宋体" w:hAnsi="宋体" w:cs="宋体"/>
                <w:kern w:val="0"/>
                <w:sz w:val="24"/>
                <w:highlight w:val="none"/>
              </w:rPr>
            </w:pPr>
            <w:r>
              <w:rPr>
                <w:rFonts w:hint="eastAsia" w:ascii="宋体" w:hAnsi="宋体" w:cs="宋体"/>
                <w:kern w:val="0"/>
                <w:sz w:val="24"/>
                <w:highlight w:val="none"/>
              </w:rPr>
              <w:t>详见第二章 投标须知正文5．开标。</w:t>
            </w:r>
          </w:p>
        </w:tc>
      </w:tr>
      <w:tr w14:paraId="05FEEAC2">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EB9E58F">
            <w:pPr>
              <w:widowControl/>
              <w:wordWrap w:val="0"/>
              <w:jc w:val="center"/>
              <w:rPr>
                <w:rFonts w:ascii="宋体" w:hAnsi="宋体" w:cs="宋体"/>
                <w:kern w:val="0"/>
                <w:sz w:val="24"/>
                <w:highlight w:val="none"/>
              </w:rPr>
            </w:pPr>
            <w:r>
              <w:rPr>
                <w:rFonts w:hint="eastAsia" w:ascii="宋体" w:hAnsi="宋体" w:cs="宋体"/>
                <w:kern w:val="0"/>
                <w:sz w:val="24"/>
                <w:highlight w:val="none"/>
              </w:rPr>
              <w:t>6.1.1</w:t>
            </w:r>
          </w:p>
        </w:tc>
        <w:tc>
          <w:tcPr>
            <w:tcW w:w="2119" w:type="dxa"/>
            <w:tcBorders>
              <w:top w:val="single" w:color="000000" w:sz="6" w:space="0"/>
              <w:left w:val="single" w:color="000000" w:sz="6" w:space="0"/>
              <w:bottom w:val="single" w:color="000000" w:sz="6" w:space="0"/>
              <w:right w:val="single" w:color="000000" w:sz="6" w:space="0"/>
            </w:tcBorders>
            <w:vAlign w:val="center"/>
          </w:tcPr>
          <w:p w14:paraId="2CA86E26">
            <w:pPr>
              <w:widowControl/>
              <w:wordWrap w:val="0"/>
              <w:jc w:val="center"/>
              <w:rPr>
                <w:rFonts w:ascii="宋体" w:hAnsi="宋体" w:cs="宋体"/>
                <w:kern w:val="0"/>
                <w:sz w:val="24"/>
                <w:highlight w:val="none"/>
              </w:rPr>
            </w:pPr>
            <w:r>
              <w:rPr>
                <w:rFonts w:hint="eastAsia" w:ascii="宋体" w:hAnsi="宋体" w:cs="宋体"/>
                <w:kern w:val="0"/>
                <w:sz w:val="24"/>
                <w:highlight w:val="none"/>
              </w:rPr>
              <w:t>评标委员会的组建</w:t>
            </w:r>
          </w:p>
        </w:tc>
        <w:tc>
          <w:tcPr>
            <w:tcW w:w="6340" w:type="dxa"/>
            <w:tcBorders>
              <w:top w:val="single" w:color="000000" w:sz="6" w:space="0"/>
              <w:left w:val="single" w:color="000000" w:sz="6" w:space="0"/>
              <w:bottom w:val="single" w:color="000000" w:sz="6" w:space="0"/>
              <w:right w:val="single" w:color="000000" w:sz="6" w:space="0"/>
            </w:tcBorders>
            <w:vAlign w:val="center"/>
          </w:tcPr>
          <w:p w14:paraId="5496816B">
            <w:pPr>
              <w:widowControl/>
              <w:wordWrap w:val="0"/>
              <w:jc w:val="left"/>
              <w:rPr>
                <w:rFonts w:ascii="宋体" w:hAnsi="宋体" w:cs="宋体"/>
                <w:kern w:val="0"/>
                <w:sz w:val="24"/>
                <w:highlight w:val="none"/>
              </w:rPr>
            </w:pPr>
            <w:r>
              <w:rPr>
                <w:rFonts w:hint="eastAsia" w:ascii="宋体" w:hAnsi="宋体" w:cs="宋体"/>
                <w:kern w:val="0"/>
                <w:sz w:val="24"/>
                <w:highlight w:val="none"/>
              </w:rPr>
              <w:t>评标委员会人数：五人或以上单数。</w:t>
            </w:r>
          </w:p>
          <w:p w14:paraId="2CEFC901">
            <w:pPr>
              <w:widowControl/>
              <w:wordWrap w:val="0"/>
              <w:jc w:val="left"/>
              <w:rPr>
                <w:rFonts w:ascii="宋体" w:hAnsi="宋体" w:cs="宋体"/>
                <w:kern w:val="0"/>
                <w:sz w:val="24"/>
                <w:highlight w:val="none"/>
              </w:rPr>
            </w:pPr>
            <w:r>
              <w:rPr>
                <w:rFonts w:hint="eastAsia" w:ascii="宋体" w:hAnsi="宋体" w:cs="宋体"/>
                <w:kern w:val="0"/>
                <w:sz w:val="24"/>
                <w:highlight w:val="none"/>
              </w:rPr>
              <w:t>评标专家确定方式：采购人代表及代理机构在云南省政府采购专家库中随机抽取的专家构成，专家人数不得少于评标委员会成员的三分之二。</w:t>
            </w:r>
          </w:p>
        </w:tc>
      </w:tr>
      <w:tr w14:paraId="1A9BB42D">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F80BB38">
            <w:pPr>
              <w:widowControl/>
              <w:wordWrap w:val="0"/>
              <w:jc w:val="center"/>
              <w:rPr>
                <w:rFonts w:ascii="宋体" w:hAnsi="宋体" w:cs="宋体"/>
                <w:kern w:val="0"/>
                <w:sz w:val="24"/>
                <w:highlight w:val="none"/>
              </w:rPr>
            </w:pPr>
            <w:r>
              <w:rPr>
                <w:rFonts w:hint="eastAsia" w:ascii="宋体" w:hAnsi="宋体" w:cs="宋体"/>
                <w:kern w:val="0"/>
                <w:sz w:val="24"/>
                <w:highlight w:val="none"/>
              </w:rPr>
              <w:t>6.2</w:t>
            </w:r>
          </w:p>
        </w:tc>
        <w:tc>
          <w:tcPr>
            <w:tcW w:w="2119" w:type="dxa"/>
            <w:tcBorders>
              <w:top w:val="single" w:color="000000" w:sz="6" w:space="0"/>
              <w:left w:val="single" w:color="000000" w:sz="6" w:space="0"/>
              <w:bottom w:val="single" w:color="000000" w:sz="6" w:space="0"/>
              <w:right w:val="single" w:color="000000" w:sz="6" w:space="0"/>
            </w:tcBorders>
            <w:vAlign w:val="center"/>
          </w:tcPr>
          <w:p w14:paraId="289B034D">
            <w:pPr>
              <w:tabs>
                <w:tab w:val="left" w:pos="1980"/>
              </w:tabs>
              <w:jc w:val="center"/>
              <w:rPr>
                <w:rFonts w:ascii="宋体" w:hAnsi="宋体" w:cs="宋体"/>
                <w:sz w:val="24"/>
                <w:highlight w:val="none"/>
              </w:rPr>
            </w:pPr>
            <w:r>
              <w:rPr>
                <w:rFonts w:hint="eastAsia" w:ascii="宋体" w:hAnsi="宋体" w:cs="宋体"/>
                <w:sz w:val="24"/>
                <w:highlight w:val="none"/>
              </w:rPr>
              <w:t>评标办法</w:t>
            </w:r>
          </w:p>
        </w:tc>
        <w:tc>
          <w:tcPr>
            <w:tcW w:w="6340" w:type="dxa"/>
            <w:tcBorders>
              <w:top w:val="single" w:color="000000" w:sz="6" w:space="0"/>
              <w:left w:val="single" w:color="000000" w:sz="6" w:space="0"/>
              <w:bottom w:val="single" w:color="000000" w:sz="6" w:space="0"/>
              <w:right w:val="single" w:color="000000" w:sz="6" w:space="0"/>
            </w:tcBorders>
            <w:vAlign w:val="center"/>
          </w:tcPr>
          <w:p w14:paraId="5DDA5E0A">
            <w:pPr>
              <w:tabs>
                <w:tab w:val="left" w:pos="1980"/>
              </w:tabs>
              <w:rPr>
                <w:rFonts w:ascii="宋体" w:hAnsi="宋体" w:cs="宋体"/>
                <w:kern w:val="0"/>
                <w:sz w:val="24"/>
                <w:highlight w:val="none"/>
              </w:rPr>
            </w:pPr>
            <w:r>
              <w:rPr>
                <w:rFonts w:hint="eastAsia" w:ascii="宋体" w:hAnsi="宋体" w:cs="宋体"/>
                <w:kern w:val="0"/>
                <w:sz w:val="24"/>
                <w:highlight w:val="none"/>
              </w:rPr>
              <w:t>综合评分法。</w:t>
            </w:r>
          </w:p>
          <w:p w14:paraId="1D5680E6">
            <w:pPr>
              <w:tabs>
                <w:tab w:val="left" w:pos="1980"/>
              </w:tabs>
              <w:rPr>
                <w:rFonts w:ascii="宋体" w:hAnsi="宋体" w:cs="宋体"/>
                <w:kern w:val="0"/>
                <w:sz w:val="24"/>
                <w:highlight w:val="none"/>
              </w:rPr>
            </w:pPr>
            <w:r>
              <w:rPr>
                <w:rFonts w:hint="eastAsia" w:ascii="宋体" w:hAnsi="宋体" w:cs="宋体"/>
                <w:kern w:val="0"/>
                <w:sz w:val="24"/>
                <w:highlight w:val="none"/>
              </w:rPr>
              <w:t>具体评分办法详见“第六章 评标办法”。</w:t>
            </w:r>
          </w:p>
        </w:tc>
      </w:tr>
      <w:tr w14:paraId="48E1CB6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25BD3CC">
            <w:pPr>
              <w:widowControl/>
              <w:wordWrap w:val="0"/>
              <w:jc w:val="center"/>
              <w:rPr>
                <w:rFonts w:ascii="宋体" w:hAnsi="宋体" w:cs="宋体"/>
                <w:kern w:val="0"/>
                <w:sz w:val="24"/>
                <w:highlight w:val="none"/>
              </w:rPr>
            </w:pPr>
            <w:r>
              <w:rPr>
                <w:rFonts w:hint="eastAsia" w:ascii="宋体" w:hAnsi="宋体" w:cs="宋体"/>
                <w:kern w:val="0"/>
                <w:sz w:val="24"/>
                <w:highlight w:val="none"/>
              </w:rPr>
              <w:t>6.5</w:t>
            </w:r>
          </w:p>
        </w:tc>
        <w:tc>
          <w:tcPr>
            <w:tcW w:w="2119" w:type="dxa"/>
            <w:tcBorders>
              <w:top w:val="single" w:color="000000" w:sz="6" w:space="0"/>
              <w:left w:val="single" w:color="000000" w:sz="6" w:space="0"/>
              <w:bottom w:val="single" w:color="000000" w:sz="6" w:space="0"/>
              <w:right w:val="single" w:color="000000" w:sz="6" w:space="0"/>
            </w:tcBorders>
            <w:vAlign w:val="center"/>
          </w:tcPr>
          <w:p w14:paraId="77D934D0">
            <w:pPr>
              <w:jc w:val="center"/>
              <w:rPr>
                <w:rFonts w:ascii="宋体" w:hAnsi="宋体" w:cs="宋体"/>
                <w:kern w:val="0"/>
                <w:sz w:val="24"/>
                <w:highlight w:val="none"/>
              </w:rPr>
            </w:pPr>
            <w:r>
              <w:rPr>
                <w:rFonts w:hint="eastAsia" w:ascii="宋体" w:hAnsi="宋体" w:cs="宋体"/>
                <w:sz w:val="24"/>
                <w:highlight w:val="none"/>
              </w:rPr>
              <w:t>是否授权评标委员会确定中标人</w:t>
            </w:r>
          </w:p>
        </w:tc>
        <w:tc>
          <w:tcPr>
            <w:tcW w:w="6340" w:type="dxa"/>
            <w:tcBorders>
              <w:top w:val="single" w:color="000000" w:sz="6" w:space="0"/>
              <w:left w:val="single" w:color="000000" w:sz="6" w:space="0"/>
              <w:bottom w:val="single" w:color="000000" w:sz="6" w:space="0"/>
              <w:right w:val="single" w:color="000000" w:sz="6" w:space="0"/>
            </w:tcBorders>
            <w:vAlign w:val="center"/>
          </w:tcPr>
          <w:p w14:paraId="62CC0B7E">
            <w:pPr>
              <w:rPr>
                <w:rFonts w:ascii="宋体" w:hAnsi="宋体" w:cs="宋体"/>
                <w:sz w:val="24"/>
                <w:highlight w:val="none"/>
              </w:rPr>
            </w:pPr>
            <w:r>
              <w:rPr>
                <w:rFonts w:hint="eastAsia" w:ascii="宋体" w:hAnsi="宋体" w:cs="宋体"/>
                <w:sz w:val="24"/>
                <w:highlight w:val="none"/>
              </w:rPr>
              <w:t>否，推荐的中标候选人数：三名</w:t>
            </w:r>
          </w:p>
        </w:tc>
      </w:tr>
      <w:tr w14:paraId="198F4688">
        <w:tblPrEx>
          <w:tblCellMar>
            <w:top w:w="15" w:type="dxa"/>
            <w:left w:w="15" w:type="dxa"/>
            <w:bottom w:w="15" w:type="dxa"/>
            <w:right w:w="15" w:type="dxa"/>
          </w:tblCellMar>
        </w:tblPrEx>
        <w:trPr>
          <w:trHeight w:val="610"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944CDBE">
            <w:pPr>
              <w:widowControl/>
              <w:wordWrap w:val="0"/>
              <w:jc w:val="center"/>
              <w:rPr>
                <w:rFonts w:ascii="宋体" w:hAnsi="宋体" w:cs="宋体"/>
                <w:kern w:val="0"/>
                <w:sz w:val="24"/>
                <w:highlight w:val="none"/>
              </w:rPr>
            </w:pPr>
            <w:r>
              <w:rPr>
                <w:rFonts w:hint="eastAsia" w:ascii="宋体" w:hAnsi="宋体" w:cs="宋体"/>
                <w:kern w:val="0"/>
                <w:sz w:val="24"/>
                <w:highlight w:val="none"/>
              </w:rPr>
              <w:t>7.3</w:t>
            </w:r>
          </w:p>
        </w:tc>
        <w:tc>
          <w:tcPr>
            <w:tcW w:w="2119" w:type="dxa"/>
            <w:tcBorders>
              <w:top w:val="single" w:color="000000" w:sz="6" w:space="0"/>
              <w:left w:val="single" w:color="000000" w:sz="6" w:space="0"/>
              <w:bottom w:val="single" w:color="000000" w:sz="6" w:space="0"/>
              <w:right w:val="single" w:color="000000" w:sz="6" w:space="0"/>
            </w:tcBorders>
            <w:vAlign w:val="center"/>
          </w:tcPr>
          <w:p w14:paraId="7F95A2A6">
            <w:pPr>
              <w:widowControl/>
              <w:wordWrap w:val="0"/>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履约保证金</w:t>
            </w:r>
          </w:p>
        </w:tc>
        <w:tc>
          <w:tcPr>
            <w:tcW w:w="6340" w:type="dxa"/>
            <w:tcBorders>
              <w:top w:val="single" w:color="000000" w:sz="6" w:space="0"/>
              <w:left w:val="single" w:color="000000" w:sz="6" w:space="0"/>
              <w:bottom w:val="single" w:color="000000" w:sz="6" w:space="0"/>
              <w:right w:val="single" w:color="000000" w:sz="6" w:space="0"/>
            </w:tcBorders>
            <w:vAlign w:val="center"/>
          </w:tcPr>
          <w:p w14:paraId="39783692">
            <w:pPr>
              <w:widowControl/>
              <w:wordWrap w:val="0"/>
              <w:jc w:val="left"/>
              <w:rPr>
                <w:rFonts w:hint="default" w:ascii="宋体" w:hAnsi="宋体" w:eastAsia="宋体" w:cs="宋体"/>
                <w:kern w:val="0"/>
                <w:sz w:val="24"/>
                <w:highlight w:val="none"/>
                <w:lang w:val="en-US" w:eastAsia="zh-CN"/>
              </w:rPr>
            </w:pPr>
            <w:r>
              <w:rPr>
                <w:rFonts w:hint="default" w:ascii="宋体" w:hAnsi="宋体" w:eastAsia="宋体" w:cs="宋体"/>
                <w:kern w:val="0"/>
                <w:sz w:val="24"/>
                <w:highlight w:val="none"/>
                <w:lang w:val="en-US" w:eastAsia="zh-CN"/>
              </w:rPr>
              <w:t>履约保证金：合同价款的</w:t>
            </w:r>
            <w:r>
              <w:rPr>
                <w:rFonts w:hint="eastAsia" w:ascii="宋体" w:hAnsi="宋体" w:eastAsia="宋体" w:cs="宋体"/>
                <w:kern w:val="0"/>
                <w:sz w:val="24"/>
                <w:highlight w:val="none"/>
                <w:lang w:val="en-US" w:eastAsia="zh-CN"/>
              </w:rPr>
              <w:t>5</w:t>
            </w:r>
            <w:r>
              <w:rPr>
                <w:rFonts w:hint="default" w:ascii="宋体" w:hAnsi="宋体" w:eastAsia="宋体" w:cs="宋体"/>
                <w:kern w:val="0"/>
                <w:sz w:val="24"/>
                <w:highlight w:val="none"/>
                <w:lang w:val="en-US" w:eastAsia="zh-CN"/>
              </w:rPr>
              <w:t>%。</w:t>
            </w:r>
          </w:p>
          <w:p w14:paraId="59F0D606">
            <w:pPr>
              <w:widowControl/>
              <w:wordWrap w:val="0"/>
              <w:jc w:val="left"/>
              <w:rPr>
                <w:rFonts w:hint="default" w:ascii="宋体" w:hAnsi="宋体" w:eastAsia="宋体" w:cs="宋体"/>
                <w:kern w:val="0"/>
                <w:sz w:val="24"/>
                <w:highlight w:val="none"/>
                <w:lang w:val="en-US" w:eastAsia="zh-CN"/>
              </w:rPr>
            </w:pPr>
            <w:r>
              <w:rPr>
                <w:rFonts w:hint="default" w:ascii="宋体" w:hAnsi="宋体" w:eastAsia="宋体" w:cs="宋体"/>
                <w:kern w:val="0"/>
                <w:sz w:val="24"/>
                <w:highlight w:val="none"/>
                <w:lang w:val="en-US" w:eastAsia="zh-CN"/>
              </w:rPr>
              <w:t>履约担保的形式：转账、汇款、支票或采购人接受的银行保函，或采购人接受的其他非现金形式。</w:t>
            </w:r>
          </w:p>
          <w:p w14:paraId="00A0388F">
            <w:pPr>
              <w:widowControl/>
              <w:wordWrap w:val="0"/>
              <w:jc w:val="left"/>
              <w:rPr>
                <w:rFonts w:hint="default" w:ascii="宋体" w:hAnsi="宋体" w:eastAsia="宋体" w:cs="宋体"/>
                <w:kern w:val="0"/>
                <w:sz w:val="24"/>
                <w:highlight w:val="none"/>
                <w:lang w:val="en-US" w:eastAsia="zh-CN"/>
              </w:rPr>
            </w:pPr>
            <w:r>
              <w:rPr>
                <w:rFonts w:hint="default" w:ascii="宋体" w:hAnsi="宋体" w:eastAsia="宋体" w:cs="宋体"/>
                <w:kern w:val="0"/>
                <w:sz w:val="24"/>
                <w:highlight w:val="none"/>
                <w:lang w:val="en-US" w:eastAsia="zh-CN"/>
              </w:rPr>
              <w:t>履约保证金退还：</w:t>
            </w:r>
            <w:r>
              <w:rPr>
                <w:rFonts w:hint="eastAsia" w:ascii="宋体" w:hAnsi="宋体" w:eastAsia="宋体" w:cs="宋体"/>
                <w:kern w:val="0"/>
                <w:sz w:val="24"/>
                <w:highlight w:val="none"/>
                <w:lang w:val="en-US" w:eastAsia="zh-CN"/>
              </w:rPr>
              <w:t>合同期满</w:t>
            </w:r>
            <w:r>
              <w:rPr>
                <w:rFonts w:hint="default" w:ascii="宋体" w:hAnsi="宋体" w:eastAsia="宋体" w:cs="宋体"/>
                <w:kern w:val="0"/>
                <w:sz w:val="24"/>
                <w:highlight w:val="none"/>
                <w:lang w:val="en-US" w:eastAsia="zh-CN"/>
              </w:rPr>
              <w:t>采购人于30个日历天内退还。</w:t>
            </w:r>
          </w:p>
          <w:p w14:paraId="3054190A">
            <w:pPr>
              <w:widowControl/>
              <w:wordWrap w:val="0"/>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履约保证金账户信息：</w:t>
            </w:r>
          </w:p>
          <w:p w14:paraId="5B25DCD6">
            <w:pPr>
              <w:pStyle w:val="2"/>
              <w:spacing w:line="240" w:lineRule="auto"/>
              <w:ind w:left="0" w:leftChars="0" w:firstLine="0" w:firstLineChars="0"/>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账户名称：玉溪职业技术学院</w:t>
            </w:r>
          </w:p>
          <w:p w14:paraId="59987EA7">
            <w:pPr>
              <w:pStyle w:val="2"/>
              <w:spacing w:line="240" w:lineRule="auto"/>
              <w:ind w:left="0" w:leftChars="0" w:firstLine="0" w:firstLineChars="0"/>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开户行：建行玉溪建设支行</w:t>
            </w:r>
          </w:p>
          <w:p w14:paraId="04F626FB">
            <w:pPr>
              <w:pStyle w:val="2"/>
              <w:spacing w:line="240" w:lineRule="auto"/>
              <w:ind w:left="0" w:leftChars="0" w:firstLine="0" w:firstLineChars="0"/>
              <w:rPr>
                <w:rFonts w:hint="default"/>
                <w:lang w:val="en-US"/>
              </w:rPr>
            </w:pPr>
            <w:r>
              <w:rPr>
                <w:rFonts w:hint="eastAsia" w:ascii="宋体" w:hAnsi="宋体" w:cs="宋体"/>
                <w:kern w:val="0"/>
                <w:sz w:val="24"/>
                <w:highlight w:val="none"/>
                <w:lang w:val="en-US" w:eastAsia="zh-CN"/>
              </w:rPr>
              <w:t>专户账号：53050165614100000559</w:t>
            </w:r>
          </w:p>
        </w:tc>
      </w:tr>
      <w:tr w14:paraId="1E423E10">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8918F66">
            <w:pPr>
              <w:widowControl/>
              <w:wordWrap w:val="0"/>
              <w:jc w:val="center"/>
              <w:rPr>
                <w:rFonts w:ascii="宋体" w:hAnsi="宋体" w:cs="宋体"/>
                <w:kern w:val="0"/>
                <w:sz w:val="24"/>
                <w:highlight w:val="none"/>
              </w:rPr>
            </w:pPr>
            <w:r>
              <w:rPr>
                <w:rFonts w:hint="eastAsia" w:ascii="宋体" w:hAnsi="宋体" w:cs="宋体"/>
                <w:kern w:val="0"/>
                <w:sz w:val="24"/>
                <w:highlight w:val="none"/>
              </w:rPr>
              <w:t>10</w:t>
            </w:r>
          </w:p>
        </w:tc>
        <w:tc>
          <w:tcPr>
            <w:tcW w:w="8459" w:type="dxa"/>
            <w:gridSpan w:val="2"/>
            <w:tcBorders>
              <w:top w:val="single" w:color="000000" w:sz="6" w:space="0"/>
              <w:left w:val="single" w:color="000000" w:sz="6" w:space="0"/>
              <w:bottom w:val="single" w:color="000000" w:sz="6" w:space="0"/>
              <w:right w:val="single" w:color="000000" w:sz="6" w:space="0"/>
            </w:tcBorders>
            <w:vAlign w:val="center"/>
          </w:tcPr>
          <w:p w14:paraId="7336F42C">
            <w:pPr>
              <w:widowControl/>
              <w:wordWrap w:val="0"/>
              <w:jc w:val="left"/>
              <w:rPr>
                <w:rFonts w:ascii="宋体" w:hAnsi="宋体" w:cs="宋体"/>
                <w:kern w:val="0"/>
                <w:sz w:val="24"/>
                <w:highlight w:val="none"/>
              </w:rPr>
            </w:pPr>
            <w:r>
              <w:rPr>
                <w:rFonts w:hint="eastAsia" w:ascii="宋体" w:hAnsi="宋体" w:cs="宋体"/>
                <w:kern w:val="0"/>
                <w:sz w:val="24"/>
                <w:highlight w:val="none"/>
              </w:rPr>
              <w:t>需要补充的其他内容</w:t>
            </w:r>
          </w:p>
        </w:tc>
      </w:tr>
      <w:tr w14:paraId="71461CC2">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48DB94E">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1</w:t>
            </w:r>
          </w:p>
        </w:tc>
        <w:tc>
          <w:tcPr>
            <w:tcW w:w="2119" w:type="dxa"/>
            <w:tcBorders>
              <w:top w:val="single" w:color="000000" w:sz="6" w:space="0"/>
              <w:left w:val="single" w:color="000000" w:sz="6" w:space="0"/>
              <w:bottom w:val="single" w:color="000000" w:sz="6" w:space="0"/>
              <w:right w:val="single" w:color="000000" w:sz="6" w:space="0"/>
            </w:tcBorders>
            <w:vAlign w:val="center"/>
          </w:tcPr>
          <w:p w14:paraId="3C0AB117">
            <w:pPr>
              <w:widowControl/>
              <w:wordWrap w:val="0"/>
              <w:jc w:val="center"/>
              <w:rPr>
                <w:rFonts w:ascii="宋体" w:hAnsi="宋体" w:cs="宋体"/>
                <w:kern w:val="0"/>
                <w:sz w:val="24"/>
                <w:highlight w:val="none"/>
              </w:rPr>
            </w:pPr>
            <w:r>
              <w:rPr>
                <w:rFonts w:hint="eastAsia" w:ascii="宋体" w:hAnsi="宋体" w:cs="宋体"/>
                <w:kern w:val="0"/>
                <w:sz w:val="24"/>
                <w:highlight w:val="none"/>
              </w:rPr>
              <w:t>评标结果公示</w:t>
            </w:r>
          </w:p>
        </w:tc>
        <w:tc>
          <w:tcPr>
            <w:tcW w:w="6340" w:type="dxa"/>
            <w:tcBorders>
              <w:top w:val="single" w:color="000000" w:sz="6" w:space="0"/>
              <w:left w:val="single" w:color="000000" w:sz="6" w:space="0"/>
              <w:bottom w:val="single" w:color="000000" w:sz="6" w:space="0"/>
              <w:right w:val="single" w:color="000000" w:sz="6" w:space="0"/>
            </w:tcBorders>
            <w:vAlign w:val="center"/>
          </w:tcPr>
          <w:p w14:paraId="01388B56">
            <w:pPr>
              <w:widowControl/>
              <w:wordWrap w:val="0"/>
              <w:jc w:val="left"/>
              <w:rPr>
                <w:rFonts w:ascii="宋体" w:hAnsi="宋体" w:cs="宋体"/>
                <w:kern w:val="0"/>
                <w:sz w:val="24"/>
                <w:highlight w:val="none"/>
              </w:rPr>
            </w:pPr>
            <w:r>
              <w:rPr>
                <w:rFonts w:hint="eastAsia" w:ascii="宋体" w:hAnsi="宋体" w:cs="宋体"/>
                <w:kern w:val="0"/>
                <w:sz w:val="24"/>
                <w:highlight w:val="none"/>
              </w:rPr>
              <w:t>在中标通知书发出前，采购人将中标结果在本招标项目招标公告发布的同一媒介予以公示。</w:t>
            </w:r>
          </w:p>
        </w:tc>
      </w:tr>
      <w:tr w14:paraId="65B3D9C3">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9CA395D">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2</w:t>
            </w:r>
          </w:p>
        </w:tc>
        <w:tc>
          <w:tcPr>
            <w:tcW w:w="2119" w:type="dxa"/>
            <w:tcBorders>
              <w:top w:val="single" w:color="000000" w:sz="6" w:space="0"/>
              <w:left w:val="single" w:color="000000" w:sz="6" w:space="0"/>
              <w:bottom w:val="single" w:color="000000" w:sz="6" w:space="0"/>
              <w:right w:val="single" w:color="000000" w:sz="6" w:space="0"/>
            </w:tcBorders>
            <w:vAlign w:val="center"/>
          </w:tcPr>
          <w:p w14:paraId="4E075F9A">
            <w:pPr>
              <w:widowControl/>
              <w:wordWrap w:val="0"/>
              <w:jc w:val="center"/>
              <w:rPr>
                <w:rFonts w:ascii="宋体" w:hAnsi="宋体" w:cs="宋体"/>
                <w:kern w:val="0"/>
                <w:sz w:val="24"/>
                <w:highlight w:val="none"/>
              </w:rPr>
            </w:pPr>
            <w:r>
              <w:rPr>
                <w:rFonts w:hint="eastAsia" w:ascii="宋体" w:hAnsi="宋体" w:cs="宋体"/>
                <w:kern w:val="0"/>
                <w:sz w:val="24"/>
                <w:highlight w:val="none"/>
              </w:rPr>
              <w:t>知识产权</w:t>
            </w:r>
          </w:p>
        </w:tc>
        <w:tc>
          <w:tcPr>
            <w:tcW w:w="6340" w:type="dxa"/>
            <w:tcBorders>
              <w:top w:val="single" w:color="000000" w:sz="6" w:space="0"/>
              <w:left w:val="single" w:color="000000" w:sz="6" w:space="0"/>
              <w:bottom w:val="single" w:color="auto" w:sz="4" w:space="0"/>
              <w:right w:val="single" w:color="000000" w:sz="6" w:space="0"/>
            </w:tcBorders>
            <w:vAlign w:val="center"/>
          </w:tcPr>
          <w:p w14:paraId="0BEB8757">
            <w:pPr>
              <w:widowControl/>
              <w:wordWrap w:val="0"/>
              <w:jc w:val="left"/>
              <w:rPr>
                <w:rFonts w:ascii="宋体" w:hAnsi="宋体" w:cs="宋体"/>
                <w:kern w:val="0"/>
                <w:sz w:val="24"/>
                <w:highlight w:val="none"/>
              </w:rPr>
            </w:pPr>
            <w:r>
              <w:rPr>
                <w:rFonts w:hint="eastAsia" w:ascii="宋体" w:hAnsi="宋体" w:cs="宋体"/>
                <w:kern w:val="0"/>
                <w:sz w:val="24"/>
                <w:highlight w:val="none"/>
              </w:rPr>
              <w:t>构成本招标文件各个组成部分的文件，未经采购人书面同意，供应商不得擅自复印和用于非本招标项目所需的其他目的。</w:t>
            </w:r>
          </w:p>
        </w:tc>
      </w:tr>
      <w:tr w14:paraId="1F01A5ED">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FB600C8">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3</w:t>
            </w:r>
          </w:p>
        </w:tc>
        <w:tc>
          <w:tcPr>
            <w:tcW w:w="2119" w:type="dxa"/>
            <w:tcBorders>
              <w:top w:val="single" w:color="000000" w:sz="6" w:space="0"/>
              <w:left w:val="single" w:color="000000" w:sz="6" w:space="0"/>
              <w:bottom w:val="single" w:color="000000" w:sz="6" w:space="0"/>
              <w:right w:val="single" w:color="auto" w:sz="4" w:space="0"/>
            </w:tcBorders>
            <w:vAlign w:val="center"/>
          </w:tcPr>
          <w:p w14:paraId="4448C48F">
            <w:pPr>
              <w:widowControl/>
              <w:wordWrap w:val="0"/>
              <w:jc w:val="center"/>
              <w:rPr>
                <w:rFonts w:ascii="宋体" w:hAnsi="宋体" w:cs="宋体"/>
                <w:kern w:val="0"/>
                <w:sz w:val="24"/>
                <w:highlight w:val="none"/>
              </w:rPr>
            </w:pPr>
            <w:r>
              <w:rPr>
                <w:rFonts w:hint="eastAsia" w:ascii="宋体" w:hAnsi="宋体" w:cs="宋体"/>
                <w:kern w:val="0"/>
                <w:sz w:val="24"/>
                <w:highlight w:val="none"/>
              </w:rPr>
              <w:t>招标文件的解释</w:t>
            </w:r>
          </w:p>
        </w:tc>
        <w:tc>
          <w:tcPr>
            <w:tcW w:w="6340" w:type="dxa"/>
            <w:tcBorders>
              <w:top w:val="single" w:color="auto" w:sz="4" w:space="0"/>
              <w:left w:val="single" w:color="auto" w:sz="4" w:space="0"/>
              <w:bottom w:val="single" w:color="auto" w:sz="4" w:space="0"/>
              <w:right w:val="single" w:color="auto" w:sz="4" w:space="0"/>
            </w:tcBorders>
            <w:vAlign w:val="center"/>
          </w:tcPr>
          <w:p w14:paraId="36A97BDD">
            <w:pPr>
              <w:widowControl/>
              <w:wordWrap w:val="0"/>
              <w:jc w:val="left"/>
              <w:rPr>
                <w:rFonts w:ascii="宋体" w:hAnsi="宋体" w:cs="宋体"/>
                <w:kern w:val="0"/>
                <w:sz w:val="24"/>
                <w:highlight w:val="none"/>
              </w:rPr>
            </w:pPr>
            <w:r>
              <w:rPr>
                <w:rFonts w:hint="eastAsia" w:ascii="宋体" w:hAnsi="宋体" w:cs="宋体"/>
                <w:kern w:val="0"/>
                <w:sz w:val="24"/>
                <w:highlight w:val="none"/>
              </w:rPr>
              <w:t>由</w:t>
            </w:r>
            <w:r>
              <w:rPr>
                <w:rFonts w:hint="eastAsia" w:ascii="宋体" w:hAnsi="宋体" w:cs="宋体"/>
                <w:sz w:val="24"/>
                <w:highlight w:val="none"/>
              </w:rPr>
              <w:t>采购人及采购代理机构</w:t>
            </w:r>
            <w:r>
              <w:rPr>
                <w:rFonts w:hint="eastAsia" w:ascii="宋体" w:hAnsi="宋体" w:cs="宋体"/>
                <w:kern w:val="0"/>
                <w:sz w:val="24"/>
                <w:highlight w:val="none"/>
              </w:rPr>
              <w:t>解释。</w:t>
            </w:r>
          </w:p>
        </w:tc>
      </w:tr>
      <w:tr w14:paraId="79FAFF20">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D474A5E">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4</w:t>
            </w:r>
          </w:p>
        </w:tc>
        <w:tc>
          <w:tcPr>
            <w:tcW w:w="2119" w:type="dxa"/>
            <w:tcBorders>
              <w:top w:val="single" w:color="000000" w:sz="6" w:space="0"/>
              <w:left w:val="single" w:color="000000" w:sz="6" w:space="0"/>
              <w:bottom w:val="single" w:color="000000" w:sz="6" w:space="0"/>
              <w:right w:val="single" w:color="auto" w:sz="4" w:space="0"/>
            </w:tcBorders>
            <w:vAlign w:val="center"/>
          </w:tcPr>
          <w:p w14:paraId="52FCC6BF">
            <w:pPr>
              <w:widowControl/>
              <w:wordWrap w:val="0"/>
              <w:jc w:val="center"/>
              <w:rPr>
                <w:rFonts w:ascii="宋体" w:hAnsi="宋体" w:cs="宋体"/>
                <w:kern w:val="0"/>
                <w:sz w:val="24"/>
                <w:highlight w:val="none"/>
              </w:rPr>
            </w:pPr>
            <w:r>
              <w:rPr>
                <w:rFonts w:hint="eastAsia" w:ascii="宋体" w:hAnsi="宋体" w:cs="宋体"/>
                <w:kern w:val="0"/>
                <w:sz w:val="24"/>
                <w:highlight w:val="none"/>
              </w:rPr>
              <w:t>采购人补充的其他内容</w:t>
            </w:r>
          </w:p>
        </w:tc>
        <w:tc>
          <w:tcPr>
            <w:tcW w:w="6340" w:type="dxa"/>
            <w:tcBorders>
              <w:top w:val="single" w:color="auto" w:sz="4" w:space="0"/>
              <w:left w:val="single" w:color="auto" w:sz="4" w:space="0"/>
              <w:bottom w:val="single" w:color="auto" w:sz="4" w:space="0"/>
              <w:right w:val="single" w:color="auto" w:sz="4" w:space="0"/>
            </w:tcBorders>
            <w:vAlign w:val="center"/>
          </w:tcPr>
          <w:p w14:paraId="46617BFB">
            <w:pPr>
              <w:rPr>
                <w:rFonts w:ascii="宋体" w:hAnsi="宋体" w:cs="宋体"/>
                <w:kern w:val="0"/>
                <w:sz w:val="24"/>
                <w:highlight w:val="none"/>
              </w:rPr>
            </w:pPr>
            <w:r>
              <w:rPr>
                <w:rFonts w:hint="eastAsia" w:ascii="宋体" w:hAnsi="宋体" w:cs="宋体"/>
                <w:kern w:val="0"/>
                <w:sz w:val="24"/>
                <w:highlight w:val="none"/>
              </w:rPr>
              <w:t>一、未在开标时间及投标截止时间前网上上传投标文件的，采购人不予受理。</w:t>
            </w:r>
          </w:p>
          <w:p w14:paraId="24DE29EC">
            <w:pPr>
              <w:rPr>
                <w:rFonts w:ascii="宋体" w:hAnsi="宋体" w:cs="宋体"/>
                <w:kern w:val="0"/>
                <w:sz w:val="24"/>
                <w:highlight w:val="none"/>
              </w:rPr>
            </w:pPr>
            <w:r>
              <w:rPr>
                <w:rFonts w:hint="eastAsia" w:ascii="宋体" w:hAnsi="宋体" w:cs="宋体"/>
                <w:kern w:val="0"/>
                <w:sz w:val="24"/>
                <w:highlight w:val="none"/>
              </w:rPr>
              <w:t>二、因供应商原因在开标时造成投标文件未能解密的，视为撤销其投标文件，采购人不予受理。</w:t>
            </w:r>
          </w:p>
        </w:tc>
      </w:tr>
      <w:tr w14:paraId="2CB51D45">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D1A57E7">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5</w:t>
            </w:r>
          </w:p>
        </w:tc>
        <w:tc>
          <w:tcPr>
            <w:tcW w:w="2119" w:type="dxa"/>
            <w:tcBorders>
              <w:top w:val="single" w:color="000000" w:sz="6" w:space="0"/>
              <w:left w:val="single" w:color="000000" w:sz="6" w:space="0"/>
              <w:bottom w:val="single" w:color="000000" w:sz="6" w:space="0"/>
              <w:right w:val="single" w:color="auto" w:sz="4" w:space="0"/>
            </w:tcBorders>
            <w:vAlign w:val="center"/>
          </w:tcPr>
          <w:p w14:paraId="66AAF456">
            <w:pPr>
              <w:pStyle w:val="21"/>
              <w:jc w:val="center"/>
              <w:rPr>
                <w:rFonts w:hAnsi="宋体" w:cs="宋体"/>
                <w:kern w:val="0"/>
                <w:sz w:val="24"/>
                <w:szCs w:val="24"/>
                <w:highlight w:val="none"/>
              </w:rPr>
            </w:pPr>
            <w:r>
              <w:rPr>
                <w:rFonts w:hint="eastAsia" w:hAnsi="宋体" w:cs="宋体"/>
                <w:kern w:val="0"/>
                <w:sz w:val="24"/>
                <w:szCs w:val="24"/>
                <w:highlight w:val="none"/>
              </w:rPr>
              <w:t>其他说明</w:t>
            </w:r>
          </w:p>
        </w:tc>
        <w:tc>
          <w:tcPr>
            <w:tcW w:w="6340" w:type="dxa"/>
            <w:tcBorders>
              <w:top w:val="single" w:color="auto" w:sz="4" w:space="0"/>
              <w:left w:val="single" w:color="auto" w:sz="4" w:space="0"/>
              <w:bottom w:val="single" w:color="auto" w:sz="4" w:space="0"/>
              <w:right w:val="single" w:color="auto" w:sz="4" w:space="0"/>
            </w:tcBorders>
            <w:vAlign w:val="center"/>
          </w:tcPr>
          <w:p w14:paraId="476C62A8">
            <w:pPr>
              <w:jc w:val="left"/>
              <w:rPr>
                <w:rFonts w:ascii="宋体" w:hAnsi="宋体" w:cs="宋体"/>
                <w:bCs/>
                <w:sz w:val="24"/>
                <w:highlight w:val="none"/>
              </w:rPr>
            </w:pPr>
            <w:r>
              <w:rPr>
                <w:rFonts w:hint="eastAsia" w:ascii="宋体" w:hAnsi="宋体" w:cs="宋体"/>
                <w:bCs/>
                <w:sz w:val="24"/>
                <w:highlight w:val="none"/>
              </w:rPr>
              <w:t>（1）供应商应按照本项目采购文件和政采云平台的要求编制、加密后在投标文件提交截止时间前上传至政采云平台，投标文件提交截止时间前未完成文件上传的，视为撤回投标文件。供应商在政采云平台提交电子版投标文件时，请填写参加远程采购活动经办人联系方式。</w:t>
            </w:r>
          </w:p>
          <w:p w14:paraId="24119196">
            <w:pPr>
              <w:jc w:val="left"/>
              <w:rPr>
                <w:rFonts w:ascii="宋体" w:hAnsi="宋体" w:cs="宋体"/>
                <w:bCs/>
                <w:sz w:val="24"/>
                <w:highlight w:val="none"/>
              </w:rPr>
            </w:pPr>
            <w:r>
              <w:rPr>
                <w:rFonts w:hint="eastAsia" w:ascii="宋体" w:hAnsi="宋体" w:cs="宋体"/>
                <w:bCs/>
                <w:sz w:val="24"/>
                <w:highlight w:val="none"/>
              </w:rPr>
              <w:t>（2）供应商须在投标文件提交截止时间前完成所有投标文件的上传，网上确认电子签名，并打印“上传投标文件回执”，投标文件提交截止时间前未完成投标文件传输的，视为撤回投标文件。</w:t>
            </w:r>
          </w:p>
          <w:p w14:paraId="510AF711">
            <w:pPr>
              <w:widowControl/>
              <w:wordWrap w:val="0"/>
              <w:jc w:val="left"/>
              <w:rPr>
                <w:rFonts w:ascii="宋体" w:hAnsi="宋体" w:cs="宋体"/>
                <w:kern w:val="0"/>
                <w:sz w:val="24"/>
                <w:highlight w:val="none"/>
              </w:rPr>
            </w:pPr>
            <w:r>
              <w:rPr>
                <w:rFonts w:hint="eastAsia" w:ascii="宋体" w:hAnsi="宋体" w:cs="宋体"/>
                <w:bCs/>
                <w:sz w:val="24"/>
                <w:highlight w:val="none"/>
              </w:rPr>
              <w:t>（3）成交（中标）供应商须在领取成交（中标）通知书时提交两份内容与电子投标文件一致的纸质文件（纸质文件为网上递交的电子投标文件的打印件）双面打印，按投标文件装订要求制作。</w:t>
            </w:r>
          </w:p>
        </w:tc>
      </w:tr>
      <w:tr w14:paraId="3792CE84">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3B30AE98">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6</w:t>
            </w:r>
          </w:p>
        </w:tc>
        <w:tc>
          <w:tcPr>
            <w:tcW w:w="2119" w:type="dxa"/>
            <w:tcBorders>
              <w:top w:val="single" w:color="000000" w:sz="6" w:space="0"/>
              <w:left w:val="single" w:color="000000" w:sz="6" w:space="0"/>
              <w:bottom w:val="single" w:color="000000" w:sz="6" w:space="0"/>
              <w:right w:val="single" w:color="auto" w:sz="4" w:space="0"/>
            </w:tcBorders>
            <w:vAlign w:val="center"/>
          </w:tcPr>
          <w:p w14:paraId="55A6BE7B">
            <w:pPr>
              <w:widowControl/>
              <w:wordWrap w:val="0"/>
              <w:jc w:val="center"/>
              <w:rPr>
                <w:rFonts w:ascii="宋体" w:hAnsi="宋体" w:cs="宋体"/>
                <w:kern w:val="0"/>
                <w:sz w:val="24"/>
                <w:highlight w:val="none"/>
              </w:rPr>
            </w:pPr>
            <w:r>
              <w:rPr>
                <w:rFonts w:hint="eastAsia" w:asciiTheme="minorEastAsia" w:hAnsiTheme="minorEastAsia" w:eastAsiaTheme="minorEastAsia" w:cstheme="minorEastAsia"/>
                <w:kern w:val="0"/>
                <w:sz w:val="24"/>
                <w:highlight w:val="none"/>
              </w:rPr>
              <w:t>采购代理费</w:t>
            </w:r>
          </w:p>
        </w:tc>
        <w:tc>
          <w:tcPr>
            <w:tcW w:w="6340" w:type="dxa"/>
            <w:tcBorders>
              <w:top w:val="single" w:color="auto" w:sz="4" w:space="0"/>
              <w:left w:val="single" w:color="auto" w:sz="4" w:space="0"/>
              <w:bottom w:val="single" w:color="auto" w:sz="4" w:space="0"/>
              <w:right w:val="single" w:color="auto" w:sz="4" w:space="0"/>
            </w:tcBorders>
            <w:vAlign w:val="center"/>
          </w:tcPr>
          <w:p w14:paraId="78E65689">
            <w:pPr>
              <w:rPr>
                <w:rFonts w:ascii="宋体" w:hAnsi="宋体" w:cs="宋体"/>
                <w:kern w:val="0"/>
                <w:sz w:val="24"/>
                <w:highlight w:val="none"/>
              </w:rPr>
            </w:pPr>
            <w:r>
              <w:rPr>
                <w:rStyle w:val="44"/>
                <w:rFonts w:hint="eastAsia" w:ascii="宋体" w:hAnsi="宋体" w:eastAsia="宋体" w:cs="宋体"/>
                <w:b w:val="0"/>
                <w:bCs w:val="0"/>
                <w:color w:val="auto"/>
                <w:sz w:val="24"/>
                <w:szCs w:val="24"/>
                <w:highlight w:val="none"/>
                <w:lang w:val="en-US" w:eastAsia="zh-CN"/>
              </w:rPr>
              <w:t>本次采购的代理费按照《招标代理服务收费管理暂行办法》（计价格〔2002〕1980号）的“招标代理服务收费标准”，优惠下浮23%收取，招标采购类别、合同执行优惠费率计算，计算后不足3000.00元的，按3000.00元结算。代理服务费在采购活动结束后，成交人在领取成交通知书时一次性缴纳给采购代理机构。</w:t>
            </w:r>
          </w:p>
        </w:tc>
      </w:tr>
      <w:tr w14:paraId="175B5641">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6096477">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7</w:t>
            </w:r>
          </w:p>
        </w:tc>
        <w:tc>
          <w:tcPr>
            <w:tcW w:w="2119" w:type="dxa"/>
            <w:tcBorders>
              <w:top w:val="single" w:color="000000" w:sz="6" w:space="0"/>
              <w:left w:val="single" w:color="000000" w:sz="6" w:space="0"/>
              <w:bottom w:val="single" w:color="000000" w:sz="6" w:space="0"/>
              <w:right w:val="single" w:color="auto" w:sz="4" w:space="0"/>
            </w:tcBorders>
            <w:vAlign w:val="center"/>
          </w:tcPr>
          <w:p w14:paraId="015FD9CA">
            <w:pPr>
              <w:pStyle w:val="21"/>
              <w:jc w:val="center"/>
              <w:rPr>
                <w:rFonts w:hAnsi="宋体" w:cs="宋体"/>
                <w:kern w:val="0"/>
                <w:sz w:val="24"/>
                <w:szCs w:val="24"/>
                <w:highlight w:val="none"/>
              </w:rPr>
            </w:pPr>
            <w:r>
              <w:rPr>
                <w:rFonts w:hint="eastAsia" w:hAnsi="宋体" w:cs="宋体"/>
                <w:kern w:val="0"/>
                <w:sz w:val="24"/>
                <w:szCs w:val="24"/>
                <w:highlight w:val="none"/>
              </w:rPr>
              <w:t>付款方式</w:t>
            </w:r>
          </w:p>
        </w:tc>
        <w:tc>
          <w:tcPr>
            <w:tcW w:w="6340" w:type="dxa"/>
            <w:tcBorders>
              <w:top w:val="single" w:color="auto" w:sz="4" w:space="0"/>
              <w:left w:val="single" w:color="auto" w:sz="4" w:space="0"/>
              <w:bottom w:val="single" w:color="auto" w:sz="4" w:space="0"/>
              <w:right w:val="single" w:color="auto" w:sz="4" w:space="0"/>
            </w:tcBorders>
            <w:vAlign w:val="center"/>
          </w:tcPr>
          <w:p w14:paraId="5532C278">
            <w:pPr>
              <w:widowControl/>
              <w:wordWrap w:val="0"/>
              <w:jc w:val="left"/>
              <w:rPr>
                <w:rFonts w:hint="default" w:ascii="宋体" w:hAnsi="宋体" w:eastAsia="宋体" w:cs="宋体"/>
                <w:b/>
                <w:bCs/>
                <w:sz w:val="24"/>
                <w:highlight w:val="none"/>
                <w:lang w:val="en-US" w:eastAsia="zh-CN"/>
              </w:rPr>
            </w:pPr>
            <w:r>
              <w:rPr>
                <w:rFonts w:hint="eastAsia" w:ascii="宋体" w:hAnsi="宋体" w:cs="宋体"/>
                <w:b w:val="0"/>
                <w:bCs w:val="0"/>
                <w:sz w:val="24"/>
                <w:highlight w:val="none"/>
                <w:lang w:val="en-US" w:eastAsia="zh-CN"/>
              </w:rPr>
              <w:t>另行约定</w:t>
            </w:r>
          </w:p>
        </w:tc>
      </w:tr>
      <w:tr w14:paraId="4FFE4EEC">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2608C6B1">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8</w:t>
            </w:r>
          </w:p>
        </w:tc>
        <w:tc>
          <w:tcPr>
            <w:tcW w:w="2119" w:type="dxa"/>
            <w:tcBorders>
              <w:top w:val="single" w:color="000000" w:sz="6" w:space="0"/>
              <w:left w:val="single" w:color="000000" w:sz="6" w:space="0"/>
              <w:bottom w:val="single" w:color="000000" w:sz="6" w:space="0"/>
              <w:right w:val="single" w:color="auto" w:sz="4" w:space="0"/>
            </w:tcBorders>
            <w:vAlign w:val="center"/>
          </w:tcPr>
          <w:p w14:paraId="39BB4E4A">
            <w:pPr>
              <w:jc w:val="center"/>
              <w:rPr>
                <w:rFonts w:hAnsi="宋体" w:cs="宋体"/>
                <w:kern w:val="0"/>
                <w:sz w:val="24"/>
                <w:highlight w:val="none"/>
              </w:rPr>
            </w:pPr>
            <w:r>
              <w:rPr>
                <w:rFonts w:hint="eastAsia" w:asciiTheme="minorEastAsia" w:hAnsiTheme="minorEastAsia" w:eastAsiaTheme="minorEastAsia" w:cstheme="minorEastAsia"/>
                <w:sz w:val="24"/>
                <w:highlight w:val="none"/>
              </w:rPr>
              <w:t>质保期</w:t>
            </w:r>
          </w:p>
        </w:tc>
        <w:tc>
          <w:tcPr>
            <w:tcW w:w="6340" w:type="dxa"/>
            <w:tcBorders>
              <w:top w:val="single" w:color="auto" w:sz="4" w:space="0"/>
              <w:left w:val="single" w:color="auto" w:sz="4" w:space="0"/>
              <w:bottom w:val="single" w:color="auto" w:sz="4" w:space="0"/>
              <w:right w:val="single" w:color="auto" w:sz="4" w:space="0"/>
            </w:tcBorders>
            <w:vAlign w:val="center"/>
          </w:tcPr>
          <w:p w14:paraId="61B74C7D">
            <w:pPr>
              <w:jc w:val="left"/>
              <w:rPr>
                <w:rFonts w:ascii="宋体" w:hAnsi="宋体" w:cs="宋体"/>
                <w:kern w:val="0"/>
                <w:sz w:val="24"/>
                <w:highlight w:val="none"/>
              </w:rPr>
            </w:pPr>
            <w:r>
              <w:rPr>
                <w:rFonts w:hint="eastAsia" w:asciiTheme="minorEastAsia" w:hAnsiTheme="minorEastAsia" w:eastAsiaTheme="minorEastAsia" w:cstheme="minorEastAsia"/>
                <w:sz w:val="24"/>
                <w:highlight w:val="none"/>
              </w:rPr>
              <w:t>质保期</w:t>
            </w:r>
            <w:r>
              <w:rPr>
                <w:rFonts w:hint="eastAsia" w:asciiTheme="minorEastAsia" w:hAnsiTheme="minorEastAsia" w:eastAsiaTheme="minorEastAsia" w:cstheme="minorEastAsia"/>
                <w:sz w:val="24"/>
                <w:highlight w:val="none"/>
                <w:lang w:val="en-US" w:eastAsia="zh-CN"/>
              </w:rPr>
              <w:t>在“采购内容及要求”中已有明确要求的，按要求执行，未有明确要求的</w:t>
            </w:r>
            <w:r>
              <w:rPr>
                <w:rFonts w:hint="eastAsia" w:asciiTheme="minorEastAsia" w:hAnsiTheme="minorEastAsia" w:eastAsiaTheme="minorEastAsia" w:cstheme="minorEastAsia"/>
                <w:sz w:val="24"/>
                <w:highlight w:val="none"/>
              </w:rPr>
              <w:t>质保期不少于三年，质保期间，如果出现质量问题，供应商无条件更换，采购人不支付任何费用。质保期满后如有质量问题按采购人要求需进行更换的，所产生的费用按不高于市场价收取。</w:t>
            </w:r>
          </w:p>
        </w:tc>
      </w:tr>
      <w:tr w14:paraId="7E0314A8">
        <w:tblPrEx>
          <w:tblCellMar>
            <w:top w:w="15" w:type="dxa"/>
            <w:left w:w="15" w:type="dxa"/>
            <w:bottom w:w="15" w:type="dxa"/>
            <w:right w:w="15"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6A2682B5">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w:t>
            </w:r>
            <w:r>
              <w:rPr>
                <w:rFonts w:hint="eastAsia" w:ascii="宋体" w:hAnsi="宋体" w:cs="宋体"/>
                <w:kern w:val="0"/>
                <w:sz w:val="24"/>
                <w:highlight w:val="none"/>
                <w:lang w:val="en-US" w:eastAsia="zh-CN"/>
              </w:rPr>
              <w:t>9</w:t>
            </w:r>
          </w:p>
        </w:tc>
        <w:tc>
          <w:tcPr>
            <w:tcW w:w="2119" w:type="dxa"/>
            <w:tcBorders>
              <w:top w:val="single" w:color="000000" w:sz="6" w:space="0"/>
              <w:left w:val="single" w:color="000000" w:sz="6" w:space="0"/>
              <w:bottom w:val="single" w:color="000000" w:sz="6" w:space="0"/>
              <w:right w:val="single" w:color="auto" w:sz="4" w:space="0"/>
            </w:tcBorders>
            <w:vAlign w:val="center"/>
          </w:tcPr>
          <w:p w14:paraId="627144D3">
            <w:pPr>
              <w:pStyle w:val="21"/>
              <w:jc w:val="center"/>
              <w:rPr>
                <w:rFonts w:hAnsi="宋体" w:cs="宋体"/>
                <w:kern w:val="0"/>
                <w:sz w:val="24"/>
                <w:szCs w:val="24"/>
                <w:highlight w:val="none"/>
              </w:rPr>
            </w:pPr>
            <w:r>
              <w:rPr>
                <w:rFonts w:hint="eastAsia" w:asciiTheme="minorEastAsia" w:hAnsiTheme="minorEastAsia" w:eastAsiaTheme="minorEastAsia" w:cstheme="minorEastAsia"/>
                <w:kern w:val="0"/>
                <w:sz w:val="24"/>
                <w:szCs w:val="24"/>
                <w:highlight w:val="none"/>
              </w:rPr>
              <w:t>其他说明</w:t>
            </w:r>
          </w:p>
        </w:tc>
        <w:tc>
          <w:tcPr>
            <w:tcW w:w="6340" w:type="dxa"/>
            <w:tcBorders>
              <w:top w:val="single" w:color="auto" w:sz="4" w:space="0"/>
              <w:left w:val="single" w:color="auto" w:sz="4" w:space="0"/>
              <w:bottom w:val="single" w:color="auto" w:sz="4" w:space="0"/>
              <w:right w:val="single" w:color="auto" w:sz="4" w:space="0"/>
            </w:tcBorders>
            <w:vAlign w:val="center"/>
          </w:tcPr>
          <w:p w14:paraId="2E6A4226">
            <w:pPr>
              <w:widowControl/>
              <w:wordWrap w:val="0"/>
              <w:spacing w:line="480" w:lineRule="exact"/>
              <w:jc w:val="left"/>
              <w:rPr>
                <w:rFonts w:hint="eastAsia" w:asciiTheme="minorEastAsia" w:hAnsiTheme="minorEastAsia" w:eastAsiaTheme="minorEastAsia" w:cstheme="minorEastAsia"/>
                <w:kern w:val="0"/>
                <w:sz w:val="24"/>
                <w:highlight w:val="none"/>
                <w:lang w:eastAsia="zh-CN"/>
              </w:rPr>
            </w:pPr>
            <w:r>
              <w:rPr>
                <w:rFonts w:hint="eastAsia" w:asciiTheme="minorEastAsia" w:hAnsiTheme="minorEastAsia" w:eastAsiaTheme="minorEastAsia" w:cstheme="minorEastAsia"/>
                <w:kern w:val="0"/>
                <w:sz w:val="24"/>
                <w:highlight w:val="none"/>
              </w:rPr>
              <w:t>本项目采购的设备</w:t>
            </w:r>
            <w:r>
              <w:rPr>
                <w:rFonts w:hint="eastAsia" w:asciiTheme="minorEastAsia" w:hAnsiTheme="minorEastAsia" w:eastAsiaTheme="minorEastAsia" w:cstheme="minorEastAsia"/>
                <w:kern w:val="0"/>
                <w:sz w:val="24"/>
                <w:highlight w:val="none"/>
                <w:lang w:eastAsia="zh-CN"/>
              </w:rPr>
              <w:t>，</w:t>
            </w:r>
            <w:r>
              <w:rPr>
                <w:rFonts w:hint="eastAsia" w:asciiTheme="minorEastAsia" w:hAnsiTheme="minorEastAsia" w:eastAsiaTheme="minorEastAsia" w:cstheme="minorEastAsia"/>
                <w:kern w:val="0"/>
                <w:sz w:val="24"/>
                <w:highlight w:val="none"/>
                <w:lang w:val="en-US" w:eastAsia="zh-CN"/>
              </w:rPr>
              <w:t>供应商需提供的</w:t>
            </w:r>
            <w:r>
              <w:rPr>
                <w:rFonts w:hint="eastAsia" w:asciiTheme="minorEastAsia" w:hAnsiTheme="minorEastAsia" w:eastAsiaTheme="minorEastAsia" w:cstheme="minorEastAsia"/>
                <w:kern w:val="0"/>
                <w:sz w:val="24"/>
                <w:highlight w:val="none"/>
              </w:rPr>
              <w:t>为全新原装产品</w:t>
            </w:r>
            <w:r>
              <w:rPr>
                <w:rFonts w:hint="eastAsia" w:asciiTheme="minorEastAsia" w:hAnsiTheme="minorEastAsia" w:eastAsiaTheme="minorEastAsia" w:cstheme="minorEastAsia"/>
                <w:kern w:val="0"/>
                <w:sz w:val="24"/>
                <w:highlight w:val="none"/>
                <w:lang w:eastAsia="zh-CN"/>
              </w:rPr>
              <w:t>。</w:t>
            </w:r>
          </w:p>
          <w:p w14:paraId="3D786A12">
            <w:pPr>
              <w:widowControl/>
              <w:wordWrap w:val="0"/>
              <w:spacing w:line="480" w:lineRule="exact"/>
              <w:jc w:val="left"/>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p>
          <w:p w14:paraId="4F8A0C34">
            <w:pPr>
              <w:widowControl/>
              <w:wordWrap w:val="0"/>
              <w:spacing w:line="480" w:lineRule="exact"/>
              <w:jc w:val="left"/>
              <w:rPr>
                <w:rFonts w:ascii="宋体"/>
                <w:sz w:val="24"/>
                <w:highlight w:val="none"/>
              </w:rPr>
            </w:pPr>
            <w:r>
              <w:rPr>
                <w:rFonts w:hint="eastAsia" w:asciiTheme="minorEastAsia" w:hAnsiTheme="minorEastAsia" w:eastAsiaTheme="minorEastAsia" w:cstheme="minorEastAsia"/>
                <w:kern w:val="0"/>
                <w:sz w:val="24"/>
                <w:highlight w:val="none"/>
              </w:rPr>
              <w:t>非单一产品采购项目，采购人应当根据采购项目技术构成、产品价格比重等合理确定核心产品，并在招标文件中载明。多家投标人提供的核心产品品牌相同的，按前款规定处理。</w:t>
            </w:r>
          </w:p>
        </w:tc>
      </w:tr>
      <w:tr w14:paraId="677AF185">
        <w:tblPrEx>
          <w:tblCellMar>
            <w:top w:w="15" w:type="dxa"/>
            <w:left w:w="15" w:type="dxa"/>
            <w:bottom w:w="15" w:type="dxa"/>
            <w:right w:w="15" w:type="dxa"/>
          </w:tblCellMar>
        </w:tblPrEx>
        <w:trPr>
          <w:trHeight w:val="1463"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573C7534">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10.1</w:t>
            </w:r>
            <w:r>
              <w:rPr>
                <w:rFonts w:hint="eastAsia" w:ascii="宋体" w:hAnsi="宋体" w:cs="宋体"/>
                <w:kern w:val="0"/>
                <w:sz w:val="24"/>
                <w:highlight w:val="none"/>
                <w:lang w:val="en-US" w:eastAsia="zh-CN"/>
              </w:rPr>
              <w:t>0</w:t>
            </w:r>
          </w:p>
        </w:tc>
        <w:tc>
          <w:tcPr>
            <w:tcW w:w="2119" w:type="dxa"/>
            <w:tcBorders>
              <w:top w:val="single" w:color="000000" w:sz="6" w:space="0"/>
              <w:left w:val="single" w:color="000000" w:sz="6" w:space="0"/>
              <w:bottom w:val="single" w:color="000000" w:sz="6" w:space="0"/>
              <w:right w:val="single" w:color="auto" w:sz="4" w:space="0"/>
            </w:tcBorders>
            <w:vAlign w:val="center"/>
          </w:tcPr>
          <w:p w14:paraId="4569359D">
            <w:pPr>
              <w:widowControl/>
              <w:wordWrap w:val="0"/>
              <w:jc w:val="center"/>
              <w:rPr>
                <w:rFonts w:ascii="宋体" w:hAnsi="宋体" w:cs="宋体"/>
                <w:kern w:val="0"/>
                <w:sz w:val="24"/>
                <w:highlight w:val="none"/>
              </w:rPr>
            </w:pPr>
            <w:r>
              <w:rPr>
                <w:rFonts w:hint="eastAsia" w:ascii="宋体" w:hAnsi="宋体" w:cs="宋体"/>
                <w:sz w:val="24"/>
                <w:highlight w:val="none"/>
              </w:rPr>
              <w:t>政府采购异常低价问题</w:t>
            </w:r>
          </w:p>
        </w:tc>
        <w:tc>
          <w:tcPr>
            <w:tcW w:w="6340" w:type="dxa"/>
            <w:tcBorders>
              <w:top w:val="single" w:color="auto" w:sz="4" w:space="0"/>
              <w:left w:val="single" w:color="auto" w:sz="4" w:space="0"/>
              <w:bottom w:val="single" w:color="auto" w:sz="4" w:space="0"/>
              <w:right w:val="single" w:color="auto" w:sz="4" w:space="0"/>
            </w:tcBorders>
            <w:vAlign w:val="center"/>
          </w:tcPr>
          <w:p w14:paraId="703AAD30">
            <w:pPr>
              <w:widowControl/>
              <w:wordWrap w:val="0"/>
              <w:jc w:val="left"/>
              <w:rPr>
                <w:rFonts w:ascii="宋体" w:hAnsi="宋体" w:cs="宋体"/>
                <w:sz w:val="24"/>
                <w:highlight w:val="none"/>
              </w:rPr>
            </w:pPr>
            <w:r>
              <w:rPr>
                <w:rFonts w:hint="eastAsia" w:ascii="宋体" w:hAnsi="宋体" w:cs="宋体"/>
                <w:sz w:val="24"/>
                <w:highlight w:val="none"/>
              </w:rPr>
              <w:t>根据《关于推动解决政府采购异常低价问题的通知》财库〔2026〕2号，政府采购评审中出现下列情形之一的，评审委员会应当启动异常低价投标（响应）审查程序：</w:t>
            </w:r>
          </w:p>
          <w:p w14:paraId="1612EC86">
            <w:pPr>
              <w:widowControl/>
              <w:wordWrap w:val="0"/>
              <w:jc w:val="left"/>
              <w:rPr>
                <w:rFonts w:ascii="宋体" w:hAnsi="宋体" w:cs="宋体"/>
                <w:sz w:val="24"/>
                <w:highlight w:val="none"/>
              </w:rPr>
            </w:pPr>
            <w:r>
              <w:rPr>
                <w:rFonts w:hint="eastAsia" w:ascii="宋体" w:hAnsi="宋体" w:cs="宋体"/>
                <w:sz w:val="24"/>
                <w:highlight w:val="none"/>
              </w:rPr>
              <w:t>1.投标（响应）报价低于全部通过符合性审查供应商投标（响应）报价平均值</w:t>
            </w:r>
            <w:r>
              <w:rPr>
                <w:rFonts w:hint="eastAsia" w:ascii="宋体" w:hAnsi="宋体" w:cs="宋体"/>
                <w:sz w:val="24"/>
                <w:highlight w:val="none"/>
                <w:lang w:val="en-US" w:eastAsia="zh-CN"/>
              </w:rPr>
              <w:t>50</w:t>
            </w:r>
            <w:r>
              <w:rPr>
                <w:rFonts w:hint="eastAsia" w:ascii="宋体" w:hAnsi="宋体" w:cs="宋体"/>
                <w:sz w:val="24"/>
                <w:highlight w:val="none"/>
              </w:rPr>
              <w:t>%的，即投标（响应）报价〈全部通过符合性审查供应商投标（响应）报价平均值×</w:t>
            </w:r>
            <w:r>
              <w:rPr>
                <w:rFonts w:hint="eastAsia" w:ascii="宋体" w:hAnsi="宋体" w:cs="宋体"/>
                <w:sz w:val="24"/>
                <w:highlight w:val="none"/>
                <w:lang w:val="en-US" w:eastAsia="zh-CN"/>
              </w:rPr>
              <w:t>50</w:t>
            </w:r>
            <w:r>
              <w:rPr>
                <w:rFonts w:hint="eastAsia" w:ascii="宋体" w:hAnsi="宋体" w:cs="宋体"/>
                <w:sz w:val="24"/>
                <w:highlight w:val="none"/>
              </w:rPr>
              <w:t>%；</w:t>
            </w:r>
          </w:p>
          <w:p w14:paraId="6F087B50">
            <w:pPr>
              <w:widowControl/>
              <w:wordWrap w:val="0"/>
              <w:jc w:val="left"/>
              <w:rPr>
                <w:rFonts w:ascii="宋体" w:hAnsi="宋体" w:cs="宋体"/>
                <w:sz w:val="24"/>
                <w:highlight w:val="none"/>
              </w:rPr>
            </w:pPr>
            <w:r>
              <w:rPr>
                <w:rFonts w:hint="eastAsia" w:ascii="宋体" w:hAnsi="宋体" w:cs="宋体"/>
                <w:sz w:val="24"/>
                <w:highlight w:val="none"/>
              </w:rPr>
              <w:t>2.投标（响应）报价低于通过符合性审查的次低报价供应商投标（响应）报价</w:t>
            </w:r>
            <w:r>
              <w:rPr>
                <w:rFonts w:hint="eastAsia" w:ascii="宋体" w:hAnsi="宋体" w:cs="宋体"/>
                <w:sz w:val="24"/>
                <w:highlight w:val="none"/>
                <w:lang w:val="en-US" w:eastAsia="zh-CN"/>
              </w:rPr>
              <w:t>50</w:t>
            </w:r>
            <w:r>
              <w:rPr>
                <w:rFonts w:hint="eastAsia" w:ascii="宋体" w:hAnsi="宋体" w:cs="宋体"/>
                <w:sz w:val="24"/>
                <w:highlight w:val="none"/>
              </w:rPr>
              <w:t>%的，即投标（响应）报价〈通过符合性审查的次低报价供应商投标（响应）报价×</w:t>
            </w:r>
            <w:r>
              <w:rPr>
                <w:rFonts w:hint="eastAsia" w:ascii="宋体" w:hAnsi="宋体" w:cs="宋体"/>
                <w:sz w:val="24"/>
                <w:highlight w:val="none"/>
                <w:lang w:val="en-US" w:eastAsia="zh-CN"/>
              </w:rPr>
              <w:t>50</w:t>
            </w:r>
            <w:r>
              <w:rPr>
                <w:rFonts w:hint="eastAsia" w:ascii="宋体" w:hAnsi="宋体" w:cs="宋体"/>
                <w:sz w:val="24"/>
                <w:highlight w:val="none"/>
              </w:rPr>
              <w:t xml:space="preserve">%； </w:t>
            </w:r>
          </w:p>
          <w:p w14:paraId="336F9377">
            <w:pPr>
              <w:widowControl/>
              <w:wordWrap w:val="0"/>
              <w:jc w:val="left"/>
              <w:rPr>
                <w:rFonts w:ascii="宋体" w:hAnsi="宋体" w:cs="宋体"/>
                <w:sz w:val="24"/>
                <w:highlight w:val="none"/>
              </w:rPr>
            </w:pPr>
            <w:r>
              <w:rPr>
                <w:rFonts w:hint="eastAsia" w:ascii="宋体" w:hAnsi="宋体" w:cs="宋体"/>
                <w:sz w:val="24"/>
                <w:highlight w:val="none"/>
              </w:rPr>
              <w:t>3.投标（响应）报价低于采购项目最高限价</w:t>
            </w:r>
            <w:r>
              <w:rPr>
                <w:rFonts w:hint="eastAsia" w:ascii="宋体" w:hAnsi="宋体" w:cs="宋体"/>
                <w:sz w:val="24"/>
                <w:highlight w:val="none"/>
                <w:lang w:val="en-US" w:eastAsia="zh-CN"/>
              </w:rPr>
              <w:t>45</w:t>
            </w:r>
            <w:r>
              <w:rPr>
                <w:rFonts w:hint="eastAsia" w:ascii="宋体" w:hAnsi="宋体" w:cs="宋体"/>
                <w:sz w:val="24"/>
                <w:highlight w:val="none"/>
              </w:rPr>
              <w:t>%的，即投标（响应）报价〈采购项目最高限价×</w:t>
            </w:r>
            <w:r>
              <w:rPr>
                <w:rFonts w:hint="eastAsia" w:ascii="宋体" w:hAnsi="宋体" w:cs="宋体"/>
                <w:sz w:val="24"/>
                <w:highlight w:val="none"/>
                <w:lang w:val="en-US" w:eastAsia="zh-CN"/>
              </w:rPr>
              <w:t>45</w:t>
            </w:r>
            <w:r>
              <w:rPr>
                <w:rFonts w:hint="eastAsia" w:ascii="宋体" w:hAnsi="宋体" w:cs="宋体"/>
                <w:sz w:val="24"/>
                <w:highlight w:val="none"/>
              </w:rPr>
              <w:t>%；</w:t>
            </w:r>
          </w:p>
          <w:p w14:paraId="5A79092E">
            <w:pPr>
              <w:widowControl/>
              <w:wordWrap w:val="0"/>
              <w:jc w:val="left"/>
              <w:rPr>
                <w:rFonts w:ascii="宋体" w:hAnsi="宋体" w:cs="宋体"/>
                <w:sz w:val="24"/>
                <w:highlight w:val="none"/>
              </w:rPr>
            </w:pPr>
            <w:r>
              <w:rPr>
                <w:rFonts w:hint="eastAsia" w:ascii="宋体" w:hAnsi="宋体" w:cs="宋体"/>
                <w:sz w:val="24"/>
                <w:highlight w:val="none"/>
              </w:rPr>
              <w:t>4.评审委员会基于专业判断，认为供应商报价过低，有可能影响产品质量或者不能诚信履约的其他情形。</w:t>
            </w:r>
          </w:p>
          <w:p w14:paraId="70621874">
            <w:pPr>
              <w:widowControl/>
              <w:wordWrap w:val="0"/>
              <w:jc w:val="left"/>
              <w:rPr>
                <w:rFonts w:ascii="宋体" w:hAnsi="宋体" w:cs="宋体"/>
                <w:sz w:val="24"/>
                <w:highlight w:val="none"/>
              </w:rPr>
            </w:pPr>
            <w:r>
              <w:rPr>
                <w:rFonts w:hint="eastAsia" w:ascii="宋体" w:hAnsi="宋体" w:cs="宋体"/>
                <w:sz w:val="24"/>
                <w:highlight w:val="none"/>
              </w:rPr>
              <w:t>采购人可以结合具体项目实际情况，提高上述第1项至第3项中启动异常低价投标（响应）审查的数值标准，但是最高不得超过65%。相关法律法规对供应商报价有规定的，从其规定。</w:t>
            </w:r>
          </w:p>
          <w:p w14:paraId="7E5105CF">
            <w:pPr>
              <w:widowControl/>
              <w:wordWrap w:val="0"/>
              <w:jc w:val="left"/>
              <w:rPr>
                <w:rFonts w:ascii="宋体" w:hAnsi="宋体" w:cs="宋体"/>
                <w:sz w:val="24"/>
                <w:highlight w:val="none"/>
              </w:rPr>
            </w:pPr>
            <w:r>
              <w:rPr>
                <w:rFonts w:hint="eastAsia" w:ascii="宋体" w:hAnsi="宋体" w:cs="宋体"/>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558D728">
            <w:pPr>
              <w:widowControl/>
              <w:wordWrap w:val="0"/>
              <w:jc w:val="left"/>
              <w:rPr>
                <w:rFonts w:ascii="宋体" w:hAnsi="宋体" w:cs="宋体"/>
                <w:sz w:val="24"/>
                <w:highlight w:val="none"/>
              </w:rPr>
            </w:pPr>
            <w:r>
              <w:rPr>
                <w:rFonts w:hint="eastAsia" w:ascii="宋体" w:hAnsi="宋体" w:cs="宋体"/>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42BDDF">
            <w:pPr>
              <w:widowControl/>
              <w:wordWrap w:val="0"/>
              <w:jc w:val="left"/>
              <w:rPr>
                <w:rFonts w:ascii="宋体"/>
                <w:sz w:val="24"/>
                <w:highlight w:val="none"/>
              </w:rPr>
            </w:pPr>
            <w:r>
              <w:rPr>
                <w:rFonts w:hint="eastAsia" w:ascii="宋体" w:hAnsi="宋体" w:cs="宋体"/>
                <w:sz w:val="24"/>
                <w:highlight w:val="none"/>
              </w:rPr>
              <w:t>其他未尽事宜参照《关于推动解决政府采购异常低价问题的通知》财库〔2026〕2号执行。</w:t>
            </w:r>
          </w:p>
        </w:tc>
      </w:tr>
      <w:tr w14:paraId="07E8CA96">
        <w:tblPrEx>
          <w:tblCellMar>
            <w:top w:w="15" w:type="dxa"/>
            <w:left w:w="15" w:type="dxa"/>
            <w:bottom w:w="15" w:type="dxa"/>
            <w:right w:w="15" w:type="dxa"/>
          </w:tblCellMar>
        </w:tblPrEx>
        <w:trPr>
          <w:trHeight w:val="681"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72906F87">
            <w:pPr>
              <w:widowControl/>
              <w:wordWrap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10.1</w:t>
            </w:r>
            <w:r>
              <w:rPr>
                <w:rFonts w:hint="eastAsia" w:ascii="宋体" w:hAnsi="宋体" w:cs="宋体"/>
                <w:kern w:val="0"/>
                <w:sz w:val="24"/>
                <w:highlight w:val="none"/>
                <w:lang w:val="en-US" w:eastAsia="zh-CN"/>
              </w:rPr>
              <w:t>1</w:t>
            </w:r>
          </w:p>
        </w:tc>
        <w:tc>
          <w:tcPr>
            <w:tcW w:w="2119" w:type="dxa"/>
            <w:tcBorders>
              <w:top w:val="single" w:color="000000" w:sz="6" w:space="0"/>
              <w:left w:val="single" w:color="000000" w:sz="6" w:space="0"/>
              <w:bottom w:val="single" w:color="000000" w:sz="6" w:space="0"/>
              <w:right w:val="single" w:color="auto" w:sz="4" w:space="0"/>
            </w:tcBorders>
            <w:vAlign w:val="center"/>
          </w:tcPr>
          <w:p w14:paraId="2A1383AF">
            <w:pPr>
              <w:widowControl/>
              <w:wordWrap w:val="0"/>
              <w:jc w:val="center"/>
              <w:rPr>
                <w:rFonts w:ascii="宋体" w:hAnsi="宋体" w:cs="宋体"/>
                <w:sz w:val="24"/>
                <w:highlight w:val="none"/>
              </w:rPr>
            </w:pPr>
            <w:r>
              <w:rPr>
                <w:rFonts w:hint="eastAsia" w:ascii="宋体" w:hAnsi="宋体" w:cs="宋体"/>
                <w:sz w:val="24"/>
                <w:highlight w:val="none"/>
              </w:rPr>
              <w:t>对本国产品的支持政策</w:t>
            </w:r>
          </w:p>
        </w:tc>
        <w:tc>
          <w:tcPr>
            <w:tcW w:w="6340" w:type="dxa"/>
            <w:tcBorders>
              <w:top w:val="single" w:color="auto" w:sz="4" w:space="0"/>
              <w:left w:val="single" w:color="auto" w:sz="4" w:space="0"/>
              <w:bottom w:val="single" w:color="auto" w:sz="4" w:space="0"/>
              <w:right w:val="single" w:color="auto" w:sz="4" w:space="0"/>
            </w:tcBorders>
            <w:vAlign w:val="center"/>
          </w:tcPr>
          <w:p w14:paraId="49AF8AF1">
            <w:pPr>
              <w:widowControl/>
              <w:wordWrap w:val="0"/>
              <w:jc w:val="left"/>
              <w:rPr>
                <w:rFonts w:ascii="宋体" w:hAnsi="宋体" w:cs="宋体"/>
                <w:sz w:val="24"/>
                <w:highlight w:val="none"/>
              </w:rPr>
            </w:pPr>
            <w:r>
              <w:rPr>
                <w:rFonts w:hint="eastAsia" w:ascii="宋体" w:hAnsi="宋体" w:cs="宋体"/>
                <w:sz w:val="24"/>
                <w:highlight w:val="none"/>
              </w:rPr>
              <w:t>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6E722C7E">
            <w:pPr>
              <w:widowControl/>
              <w:wordWrap w:val="0"/>
              <w:jc w:val="left"/>
              <w:rPr>
                <w:rFonts w:ascii="宋体" w:hAnsi="宋体" w:cs="宋体"/>
                <w:sz w:val="24"/>
                <w:highlight w:val="none"/>
              </w:rPr>
            </w:pPr>
            <w:r>
              <w:rPr>
                <w:rFonts w:hint="eastAsia" w:ascii="宋体" w:hAnsi="宋体" w:cs="宋体"/>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D21E206">
            <w:pPr>
              <w:widowControl/>
              <w:wordWrap w:val="0"/>
              <w:jc w:val="left"/>
              <w:rPr>
                <w:rFonts w:ascii="宋体" w:hAnsi="宋体" w:cs="宋体"/>
                <w:sz w:val="24"/>
                <w:highlight w:val="none"/>
              </w:rPr>
            </w:pPr>
            <w:r>
              <w:rPr>
                <w:rFonts w:hint="eastAsia" w:ascii="宋体" w:hAnsi="宋体" w:cs="宋体"/>
                <w:sz w:val="24"/>
                <w:highlight w:val="none"/>
              </w:rPr>
              <w:t>其他未尽事宜参照《国务院办公厅关于在政府采购中实施本国产品标准及相关政策的通知》（国办发〔2025〕34号）执行。</w:t>
            </w:r>
          </w:p>
        </w:tc>
      </w:tr>
      <w:tr w14:paraId="7B153AF5">
        <w:tblPrEx>
          <w:tblCellMar>
            <w:top w:w="15" w:type="dxa"/>
            <w:left w:w="15" w:type="dxa"/>
            <w:bottom w:w="15" w:type="dxa"/>
            <w:right w:w="15" w:type="dxa"/>
          </w:tblCellMar>
        </w:tblPrEx>
        <w:trPr>
          <w:trHeight w:val="681" w:hRule="atLeast"/>
          <w:jc w:val="center"/>
        </w:trPr>
        <w:tc>
          <w:tcPr>
            <w:tcW w:w="1010" w:type="dxa"/>
            <w:tcBorders>
              <w:top w:val="single" w:color="000000" w:sz="6" w:space="0"/>
              <w:left w:val="single" w:color="000000" w:sz="6" w:space="0"/>
              <w:bottom w:val="single" w:color="000000" w:sz="6" w:space="0"/>
              <w:right w:val="single" w:color="000000" w:sz="6" w:space="0"/>
            </w:tcBorders>
            <w:vAlign w:val="center"/>
          </w:tcPr>
          <w:p w14:paraId="12A401DD">
            <w:pPr>
              <w:widowControl/>
              <w:wordWrap w:val="0"/>
              <w:jc w:val="center"/>
              <w:rPr>
                <w:rFonts w:hint="eastAsia" w:ascii="宋体" w:hAnsi="宋体" w:cs="宋体"/>
                <w:kern w:val="0"/>
                <w:sz w:val="24"/>
                <w:highlight w:val="none"/>
              </w:rPr>
            </w:pPr>
            <w:r>
              <w:rPr>
                <w:rFonts w:hint="eastAsia" w:ascii="宋体" w:hAnsi="宋体" w:cs="宋体"/>
                <w:kern w:val="0"/>
                <w:sz w:val="24"/>
                <w:highlight w:val="none"/>
                <w:lang w:val="en-US" w:eastAsia="zh-CN"/>
              </w:rPr>
              <w:t>10.12</w:t>
            </w:r>
          </w:p>
        </w:tc>
        <w:tc>
          <w:tcPr>
            <w:tcW w:w="2119" w:type="dxa"/>
            <w:tcBorders>
              <w:top w:val="single" w:color="000000" w:sz="6" w:space="0"/>
              <w:left w:val="single" w:color="000000" w:sz="6" w:space="0"/>
              <w:bottom w:val="single" w:color="000000" w:sz="6" w:space="0"/>
              <w:right w:val="single" w:color="auto" w:sz="4" w:space="0"/>
            </w:tcBorders>
            <w:vAlign w:val="center"/>
          </w:tcPr>
          <w:p w14:paraId="67EFE684">
            <w:pPr>
              <w:widowControl/>
              <w:jc w:val="center"/>
              <w:rPr>
                <w:rFonts w:hint="eastAsia" w:ascii="宋体" w:hAnsi="宋体" w:cs="宋体"/>
                <w:sz w:val="24"/>
                <w:highlight w:val="none"/>
              </w:rPr>
            </w:pPr>
            <w:r>
              <w:rPr>
                <w:rFonts w:hint="eastAsia" w:ascii="宋体" w:hAnsi="宋体" w:cs="宋体"/>
                <w:sz w:val="24"/>
                <w:highlight w:val="none"/>
              </w:rPr>
              <w:t>小型和微型企业服务的审查</w:t>
            </w:r>
          </w:p>
        </w:tc>
        <w:tc>
          <w:tcPr>
            <w:tcW w:w="6340" w:type="dxa"/>
            <w:tcBorders>
              <w:top w:val="single" w:color="auto" w:sz="4" w:space="0"/>
              <w:left w:val="single" w:color="auto" w:sz="4" w:space="0"/>
              <w:bottom w:val="single" w:color="auto" w:sz="4" w:space="0"/>
              <w:right w:val="single" w:color="auto" w:sz="4" w:space="0"/>
            </w:tcBorders>
            <w:vAlign w:val="center"/>
          </w:tcPr>
          <w:p w14:paraId="334F144D">
            <w:pPr>
              <w:widowControl/>
              <w:rPr>
                <w:rFonts w:hint="eastAsia" w:ascii="宋体" w:hAnsi="宋体" w:cs="宋体"/>
                <w:sz w:val="24"/>
                <w:highlight w:val="none"/>
                <w:lang w:eastAsia="zh-CN"/>
              </w:rPr>
            </w:pPr>
            <w:r>
              <w:rPr>
                <w:rFonts w:hint="eastAsia" w:ascii="宋体" w:hAnsi="宋体" w:cs="宋体"/>
                <w:sz w:val="24"/>
                <w:highlight w:val="none"/>
              </w:rPr>
              <w:t>本项目专门面向中小企业（注：监狱企业、残疾人福利性单位视同小型或微型企业）预留份额采购</w:t>
            </w:r>
            <w:r>
              <w:rPr>
                <w:rFonts w:hint="eastAsia" w:ascii="宋体" w:hAnsi="宋体" w:cs="宋体"/>
                <w:sz w:val="24"/>
                <w:highlight w:val="none"/>
                <w:lang w:eastAsia="zh-CN"/>
              </w:rPr>
              <w:t>。</w:t>
            </w:r>
          </w:p>
          <w:p w14:paraId="3A47CD4F">
            <w:pPr>
              <w:widowControl/>
              <w:rPr>
                <w:rFonts w:hint="eastAsia" w:ascii="宋体" w:hAnsi="宋体" w:eastAsia="宋体" w:cs="宋体"/>
                <w:b/>
                <w:bCs/>
                <w:sz w:val="24"/>
                <w:highlight w:val="none"/>
                <w:lang w:val="en-US" w:eastAsia="zh-CN"/>
              </w:rPr>
            </w:pPr>
            <w:r>
              <w:rPr>
                <w:rFonts w:hint="eastAsia" w:ascii="宋体" w:hAnsi="宋体" w:cs="宋体"/>
                <w:sz w:val="24"/>
                <w:highlight w:val="none"/>
              </w:rPr>
              <w:t>按照《政府采购促进中小企业发展管理办法》（财库﹝2020﹞46号）</w:t>
            </w:r>
            <w:r>
              <w:rPr>
                <w:rFonts w:hint="eastAsia" w:ascii="宋体" w:hAnsi="宋体" w:cs="宋体"/>
                <w:sz w:val="24"/>
                <w:highlight w:val="none"/>
                <w:lang w:val="en-US" w:eastAsia="zh-CN"/>
              </w:rPr>
              <w:t>执行。</w:t>
            </w:r>
          </w:p>
          <w:p w14:paraId="6D0FB4F1">
            <w:pPr>
              <w:widowControl/>
              <w:rPr>
                <w:rFonts w:ascii="宋体" w:hAnsi="宋体" w:cs="宋体"/>
                <w:b/>
                <w:bCs/>
                <w:sz w:val="24"/>
                <w:highlight w:val="none"/>
              </w:rPr>
            </w:pPr>
            <w:r>
              <w:rPr>
                <w:rFonts w:hint="eastAsia" w:ascii="宋体" w:hAnsi="宋体" w:cs="宋体"/>
                <w:b/>
                <w:bCs/>
                <w:sz w:val="24"/>
                <w:highlight w:val="none"/>
              </w:rPr>
              <w:t>不符合（财库﹝2020﹞46号）规定的均不予扣除价格。</w:t>
            </w:r>
          </w:p>
          <w:p w14:paraId="6D3612E1">
            <w:pPr>
              <w:widowControl/>
              <w:rPr>
                <w:rFonts w:hint="default" w:ascii="宋体" w:hAnsi="宋体" w:eastAsia="宋体" w:cs="宋体"/>
                <w:sz w:val="24"/>
                <w:highlight w:val="none"/>
                <w:lang w:val="en-US" w:eastAsia="zh-CN"/>
              </w:rPr>
            </w:pPr>
            <w:r>
              <w:rPr>
                <w:rFonts w:hint="eastAsia" w:ascii="宋体" w:hAnsi="宋体" w:cs="宋体"/>
                <w:sz w:val="24"/>
                <w:highlight w:val="none"/>
              </w:rPr>
              <w:t>根据国家统计局《统计上大中小微型企业划分办法（2017）》规定的划分标准</w:t>
            </w:r>
            <w:r>
              <w:rPr>
                <w:rFonts w:hint="eastAsia" w:ascii="宋体" w:hAnsi="宋体" w:cs="宋体"/>
                <w:sz w:val="24"/>
                <w:highlight w:val="none"/>
                <w:lang w:eastAsia="zh-CN"/>
              </w:rPr>
              <w:t>，</w:t>
            </w:r>
            <w:r>
              <w:rPr>
                <w:rFonts w:hint="eastAsia" w:ascii="宋体" w:hAnsi="宋体" w:cs="宋体"/>
                <w:sz w:val="24"/>
                <w:highlight w:val="none"/>
                <w:lang w:val="en-US" w:eastAsia="zh-CN"/>
              </w:rPr>
              <w:t>本项目各标段/包号对应行业由供应商根据自身对应行业填写。</w:t>
            </w:r>
          </w:p>
        </w:tc>
      </w:tr>
    </w:tbl>
    <w:p w14:paraId="08B09E22">
      <w:pPr>
        <w:keepNext/>
        <w:widowControl/>
        <w:ind w:left="597" w:hanging="597" w:hangingChars="199"/>
        <w:jc w:val="center"/>
        <w:outlineLvl w:val="1"/>
        <w:rPr>
          <w:rFonts w:ascii="宋体" w:hAnsi="宋体" w:cs="宋体"/>
          <w:b/>
          <w:bCs/>
          <w:iCs/>
          <w:kern w:val="0"/>
          <w:sz w:val="24"/>
          <w:highlight w:val="none"/>
          <w:lang w:bidi="en-US"/>
        </w:rPr>
      </w:pPr>
      <w:r>
        <w:rPr>
          <w:sz w:val="30"/>
          <w:szCs w:val="30"/>
          <w:highlight w:val="none"/>
        </w:rPr>
        <w:br w:type="page"/>
      </w:r>
      <w:bookmarkEnd w:id="56"/>
      <w:bookmarkStart w:id="57" w:name="_Toc404289691"/>
      <w:bookmarkStart w:id="58" w:name="_Toc395964993"/>
      <w:bookmarkStart w:id="59" w:name="_Toc15184"/>
      <w:bookmarkStart w:id="60" w:name="_Toc472411358"/>
      <w:bookmarkStart w:id="61" w:name="_Toc12609"/>
      <w:bookmarkStart w:id="62" w:name="_Toc472411515"/>
      <w:bookmarkStart w:id="63" w:name="_Toc12037"/>
      <w:bookmarkStart w:id="64" w:name="_Toc184635071"/>
      <w:r>
        <w:rPr>
          <w:rFonts w:hint="eastAsia" w:ascii="宋体" w:hAnsi="宋体" w:cs="宋体"/>
          <w:b/>
          <w:bCs/>
          <w:iCs/>
          <w:kern w:val="0"/>
          <w:sz w:val="28"/>
          <w:szCs w:val="28"/>
          <w:highlight w:val="none"/>
          <w:lang w:bidi="en-US"/>
        </w:rPr>
        <w:t>二、投标须知正文</w:t>
      </w:r>
      <w:bookmarkEnd w:id="57"/>
      <w:bookmarkEnd w:id="58"/>
      <w:bookmarkEnd w:id="59"/>
      <w:bookmarkEnd w:id="60"/>
      <w:bookmarkEnd w:id="61"/>
      <w:bookmarkEnd w:id="62"/>
      <w:bookmarkEnd w:id="63"/>
    </w:p>
    <w:p w14:paraId="7AAF3652">
      <w:pPr>
        <w:pStyle w:val="5"/>
        <w:widowControl/>
        <w:numPr>
          <w:ilvl w:val="0"/>
          <w:numId w:val="0"/>
        </w:numPr>
        <w:spacing w:before="0"/>
        <w:jc w:val="left"/>
        <w:rPr>
          <w:rFonts w:ascii="宋体" w:hAnsi="宋体" w:eastAsia="宋体" w:cs="宋体"/>
          <w:sz w:val="24"/>
          <w:szCs w:val="24"/>
          <w:highlight w:val="none"/>
          <w:lang w:bidi="en-US"/>
        </w:rPr>
      </w:pPr>
      <w:bookmarkStart w:id="65" w:name="_Toc8976"/>
      <w:bookmarkStart w:id="66" w:name="_Toc15418"/>
      <w:bookmarkStart w:id="67" w:name="_Toc472411516"/>
      <w:bookmarkStart w:id="68" w:name="_Toc17432"/>
      <w:bookmarkStart w:id="69" w:name="_Toc472411359"/>
      <w:r>
        <w:rPr>
          <w:rFonts w:hint="eastAsia" w:ascii="宋体" w:hAnsi="宋体" w:eastAsia="宋体" w:cs="宋体"/>
          <w:sz w:val="24"/>
          <w:szCs w:val="24"/>
          <w:highlight w:val="none"/>
          <w:lang w:bidi="en-US"/>
        </w:rPr>
        <w:t>1. 总则</w:t>
      </w:r>
      <w:bookmarkEnd w:id="64"/>
      <w:bookmarkEnd w:id="65"/>
      <w:bookmarkEnd w:id="66"/>
      <w:bookmarkEnd w:id="67"/>
      <w:bookmarkEnd w:id="68"/>
      <w:bookmarkEnd w:id="69"/>
    </w:p>
    <w:p w14:paraId="2EC3DBEE">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0" w:name="_Toc472411360"/>
      <w:r>
        <w:rPr>
          <w:rFonts w:hint="eastAsia" w:ascii="宋体" w:hAnsi="宋体" w:eastAsia="宋体" w:cs="宋体"/>
          <w:sz w:val="24"/>
          <w:szCs w:val="24"/>
          <w:highlight w:val="none"/>
          <w:lang w:bidi="en-US"/>
        </w:rPr>
        <w:t>1.1 项目概况</w:t>
      </w:r>
      <w:bookmarkEnd w:id="70"/>
    </w:p>
    <w:p w14:paraId="2AD901EB">
      <w:pPr>
        <w:ind w:firstLine="480" w:firstLineChars="200"/>
        <w:rPr>
          <w:rFonts w:ascii="宋体" w:hAnsi="宋体" w:cs="宋体"/>
          <w:sz w:val="24"/>
          <w:highlight w:val="none"/>
        </w:rPr>
      </w:pPr>
      <w:r>
        <w:rPr>
          <w:rFonts w:hint="eastAsia" w:ascii="宋体" w:hAnsi="宋体" w:cs="宋体"/>
          <w:sz w:val="24"/>
          <w:highlight w:val="none"/>
        </w:rPr>
        <w:t>1.1.1 根据《中华人民共和国政府采购法》《中华人民共和国政府采购法实施条例》《政府采购货物和服务招投标管理办法[财政部令87号]》等有关法律法规和规章的规定，本招标项目已具备招标条件，现对本项目进行公开招标。</w:t>
      </w:r>
    </w:p>
    <w:p w14:paraId="622B60A5">
      <w:pPr>
        <w:ind w:firstLine="480" w:firstLineChars="200"/>
        <w:rPr>
          <w:rFonts w:ascii="宋体" w:hAnsi="宋体" w:cs="宋体"/>
          <w:sz w:val="24"/>
          <w:highlight w:val="none"/>
        </w:rPr>
      </w:pPr>
      <w:r>
        <w:rPr>
          <w:rFonts w:hint="eastAsia" w:ascii="宋体" w:hAnsi="宋体" w:cs="宋体"/>
          <w:sz w:val="24"/>
          <w:highlight w:val="none"/>
        </w:rPr>
        <w:t>1.1.2 本招标项目采购人：见供应商须知前附表。</w:t>
      </w:r>
    </w:p>
    <w:p w14:paraId="352796B3">
      <w:pPr>
        <w:ind w:firstLine="480" w:firstLineChars="200"/>
        <w:rPr>
          <w:rFonts w:ascii="宋体" w:hAnsi="宋体" w:cs="宋体"/>
          <w:sz w:val="24"/>
          <w:highlight w:val="none"/>
        </w:rPr>
      </w:pPr>
      <w:r>
        <w:rPr>
          <w:rFonts w:hint="eastAsia" w:ascii="宋体" w:hAnsi="宋体" w:cs="宋体"/>
          <w:sz w:val="24"/>
          <w:highlight w:val="none"/>
        </w:rPr>
        <w:t>1.1.3 本招标项目采购代理机构：见供应商须知前附表。</w:t>
      </w:r>
    </w:p>
    <w:p w14:paraId="4ACD1510">
      <w:pPr>
        <w:ind w:firstLine="480" w:firstLineChars="200"/>
        <w:rPr>
          <w:rFonts w:ascii="宋体" w:hAnsi="宋体" w:cs="宋体"/>
          <w:sz w:val="24"/>
          <w:highlight w:val="none"/>
        </w:rPr>
      </w:pPr>
      <w:r>
        <w:rPr>
          <w:rFonts w:hint="eastAsia" w:ascii="宋体" w:hAnsi="宋体" w:cs="宋体"/>
          <w:sz w:val="24"/>
          <w:highlight w:val="none"/>
        </w:rPr>
        <w:t>1.1.4 本招标项目名称：见供应商须知前附表。</w:t>
      </w:r>
    </w:p>
    <w:p w14:paraId="38ADDDF4">
      <w:pPr>
        <w:ind w:firstLine="480" w:firstLineChars="200"/>
        <w:rPr>
          <w:rFonts w:ascii="宋体" w:hAnsi="宋体" w:cs="宋体"/>
          <w:sz w:val="24"/>
          <w:highlight w:val="none"/>
        </w:rPr>
      </w:pPr>
      <w:r>
        <w:rPr>
          <w:rFonts w:hint="eastAsia" w:ascii="宋体" w:hAnsi="宋体" w:cs="宋体"/>
          <w:sz w:val="24"/>
          <w:highlight w:val="none"/>
        </w:rPr>
        <w:t>1.1.5 本招标项目的项目地点：见供应商须知前附表。</w:t>
      </w:r>
    </w:p>
    <w:p w14:paraId="0128BD00">
      <w:pPr>
        <w:ind w:firstLine="480" w:firstLineChars="200"/>
        <w:rPr>
          <w:rFonts w:ascii="宋体" w:hAnsi="宋体" w:cs="宋体"/>
          <w:sz w:val="24"/>
          <w:highlight w:val="none"/>
        </w:rPr>
      </w:pPr>
      <w:r>
        <w:rPr>
          <w:rFonts w:hint="eastAsia" w:ascii="宋体" w:hAnsi="宋体" w:cs="宋体"/>
          <w:sz w:val="24"/>
          <w:highlight w:val="none"/>
        </w:rPr>
        <w:t>1.1.6 本招标项目</w:t>
      </w:r>
      <w:r>
        <w:rPr>
          <w:rFonts w:hint="eastAsia" w:ascii="宋体" w:hAnsi="宋体" w:cs="宋体"/>
          <w:kern w:val="0"/>
          <w:sz w:val="24"/>
          <w:highlight w:val="none"/>
        </w:rPr>
        <w:t>预算金额</w:t>
      </w:r>
      <w:r>
        <w:rPr>
          <w:rFonts w:hint="eastAsia" w:ascii="宋体" w:hAnsi="宋体" w:cs="宋体"/>
          <w:sz w:val="24"/>
          <w:highlight w:val="none"/>
        </w:rPr>
        <w:t>：见供应商须知前附表。</w:t>
      </w:r>
    </w:p>
    <w:p w14:paraId="12E756EF">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1" w:name="_Toc472411361"/>
      <w:r>
        <w:rPr>
          <w:rFonts w:hint="eastAsia" w:ascii="宋体" w:hAnsi="宋体" w:eastAsia="宋体" w:cs="宋体"/>
          <w:sz w:val="24"/>
          <w:szCs w:val="24"/>
          <w:highlight w:val="none"/>
          <w:lang w:bidi="en-US"/>
        </w:rPr>
        <w:t>1.2 资金来源和落实情况</w:t>
      </w:r>
      <w:bookmarkEnd w:id="71"/>
    </w:p>
    <w:p w14:paraId="4FFECF90">
      <w:pPr>
        <w:ind w:firstLine="480" w:firstLineChars="200"/>
        <w:rPr>
          <w:rFonts w:ascii="宋体" w:hAnsi="宋体" w:cs="宋体"/>
          <w:sz w:val="24"/>
          <w:highlight w:val="none"/>
        </w:rPr>
      </w:pPr>
      <w:r>
        <w:rPr>
          <w:rFonts w:hint="eastAsia" w:ascii="宋体" w:hAnsi="宋体" w:cs="宋体"/>
          <w:sz w:val="24"/>
          <w:highlight w:val="none"/>
        </w:rPr>
        <w:t>1.2.1 本招标项目的资金来源：见供应商须知前附表。</w:t>
      </w:r>
    </w:p>
    <w:p w14:paraId="7D6DAA40">
      <w:pPr>
        <w:ind w:firstLine="480" w:firstLineChars="200"/>
        <w:rPr>
          <w:rFonts w:ascii="宋体" w:hAnsi="宋体" w:cs="宋体"/>
          <w:sz w:val="24"/>
          <w:highlight w:val="none"/>
        </w:rPr>
      </w:pPr>
      <w:r>
        <w:rPr>
          <w:rFonts w:hint="eastAsia" w:ascii="宋体" w:hAnsi="宋体" w:cs="宋体"/>
          <w:sz w:val="24"/>
          <w:highlight w:val="none"/>
        </w:rPr>
        <w:t>1.2.2 本招标项目的出资比例：见供应商须知前附表。</w:t>
      </w:r>
    </w:p>
    <w:p w14:paraId="73296729">
      <w:pPr>
        <w:ind w:firstLine="480" w:firstLineChars="200"/>
        <w:rPr>
          <w:rFonts w:ascii="宋体" w:hAnsi="宋体" w:cs="宋体"/>
          <w:sz w:val="24"/>
          <w:highlight w:val="none"/>
        </w:rPr>
      </w:pPr>
      <w:r>
        <w:rPr>
          <w:rFonts w:hint="eastAsia" w:ascii="宋体" w:hAnsi="宋体" w:cs="宋体"/>
          <w:sz w:val="24"/>
          <w:highlight w:val="none"/>
        </w:rPr>
        <w:t>1.2.3 本招标项目的资金落实情况：见供应商须知前附表。</w:t>
      </w:r>
    </w:p>
    <w:p w14:paraId="1667914C">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2" w:name="_Toc472411362"/>
      <w:r>
        <w:rPr>
          <w:rFonts w:hint="eastAsia" w:ascii="宋体" w:hAnsi="宋体" w:eastAsia="宋体" w:cs="宋体"/>
          <w:sz w:val="24"/>
          <w:szCs w:val="24"/>
          <w:highlight w:val="none"/>
          <w:lang w:bidi="en-US"/>
        </w:rPr>
        <w:t>1.3 采购需求、合同履行期限、质量要求和标段划分</w:t>
      </w:r>
      <w:bookmarkEnd w:id="72"/>
    </w:p>
    <w:p w14:paraId="1E3DDEC3">
      <w:pPr>
        <w:ind w:firstLine="480" w:firstLineChars="200"/>
        <w:rPr>
          <w:rFonts w:ascii="宋体" w:hAnsi="宋体" w:cs="宋体"/>
          <w:sz w:val="24"/>
          <w:highlight w:val="none"/>
        </w:rPr>
      </w:pPr>
      <w:r>
        <w:rPr>
          <w:rFonts w:hint="eastAsia" w:ascii="宋体" w:hAnsi="宋体" w:cs="宋体"/>
          <w:sz w:val="24"/>
          <w:highlight w:val="none"/>
        </w:rPr>
        <w:t>1.3.1 本招标项目的采购需求：见供应商须知前附表。</w:t>
      </w:r>
    </w:p>
    <w:p w14:paraId="4697A3A0">
      <w:pPr>
        <w:ind w:firstLine="480" w:firstLineChars="200"/>
        <w:rPr>
          <w:rFonts w:ascii="宋体" w:hAnsi="宋体" w:cs="宋体"/>
          <w:sz w:val="24"/>
          <w:highlight w:val="none"/>
        </w:rPr>
      </w:pPr>
      <w:r>
        <w:rPr>
          <w:rFonts w:hint="eastAsia" w:ascii="宋体" w:hAnsi="宋体" w:cs="宋体"/>
          <w:sz w:val="24"/>
          <w:highlight w:val="none"/>
        </w:rPr>
        <w:t>1.3.2 本招标项目的</w:t>
      </w:r>
      <w:r>
        <w:rPr>
          <w:rFonts w:hint="eastAsia" w:ascii="宋体" w:hAnsi="宋体" w:cs="宋体"/>
          <w:sz w:val="24"/>
          <w:highlight w:val="none"/>
          <w:lang w:bidi="en-US"/>
        </w:rPr>
        <w:t>合同履行期限</w:t>
      </w:r>
      <w:r>
        <w:rPr>
          <w:rFonts w:hint="eastAsia" w:ascii="宋体" w:hAnsi="宋体" w:cs="宋体"/>
          <w:sz w:val="24"/>
          <w:highlight w:val="none"/>
        </w:rPr>
        <w:t>：见供应商须知前附表。</w:t>
      </w:r>
    </w:p>
    <w:p w14:paraId="426D0139">
      <w:pPr>
        <w:ind w:firstLine="480" w:firstLineChars="200"/>
        <w:rPr>
          <w:rFonts w:ascii="宋体" w:hAnsi="宋体" w:cs="宋体"/>
          <w:sz w:val="24"/>
          <w:highlight w:val="none"/>
        </w:rPr>
      </w:pPr>
      <w:r>
        <w:rPr>
          <w:rFonts w:hint="eastAsia" w:ascii="宋体" w:hAnsi="宋体" w:cs="宋体"/>
          <w:sz w:val="24"/>
          <w:highlight w:val="none"/>
        </w:rPr>
        <w:t>1.3.3 本招标项目的质量要求：见供应商须知前附表。</w:t>
      </w:r>
    </w:p>
    <w:p w14:paraId="6AD4C836">
      <w:pPr>
        <w:ind w:firstLine="480" w:firstLineChars="200"/>
        <w:rPr>
          <w:rFonts w:ascii="宋体" w:hAnsi="宋体" w:cs="宋体"/>
          <w:sz w:val="24"/>
          <w:highlight w:val="none"/>
        </w:rPr>
      </w:pPr>
      <w:r>
        <w:rPr>
          <w:rFonts w:hint="eastAsia" w:ascii="宋体" w:hAnsi="宋体" w:cs="宋体"/>
          <w:sz w:val="24"/>
          <w:highlight w:val="none"/>
        </w:rPr>
        <w:t>1.3.4 本招标项目的标段划分：见供应商须知前附表。</w:t>
      </w:r>
    </w:p>
    <w:p w14:paraId="0011BE07">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3" w:name="_Toc472411363"/>
      <w:r>
        <w:rPr>
          <w:rFonts w:hint="eastAsia" w:ascii="宋体" w:hAnsi="宋体" w:eastAsia="宋体" w:cs="宋体"/>
          <w:sz w:val="24"/>
          <w:szCs w:val="24"/>
          <w:highlight w:val="none"/>
          <w:lang w:bidi="en-US"/>
        </w:rPr>
        <w:t>1.4 供应商资格要求</w:t>
      </w:r>
      <w:bookmarkEnd w:id="73"/>
    </w:p>
    <w:p w14:paraId="43B3B024">
      <w:pPr>
        <w:ind w:firstLine="484" w:firstLineChars="202"/>
        <w:rPr>
          <w:rFonts w:ascii="宋体" w:hAnsi="宋体" w:cs="宋体"/>
          <w:sz w:val="24"/>
          <w:highlight w:val="none"/>
        </w:rPr>
      </w:pPr>
      <w:r>
        <w:rPr>
          <w:rFonts w:hint="eastAsia" w:ascii="宋体" w:hAnsi="宋体" w:cs="宋体"/>
          <w:sz w:val="24"/>
          <w:highlight w:val="none"/>
        </w:rPr>
        <w:t>1.4.1 供应商的资质条件、能力和信誉：见供应商须知前附表。</w:t>
      </w:r>
    </w:p>
    <w:p w14:paraId="5F792540">
      <w:pPr>
        <w:ind w:firstLine="484" w:firstLineChars="202"/>
        <w:rPr>
          <w:rFonts w:ascii="宋体" w:hAnsi="宋体" w:cs="宋体"/>
          <w:sz w:val="24"/>
          <w:highlight w:val="none"/>
        </w:rPr>
      </w:pPr>
      <w:r>
        <w:rPr>
          <w:rFonts w:hint="eastAsia" w:ascii="宋体" w:hAnsi="宋体" w:cs="宋体"/>
          <w:sz w:val="24"/>
          <w:highlight w:val="none"/>
        </w:rPr>
        <w:t>1.4.2 供应商不得存在下列情形之一：</w:t>
      </w:r>
    </w:p>
    <w:p w14:paraId="4596FD5D">
      <w:pPr>
        <w:ind w:firstLine="484" w:firstLineChars="202"/>
        <w:rPr>
          <w:rFonts w:ascii="宋体" w:hAnsi="宋体" w:cs="宋体"/>
          <w:sz w:val="24"/>
          <w:highlight w:val="none"/>
        </w:rPr>
      </w:pPr>
      <w:r>
        <w:rPr>
          <w:rFonts w:hint="eastAsia" w:ascii="宋体" w:hAnsi="宋体" w:cs="宋体"/>
          <w:sz w:val="24"/>
          <w:highlight w:val="none"/>
        </w:rPr>
        <w:t>（1）为采购人不具有独立法人资格的附属机构（单位）；</w:t>
      </w:r>
    </w:p>
    <w:p w14:paraId="4C82AEF4">
      <w:pPr>
        <w:ind w:firstLine="484" w:firstLineChars="202"/>
        <w:rPr>
          <w:rFonts w:ascii="宋体" w:hAnsi="宋体" w:cs="宋体"/>
          <w:sz w:val="24"/>
          <w:highlight w:val="none"/>
        </w:rPr>
      </w:pPr>
      <w:r>
        <w:rPr>
          <w:rFonts w:hint="eastAsia" w:ascii="宋体" w:hAnsi="宋体" w:cs="宋体"/>
          <w:sz w:val="24"/>
          <w:highlight w:val="none"/>
        </w:rPr>
        <w:t xml:space="preserve">（2）为本招标项目提供采购代理服务的； </w:t>
      </w:r>
    </w:p>
    <w:p w14:paraId="4C7E9C22">
      <w:pPr>
        <w:ind w:firstLine="484" w:firstLineChars="202"/>
        <w:rPr>
          <w:rFonts w:ascii="宋体" w:hAnsi="宋体" w:cs="宋体"/>
          <w:sz w:val="24"/>
          <w:highlight w:val="none"/>
        </w:rPr>
      </w:pPr>
      <w:r>
        <w:rPr>
          <w:rFonts w:hint="eastAsia" w:ascii="宋体" w:hAnsi="宋体" w:cs="宋体"/>
          <w:sz w:val="24"/>
          <w:highlight w:val="none"/>
        </w:rPr>
        <w:t xml:space="preserve">（3）被责令停业的； </w:t>
      </w:r>
    </w:p>
    <w:p w14:paraId="3038A7DC">
      <w:pPr>
        <w:ind w:firstLine="484" w:firstLineChars="202"/>
        <w:rPr>
          <w:rFonts w:ascii="宋体" w:hAnsi="宋体" w:cs="宋体"/>
          <w:sz w:val="24"/>
          <w:highlight w:val="none"/>
        </w:rPr>
      </w:pPr>
      <w:r>
        <w:rPr>
          <w:rFonts w:hint="eastAsia" w:ascii="宋体" w:hAnsi="宋体" w:cs="宋体"/>
          <w:sz w:val="24"/>
          <w:highlight w:val="none"/>
        </w:rPr>
        <w:t xml:space="preserve">（4）被暂停或取消投标资格的； </w:t>
      </w:r>
    </w:p>
    <w:p w14:paraId="088C5ECB">
      <w:pPr>
        <w:ind w:firstLine="484" w:firstLineChars="202"/>
        <w:rPr>
          <w:rFonts w:ascii="宋体" w:hAnsi="宋体" w:cs="宋体"/>
          <w:sz w:val="24"/>
          <w:highlight w:val="none"/>
        </w:rPr>
      </w:pPr>
      <w:r>
        <w:rPr>
          <w:rFonts w:hint="eastAsia" w:ascii="宋体" w:hAnsi="宋体" w:cs="宋体"/>
          <w:sz w:val="24"/>
          <w:highlight w:val="none"/>
        </w:rPr>
        <w:t>（5）财产被接管或冻结的；</w:t>
      </w:r>
    </w:p>
    <w:p w14:paraId="0C1D4A3F">
      <w:pPr>
        <w:ind w:firstLine="484" w:firstLineChars="202"/>
        <w:rPr>
          <w:rFonts w:ascii="宋体" w:hAnsi="宋体" w:cs="宋体"/>
          <w:sz w:val="24"/>
          <w:highlight w:val="none"/>
        </w:rPr>
      </w:pPr>
      <w:r>
        <w:rPr>
          <w:rFonts w:hint="eastAsia" w:ascii="宋体" w:hAnsi="宋体" w:cs="宋体"/>
          <w:sz w:val="24"/>
          <w:highlight w:val="none"/>
        </w:rPr>
        <w:t>（6）单位负责人为同一人或者存在控股、管理关系的不同单位，不得参加同一标段投标或者未划分标段的同一招标项目投标。</w:t>
      </w:r>
    </w:p>
    <w:p w14:paraId="5AB604B6">
      <w:pPr>
        <w:ind w:firstLine="480" w:firstLineChars="200"/>
        <w:rPr>
          <w:rFonts w:ascii="宋体" w:hAnsi="宋体" w:cs="宋体"/>
          <w:sz w:val="24"/>
          <w:highlight w:val="none"/>
        </w:rPr>
      </w:pPr>
      <w:r>
        <w:rPr>
          <w:rFonts w:hint="eastAsia" w:ascii="宋体" w:hAnsi="宋体" w:cs="宋体"/>
          <w:sz w:val="24"/>
          <w:highlight w:val="none"/>
        </w:rPr>
        <w:t>1.4.3 本项目是否接受联合体投标：见供应商须知前附表。</w:t>
      </w:r>
    </w:p>
    <w:p w14:paraId="13DFB24E">
      <w:pPr>
        <w:pStyle w:val="6"/>
        <w:widowControl/>
        <w:numPr>
          <w:ilvl w:val="0"/>
          <w:numId w:val="0"/>
        </w:numPr>
        <w:spacing w:before="0"/>
        <w:ind w:firstLine="480" w:firstLineChars="200"/>
        <w:jc w:val="left"/>
        <w:rPr>
          <w:rFonts w:ascii="宋体" w:hAnsi="宋体" w:eastAsia="宋体" w:cs="宋体"/>
          <w:sz w:val="24"/>
          <w:szCs w:val="24"/>
          <w:highlight w:val="none"/>
          <w:lang w:bidi="en-US"/>
        </w:rPr>
      </w:pPr>
      <w:bookmarkStart w:id="74" w:name="_Toc472411364"/>
      <w:r>
        <w:rPr>
          <w:rFonts w:hint="eastAsia" w:ascii="宋体" w:hAnsi="宋体" w:eastAsia="宋体" w:cs="宋体"/>
          <w:sz w:val="24"/>
          <w:szCs w:val="24"/>
          <w:highlight w:val="none"/>
          <w:lang w:bidi="en-US"/>
        </w:rPr>
        <w:t>1.5 费用承担</w:t>
      </w:r>
      <w:bookmarkEnd w:id="74"/>
    </w:p>
    <w:p w14:paraId="07C81B4D">
      <w:pPr>
        <w:ind w:firstLine="484" w:firstLineChars="202"/>
        <w:rPr>
          <w:rFonts w:ascii="宋体" w:hAnsi="宋体" w:cs="宋体"/>
          <w:sz w:val="24"/>
          <w:highlight w:val="none"/>
        </w:rPr>
      </w:pPr>
      <w:r>
        <w:rPr>
          <w:rFonts w:hint="eastAsia" w:ascii="宋体" w:hAnsi="宋体" w:cs="宋体"/>
          <w:sz w:val="24"/>
          <w:highlight w:val="none"/>
        </w:rPr>
        <w:t>1.5.1 供应商应承担其参加本次招标活动自身所发生的费用。</w:t>
      </w:r>
    </w:p>
    <w:p w14:paraId="22CC1EF5">
      <w:pPr>
        <w:ind w:firstLine="484" w:firstLineChars="202"/>
        <w:rPr>
          <w:rFonts w:ascii="宋体" w:hAnsi="宋体" w:cs="宋体"/>
          <w:sz w:val="24"/>
          <w:highlight w:val="none"/>
        </w:rPr>
      </w:pPr>
      <w:r>
        <w:rPr>
          <w:rFonts w:hint="eastAsia" w:ascii="宋体" w:hAnsi="宋体" w:cs="宋体"/>
          <w:sz w:val="24"/>
          <w:highlight w:val="none"/>
        </w:rPr>
        <w:t xml:space="preserve">1.5.2 </w:t>
      </w:r>
      <w:bookmarkStart w:id="75" w:name="_Toc472411365"/>
      <w:r>
        <w:rPr>
          <w:rStyle w:val="44"/>
          <w:rFonts w:hint="eastAsia" w:ascii="宋体" w:hAnsi="宋体" w:eastAsia="宋体" w:cs="宋体"/>
          <w:b w:val="0"/>
          <w:bCs w:val="0"/>
          <w:color w:val="auto"/>
          <w:sz w:val="24"/>
          <w:szCs w:val="24"/>
          <w:highlight w:val="none"/>
          <w:lang w:val="en-US" w:eastAsia="zh-CN"/>
        </w:rPr>
        <w:t>本次采购的代理费按照《招标代理服务收费管理暂行办法》（计价格〔2002〕1980号）的“招标代理服务收费标准”，优惠下浮23%收取，招标采购类别、合同执行优惠费率计算，计算后不足3000.00元的，按3000.00元结算。代理服务费在采购活动结束后，成交人在领取成交通知书时一次性缴纳给采购代理机构。</w:t>
      </w:r>
    </w:p>
    <w:p w14:paraId="0BCC6982">
      <w:pPr>
        <w:pStyle w:val="6"/>
        <w:widowControl/>
        <w:numPr>
          <w:ilvl w:val="0"/>
          <w:numId w:val="0"/>
        </w:numPr>
        <w:spacing w:before="0"/>
        <w:ind w:left="422" w:leftChars="201"/>
        <w:jc w:val="left"/>
        <w:rPr>
          <w:rFonts w:ascii="宋体" w:hAnsi="宋体" w:eastAsia="宋体" w:cs="宋体"/>
          <w:sz w:val="24"/>
          <w:szCs w:val="24"/>
          <w:highlight w:val="none"/>
          <w:lang w:bidi="en-US"/>
        </w:rPr>
      </w:pPr>
      <w:r>
        <w:rPr>
          <w:rFonts w:hint="eastAsia" w:ascii="宋体" w:hAnsi="宋体" w:eastAsia="宋体" w:cs="宋体"/>
          <w:sz w:val="24"/>
          <w:szCs w:val="24"/>
          <w:highlight w:val="none"/>
          <w:lang w:bidi="en-US"/>
        </w:rPr>
        <w:t>1.6 保密</w:t>
      </w:r>
      <w:bookmarkEnd w:id="75"/>
      <w:r>
        <w:rPr>
          <w:rFonts w:hint="eastAsia" w:ascii="宋体" w:hAnsi="宋体" w:eastAsia="宋体" w:cs="宋体"/>
          <w:sz w:val="24"/>
          <w:szCs w:val="24"/>
          <w:highlight w:val="none"/>
          <w:lang w:bidi="en-US"/>
        </w:rPr>
        <w:t xml:space="preserve"> </w:t>
      </w:r>
    </w:p>
    <w:p w14:paraId="3BF86529">
      <w:pPr>
        <w:ind w:firstLine="480" w:firstLineChars="200"/>
        <w:rPr>
          <w:rFonts w:ascii="宋体" w:hAnsi="宋体" w:cs="宋体"/>
          <w:sz w:val="24"/>
          <w:highlight w:val="none"/>
        </w:rPr>
      </w:pPr>
      <w:r>
        <w:rPr>
          <w:rFonts w:hint="eastAsia" w:ascii="宋体" w:hAnsi="宋体" w:cs="宋体"/>
          <w:sz w:val="24"/>
          <w:highlight w:val="none"/>
        </w:rPr>
        <w:t>参与招标投标活动的各方应对招标文件和投标文件中的商业和技术等秘密保密，违者应对由此造成的后果承担法律责任。</w:t>
      </w:r>
    </w:p>
    <w:p w14:paraId="434DB3EE">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6" w:name="_Toc472411366"/>
      <w:r>
        <w:rPr>
          <w:rFonts w:hint="eastAsia" w:ascii="宋体" w:hAnsi="宋体" w:eastAsia="宋体" w:cs="宋体"/>
          <w:sz w:val="24"/>
          <w:szCs w:val="24"/>
          <w:highlight w:val="none"/>
          <w:lang w:bidi="en-US"/>
        </w:rPr>
        <w:t>1.7 语言文字</w:t>
      </w:r>
      <w:bookmarkEnd w:id="76"/>
    </w:p>
    <w:p w14:paraId="16FC89BB">
      <w:pPr>
        <w:ind w:firstLine="480" w:firstLineChars="200"/>
        <w:rPr>
          <w:rFonts w:ascii="宋体" w:hAnsi="宋体" w:cs="宋体"/>
          <w:sz w:val="24"/>
          <w:highlight w:val="none"/>
        </w:rPr>
      </w:pPr>
      <w:r>
        <w:rPr>
          <w:rFonts w:hint="eastAsia" w:ascii="宋体" w:hAnsi="宋体" w:cs="宋体"/>
          <w:sz w:val="24"/>
          <w:highlight w:val="none"/>
        </w:rPr>
        <w:t>除专用术语外，与招标投标有关的语言均使用中文。必要时专用术语应附有中文注释。</w:t>
      </w:r>
    </w:p>
    <w:p w14:paraId="713C7D5C">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7" w:name="_Toc472411367"/>
      <w:r>
        <w:rPr>
          <w:rFonts w:hint="eastAsia" w:ascii="宋体" w:hAnsi="宋体" w:eastAsia="宋体" w:cs="宋体"/>
          <w:sz w:val="24"/>
          <w:szCs w:val="24"/>
          <w:highlight w:val="none"/>
          <w:lang w:bidi="en-US"/>
        </w:rPr>
        <w:t>1.8 计量单位</w:t>
      </w:r>
      <w:bookmarkEnd w:id="77"/>
    </w:p>
    <w:p w14:paraId="38A215A1">
      <w:pPr>
        <w:ind w:firstLine="480" w:firstLineChars="200"/>
        <w:rPr>
          <w:rFonts w:ascii="宋体" w:hAnsi="宋体" w:cs="宋体"/>
          <w:sz w:val="24"/>
          <w:highlight w:val="none"/>
        </w:rPr>
      </w:pPr>
      <w:r>
        <w:rPr>
          <w:rFonts w:hint="eastAsia" w:ascii="宋体" w:hAnsi="宋体" w:cs="宋体"/>
          <w:sz w:val="24"/>
          <w:highlight w:val="none"/>
        </w:rPr>
        <w:t>所有计量均采用中华人民共和国法定计量单位。</w:t>
      </w:r>
    </w:p>
    <w:p w14:paraId="3D2487D9">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8" w:name="_Toc472411368"/>
      <w:r>
        <w:rPr>
          <w:rFonts w:hint="eastAsia" w:ascii="宋体" w:hAnsi="宋体" w:eastAsia="宋体" w:cs="宋体"/>
          <w:sz w:val="24"/>
          <w:szCs w:val="24"/>
          <w:highlight w:val="none"/>
          <w:lang w:bidi="en-US"/>
        </w:rPr>
        <w:t>1.9 踏勘现场</w:t>
      </w:r>
      <w:bookmarkEnd w:id="78"/>
    </w:p>
    <w:p w14:paraId="3D7C58D0">
      <w:pPr>
        <w:ind w:firstLine="480" w:firstLineChars="200"/>
        <w:rPr>
          <w:rFonts w:ascii="宋体" w:hAnsi="宋体" w:cs="宋体"/>
          <w:sz w:val="24"/>
          <w:highlight w:val="none"/>
        </w:rPr>
      </w:pPr>
      <w:r>
        <w:rPr>
          <w:rFonts w:hint="eastAsia" w:ascii="宋体" w:hAnsi="宋体" w:cs="宋体"/>
          <w:sz w:val="24"/>
          <w:highlight w:val="none"/>
        </w:rPr>
        <w:t>1.9.1 供应商须知前附表规定组织踏勘现场的，采购人按供应商须知前附表规定的时间、地点组织供应商踏勘项目现场。</w:t>
      </w:r>
    </w:p>
    <w:p w14:paraId="6667FA41">
      <w:pPr>
        <w:ind w:firstLine="480" w:firstLineChars="200"/>
        <w:rPr>
          <w:rFonts w:ascii="宋体" w:hAnsi="宋体" w:cs="宋体"/>
          <w:sz w:val="24"/>
          <w:highlight w:val="none"/>
        </w:rPr>
      </w:pPr>
      <w:r>
        <w:rPr>
          <w:rFonts w:hint="eastAsia" w:ascii="宋体" w:hAnsi="宋体" w:cs="宋体"/>
          <w:sz w:val="24"/>
          <w:highlight w:val="none"/>
        </w:rPr>
        <w:t>1.9.2 供应商踏勘现场发生的费用自理。</w:t>
      </w:r>
    </w:p>
    <w:p w14:paraId="3DF86F86">
      <w:pPr>
        <w:ind w:firstLine="480" w:firstLineChars="200"/>
        <w:rPr>
          <w:rFonts w:ascii="宋体" w:hAnsi="宋体" w:cs="宋体"/>
          <w:sz w:val="24"/>
          <w:highlight w:val="none"/>
        </w:rPr>
      </w:pPr>
      <w:r>
        <w:rPr>
          <w:rFonts w:hint="eastAsia" w:ascii="宋体" w:hAnsi="宋体" w:cs="宋体"/>
          <w:sz w:val="24"/>
          <w:highlight w:val="none"/>
        </w:rPr>
        <w:t>1.9.3 除采购人的原因外，供应商自行负责在踏勘现场中所发生的人员伤亡和财产损失。</w:t>
      </w:r>
    </w:p>
    <w:p w14:paraId="7EDB2E55">
      <w:pPr>
        <w:ind w:firstLine="480" w:firstLineChars="200"/>
        <w:rPr>
          <w:rFonts w:ascii="宋体" w:hAnsi="宋体" w:cs="宋体"/>
          <w:sz w:val="24"/>
          <w:highlight w:val="none"/>
        </w:rPr>
      </w:pPr>
      <w:r>
        <w:rPr>
          <w:rFonts w:hint="eastAsia" w:ascii="宋体" w:hAnsi="宋体" w:cs="宋体"/>
          <w:sz w:val="24"/>
          <w:highlight w:val="none"/>
        </w:rPr>
        <w:t>1.9.4 供应商在踏勘现场了解的项目现场和相关的周边环境情况由供应商自行负责，采购人不对供应商据此作出的判断和决策负责。</w:t>
      </w:r>
    </w:p>
    <w:p w14:paraId="398D7E19">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79" w:name="_Toc472411369"/>
      <w:r>
        <w:rPr>
          <w:rFonts w:hint="eastAsia" w:ascii="宋体" w:hAnsi="宋体" w:eastAsia="宋体" w:cs="宋体"/>
          <w:sz w:val="24"/>
          <w:szCs w:val="24"/>
          <w:highlight w:val="none"/>
          <w:lang w:bidi="en-US"/>
        </w:rPr>
        <w:t>1.10 投标预备会</w:t>
      </w:r>
      <w:bookmarkEnd w:id="79"/>
    </w:p>
    <w:p w14:paraId="042B4B72">
      <w:pPr>
        <w:ind w:firstLine="480" w:firstLineChars="200"/>
        <w:rPr>
          <w:rFonts w:ascii="宋体" w:hAnsi="宋体" w:cs="宋体"/>
          <w:sz w:val="24"/>
          <w:highlight w:val="none"/>
        </w:rPr>
      </w:pPr>
      <w:bookmarkStart w:id="80" w:name="_Toc472411370"/>
      <w:r>
        <w:rPr>
          <w:rFonts w:hint="eastAsia" w:ascii="宋体" w:hAnsi="宋体" w:cs="宋体"/>
          <w:sz w:val="24"/>
          <w:highlight w:val="none"/>
        </w:rPr>
        <w:t>1.10.1 是否召开投标预备会：见供应商须知前附表。</w:t>
      </w:r>
    </w:p>
    <w:p w14:paraId="0BF9F709">
      <w:pPr>
        <w:ind w:firstLine="480" w:firstLineChars="200"/>
        <w:rPr>
          <w:rFonts w:ascii="宋体" w:hAnsi="宋体" w:cs="宋体"/>
          <w:sz w:val="24"/>
          <w:highlight w:val="none"/>
        </w:rPr>
      </w:pPr>
      <w:r>
        <w:rPr>
          <w:rFonts w:hint="eastAsia" w:ascii="宋体" w:hAnsi="宋体" w:cs="宋体"/>
          <w:sz w:val="24"/>
          <w:highlight w:val="none"/>
        </w:rPr>
        <w:t>1.10.2 供应商应在供应商须知前附表规定的时间前，以书面形式将提出的问题送达采购人，以便采购人在会议期间澄清。</w:t>
      </w:r>
    </w:p>
    <w:p w14:paraId="0F86C49A">
      <w:pPr>
        <w:ind w:firstLine="480" w:firstLineChars="200"/>
        <w:rPr>
          <w:rFonts w:ascii="宋体" w:hAnsi="宋体" w:cs="宋体"/>
          <w:sz w:val="24"/>
          <w:highlight w:val="none"/>
        </w:rPr>
      </w:pPr>
      <w:r>
        <w:rPr>
          <w:rFonts w:hint="eastAsia" w:ascii="宋体" w:hAnsi="宋体" w:cs="宋体"/>
          <w:sz w:val="24"/>
          <w:highlight w:val="none"/>
        </w:rPr>
        <w:t>1.10.3 投标预备会后，采购人在供应商须知前附表规定的时间内，将对供应商所提问题的澄清，以书面形式通知所有购买招标文件的供应商。该澄清内容为招标文件的组成部分。</w:t>
      </w:r>
    </w:p>
    <w:p w14:paraId="4031017E">
      <w:pPr>
        <w:ind w:firstLine="480" w:firstLineChars="200"/>
        <w:rPr>
          <w:rFonts w:ascii="宋体" w:hAnsi="宋体" w:cs="宋体"/>
          <w:sz w:val="24"/>
          <w:highlight w:val="none"/>
        </w:rPr>
      </w:pPr>
      <w:r>
        <w:rPr>
          <w:rFonts w:hint="eastAsia" w:ascii="宋体" w:hAnsi="宋体" w:cs="宋体"/>
          <w:sz w:val="24"/>
          <w:highlight w:val="none"/>
        </w:rPr>
        <w:t>1.10.4 澄清或者修改的内容可能影响投标文件编制的，采购人顺延提交投标文件的截止时间。</w:t>
      </w:r>
    </w:p>
    <w:p w14:paraId="3313056F">
      <w:pPr>
        <w:pStyle w:val="6"/>
        <w:widowControl/>
        <w:numPr>
          <w:ilvl w:val="0"/>
          <w:numId w:val="0"/>
        </w:numPr>
        <w:spacing w:before="0"/>
        <w:ind w:left="422" w:leftChars="201"/>
        <w:jc w:val="left"/>
        <w:rPr>
          <w:rFonts w:ascii="宋体" w:hAnsi="宋体" w:eastAsia="宋体" w:cs="宋体"/>
          <w:sz w:val="24"/>
          <w:szCs w:val="24"/>
          <w:highlight w:val="none"/>
          <w:lang w:bidi="en-US"/>
        </w:rPr>
      </w:pPr>
      <w:r>
        <w:rPr>
          <w:rFonts w:hint="eastAsia" w:ascii="宋体" w:hAnsi="宋体" w:eastAsia="宋体" w:cs="宋体"/>
          <w:sz w:val="24"/>
          <w:szCs w:val="24"/>
          <w:highlight w:val="none"/>
          <w:lang w:bidi="en-US"/>
        </w:rPr>
        <w:t>1.11 分包</w:t>
      </w:r>
      <w:bookmarkEnd w:id="80"/>
    </w:p>
    <w:p w14:paraId="7BC431D0">
      <w:pPr>
        <w:ind w:firstLine="480" w:firstLineChars="200"/>
        <w:rPr>
          <w:rFonts w:ascii="宋体" w:hAnsi="宋体" w:cs="宋体"/>
          <w:sz w:val="24"/>
          <w:highlight w:val="none"/>
        </w:rPr>
      </w:pPr>
      <w:r>
        <w:rPr>
          <w:rFonts w:hint="eastAsia" w:ascii="宋体" w:hAnsi="宋体" w:cs="宋体"/>
          <w:sz w:val="24"/>
          <w:highlight w:val="none"/>
        </w:rPr>
        <w:t>1.11.1 供应商拟在中标后将中标项目的部分工作进行分包的，应符合供应商须知前附表规定的分包内容、分包金额和资质等分包要求，除供应商须知前附表规定的部分工作外，其他工作不得分包。</w:t>
      </w:r>
    </w:p>
    <w:p w14:paraId="30B7E523">
      <w:pPr>
        <w:ind w:firstLine="480" w:firstLineChars="200"/>
        <w:rPr>
          <w:rFonts w:ascii="宋体" w:hAnsi="宋体" w:cs="宋体"/>
          <w:sz w:val="24"/>
          <w:highlight w:val="none"/>
        </w:rPr>
      </w:pPr>
      <w:r>
        <w:rPr>
          <w:rFonts w:hint="eastAsia" w:ascii="宋体" w:hAnsi="宋体" w:cs="宋体"/>
          <w:sz w:val="24"/>
          <w:highlight w:val="none"/>
        </w:rPr>
        <w:t>1.11.2 中标人不得向他人转让中标项目，接受分包的人不得再次分包。中标人应当就分包项目向采购人负责，接受分包的人就分包项目承担连带责任。</w:t>
      </w:r>
    </w:p>
    <w:p w14:paraId="19DE2AD6">
      <w:pPr>
        <w:pStyle w:val="6"/>
        <w:widowControl/>
        <w:numPr>
          <w:ilvl w:val="0"/>
          <w:numId w:val="0"/>
        </w:numPr>
        <w:spacing w:before="0"/>
        <w:ind w:left="422" w:leftChars="201"/>
        <w:jc w:val="left"/>
        <w:rPr>
          <w:rFonts w:ascii="宋体" w:hAnsi="宋体" w:eastAsia="宋体" w:cs="宋体"/>
          <w:sz w:val="24"/>
          <w:szCs w:val="24"/>
          <w:highlight w:val="none"/>
          <w:lang w:bidi="en-US"/>
        </w:rPr>
      </w:pPr>
      <w:bookmarkStart w:id="81" w:name="_Toc472411371"/>
      <w:r>
        <w:rPr>
          <w:rFonts w:hint="eastAsia" w:ascii="宋体" w:hAnsi="宋体" w:eastAsia="宋体" w:cs="宋体"/>
          <w:sz w:val="24"/>
          <w:szCs w:val="24"/>
          <w:highlight w:val="none"/>
          <w:lang w:bidi="en-US"/>
        </w:rPr>
        <w:t>1.12 偏离</w:t>
      </w:r>
      <w:bookmarkEnd w:id="81"/>
    </w:p>
    <w:p w14:paraId="7B1E1347">
      <w:pPr>
        <w:ind w:firstLine="480" w:firstLineChars="200"/>
        <w:rPr>
          <w:rFonts w:ascii="宋体" w:hAnsi="宋体" w:cs="宋体"/>
          <w:sz w:val="24"/>
          <w:highlight w:val="none"/>
        </w:rPr>
      </w:pPr>
      <w:r>
        <w:rPr>
          <w:rFonts w:hint="eastAsia" w:ascii="宋体" w:hAnsi="宋体" w:cs="宋体"/>
          <w:sz w:val="24"/>
          <w:highlight w:val="none"/>
        </w:rPr>
        <w:t>见供应商须知前附表。</w:t>
      </w:r>
    </w:p>
    <w:p w14:paraId="4BD68C32">
      <w:pPr>
        <w:pStyle w:val="5"/>
        <w:widowControl/>
        <w:numPr>
          <w:ilvl w:val="0"/>
          <w:numId w:val="0"/>
        </w:numPr>
        <w:spacing w:before="0"/>
        <w:ind w:left="422" w:leftChars="201"/>
        <w:jc w:val="left"/>
        <w:rPr>
          <w:rFonts w:ascii="宋体" w:hAnsi="宋体" w:eastAsia="宋体" w:cs="宋体"/>
          <w:sz w:val="24"/>
          <w:szCs w:val="24"/>
          <w:highlight w:val="none"/>
          <w:lang w:bidi="en-US"/>
        </w:rPr>
      </w:pPr>
      <w:bookmarkStart w:id="82" w:name="_Toc472411517"/>
      <w:bookmarkStart w:id="83" w:name="_Toc27825"/>
      <w:bookmarkStart w:id="84" w:name="_Toc184635072"/>
      <w:bookmarkStart w:id="85" w:name="_Toc472411372"/>
      <w:bookmarkStart w:id="86" w:name="_Toc8599"/>
      <w:bookmarkStart w:id="87" w:name="_Toc31821"/>
      <w:r>
        <w:rPr>
          <w:rFonts w:hint="eastAsia" w:ascii="宋体" w:hAnsi="宋体" w:eastAsia="宋体" w:cs="宋体"/>
          <w:sz w:val="24"/>
          <w:szCs w:val="24"/>
          <w:highlight w:val="none"/>
          <w:lang w:bidi="en-US"/>
        </w:rPr>
        <w:t>2.招标文件</w:t>
      </w:r>
      <w:bookmarkEnd w:id="82"/>
      <w:bookmarkEnd w:id="83"/>
      <w:bookmarkEnd w:id="84"/>
      <w:bookmarkEnd w:id="85"/>
      <w:bookmarkEnd w:id="86"/>
      <w:bookmarkEnd w:id="87"/>
    </w:p>
    <w:p w14:paraId="00CD2852">
      <w:pPr>
        <w:tabs>
          <w:tab w:val="left" w:pos="6874"/>
        </w:tabs>
        <w:adjustRightInd w:val="0"/>
        <w:ind w:firstLine="480" w:firstLineChars="200"/>
        <w:textAlignment w:val="baseline"/>
        <w:outlineLvl w:val="3"/>
        <w:rPr>
          <w:rFonts w:ascii="宋体" w:hAnsi="宋体" w:cs="宋体"/>
          <w:kern w:val="0"/>
          <w:sz w:val="24"/>
          <w:highlight w:val="none"/>
        </w:rPr>
      </w:pPr>
      <w:bookmarkStart w:id="88" w:name="_Toc472411373"/>
      <w:bookmarkStart w:id="89" w:name="_Toc472411377"/>
      <w:r>
        <w:rPr>
          <w:rFonts w:hint="eastAsia" w:ascii="宋体" w:hAnsi="宋体" w:cs="宋体"/>
          <w:kern w:val="0"/>
          <w:sz w:val="24"/>
          <w:highlight w:val="none"/>
        </w:rPr>
        <w:t>2.1 招标文件的组成</w:t>
      </w:r>
      <w:bookmarkEnd w:id="88"/>
    </w:p>
    <w:p w14:paraId="59907035">
      <w:pPr>
        <w:ind w:firstLine="480" w:firstLineChars="200"/>
        <w:rPr>
          <w:rFonts w:ascii="宋体" w:hAnsi="宋体" w:cs="宋体"/>
          <w:sz w:val="24"/>
          <w:highlight w:val="none"/>
        </w:rPr>
      </w:pPr>
      <w:r>
        <w:rPr>
          <w:rFonts w:hint="eastAsia" w:ascii="宋体" w:hAnsi="宋体" w:cs="宋体"/>
          <w:sz w:val="24"/>
          <w:highlight w:val="none"/>
        </w:rPr>
        <w:t>2.1.1本招标文件包括：</w:t>
      </w:r>
    </w:p>
    <w:p w14:paraId="152D97B8">
      <w:pPr>
        <w:ind w:firstLine="480" w:firstLineChars="200"/>
        <w:rPr>
          <w:rFonts w:ascii="宋体" w:hAnsi="宋体" w:cs="宋体"/>
          <w:sz w:val="24"/>
          <w:highlight w:val="none"/>
        </w:rPr>
      </w:pPr>
      <w:r>
        <w:rPr>
          <w:rFonts w:hint="eastAsia" w:ascii="宋体" w:hAnsi="宋体" w:cs="宋体"/>
          <w:sz w:val="24"/>
          <w:highlight w:val="none"/>
        </w:rPr>
        <w:t>（1）招标公告</w:t>
      </w:r>
    </w:p>
    <w:p w14:paraId="11223375">
      <w:pPr>
        <w:ind w:firstLine="480" w:firstLineChars="200"/>
        <w:rPr>
          <w:rFonts w:ascii="宋体" w:hAnsi="宋体" w:cs="宋体"/>
          <w:sz w:val="24"/>
          <w:highlight w:val="none"/>
        </w:rPr>
      </w:pPr>
      <w:r>
        <w:rPr>
          <w:rFonts w:hint="eastAsia" w:ascii="宋体" w:hAnsi="宋体" w:cs="宋体"/>
          <w:sz w:val="24"/>
          <w:highlight w:val="none"/>
        </w:rPr>
        <w:t>（2）供应商须知；</w:t>
      </w:r>
    </w:p>
    <w:p w14:paraId="681CB929">
      <w:pPr>
        <w:ind w:firstLine="480" w:firstLineChars="200"/>
        <w:rPr>
          <w:rFonts w:ascii="宋体" w:hAnsi="宋体" w:cs="宋体"/>
          <w:sz w:val="24"/>
          <w:highlight w:val="none"/>
        </w:rPr>
      </w:pPr>
      <w:r>
        <w:rPr>
          <w:rFonts w:hint="eastAsia" w:ascii="宋体" w:hAnsi="宋体" w:cs="宋体"/>
          <w:sz w:val="24"/>
          <w:highlight w:val="none"/>
        </w:rPr>
        <w:t>（3）合同书样式及主要条款；</w:t>
      </w:r>
    </w:p>
    <w:p w14:paraId="30F859CC">
      <w:pPr>
        <w:ind w:firstLine="480" w:firstLineChars="200"/>
        <w:rPr>
          <w:rFonts w:ascii="宋体" w:hAnsi="宋体" w:cs="宋体"/>
          <w:sz w:val="24"/>
          <w:highlight w:val="none"/>
        </w:rPr>
      </w:pPr>
      <w:r>
        <w:rPr>
          <w:rFonts w:hint="eastAsia" w:ascii="宋体" w:hAnsi="宋体" w:cs="宋体"/>
          <w:sz w:val="24"/>
          <w:highlight w:val="none"/>
        </w:rPr>
        <w:t>（4）投标文件格式；</w:t>
      </w:r>
    </w:p>
    <w:p w14:paraId="4299C345">
      <w:pPr>
        <w:ind w:firstLine="480" w:firstLineChars="200"/>
        <w:rPr>
          <w:rFonts w:ascii="宋体" w:hAnsi="宋体" w:cs="宋体"/>
          <w:sz w:val="24"/>
          <w:highlight w:val="none"/>
        </w:rPr>
      </w:pPr>
      <w:r>
        <w:rPr>
          <w:rFonts w:hint="eastAsia" w:ascii="宋体" w:hAnsi="宋体" w:cs="宋体"/>
          <w:sz w:val="24"/>
          <w:highlight w:val="none"/>
        </w:rPr>
        <w:t xml:space="preserve">（5）采购内容及要求； </w:t>
      </w:r>
    </w:p>
    <w:p w14:paraId="1FE517F1">
      <w:pPr>
        <w:ind w:firstLine="480" w:firstLineChars="200"/>
        <w:rPr>
          <w:rFonts w:ascii="宋体" w:hAnsi="宋体" w:cs="宋体"/>
          <w:sz w:val="24"/>
          <w:highlight w:val="none"/>
        </w:rPr>
      </w:pPr>
      <w:r>
        <w:rPr>
          <w:rFonts w:hint="eastAsia" w:ascii="宋体" w:hAnsi="宋体" w:cs="宋体"/>
          <w:sz w:val="24"/>
          <w:highlight w:val="none"/>
        </w:rPr>
        <w:t>（6）评标办法；</w:t>
      </w:r>
    </w:p>
    <w:p w14:paraId="32D44547">
      <w:pPr>
        <w:ind w:firstLine="480" w:firstLineChars="200"/>
        <w:rPr>
          <w:rFonts w:ascii="宋体" w:hAnsi="宋体" w:cs="宋体"/>
          <w:sz w:val="24"/>
          <w:highlight w:val="none"/>
        </w:rPr>
      </w:pPr>
      <w:r>
        <w:rPr>
          <w:rFonts w:hint="eastAsia" w:ascii="宋体" w:hAnsi="宋体" w:cs="宋体"/>
          <w:sz w:val="24"/>
          <w:highlight w:val="none"/>
        </w:rPr>
        <w:t>2.1.2 根据本章第1.10款、第2.2款和第2.3款对招标文件所作的澄清、修改，构成招标文件的组成部分。</w:t>
      </w:r>
    </w:p>
    <w:p w14:paraId="14728EA3">
      <w:pPr>
        <w:tabs>
          <w:tab w:val="left" w:pos="6874"/>
        </w:tabs>
        <w:adjustRightInd w:val="0"/>
        <w:ind w:firstLine="480" w:firstLineChars="200"/>
        <w:textAlignment w:val="baseline"/>
        <w:outlineLvl w:val="3"/>
        <w:rPr>
          <w:rFonts w:ascii="宋体" w:hAnsi="宋体" w:cs="宋体"/>
          <w:kern w:val="0"/>
          <w:sz w:val="24"/>
          <w:highlight w:val="none"/>
        </w:rPr>
      </w:pPr>
      <w:bookmarkStart w:id="90" w:name="_Toc472411374"/>
      <w:r>
        <w:rPr>
          <w:rFonts w:hint="eastAsia" w:ascii="宋体" w:hAnsi="宋体" w:cs="宋体"/>
          <w:kern w:val="0"/>
          <w:sz w:val="24"/>
          <w:highlight w:val="none"/>
        </w:rPr>
        <w:t>2.2 招标文件的澄清</w:t>
      </w:r>
      <w:bookmarkEnd w:id="90"/>
    </w:p>
    <w:p w14:paraId="09D6AE87">
      <w:pPr>
        <w:ind w:firstLine="480" w:firstLineChars="200"/>
        <w:rPr>
          <w:rFonts w:ascii="宋体" w:hAnsi="宋体" w:cs="宋体"/>
          <w:sz w:val="24"/>
          <w:highlight w:val="none"/>
        </w:rPr>
      </w:pPr>
      <w:r>
        <w:rPr>
          <w:rFonts w:hint="eastAsia" w:ascii="宋体" w:hAnsi="宋体" w:cs="宋体"/>
          <w:sz w:val="24"/>
          <w:highlight w:val="none"/>
        </w:rPr>
        <w:t>2.2.1 同1.10.2的时间要求</w:t>
      </w:r>
    </w:p>
    <w:p w14:paraId="0BF22413">
      <w:pPr>
        <w:ind w:firstLine="480" w:firstLineChars="200"/>
        <w:rPr>
          <w:rFonts w:ascii="宋体" w:hAnsi="宋体" w:cs="宋体"/>
          <w:sz w:val="24"/>
          <w:highlight w:val="none"/>
        </w:rPr>
      </w:pPr>
      <w:r>
        <w:rPr>
          <w:rFonts w:hint="eastAsia" w:ascii="宋体" w:hAnsi="宋体" w:cs="宋体"/>
          <w:sz w:val="24"/>
          <w:highlight w:val="none"/>
        </w:rPr>
        <w:t>提交投标文件截止时间前10日， 供应商应仔细阅读和检查招标文件的全部内容。如发现缺页或附件不全，应及时向采购人提出，以便补齐。如有疑问，应在供应商须知前附表规定的时间前在政采云平台（https</w:t>
      </w:r>
      <w:r>
        <w:rPr>
          <w:rFonts w:hint="eastAsia" w:ascii="宋体" w:hAnsi="宋体" w:cs="宋体"/>
          <w:sz w:val="24"/>
          <w:highlight w:val="none"/>
          <w:lang w:eastAsia="zh-CN"/>
        </w:rPr>
        <w:t>：</w:t>
      </w:r>
      <w:r>
        <w:rPr>
          <w:rFonts w:hint="eastAsia" w:ascii="宋体" w:hAnsi="宋体" w:cs="宋体"/>
          <w:sz w:val="24"/>
          <w:highlight w:val="none"/>
        </w:rPr>
        <w:t>//www.zcygov.cn/），要求采购人对招标文件予以澄清。</w:t>
      </w:r>
    </w:p>
    <w:p w14:paraId="635E94C3">
      <w:pPr>
        <w:ind w:firstLine="480" w:firstLineChars="200"/>
        <w:rPr>
          <w:rFonts w:ascii="宋体" w:hAnsi="宋体" w:cs="宋体"/>
          <w:sz w:val="24"/>
          <w:highlight w:val="none"/>
        </w:rPr>
      </w:pPr>
      <w:r>
        <w:rPr>
          <w:rFonts w:ascii="宋体" w:hAnsi="宋体"/>
          <w:sz w:val="24"/>
          <w:highlight w:val="none"/>
        </w:rPr>
        <w:t>2.2.2投标截止时间：见</w:t>
      </w:r>
      <w:r>
        <w:rPr>
          <w:rFonts w:hint="eastAsia" w:ascii="宋体" w:hAnsi="宋体"/>
          <w:sz w:val="24"/>
          <w:highlight w:val="none"/>
        </w:rPr>
        <w:t>供应商</w:t>
      </w:r>
      <w:r>
        <w:rPr>
          <w:rFonts w:ascii="宋体" w:hAnsi="宋体"/>
          <w:sz w:val="24"/>
          <w:highlight w:val="none"/>
        </w:rPr>
        <w:t>须知前附表。</w:t>
      </w:r>
    </w:p>
    <w:p w14:paraId="3E7DEEF5">
      <w:pPr>
        <w:ind w:firstLine="480" w:firstLineChars="200"/>
        <w:rPr>
          <w:rFonts w:ascii="宋体" w:hAnsi="宋体" w:cs="宋体"/>
          <w:sz w:val="24"/>
          <w:highlight w:val="none"/>
        </w:rPr>
      </w:pPr>
      <w:r>
        <w:rPr>
          <w:rFonts w:hint="eastAsia" w:ascii="宋体" w:hAnsi="宋体" w:cs="宋体"/>
          <w:sz w:val="24"/>
          <w:highlight w:val="none"/>
        </w:rPr>
        <w:t>2.2.3 招标澄清和补遗全部通过网络送达，请供应商在开标截止日前，务必查询网站信息，供应商自行登录政采云平台（https</w:t>
      </w:r>
      <w:r>
        <w:rPr>
          <w:rFonts w:hint="eastAsia" w:ascii="宋体" w:hAnsi="宋体" w:cs="宋体"/>
          <w:sz w:val="24"/>
          <w:highlight w:val="none"/>
          <w:lang w:eastAsia="zh-CN"/>
        </w:rPr>
        <w:t>：</w:t>
      </w:r>
      <w:r>
        <w:rPr>
          <w:rFonts w:hint="eastAsia" w:ascii="宋体" w:hAnsi="宋体" w:cs="宋体"/>
          <w:sz w:val="24"/>
          <w:highlight w:val="none"/>
        </w:rPr>
        <w:t>//www.zcygov.cn/）及云南省政府采购网（http</w:t>
      </w:r>
      <w:r>
        <w:rPr>
          <w:rFonts w:hint="eastAsia" w:ascii="宋体" w:hAnsi="宋体" w:cs="宋体"/>
          <w:sz w:val="24"/>
          <w:highlight w:val="none"/>
          <w:lang w:eastAsia="zh-CN"/>
        </w:rPr>
        <w:t>：</w:t>
      </w:r>
      <w:r>
        <w:rPr>
          <w:rFonts w:hint="eastAsia" w:ascii="宋体" w:hAnsi="宋体" w:cs="宋体"/>
          <w:sz w:val="24"/>
          <w:highlight w:val="none"/>
        </w:rPr>
        <w:t>//www.yngp.com/index.html）获取澄清，如果澄清发出的时间距供应商须知前附表规定的投标截止时间不足15天，并且澄清内容影响投标文件编制的，应相应延长投标截止时间。</w:t>
      </w:r>
    </w:p>
    <w:p w14:paraId="0044F8FC">
      <w:pPr>
        <w:tabs>
          <w:tab w:val="left" w:pos="6874"/>
        </w:tabs>
        <w:adjustRightInd w:val="0"/>
        <w:ind w:left="412" w:leftChars="196"/>
        <w:textAlignment w:val="baseline"/>
        <w:outlineLvl w:val="3"/>
        <w:rPr>
          <w:rFonts w:ascii="宋体" w:hAnsi="宋体" w:cs="宋体"/>
          <w:kern w:val="0"/>
          <w:sz w:val="24"/>
          <w:highlight w:val="none"/>
        </w:rPr>
      </w:pPr>
      <w:bookmarkStart w:id="91" w:name="_Toc472411375"/>
      <w:r>
        <w:rPr>
          <w:rFonts w:hint="eastAsia" w:ascii="宋体" w:hAnsi="宋体" w:cs="宋体"/>
          <w:kern w:val="0"/>
          <w:sz w:val="24"/>
          <w:highlight w:val="none"/>
        </w:rPr>
        <w:t>2.3 招标文件的修改</w:t>
      </w:r>
      <w:bookmarkEnd w:id="91"/>
    </w:p>
    <w:p w14:paraId="71109610">
      <w:pPr>
        <w:ind w:firstLine="480" w:firstLineChars="200"/>
        <w:rPr>
          <w:rFonts w:ascii="宋体" w:hAnsi="宋体" w:cs="宋体"/>
          <w:sz w:val="24"/>
          <w:highlight w:val="none"/>
        </w:rPr>
      </w:pPr>
      <w:r>
        <w:rPr>
          <w:rFonts w:hint="eastAsia" w:ascii="宋体" w:hAnsi="宋体" w:cs="宋体"/>
          <w:sz w:val="24"/>
          <w:highlight w:val="none"/>
        </w:rPr>
        <w:t>2.3.1在投标截止时间15天前，需要变更招标文件内容的，采购人可主动或在解答供应商提出的澄清问题时对招标文件进行修改，并同时报主管部门备案采购人对评标办法做出变更的，需要重新制作电子招标文件，并重新备案，同时发布补遗文件进行说明以保证各供应商都能重新下载最新的电子招标文件用于编制电子投标文件。招标文件的修改将在“政采云平台（https</w:t>
      </w:r>
      <w:r>
        <w:rPr>
          <w:rFonts w:hint="eastAsia" w:ascii="宋体" w:hAnsi="宋体" w:cs="宋体"/>
          <w:sz w:val="24"/>
          <w:highlight w:val="none"/>
          <w:lang w:eastAsia="zh-CN"/>
        </w:rPr>
        <w:t>：</w:t>
      </w:r>
      <w:r>
        <w:rPr>
          <w:rFonts w:hint="eastAsia" w:ascii="宋体" w:hAnsi="宋体" w:cs="宋体"/>
          <w:sz w:val="24"/>
          <w:highlight w:val="none"/>
        </w:rPr>
        <w:t>//www.zcygov.cn/）”发布，招标文件的修改作为招标文件的组成部分，并具有约束力。但如果修改招标文件的时间距投标截止时间不足15天，并且修改内容影响投标文件编制的，应相应延长投标截止时间。</w:t>
      </w:r>
    </w:p>
    <w:p w14:paraId="2459DEB3">
      <w:pPr>
        <w:ind w:firstLine="480" w:firstLineChars="200"/>
        <w:rPr>
          <w:rFonts w:ascii="宋体" w:hAnsi="宋体" w:cs="宋体"/>
          <w:sz w:val="24"/>
          <w:highlight w:val="none"/>
        </w:rPr>
      </w:pPr>
      <w:r>
        <w:rPr>
          <w:rFonts w:hint="eastAsia" w:ascii="宋体" w:hAnsi="宋体" w:cs="宋体"/>
          <w:sz w:val="24"/>
          <w:highlight w:val="none"/>
        </w:rPr>
        <w:t>2.3.2 供应商自行登录政采云平台（https</w:t>
      </w:r>
      <w:r>
        <w:rPr>
          <w:rFonts w:hint="eastAsia" w:ascii="宋体" w:hAnsi="宋体" w:cs="宋体"/>
          <w:sz w:val="24"/>
          <w:highlight w:val="none"/>
          <w:lang w:eastAsia="zh-CN"/>
        </w:rPr>
        <w:t>：</w:t>
      </w:r>
      <w:r>
        <w:rPr>
          <w:rFonts w:hint="eastAsia" w:ascii="宋体" w:hAnsi="宋体" w:cs="宋体"/>
          <w:sz w:val="24"/>
          <w:highlight w:val="none"/>
        </w:rPr>
        <w:t>//www.zcygov.cn/）收取修改内容。供应商应在投标截止时间前自行查看“政采云平台（https</w:t>
      </w:r>
      <w:r>
        <w:rPr>
          <w:rFonts w:hint="eastAsia" w:ascii="宋体" w:hAnsi="宋体" w:cs="宋体"/>
          <w:sz w:val="24"/>
          <w:highlight w:val="none"/>
          <w:lang w:eastAsia="zh-CN"/>
        </w:rPr>
        <w:t>：</w:t>
      </w:r>
      <w:r>
        <w:rPr>
          <w:rFonts w:hint="eastAsia" w:ascii="宋体" w:hAnsi="宋体" w:cs="宋体"/>
          <w:sz w:val="24"/>
          <w:highlight w:val="none"/>
        </w:rPr>
        <w:t>//www.zcygov.cn/）”中有关该项目招标文件的答疑、补遗内容。否则，由此引起的投标损失自负。</w:t>
      </w:r>
    </w:p>
    <w:p w14:paraId="26C136B2">
      <w:pPr>
        <w:ind w:firstLine="480" w:firstLineChars="200"/>
        <w:rPr>
          <w:rFonts w:ascii="宋体" w:hAnsi="宋体" w:cs="宋体"/>
          <w:sz w:val="24"/>
          <w:highlight w:val="none"/>
        </w:rPr>
      </w:pPr>
      <w:r>
        <w:rPr>
          <w:rFonts w:hint="eastAsia" w:ascii="宋体" w:hAnsi="宋体" w:cs="宋体"/>
          <w:sz w:val="24"/>
          <w:highlight w:val="none"/>
        </w:rPr>
        <w:t>2.3.3潜在供应商或者其他利害关系人对招标文件有异议的，应当在投标截止时间10日前提出。采购人应当自收到异议之日起3日内作出答复；作出答复前，应当暂停招标投标活动。</w:t>
      </w:r>
    </w:p>
    <w:p w14:paraId="5D5C10F2">
      <w:pPr>
        <w:adjustRightInd w:val="0"/>
        <w:snapToGrid w:val="0"/>
        <w:ind w:firstLine="480" w:firstLineChars="200"/>
        <w:rPr>
          <w:rFonts w:ascii="宋体" w:hAnsi="宋体" w:cs="宋体"/>
          <w:sz w:val="24"/>
          <w:highlight w:val="none"/>
        </w:rPr>
      </w:pPr>
      <w:r>
        <w:rPr>
          <w:rFonts w:hint="eastAsia" w:ascii="宋体" w:hAnsi="宋体" w:cs="宋体"/>
          <w:sz w:val="24"/>
          <w:highlight w:val="none"/>
        </w:rPr>
        <w:t>2.3.4招标文件、招标文件澄清、招标文件修改文件内容均以网上发布的为准，当招标文件、招标文件澄清、招标文件修改文件内容相互矛盾时，以最后发出的为准。</w:t>
      </w:r>
    </w:p>
    <w:p w14:paraId="3002FC4A">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3.1 投标文件的组成</w:t>
      </w:r>
      <w:bookmarkEnd w:id="89"/>
    </w:p>
    <w:p w14:paraId="7D957DB1">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92" w:name="_Toc472411378"/>
      <w:r>
        <w:rPr>
          <w:rFonts w:hint="eastAsia" w:ascii="宋体" w:hAnsi="宋体" w:eastAsia="宋体" w:cs="宋体"/>
          <w:sz w:val="24"/>
          <w:szCs w:val="24"/>
          <w:highlight w:val="none"/>
        </w:rPr>
        <w:t>3.1.1投标文件全部采用电子文档，由资格审查部分、技术部分及商务部分组成。</w:t>
      </w:r>
    </w:p>
    <w:p w14:paraId="6B03F532">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3.2 投标报价</w:t>
      </w:r>
      <w:bookmarkEnd w:id="92"/>
    </w:p>
    <w:p w14:paraId="11E26FC9">
      <w:pPr>
        <w:ind w:firstLine="480" w:firstLineChars="200"/>
        <w:rPr>
          <w:rFonts w:ascii="宋体" w:hAnsi="宋体" w:cs="宋体"/>
          <w:sz w:val="24"/>
          <w:highlight w:val="none"/>
        </w:rPr>
      </w:pPr>
      <w:r>
        <w:rPr>
          <w:rFonts w:hint="eastAsia" w:ascii="宋体" w:hAnsi="宋体" w:cs="宋体"/>
          <w:sz w:val="24"/>
          <w:highlight w:val="none"/>
        </w:rPr>
        <w:t>3.2.1</w:t>
      </w:r>
      <w:r>
        <w:rPr>
          <w:rFonts w:hint="eastAsia" w:asciiTheme="minorEastAsia" w:hAnsiTheme="minorEastAsia" w:eastAsiaTheme="minorEastAsia" w:cstheme="minorEastAsia"/>
          <w:sz w:val="24"/>
          <w:highlight w:val="none"/>
        </w:rPr>
        <w:t>本项目的报价方式：</w:t>
      </w:r>
      <w:r>
        <w:rPr>
          <w:rFonts w:hint="eastAsia" w:asciiTheme="minorEastAsia" w:hAnsiTheme="minorEastAsia" w:eastAsiaTheme="minorEastAsia" w:cstheme="minorEastAsia"/>
          <w:b/>
          <w:bCs/>
          <w:sz w:val="24"/>
          <w:highlight w:val="none"/>
        </w:rPr>
        <w:t>综合单价报价，供应商根据招标文件要求及企业自身情况，依据采购人所提供的采购产品清单及预算单价进行最合理报价，供应商所报总报价及综合单价均不能超出采购人提供的预算总价及预算单价，否则投标文件按无效处理</w:t>
      </w:r>
      <w:r>
        <w:rPr>
          <w:rFonts w:hint="eastAsia" w:asciiTheme="minorEastAsia" w:hAnsiTheme="minorEastAsia" w:eastAsiaTheme="minorEastAsia" w:cstheme="minorEastAsia"/>
          <w:kern w:val="0"/>
          <w:sz w:val="24"/>
          <w:highlight w:val="none"/>
        </w:rPr>
        <w:t>。</w:t>
      </w:r>
    </w:p>
    <w:p w14:paraId="314944A8">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3.2.2本项目的采购上限价为：¥</w:t>
      </w:r>
      <w:r>
        <w:rPr>
          <w:rFonts w:hint="eastAsia" w:ascii="宋体" w:hAnsi="宋体" w:cs="宋体"/>
          <w:sz w:val="24"/>
          <w:highlight w:val="none"/>
          <w:lang w:eastAsia="zh-CN"/>
        </w:rPr>
        <w:t>6269320.00</w:t>
      </w:r>
      <w:r>
        <w:rPr>
          <w:rFonts w:hint="eastAsia" w:ascii="宋体" w:hAnsi="宋体" w:cs="宋体"/>
          <w:sz w:val="24"/>
          <w:highlight w:val="none"/>
        </w:rPr>
        <w:t>元（</w:t>
      </w:r>
      <w:r>
        <w:rPr>
          <w:rFonts w:hint="eastAsia" w:ascii="宋体" w:hAnsi="宋体" w:cs="宋体"/>
          <w:sz w:val="24"/>
          <w:highlight w:val="none"/>
          <w:lang w:val="en-US" w:eastAsia="zh-CN"/>
        </w:rPr>
        <w:t>人民币大写：陆佰贰拾陆万玖仟叁佰贰拾元整</w:t>
      </w:r>
      <w:r>
        <w:rPr>
          <w:rFonts w:hint="eastAsia" w:ascii="宋体" w:hAnsi="宋体" w:cs="宋体"/>
          <w:sz w:val="24"/>
          <w:highlight w:val="none"/>
        </w:rPr>
        <w:t>），其中1包：</w:t>
      </w:r>
      <w:r>
        <w:rPr>
          <w:rFonts w:hint="eastAsia" w:ascii="宋体" w:hAnsi="宋体" w:cs="宋体"/>
          <w:sz w:val="24"/>
          <w:highlight w:val="none"/>
          <w:lang w:eastAsia="zh-CN"/>
        </w:rPr>
        <w:t>722200</w:t>
      </w:r>
      <w:r>
        <w:rPr>
          <w:rFonts w:hint="eastAsia" w:ascii="宋体" w:hAnsi="宋体" w:cs="宋体"/>
          <w:sz w:val="24"/>
          <w:highlight w:val="none"/>
        </w:rPr>
        <w:t>.00元，2包：¥</w:t>
      </w:r>
      <w:r>
        <w:rPr>
          <w:rFonts w:hint="eastAsia" w:ascii="宋体" w:hAnsi="宋体" w:cs="宋体"/>
          <w:sz w:val="24"/>
          <w:highlight w:val="none"/>
          <w:lang w:val="en-US" w:eastAsia="zh-CN"/>
        </w:rPr>
        <w:t>800000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包：¥</w:t>
      </w:r>
      <w:r>
        <w:rPr>
          <w:rFonts w:hint="eastAsia" w:ascii="宋体" w:hAnsi="宋体" w:cs="宋体"/>
          <w:sz w:val="24"/>
          <w:highlight w:val="none"/>
          <w:lang w:eastAsia="zh-CN"/>
        </w:rPr>
        <w:t>1247120.00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rPr>
        <w:t>包：¥</w:t>
      </w:r>
      <w:r>
        <w:rPr>
          <w:rFonts w:hint="eastAsia" w:ascii="宋体" w:hAnsi="宋体" w:cs="宋体"/>
          <w:sz w:val="24"/>
          <w:highlight w:val="none"/>
          <w:lang w:eastAsia="zh-CN"/>
        </w:rPr>
        <w:t>1000000.00</w:t>
      </w:r>
      <w:r>
        <w:rPr>
          <w:rFonts w:hint="eastAsia" w:ascii="宋体" w:hAnsi="宋体" w:cs="宋体"/>
          <w:sz w:val="24"/>
          <w:highlight w:val="none"/>
        </w:rPr>
        <w:t>元</w:t>
      </w: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rPr>
        <w:t>包：¥</w:t>
      </w:r>
      <w:r>
        <w:rPr>
          <w:rFonts w:hint="eastAsia" w:ascii="宋体" w:hAnsi="宋体" w:cs="宋体"/>
          <w:sz w:val="24"/>
          <w:highlight w:val="none"/>
          <w:lang w:val="en-US" w:eastAsia="zh-CN"/>
        </w:rPr>
        <w:t>600000</w:t>
      </w:r>
      <w:r>
        <w:rPr>
          <w:rFonts w:hint="eastAsia" w:ascii="宋体" w:hAnsi="宋体" w:cs="宋体"/>
          <w:sz w:val="24"/>
          <w:highlight w:val="none"/>
        </w:rPr>
        <w:t>.00元</w:t>
      </w: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rPr>
        <w:t>包：¥</w:t>
      </w:r>
      <w:r>
        <w:rPr>
          <w:rFonts w:hint="eastAsia" w:ascii="宋体" w:hAnsi="宋体" w:cs="宋体"/>
          <w:sz w:val="24"/>
          <w:highlight w:val="none"/>
          <w:lang w:val="en-US" w:eastAsia="zh-CN"/>
        </w:rPr>
        <w:t>1900000</w:t>
      </w:r>
      <w:r>
        <w:rPr>
          <w:rFonts w:hint="eastAsia" w:ascii="宋体" w:hAnsi="宋体" w:cs="宋体"/>
          <w:sz w:val="24"/>
          <w:highlight w:val="none"/>
        </w:rPr>
        <w:t>.00元。</w:t>
      </w:r>
    </w:p>
    <w:p w14:paraId="5CA1CA4A">
      <w:pPr>
        <w:ind w:firstLine="480" w:firstLineChars="200"/>
        <w:rPr>
          <w:rFonts w:ascii="宋体" w:hAnsi="宋体" w:cs="宋体"/>
          <w:b/>
          <w:bCs/>
          <w:sz w:val="24"/>
          <w:highlight w:val="none"/>
        </w:rPr>
      </w:pPr>
      <w:r>
        <w:rPr>
          <w:rFonts w:hint="eastAsia" w:ascii="宋体" w:hAnsi="宋体" w:cs="宋体"/>
          <w:sz w:val="24"/>
          <w:highlight w:val="none"/>
        </w:rPr>
        <w:t>3.2.3供应商的投标报价应依据招标文件的要求及有关资料，执行国家规定的现行技术、经济标准、定额及规范，由供应商自行测算出现行市场的费用及各类价格。投标报价为供应商在投标文件中提出的完成本项目采购需求的采购内容及后续服务的全部费用，</w:t>
      </w:r>
      <w:bookmarkStart w:id="93" w:name="_Toc472411379"/>
      <w:r>
        <w:rPr>
          <w:rFonts w:hint="eastAsia" w:ascii="宋体" w:hAnsi="宋体" w:cs="宋体"/>
          <w:sz w:val="24"/>
          <w:highlight w:val="none"/>
        </w:rPr>
        <w:t>包括但不限于完成和实施合同范围内各项工作所需：</w:t>
      </w:r>
    </w:p>
    <w:p w14:paraId="45DA6827">
      <w:pPr>
        <w:ind w:firstLine="480" w:firstLineChars="200"/>
        <w:rPr>
          <w:rFonts w:ascii="宋体" w:hAnsi="宋体" w:cs="Arial"/>
          <w:sz w:val="24"/>
          <w:highlight w:val="none"/>
        </w:rPr>
      </w:pPr>
      <w:r>
        <w:rPr>
          <w:rFonts w:hint="eastAsia" w:ascii="宋体" w:hAnsi="宋体" w:cs="Arial"/>
          <w:sz w:val="24"/>
          <w:highlight w:val="none"/>
        </w:rPr>
        <w:t>1包</w:t>
      </w:r>
      <w:r>
        <w:rPr>
          <w:rFonts w:hint="eastAsia" w:ascii="宋体" w:hAnsi="宋体" w:cs="Arial"/>
          <w:sz w:val="24"/>
          <w:highlight w:val="none"/>
          <w:lang w:eastAsia="zh-CN"/>
        </w:rPr>
        <w:t>、</w:t>
      </w:r>
      <w:r>
        <w:rPr>
          <w:rFonts w:hint="eastAsia" w:ascii="宋体" w:hAnsi="宋体" w:cs="Arial"/>
          <w:sz w:val="24"/>
          <w:highlight w:val="none"/>
          <w:lang w:val="en-US" w:eastAsia="zh-CN"/>
        </w:rPr>
        <w:t>2</w:t>
      </w:r>
      <w:r>
        <w:rPr>
          <w:rFonts w:hint="eastAsia" w:ascii="宋体" w:hAnsi="宋体" w:cs="Arial"/>
          <w:sz w:val="24"/>
          <w:highlight w:val="none"/>
        </w:rPr>
        <w:t>包</w:t>
      </w:r>
      <w:r>
        <w:rPr>
          <w:rFonts w:hint="eastAsia" w:ascii="宋体" w:hAnsi="宋体" w:cs="Arial"/>
          <w:sz w:val="24"/>
          <w:highlight w:val="none"/>
          <w:lang w:eastAsia="zh-CN"/>
        </w:rPr>
        <w:t>、</w:t>
      </w:r>
      <w:r>
        <w:rPr>
          <w:rFonts w:hint="eastAsia" w:ascii="宋体" w:hAnsi="宋体" w:cs="Arial"/>
          <w:sz w:val="24"/>
          <w:highlight w:val="none"/>
          <w:lang w:val="en-US" w:eastAsia="zh-CN"/>
        </w:rPr>
        <w:t>3</w:t>
      </w:r>
      <w:r>
        <w:rPr>
          <w:rFonts w:hint="eastAsia" w:ascii="宋体" w:hAnsi="宋体" w:cs="Arial"/>
          <w:sz w:val="24"/>
          <w:highlight w:val="none"/>
        </w:rPr>
        <w:t>包</w:t>
      </w:r>
      <w:r>
        <w:rPr>
          <w:rFonts w:hint="eastAsia" w:ascii="宋体" w:hAnsi="宋体" w:cs="Arial"/>
          <w:sz w:val="24"/>
          <w:highlight w:val="none"/>
          <w:lang w:eastAsia="zh-CN"/>
        </w:rPr>
        <w:t>、</w:t>
      </w:r>
      <w:r>
        <w:rPr>
          <w:rFonts w:hint="eastAsia" w:ascii="宋体" w:hAnsi="宋体" w:cs="Arial"/>
          <w:sz w:val="24"/>
          <w:highlight w:val="none"/>
          <w:lang w:val="en-US" w:eastAsia="zh-CN"/>
        </w:rPr>
        <w:t>5</w:t>
      </w:r>
      <w:r>
        <w:rPr>
          <w:rFonts w:hint="eastAsia" w:ascii="宋体" w:hAnsi="宋体" w:cs="Arial"/>
          <w:sz w:val="24"/>
          <w:highlight w:val="none"/>
        </w:rPr>
        <w:t>包</w:t>
      </w:r>
      <w:r>
        <w:rPr>
          <w:rFonts w:hint="eastAsia" w:ascii="宋体" w:hAnsi="宋体" w:cs="Arial"/>
          <w:sz w:val="24"/>
          <w:highlight w:val="none"/>
          <w:lang w:eastAsia="zh-CN"/>
        </w:rPr>
        <w:t>、</w:t>
      </w:r>
      <w:r>
        <w:rPr>
          <w:rFonts w:hint="eastAsia" w:ascii="宋体" w:hAnsi="宋体" w:cs="Arial"/>
          <w:sz w:val="24"/>
          <w:highlight w:val="none"/>
          <w:lang w:val="en-US" w:eastAsia="zh-CN"/>
        </w:rPr>
        <w:t>6</w:t>
      </w:r>
      <w:r>
        <w:rPr>
          <w:rFonts w:hint="eastAsia" w:ascii="宋体" w:hAnsi="宋体" w:cs="Arial"/>
          <w:sz w:val="24"/>
          <w:highlight w:val="none"/>
        </w:rPr>
        <w:t>包：</w:t>
      </w:r>
    </w:p>
    <w:p w14:paraId="66DA6FE4">
      <w:pPr>
        <w:ind w:firstLine="480" w:firstLineChars="200"/>
        <w:rPr>
          <w:rFonts w:ascii="宋体" w:hAnsi="宋体" w:cs="Arial"/>
          <w:sz w:val="24"/>
          <w:highlight w:val="none"/>
        </w:rPr>
      </w:pPr>
      <w:r>
        <w:rPr>
          <w:rFonts w:hint="eastAsia" w:ascii="宋体" w:hAnsi="宋体" w:cs="Arial"/>
          <w:sz w:val="24"/>
          <w:highlight w:val="none"/>
        </w:rPr>
        <w:t>1）系统开发建设费用、系统使用费、技术支持服务费、货物设计、制造、包装、仓储、运输、</w:t>
      </w:r>
      <w:r>
        <w:rPr>
          <w:rFonts w:hint="eastAsia" w:ascii="宋体" w:hAnsi="宋体" w:cs="宋体"/>
          <w:sz w:val="24"/>
          <w:highlight w:val="none"/>
        </w:rPr>
        <w:t>装卸</w:t>
      </w:r>
      <w:r>
        <w:rPr>
          <w:rFonts w:hint="eastAsia" w:ascii="宋体" w:hAnsi="宋体" w:cs="Arial"/>
          <w:sz w:val="24"/>
          <w:highlight w:val="none"/>
          <w:lang w:val="en-US" w:eastAsia="zh-CN"/>
        </w:rPr>
        <w:t>、</w:t>
      </w:r>
      <w:r>
        <w:rPr>
          <w:rFonts w:hint="eastAsia" w:ascii="宋体" w:hAnsi="宋体" w:cs="Arial"/>
          <w:sz w:val="24"/>
          <w:highlight w:val="none"/>
        </w:rPr>
        <w:t>人工费</w:t>
      </w:r>
      <w:r>
        <w:rPr>
          <w:rFonts w:hint="eastAsia" w:ascii="宋体" w:hAnsi="宋体" w:cs="Arial"/>
          <w:sz w:val="24"/>
          <w:highlight w:val="none"/>
          <w:lang w:val="en-US" w:eastAsia="zh-CN"/>
        </w:rPr>
        <w:t>、</w:t>
      </w:r>
      <w:r>
        <w:rPr>
          <w:rFonts w:hint="eastAsia" w:ascii="宋体" w:hAnsi="宋体" w:cs="Arial"/>
          <w:sz w:val="24"/>
          <w:highlight w:val="none"/>
        </w:rPr>
        <w:t>设备费、服务费、安装、调试、培训、检测、售后服务，运营费、配件及耗材费、材料费、管理费、差旅费、运营费、维护费、利润及税金以及验收合格之前及质保期内发生的所有含税费用；</w:t>
      </w:r>
    </w:p>
    <w:p w14:paraId="650361DB">
      <w:pPr>
        <w:ind w:firstLine="480" w:firstLineChars="200"/>
        <w:rPr>
          <w:rFonts w:ascii="宋体" w:hAnsi="宋体" w:cs="宋体"/>
          <w:sz w:val="24"/>
          <w:highlight w:val="none"/>
        </w:rPr>
      </w:pPr>
      <w:r>
        <w:rPr>
          <w:rFonts w:hint="eastAsia" w:ascii="宋体" w:hAnsi="宋体" w:cs="宋体"/>
          <w:sz w:val="24"/>
          <w:highlight w:val="none"/>
        </w:rPr>
        <w:t>2）标准附件、备品备件、专用工具、巡检维护、代理费、市场价格的变化等一切税金和费用及其他因本项目而产生的一切费用。</w:t>
      </w:r>
    </w:p>
    <w:p w14:paraId="4DCDFB34">
      <w:pPr>
        <w:ind w:firstLine="480" w:firstLineChars="200"/>
        <w:rPr>
          <w:rFonts w:hint="eastAsia" w:eastAsia="宋体"/>
          <w:highlight w:val="none"/>
          <w:lang w:eastAsia="zh-CN"/>
        </w:rPr>
      </w:pPr>
      <w:r>
        <w:rPr>
          <w:rFonts w:hint="eastAsia" w:ascii="宋体" w:hAnsi="宋体" w:cs="宋体"/>
          <w:sz w:val="24"/>
          <w:highlight w:val="none"/>
        </w:rPr>
        <w:t>3）在合同实施期间，中标人不得以任何理由提出增加合同价款或提出额外付费要求。供应商需充分考虑本项目特点及风险填报投标报价</w:t>
      </w:r>
      <w:r>
        <w:rPr>
          <w:rFonts w:hint="eastAsia" w:ascii="宋体" w:hAnsi="宋体" w:cs="宋体"/>
          <w:sz w:val="24"/>
          <w:highlight w:val="none"/>
          <w:lang w:eastAsia="zh-CN"/>
        </w:rPr>
        <w:t>。</w:t>
      </w:r>
    </w:p>
    <w:p w14:paraId="722AE243">
      <w:pPr>
        <w:ind w:firstLine="480" w:firstLineChars="200"/>
        <w:rPr>
          <w:rFonts w:ascii="宋体" w:hAnsi="宋体" w:cs="Arial"/>
          <w:sz w:val="24"/>
          <w:highlight w:val="none"/>
        </w:rPr>
      </w:pPr>
      <w:r>
        <w:rPr>
          <w:rFonts w:hint="eastAsia" w:ascii="宋体" w:hAnsi="宋体" w:cs="Arial"/>
          <w:sz w:val="24"/>
          <w:highlight w:val="none"/>
          <w:lang w:val="en-US" w:eastAsia="zh-CN"/>
        </w:rPr>
        <w:t>4</w:t>
      </w:r>
      <w:r>
        <w:rPr>
          <w:rFonts w:hint="eastAsia" w:ascii="宋体" w:hAnsi="宋体" w:cs="Arial"/>
          <w:sz w:val="24"/>
          <w:highlight w:val="none"/>
        </w:rPr>
        <w:t>包：</w:t>
      </w:r>
    </w:p>
    <w:p w14:paraId="72372583">
      <w:pPr>
        <w:ind w:firstLine="480" w:firstLineChars="200"/>
        <w:rPr>
          <w:rFonts w:ascii="宋体" w:hAnsi="宋体" w:cs="Arial"/>
          <w:sz w:val="24"/>
          <w:highlight w:val="none"/>
        </w:rPr>
      </w:pPr>
      <w:r>
        <w:rPr>
          <w:rFonts w:hint="eastAsia" w:ascii="宋体" w:hAnsi="宋体" w:cs="Arial"/>
          <w:sz w:val="24"/>
          <w:highlight w:val="none"/>
        </w:rPr>
        <w:t>1）货物设计、制造、包装、仓储、运输、</w:t>
      </w:r>
      <w:r>
        <w:rPr>
          <w:rFonts w:hint="eastAsia" w:ascii="宋体" w:hAnsi="宋体" w:cs="宋体"/>
          <w:sz w:val="24"/>
          <w:highlight w:val="none"/>
        </w:rPr>
        <w:t>装卸、</w:t>
      </w:r>
      <w:r>
        <w:rPr>
          <w:rFonts w:hint="eastAsia" w:ascii="宋体" w:hAnsi="宋体" w:cs="Arial"/>
          <w:sz w:val="24"/>
          <w:highlight w:val="none"/>
        </w:rPr>
        <w:t>安装、</w:t>
      </w:r>
      <w:r>
        <w:rPr>
          <w:rFonts w:ascii="宋体" w:hAnsi="宋体" w:cs="宋体"/>
          <w:sz w:val="24"/>
          <w:highlight w:val="none"/>
        </w:rPr>
        <w:t>调试、</w:t>
      </w:r>
      <w:r>
        <w:rPr>
          <w:rFonts w:hint="eastAsia" w:ascii="宋体" w:hAnsi="宋体" w:cs="宋体"/>
          <w:sz w:val="24"/>
          <w:highlight w:val="none"/>
        </w:rPr>
        <w:t>培训、</w:t>
      </w:r>
      <w:r>
        <w:rPr>
          <w:rFonts w:ascii="宋体" w:hAnsi="宋体" w:cs="宋体"/>
          <w:sz w:val="24"/>
          <w:highlight w:val="none"/>
        </w:rPr>
        <w:t>检测、售后服务</w:t>
      </w:r>
      <w:r>
        <w:rPr>
          <w:rFonts w:hint="eastAsia" w:ascii="宋体" w:hAnsi="宋体" w:cs="宋体"/>
          <w:sz w:val="24"/>
          <w:highlight w:val="none"/>
        </w:rPr>
        <w:t>，利润以及</w:t>
      </w:r>
      <w:r>
        <w:rPr>
          <w:rFonts w:hint="eastAsia" w:ascii="宋体" w:hAnsi="宋体" w:cs="Arial"/>
          <w:sz w:val="24"/>
          <w:highlight w:val="none"/>
        </w:rPr>
        <w:t>验收合格之前及质保期内发生的所有含税费用；</w:t>
      </w:r>
    </w:p>
    <w:p w14:paraId="48A7187D">
      <w:pPr>
        <w:ind w:firstLine="480" w:firstLineChars="200"/>
        <w:rPr>
          <w:rFonts w:ascii="宋体" w:hAnsi="宋体" w:cs="宋体"/>
          <w:sz w:val="24"/>
          <w:highlight w:val="none"/>
        </w:rPr>
      </w:pPr>
      <w:r>
        <w:rPr>
          <w:rFonts w:hint="eastAsia" w:ascii="宋体" w:hAnsi="宋体" w:cs="宋体"/>
          <w:sz w:val="24"/>
          <w:highlight w:val="none"/>
        </w:rPr>
        <w:t>2）标准附件、备品备件、专用工具、巡检维护、代理费、市场价格的变化等一切税金和费用及其他因本项目而产生的一切费用。</w:t>
      </w:r>
    </w:p>
    <w:p w14:paraId="09B776A1">
      <w:pPr>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rPr>
        <w:t>3）在合同实施期间，中标人不得以任何理由提出增加合同价款或提出额外付费要求。供应商需充分考虑本项目特点及风险填报投标报价</w:t>
      </w:r>
      <w:r>
        <w:rPr>
          <w:rFonts w:hint="eastAsia" w:ascii="宋体" w:hAnsi="宋体" w:cs="宋体"/>
          <w:sz w:val="24"/>
          <w:highlight w:val="none"/>
          <w:lang w:eastAsia="zh-CN"/>
        </w:rPr>
        <w:t>。</w:t>
      </w:r>
    </w:p>
    <w:p w14:paraId="73417CD2">
      <w:pPr>
        <w:ind w:firstLine="480" w:firstLineChars="200"/>
        <w:rPr>
          <w:rFonts w:ascii="宋体" w:hAnsi="宋体" w:cs="宋体"/>
          <w:sz w:val="24"/>
          <w:highlight w:val="none"/>
        </w:rPr>
      </w:pPr>
      <w:r>
        <w:rPr>
          <w:rFonts w:hint="eastAsia" w:ascii="宋体" w:hAnsi="宋体" w:cs="宋体"/>
          <w:sz w:val="24"/>
          <w:highlight w:val="none"/>
          <w:lang w:val="en-US" w:eastAsia="zh-CN"/>
        </w:rPr>
        <w:t>除以上外</w:t>
      </w:r>
      <w:r>
        <w:rPr>
          <w:rFonts w:ascii="宋体" w:hAnsi="宋体" w:cs="宋体"/>
          <w:sz w:val="24"/>
          <w:highlight w:val="none"/>
        </w:rPr>
        <w:t>以及合同明示或暗示的所有责任、义务和一般风险</w:t>
      </w:r>
      <w:r>
        <w:rPr>
          <w:rFonts w:hint="eastAsia" w:ascii="宋体" w:hAnsi="宋体" w:cs="宋体"/>
          <w:sz w:val="24"/>
          <w:highlight w:val="none"/>
        </w:rPr>
        <w:t>。凡供应商在报价中未列明但又为该项目所必备的项目或遗漏项目，采购人将一律视为已包括在其报价中，在合同执行中将不予考虑。</w:t>
      </w:r>
      <w:r>
        <w:rPr>
          <w:rFonts w:ascii="宋体" w:hAnsi="宋体" w:cs="宋体"/>
          <w:sz w:val="24"/>
          <w:highlight w:val="none"/>
        </w:rPr>
        <w:t>在合同实施期间，成交</w:t>
      </w:r>
      <w:r>
        <w:rPr>
          <w:rFonts w:hint="eastAsia" w:ascii="宋体" w:hAnsi="宋体" w:cs="宋体"/>
          <w:sz w:val="24"/>
          <w:highlight w:val="none"/>
        </w:rPr>
        <w:t>供应商</w:t>
      </w:r>
      <w:r>
        <w:rPr>
          <w:rFonts w:ascii="宋体" w:hAnsi="宋体" w:cs="宋体"/>
          <w:sz w:val="24"/>
          <w:highlight w:val="none"/>
        </w:rPr>
        <w:t>不得以任何理由提出增加合同价款或提出额外付费要求。</w:t>
      </w:r>
      <w:r>
        <w:rPr>
          <w:rFonts w:hint="eastAsia" w:ascii="宋体" w:hAnsi="宋体" w:cs="宋体"/>
          <w:sz w:val="24"/>
          <w:highlight w:val="none"/>
        </w:rPr>
        <w:t>供应商</w:t>
      </w:r>
      <w:r>
        <w:rPr>
          <w:rFonts w:ascii="宋体" w:hAnsi="宋体" w:cs="宋体"/>
          <w:sz w:val="24"/>
          <w:highlight w:val="none"/>
        </w:rPr>
        <w:t>需充分考虑本项目特点及风险填报投标报价。</w:t>
      </w:r>
    </w:p>
    <w:p w14:paraId="325E6ADE">
      <w:pPr>
        <w:ind w:firstLine="480" w:firstLineChars="200"/>
        <w:rPr>
          <w:rFonts w:ascii="宋体" w:hAnsi="宋体" w:cs="宋体"/>
          <w:sz w:val="24"/>
          <w:highlight w:val="none"/>
        </w:rPr>
      </w:pPr>
      <w:r>
        <w:rPr>
          <w:rFonts w:hint="eastAsia" w:ascii="宋体" w:hAnsi="宋体" w:cs="宋体"/>
          <w:sz w:val="24"/>
          <w:highlight w:val="none"/>
        </w:rPr>
        <w:t>3.2.4投标文件报价出现前后不一致的，除招标文件另有规定外，按照下列规定修正：</w:t>
      </w:r>
    </w:p>
    <w:p w14:paraId="6B3693BF">
      <w:pPr>
        <w:ind w:firstLine="480" w:firstLineChars="200"/>
        <w:rPr>
          <w:rFonts w:ascii="宋体" w:hAnsi="宋体" w:cs="宋体"/>
          <w:sz w:val="24"/>
          <w:highlight w:val="none"/>
        </w:rPr>
      </w:pPr>
      <w:r>
        <w:rPr>
          <w:rFonts w:hint="eastAsia" w:ascii="宋体" w:hAnsi="宋体" w:cs="宋体"/>
          <w:sz w:val="24"/>
          <w:highlight w:val="none"/>
        </w:rPr>
        <w:t>（一）投标文件中开标一览表（报价表）内容与投标文件中相应内容不一致的，以开标一览表（报价表）为准；</w:t>
      </w:r>
    </w:p>
    <w:p w14:paraId="27CF0312">
      <w:pPr>
        <w:ind w:firstLine="480" w:firstLineChars="200"/>
        <w:rPr>
          <w:rFonts w:ascii="宋体" w:hAnsi="宋体" w:cs="宋体"/>
          <w:sz w:val="24"/>
          <w:highlight w:val="none"/>
        </w:rPr>
      </w:pPr>
      <w:r>
        <w:rPr>
          <w:rFonts w:hint="eastAsia" w:ascii="宋体" w:hAnsi="宋体" w:cs="宋体"/>
          <w:sz w:val="24"/>
          <w:highlight w:val="none"/>
        </w:rPr>
        <w:t>（二）大写金额和小写金额不一致的，以大写金额为准；</w:t>
      </w:r>
    </w:p>
    <w:p w14:paraId="4BB5869B">
      <w:pPr>
        <w:ind w:firstLine="480" w:firstLineChars="200"/>
        <w:rPr>
          <w:rFonts w:ascii="宋体" w:hAnsi="宋体" w:cs="宋体"/>
          <w:sz w:val="24"/>
          <w:highlight w:val="none"/>
        </w:rPr>
      </w:pPr>
      <w:r>
        <w:rPr>
          <w:rFonts w:hint="eastAsia" w:ascii="宋体" w:hAnsi="宋体" w:cs="宋体"/>
          <w:sz w:val="24"/>
          <w:highlight w:val="none"/>
        </w:rPr>
        <w:t>（三）单价金额小数点或者百分比有明显错位的，以开标一览表的总价为准，并修改单价；</w:t>
      </w:r>
    </w:p>
    <w:p w14:paraId="0DF9C393">
      <w:pPr>
        <w:ind w:firstLine="480" w:firstLineChars="200"/>
        <w:rPr>
          <w:rFonts w:ascii="宋体" w:hAnsi="宋体" w:cs="宋体"/>
          <w:sz w:val="24"/>
          <w:highlight w:val="none"/>
        </w:rPr>
      </w:pPr>
      <w:r>
        <w:rPr>
          <w:rFonts w:hint="eastAsia" w:ascii="宋体" w:hAnsi="宋体" w:cs="宋体"/>
          <w:sz w:val="24"/>
          <w:highlight w:val="none"/>
        </w:rPr>
        <w:t>（四）总价金额与按单价汇总金额不一致的，以单价金额计算结果为准。</w:t>
      </w:r>
    </w:p>
    <w:p w14:paraId="41D09B05">
      <w:pPr>
        <w:ind w:firstLine="480" w:firstLineChars="200"/>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按照《政府采购货物和服务招标投标管理办法》（财政部令第87号）第五十一条第二款的规定经供应商确认后产生约束力，供应商不确认的，其投标无效。</w:t>
      </w:r>
    </w:p>
    <w:p w14:paraId="7AD7E6A1">
      <w:pPr>
        <w:ind w:firstLine="480" w:firstLineChars="200"/>
        <w:rPr>
          <w:rFonts w:ascii="宋体" w:hAnsi="宋体" w:cs="宋体"/>
          <w:sz w:val="24"/>
          <w:highlight w:val="none"/>
        </w:rPr>
      </w:pPr>
      <w:r>
        <w:rPr>
          <w:rFonts w:hint="eastAsia" w:ascii="宋体" w:hAnsi="宋体" w:cs="宋体"/>
          <w:sz w:val="24"/>
          <w:highlight w:val="none"/>
        </w:rPr>
        <w:t>3.2.5供应商报价时应充分考虑所有可能影响到报价的报价因素，一旦最终成交，原则上成交价不予调整。最终结算价款以实际成交供应商报价，审核审定的结算价为准。</w:t>
      </w:r>
    </w:p>
    <w:p w14:paraId="47B7AA32">
      <w:pPr>
        <w:ind w:firstLine="480" w:firstLineChars="200"/>
        <w:rPr>
          <w:rFonts w:ascii="宋体" w:hAnsi="宋体" w:cs="宋体"/>
          <w:sz w:val="24"/>
          <w:highlight w:val="none"/>
        </w:rPr>
      </w:pPr>
      <w:r>
        <w:rPr>
          <w:rFonts w:ascii="宋体" w:hAnsi="宋体" w:cs="宋体"/>
          <w:sz w:val="24"/>
          <w:highlight w:val="none"/>
        </w:rPr>
        <w:t>3.2.</w:t>
      </w:r>
      <w:r>
        <w:rPr>
          <w:rFonts w:hint="eastAsia" w:ascii="宋体" w:hAnsi="宋体" w:cs="宋体"/>
          <w:sz w:val="24"/>
          <w:highlight w:val="none"/>
        </w:rPr>
        <w:t>6供应商</w:t>
      </w:r>
      <w:r>
        <w:rPr>
          <w:rFonts w:ascii="宋体" w:hAnsi="宋体" w:cs="宋体"/>
          <w:sz w:val="24"/>
          <w:highlight w:val="none"/>
        </w:rPr>
        <w:t>报价时应充分考虑所有可能</w:t>
      </w:r>
      <w:r>
        <w:rPr>
          <w:rFonts w:hint="eastAsia" w:ascii="宋体" w:hAnsi="宋体" w:cs="宋体"/>
          <w:sz w:val="24"/>
          <w:highlight w:val="none"/>
        </w:rPr>
        <w:t>影响</w:t>
      </w:r>
      <w:r>
        <w:rPr>
          <w:rFonts w:ascii="宋体" w:hAnsi="宋体" w:cs="宋体"/>
          <w:sz w:val="24"/>
          <w:highlight w:val="none"/>
        </w:rPr>
        <w:t>报价的报价因素，一旦最终成交，成交价将包定，不予调整。如发生漏、缺、少项，都将被认为是成交</w:t>
      </w:r>
      <w:r>
        <w:rPr>
          <w:rFonts w:hint="eastAsia" w:ascii="宋体" w:hAnsi="宋体" w:cs="宋体"/>
          <w:sz w:val="24"/>
          <w:highlight w:val="none"/>
        </w:rPr>
        <w:t>供应商</w:t>
      </w:r>
      <w:r>
        <w:rPr>
          <w:rFonts w:ascii="宋体" w:hAnsi="宋体" w:cs="宋体"/>
          <w:sz w:val="24"/>
          <w:highlight w:val="none"/>
        </w:rPr>
        <w:t>的报价让利行为，损失自负。</w:t>
      </w:r>
    </w:p>
    <w:p w14:paraId="6C0915CE">
      <w:pPr>
        <w:ind w:firstLine="480" w:firstLineChars="200"/>
        <w:rPr>
          <w:rFonts w:ascii="宋体" w:hAnsi="宋体" w:cs="宋体"/>
          <w:sz w:val="24"/>
          <w:highlight w:val="none"/>
        </w:rPr>
      </w:pPr>
      <w:r>
        <w:rPr>
          <w:rFonts w:hint="eastAsia" w:ascii="宋体" w:hAnsi="宋体" w:cs="宋体"/>
          <w:sz w:val="24"/>
          <w:highlight w:val="none"/>
        </w:rPr>
        <w:t>3.2.7 最终结算以实际送货量及审定金额为准，审定金额最终以最后审核审定为准。采购人可以根据项目实施过程中的实际情况，保留对采购规模调整、实际送货量或分批（或分期）实施的权利，供应商不得以此作为理由，提出任何索赔。采购人最终结算价款以审定实际实施内容、金额及供应商投标报价为准。如若发生多次审核的，最终结算价款以最终次审定价格为准，多余已支付部分中标人需退还多余支付的费用。</w:t>
      </w:r>
    </w:p>
    <w:p w14:paraId="33967147">
      <w:pPr>
        <w:ind w:firstLine="480" w:firstLineChars="200"/>
        <w:rPr>
          <w:rFonts w:ascii="宋体" w:hAnsi="宋体" w:cs="宋体"/>
          <w:sz w:val="24"/>
          <w:highlight w:val="none"/>
        </w:rPr>
      </w:pPr>
      <w:r>
        <w:rPr>
          <w:rFonts w:hint="eastAsia" w:ascii="宋体" w:hAnsi="宋体" w:cs="宋体"/>
          <w:sz w:val="24"/>
          <w:highlight w:val="none"/>
        </w:rPr>
        <w:t>本项目投标报价采用的币种为</w:t>
      </w:r>
      <w:r>
        <w:rPr>
          <w:rFonts w:hint="eastAsia" w:ascii="宋体" w:hAnsi="宋体" w:cs="宋体"/>
          <w:sz w:val="24"/>
          <w:highlight w:val="none"/>
          <w:u w:val="single"/>
        </w:rPr>
        <w:t xml:space="preserve"> 人民币 </w:t>
      </w:r>
      <w:r>
        <w:rPr>
          <w:rFonts w:hint="eastAsia" w:ascii="宋体" w:hAnsi="宋体" w:cs="宋体"/>
          <w:sz w:val="24"/>
          <w:highlight w:val="none"/>
        </w:rPr>
        <w:t>。</w:t>
      </w:r>
    </w:p>
    <w:p w14:paraId="2D848AEF">
      <w:pPr>
        <w:ind w:firstLine="480" w:firstLineChars="200"/>
        <w:rPr>
          <w:rFonts w:ascii="宋体" w:hAnsi="宋体" w:cs="宋体"/>
          <w:sz w:val="24"/>
          <w:highlight w:val="none"/>
        </w:rPr>
      </w:pPr>
      <w:r>
        <w:rPr>
          <w:rFonts w:ascii="宋体" w:hAnsi="宋体" w:cs="宋体"/>
          <w:sz w:val="24"/>
          <w:highlight w:val="none"/>
        </w:rPr>
        <w:t>3.3 投标有效期</w:t>
      </w:r>
      <w:bookmarkEnd w:id="93"/>
    </w:p>
    <w:p w14:paraId="50D2BA01">
      <w:pPr>
        <w:ind w:firstLine="480" w:firstLineChars="200"/>
        <w:rPr>
          <w:rFonts w:ascii="宋体" w:hAnsi="宋体" w:cs="宋体"/>
          <w:sz w:val="24"/>
          <w:highlight w:val="none"/>
        </w:rPr>
      </w:pPr>
      <w:r>
        <w:rPr>
          <w:rFonts w:ascii="宋体" w:hAnsi="宋体" w:cs="宋体"/>
          <w:sz w:val="24"/>
          <w:highlight w:val="none"/>
        </w:rPr>
        <w:t>3.3.1 投标有效期：见</w:t>
      </w:r>
      <w:r>
        <w:rPr>
          <w:rFonts w:hint="eastAsia" w:ascii="宋体" w:hAnsi="宋体" w:cs="宋体"/>
          <w:sz w:val="24"/>
          <w:highlight w:val="none"/>
        </w:rPr>
        <w:t>供应商</w:t>
      </w:r>
      <w:r>
        <w:rPr>
          <w:rFonts w:ascii="宋体" w:hAnsi="宋体" w:cs="宋体"/>
          <w:sz w:val="24"/>
          <w:highlight w:val="none"/>
        </w:rPr>
        <w:t>须知前附表。</w:t>
      </w:r>
    </w:p>
    <w:p w14:paraId="3F36A7A2">
      <w:pPr>
        <w:ind w:firstLine="480" w:firstLineChars="200"/>
        <w:rPr>
          <w:rFonts w:ascii="宋体" w:hAnsi="宋体" w:cs="宋体"/>
          <w:sz w:val="24"/>
          <w:highlight w:val="none"/>
        </w:rPr>
      </w:pPr>
      <w:r>
        <w:rPr>
          <w:rFonts w:ascii="宋体" w:hAnsi="宋体" w:cs="宋体"/>
          <w:sz w:val="24"/>
          <w:highlight w:val="none"/>
        </w:rPr>
        <w:t>3.3.2 在投标有效期内，</w:t>
      </w:r>
      <w:r>
        <w:rPr>
          <w:rFonts w:hint="eastAsia" w:ascii="宋体" w:hAnsi="宋体" w:cs="宋体"/>
          <w:sz w:val="24"/>
          <w:highlight w:val="none"/>
        </w:rPr>
        <w:t>供应商</w:t>
      </w:r>
      <w:r>
        <w:rPr>
          <w:rFonts w:ascii="宋体" w:hAnsi="宋体" w:cs="宋体"/>
          <w:sz w:val="24"/>
          <w:highlight w:val="none"/>
        </w:rPr>
        <w:t>撤销或修改其投标文件的，应承担招标文件和法律规定的责任。</w:t>
      </w:r>
    </w:p>
    <w:p w14:paraId="2EC9C194">
      <w:pPr>
        <w:ind w:firstLine="480" w:firstLineChars="200"/>
        <w:rPr>
          <w:rFonts w:ascii="宋体" w:hAnsi="宋体" w:cs="宋体"/>
          <w:sz w:val="24"/>
          <w:highlight w:val="none"/>
        </w:rPr>
      </w:pPr>
      <w:r>
        <w:rPr>
          <w:rFonts w:ascii="宋体" w:hAnsi="宋体" w:cs="宋体"/>
          <w:sz w:val="24"/>
          <w:highlight w:val="none"/>
        </w:rPr>
        <w:t>3.3.3 出现特殊情况需要延长投标有效期的，采购人在政采云平台（https</w:t>
      </w:r>
      <w:r>
        <w:rPr>
          <w:rFonts w:hint="eastAsia" w:ascii="宋体" w:hAnsi="宋体" w:cs="宋体"/>
          <w:sz w:val="24"/>
          <w:highlight w:val="none"/>
          <w:lang w:eastAsia="zh-CN"/>
        </w:rPr>
        <w:t>：</w:t>
      </w:r>
      <w:r>
        <w:rPr>
          <w:rFonts w:ascii="宋体" w:hAnsi="宋体" w:cs="宋体"/>
          <w:sz w:val="24"/>
          <w:highlight w:val="none"/>
        </w:rPr>
        <w:t>//www.zcygov.cn/）通知所有</w:t>
      </w:r>
      <w:r>
        <w:rPr>
          <w:rFonts w:hint="eastAsia" w:ascii="宋体" w:hAnsi="宋体" w:cs="宋体"/>
          <w:sz w:val="24"/>
          <w:highlight w:val="none"/>
        </w:rPr>
        <w:t>供应商</w:t>
      </w:r>
      <w:r>
        <w:rPr>
          <w:rFonts w:ascii="宋体" w:hAnsi="宋体" w:cs="宋体"/>
          <w:sz w:val="24"/>
          <w:highlight w:val="none"/>
        </w:rPr>
        <w:t>延长投标有效期。相应延长其投标保证金的有效期，但不得要求或被允许修改或撤销其投标文件；</w:t>
      </w:r>
      <w:r>
        <w:rPr>
          <w:rFonts w:hint="eastAsia" w:ascii="宋体" w:hAnsi="宋体" w:cs="宋体"/>
          <w:sz w:val="24"/>
          <w:highlight w:val="none"/>
        </w:rPr>
        <w:t>供应商</w:t>
      </w:r>
      <w:r>
        <w:rPr>
          <w:rFonts w:ascii="宋体" w:hAnsi="宋体" w:cs="宋体"/>
          <w:sz w:val="24"/>
          <w:highlight w:val="none"/>
        </w:rPr>
        <w:t>拒绝延长的，其投标失效，但</w:t>
      </w:r>
      <w:r>
        <w:rPr>
          <w:rFonts w:hint="eastAsia" w:ascii="宋体" w:hAnsi="宋体" w:cs="宋体"/>
          <w:sz w:val="24"/>
          <w:highlight w:val="none"/>
        </w:rPr>
        <w:t>供应商</w:t>
      </w:r>
      <w:r>
        <w:rPr>
          <w:rFonts w:ascii="宋体" w:hAnsi="宋体" w:cs="宋体"/>
          <w:sz w:val="24"/>
          <w:highlight w:val="none"/>
        </w:rPr>
        <w:t>有权收回其投标保证金。</w:t>
      </w:r>
    </w:p>
    <w:p w14:paraId="0D14086F">
      <w:pPr>
        <w:ind w:firstLine="480" w:firstLineChars="200"/>
        <w:rPr>
          <w:rFonts w:ascii="宋体" w:hAnsi="宋体" w:cs="宋体"/>
          <w:sz w:val="24"/>
          <w:highlight w:val="none"/>
        </w:rPr>
      </w:pPr>
      <w:bookmarkStart w:id="94" w:name="_Toc472411380"/>
      <w:r>
        <w:rPr>
          <w:rFonts w:ascii="宋体" w:hAnsi="宋体" w:cs="宋体"/>
          <w:sz w:val="24"/>
          <w:highlight w:val="none"/>
        </w:rPr>
        <w:t>3.4 投标保证金</w:t>
      </w:r>
      <w:bookmarkEnd w:id="94"/>
    </w:p>
    <w:p w14:paraId="5494509B">
      <w:pPr>
        <w:ind w:firstLine="480" w:firstLineChars="200"/>
        <w:rPr>
          <w:rFonts w:ascii="宋体" w:hAnsi="宋体" w:cs="宋体"/>
          <w:sz w:val="24"/>
          <w:highlight w:val="none"/>
        </w:rPr>
      </w:pPr>
      <w:r>
        <w:rPr>
          <w:rFonts w:ascii="宋体" w:hAnsi="宋体" w:cs="宋体"/>
          <w:sz w:val="24"/>
          <w:highlight w:val="none"/>
        </w:rPr>
        <w:t xml:space="preserve">3.4.1 </w:t>
      </w:r>
      <w:r>
        <w:rPr>
          <w:rFonts w:hint="eastAsia" w:ascii="宋体" w:hAnsi="宋体" w:cs="宋体"/>
          <w:sz w:val="24"/>
          <w:highlight w:val="none"/>
        </w:rPr>
        <w:t>供应商</w:t>
      </w:r>
      <w:r>
        <w:rPr>
          <w:rFonts w:ascii="宋体" w:hAnsi="宋体" w:cs="宋体"/>
          <w:sz w:val="24"/>
          <w:highlight w:val="none"/>
        </w:rPr>
        <w:t>须知前附表规定递交投标保证金的，应按须知前附表规定递交投标保证金，并作为其投标文件的组成部分。</w:t>
      </w:r>
    </w:p>
    <w:p w14:paraId="58E532AF">
      <w:pPr>
        <w:ind w:firstLine="480" w:firstLineChars="200"/>
        <w:rPr>
          <w:rFonts w:ascii="宋体" w:hAnsi="宋体" w:cs="宋体"/>
          <w:sz w:val="24"/>
          <w:highlight w:val="none"/>
        </w:rPr>
      </w:pPr>
      <w:r>
        <w:rPr>
          <w:rFonts w:ascii="宋体" w:hAnsi="宋体" w:cs="宋体"/>
          <w:sz w:val="24"/>
          <w:highlight w:val="none"/>
        </w:rPr>
        <w:t xml:space="preserve">3.4.2 </w:t>
      </w:r>
      <w:r>
        <w:rPr>
          <w:rFonts w:hint="eastAsia" w:ascii="宋体" w:hAnsi="宋体" w:cs="宋体"/>
          <w:sz w:val="24"/>
          <w:highlight w:val="none"/>
        </w:rPr>
        <w:t>供应商</w:t>
      </w:r>
      <w:r>
        <w:rPr>
          <w:rFonts w:ascii="宋体" w:hAnsi="宋体" w:cs="宋体"/>
          <w:sz w:val="24"/>
          <w:highlight w:val="none"/>
        </w:rPr>
        <w:t>不按本章第3.4.1项要求提交投标保证金的，评标委员会将否决其投标。</w:t>
      </w:r>
    </w:p>
    <w:p w14:paraId="6BD63E63">
      <w:pPr>
        <w:ind w:firstLine="480" w:firstLineChars="200"/>
        <w:rPr>
          <w:rFonts w:ascii="宋体" w:hAnsi="宋体" w:cs="宋体"/>
          <w:sz w:val="24"/>
          <w:highlight w:val="none"/>
        </w:rPr>
      </w:pPr>
      <w:r>
        <w:rPr>
          <w:rFonts w:ascii="宋体" w:hAnsi="宋体" w:cs="宋体"/>
          <w:sz w:val="24"/>
          <w:highlight w:val="none"/>
        </w:rPr>
        <w:t>3.4.3 采购人最迟将在与中标人签订合同后5日内，向未中标的</w:t>
      </w:r>
      <w:r>
        <w:rPr>
          <w:rFonts w:hint="eastAsia" w:ascii="宋体" w:hAnsi="宋体" w:cs="宋体"/>
          <w:sz w:val="24"/>
          <w:highlight w:val="none"/>
        </w:rPr>
        <w:t>供应商</w:t>
      </w:r>
      <w:r>
        <w:rPr>
          <w:rFonts w:ascii="宋体" w:hAnsi="宋体" w:cs="宋体"/>
          <w:sz w:val="24"/>
          <w:highlight w:val="none"/>
        </w:rPr>
        <w:t>和中标人退还投标保证金。</w:t>
      </w:r>
    </w:p>
    <w:p w14:paraId="15243B80">
      <w:pPr>
        <w:ind w:firstLine="480" w:firstLineChars="200"/>
        <w:rPr>
          <w:rFonts w:ascii="宋体" w:hAnsi="宋体" w:cs="宋体"/>
          <w:sz w:val="24"/>
          <w:highlight w:val="none"/>
        </w:rPr>
      </w:pPr>
      <w:r>
        <w:rPr>
          <w:rFonts w:ascii="宋体" w:hAnsi="宋体" w:cs="宋体"/>
          <w:sz w:val="24"/>
          <w:highlight w:val="none"/>
        </w:rPr>
        <w:t>3.4.4 有下列情形之一的，投标保证金将不予退还：</w:t>
      </w:r>
    </w:p>
    <w:p w14:paraId="2A0B67C1">
      <w:pPr>
        <w:ind w:firstLine="480" w:firstLineChars="20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供应商</w:t>
      </w:r>
      <w:r>
        <w:rPr>
          <w:rFonts w:ascii="宋体" w:hAnsi="宋体" w:cs="宋体"/>
          <w:sz w:val="24"/>
          <w:highlight w:val="none"/>
        </w:rPr>
        <w:t>在规定的投标有效期内撤销或修改其投标文件；</w:t>
      </w:r>
    </w:p>
    <w:p w14:paraId="1298312E">
      <w:pPr>
        <w:ind w:firstLine="480" w:firstLineChars="200"/>
        <w:rPr>
          <w:rFonts w:ascii="宋体" w:hAnsi="宋体" w:cs="宋体"/>
          <w:sz w:val="24"/>
          <w:highlight w:val="none"/>
        </w:rPr>
      </w:pPr>
      <w:r>
        <w:rPr>
          <w:rFonts w:ascii="宋体" w:hAnsi="宋体" w:cs="宋体"/>
          <w:sz w:val="24"/>
          <w:highlight w:val="none"/>
        </w:rPr>
        <w:t>（2）中标人无正当理由不与采购人订立合同，或者在签订合同时向采购人提出附加条件，或者不按照招标文件要求提交履约保证金的。</w:t>
      </w:r>
    </w:p>
    <w:p w14:paraId="73A371EC">
      <w:pPr>
        <w:ind w:firstLine="480" w:firstLineChars="20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供应商</w:t>
      </w:r>
      <w:r>
        <w:rPr>
          <w:rFonts w:ascii="宋体" w:hAnsi="宋体" w:cs="宋体"/>
          <w:sz w:val="24"/>
          <w:highlight w:val="none"/>
        </w:rPr>
        <w:t>在整个投标活动中有严重违反国家</w:t>
      </w:r>
      <w:r>
        <w:rPr>
          <w:rFonts w:hint="eastAsia" w:ascii="宋体" w:hAnsi="宋体" w:cs="宋体"/>
          <w:sz w:val="24"/>
          <w:highlight w:val="none"/>
        </w:rPr>
        <w:t>法律法规</w:t>
      </w:r>
      <w:r>
        <w:rPr>
          <w:rFonts w:ascii="宋体" w:hAnsi="宋体" w:cs="宋体"/>
          <w:sz w:val="24"/>
          <w:highlight w:val="none"/>
        </w:rPr>
        <w:t>并经查实；</w:t>
      </w:r>
    </w:p>
    <w:p w14:paraId="60565E1F">
      <w:pPr>
        <w:ind w:firstLine="480" w:firstLineChars="200"/>
        <w:rPr>
          <w:rFonts w:ascii="宋体" w:hAnsi="宋体" w:cs="宋体"/>
          <w:sz w:val="24"/>
          <w:highlight w:val="none"/>
        </w:rPr>
      </w:pPr>
      <w:r>
        <w:rPr>
          <w:rFonts w:ascii="宋体" w:hAnsi="宋体" w:cs="宋体"/>
          <w:sz w:val="24"/>
          <w:highlight w:val="none"/>
        </w:rPr>
        <w:t>（4）其他法律法规规定的情况。</w:t>
      </w:r>
    </w:p>
    <w:p w14:paraId="6C65C0F9">
      <w:pPr>
        <w:ind w:firstLine="480" w:firstLineChars="200"/>
        <w:rPr>
          <w:rFonts w:ascii="宋体" w:hAnsi="宋体" w:cs="宋体"/>
          <w:sz w:val="24"/>
          <w:highlight w:val="none"/>
        </w:rPr>
      </w:pPr>
      <w:bookmarkStart w:id="95" w:name="_Toc186513160"/>
      <w:r>
        <w:rPr>
          <w:rFonts w:ascii="宋体" w:hAnsi="宋体" w:cs="宋体"/>
          <w:sz w:val="24"/>
          <w:highlight w:val="none"/>
        </w:rPr>
        <w:t>3.5 资格审查资料</w:t>
      </w:r>
      <w:bookmarkEnd w:id="95"/>
    </w:p>
    <w:p w14:paraId="16A8F803">
      <w:pPr>
        <w:ind w:firstLine="480" w:firstLineChars="200"/>
        <w:rPr>
          <w:rFonts w:ascii="宋体" w:hAnsi="宋体" w:cs="宋体"/>
          <w:sz w:val="24"/>
          <w:highlight w:val="none"/>
        </w:rPr>
      </w:pPr>
      <w:r>
        <w:rPr>
          <w:rFonts w:ascii="宋体" w:hAnsi="宋体" w:cs="宋体"/>
          <w:sz w:val="24"/>
          <w:highlight w:val="none"/>
        </w:rPr>
        <w:t>3.5.1 本项目资格审查方式：资格后审，</w:t>
      </w:r>
      <w:r>
        <w:rPr>
          <w:rFonts w:hint="eastAsia" w:ascii="宋体" w:hAnsi="宋体" w:cs="宋体"/>
          <w:sz w:val="24"/>
          <w:highlight w:val="none"/>
        </w:rPr>
        <w:t>供应商</w:t>
      </w:r>
      <w:r>
        <w:rPr>
          <w:rFonts w:ascii="宋体" w:hAnsi="宋体" w:cs="宋体"/>
          <w:sz w:val="24"/>
          <w:highlight w:val="none"/>
        </w:rPr>
        <w:t>在编制投标文件时，应按招标文件要求提供资格审查资料，以证实其各项资格条件满足资格审查的要求，具备承担本项目的资格条件、能力和信誉。</w:t>
      </w:r>
    </w:p>
    <w:p w14:paraId="6B3F3FC3">
      <w:pPr>
        <w:ind w:firstLine="480" w:firstLineChars="200"/>
        <w:rPr>
          <w:rFonts w:ascii="宋体" w:hAnsi="宋体" w:cs="宋体"/>
          <w:sz w:val="24"/>
          <w:highlight w:val="none"/>
        </w:rPr>
      </w:pPr>
      <w:bookmarkStart w:id="96" w:name="_Toc472411381"/>
      <w:r>
        <w:rPr>
          <w:rFonts w:ascii="宋体" w:hAnsi="宋体" w:cs="宋体"/>
          <w:sz w:val="24"/>
          <w:highlight w:val="none"/>
        </w:rPr>
        <w:t>3.6 备选投标方案</w:t>
      </w:r>
      <w:bookmarkEnd w:id="96"/>
    </w:p>
    <w:p w14:paraId="747E1047">
      <w:pPr>
        <w:ind w:firstLine="480" w:firstLineChars="200"/>
        <w:rPr>
          <w:rFonts w:ascii="宋体" w:hAnsi="宋体" w:cs="宋体"/>
          <w:sz w:val="24"/>
          <w:highlight w:val="none"/>
        </w:rPr>
      </w:pPr>
      <w:r>
        <w:rPr>
          <w:rFonts w:ascii="宋体" w:hAnsi="宋体" w:cs="宋体"/>
          <w:sz w:val="24"/>
          <w:highlight w:val="none"/>
        </w:rPr>
        <w:t xml:space="preserve"> 除</w:t>
      </w:r>
      <w:r>
        <w:rPr>
          <w:rFonts w:hint="eastAsia" w:ascii="宋体" w:hAnsi="宋体" w:cs="宋体"/>
          <w:sz w:val="24"/>
          <w:highlight w:val="none"/>
        </w:rPr>
        <w:t>供应商</w:t>
      </w:r>
      <w:r>
        <w:rPr>
          <w:rFonts w:ascii="宋体" w:hAnsi="宋体" w:cs="宋体"/>
          <w:sz w:val="24"/>
          <w:highlight w:val="none"/>
        </w:rPr>
        <w:t>须知前附表另有规定外，</w:t>
      </w:r>
      <w:r>
        <w:rPr>
          <w:rFonts w:hint="eastAsia" w:ascii="宋体" w:hAnsi="宋体" w:cs="宋体"/>
          <w:sz w:val="24"/>
          <w:highlight w:val="none"/>
        </w:rPr>
        <w:t>供应商</w:t>
      </w:r>
      <w:r>
        <w:rPr>
          <w:rFonts w:ascii="宋体" w:hAnsi="宋体" w:cs="宋体"/>
          <w:sz w:val="24"/>
          <w:highlight w:val="none"/>
        </w:rPr>
        <w:t>不得递交备选投标方案，否则其投标将被否决。</w:t>
      </w:r>
    </w:p>
    <w:p w14:paraId="23435820">
      <w:pPr>
        <w:ind w:firstLine="480" w:firstLineChars="200"/>
        <w:rPr>
          <w:rFonts w:ascii="宋体" w:hAnsi="宋体" w:cs="宋体"/>
          <w:sz w:val="24"/>
          <w:highlight w:val="none"/>
        </w:rPr>
      </w:pPr>
      <w:bookmarkStart w:id="97" w:name="_Toc472411382"/>
      <w:r>
        <w:rPr>
          <w:rFonts w:ascii="宋体" w:hAnsi="宋体" w:cs="宋体"/>
          <w:sz w:val="24"/>
          <w:highlight w:val="none"/>
        </w:rPr>
        <w:t>3.7 投标文件的编制</w:t>
      </w:r>
      <w:bookmarkEnd w:id="97"/>
    </w:p>
    <w:p w14:paraId="69987F7E">
      <w:pPr>
        <w:ind w:firstLine="480" w:firstLineChars="200"/>
        <w:rPr>
          <w:rFonts w:ascii="宋体" w:hAnsi="宋体" w:cs="宋体"/>
          <w:sz w:val="24"/>
          <w:highlight w:val="none"/>
        </w:rPr>
      </w:pPr>
      <w:r>
        <w:rPr>
          <w:rFonts w:ascii="宋体" w:hAnsi="宋体" w:cs="宋体"/>
          <w:sz w:val="24"/>
          <w:highlight w:val="none"/>
        </w:rPr>
        <w:t>3.7.1投标文件应按第四章“投标文件格式”进行编写，如有必要，可以增加附页，作为投标文件的组成部分。其中，投标函附录在满足招标文件实质性要求的基础上，可以提出比招标文件要求更有利于采购人的承诺。</w:t>
      </w:r>
    </w:p>
    <w:p w14:paraId="1A5FE3A3">
      <w:pPr>
        <w:ind w:firstLine="480" w:firstLineChars="200"/>
        <w:rPr>
          <w:rFonts w:ascii="宋体" w:hAnsi="宋体" w:cs="宋体"/>
          <w:sz w:val="24"/>
          <w:highlight w:val="none"/>
        </w:rPr>
      </w:pPr>
      <w:r>
        <w:rPr>
          <w:rFonts w:ascii="宋体" w:hAnsi="宋体" w:cs="宋体"/>
          <w:sz w:val="24"/>
          <w:highlight w:val="none"/>
        </w:rPr>
        <w:t>3.7.2 投标文件应当对招标文件有关合同履行期限、投标有效期、质量标准、技术标准和要求、招标范围等实质性内容作出响应。</w:t>
      </w:r>
    </w:p>
    <w:p w14:paraId="6BAC960A">
      <w:pPr>
        <w:ind w:firstLine="480" w:firstLineChars="200"/>
        <w:rPr>
          <w:rFonts w:ascii="宋体" w:hAnsi="宋体" w:cs="宋体"/>
          <w:sz w:val="24"/>
          <w:highlight w:val="none"/>
        </w:rPr>
      </w:pPr>
      <w:r>
        <w:rPr>
          <w:rFonts w:ascii="宋体" w:hAnsi="宋体" w:cs="宋体"/>
          <w:sz w:val="24"/>
          <w:highlight w:val="none"/>
        </w:rPr>
        <w:t>3.7.3投标文件的签署：见</w:t>
      </w:r>
      <w:r>
        <w:rPr>
          <w:rFonts w:hint="eastAsia" w:ascii="宋体" w:hAnsi="宋体" w:cs="宋体"/>
          <w:sz w:val="24"/>
          <w:highlight w:val="none"/>
        </w:rPr>
        <w:t>供应商</w:t>
      </w:r>
      <w:r>
        <w:rPr>
          <w:rFonts w:ascii="宋体" w:hAnsi="宋体" w:cs="宋体"/>
          <w:sz w:val="24"/>
          <w:highlight w:val="none"/>
        </w:rPr>
        <w:t>须知前附表。</w:t>
      </w:r>
    </w:p>
    <w:p w14:paraId="5704F5D1">
      <w:pPr>
        <w:pStyle w:val="5"/>
        <w:widowControl/>
        <w:numPr>
          <w:ilvl w:val="0"/>
          <w:numId w:val="0"/>
        </w:numPr>
        <w:spacing w:before="0"/>
        <w:ind w:left="422" w:leftChars="201"/>
        <w:jc w:val="left"/>
        <w:rPr>
          <w:rFonts w:ascii="宋体" w:hAnsi="宋体" w:eastAsia="宋体" w:cs="宋体"/>
          <w:sz w:val="24"/>
          <w:szCs w:val="24"/>
          <w:highlight w:val="none"/>
          <w:lang w:bidi="en-US"/>
        </w:rPr>
      </w:pPr>
      <w:bookmarkStart w:id="98" w:name="_Toc1498"/>
      <w:bookmarkStart w:id="99" w:name="_Toc4643"/>
      <w:bookmarkStart w:id="100" w:name="_Toc184635074"/>
      <w:bookmarkStart w:id="101" w:name="_Toc472411383"/>
      <w:bookmarkStart w:id="102" w:name="_Toc3276"/>
      <w:bookmarkStart w:id="103" w:name="_Toc472411519"/>
      <w:r>
        <w:rPr>
          <w:rFonts w:hint="eastAsia" w:ascii="宋体" w:hAnsi="宋体" w:eastAsia="宋体" w:cs="宋体"/>
          <w:sz w:val="24"/>
          <w:szCs w:val="24"/>
          <w:highlight w:val="none"/>
          <w:lang w:bidi="en-US"/>
        </w:rPr>
        <w:t>4.投标</w:t>
      </w:r>
      <w:bookmarkEnd w:id="98"/>
      <w:bookmarkEnd w:id="99"/>
      <w:bookmarkEnd w:id="100"/>
      <w:bookmarkEnd w:id="101"/>
      <w:bookmarkEnd w:id="102"/>
      <w:bookmarkEnd w:id="103"/>
    </w:p>
    <w:p w14:paraId="74573A40">
      <w:pPr>
        <w:widowControl/>
        <w:ind w:firstLine="420"/>
        <w:jc w:val="left"/>
        <w:rPr>
          <w:rFonts w:ascii="宋体" w:hAnsi="宋体" w:cs="宋体"/>
          <w:kern w:val="0"/>
          <w:sz w:val="24"/>
          <w:highlight w:val="none"/>
        </w:rPr>
      </w:pPr>
      <w:bookmarkStart w:id="104" w:name="_Toc472411520"/>
      <w:bookmarkStart w:id="105" w:name="_Toc19064"/>
      <w:bookmarkStart w:id="106" w:name="_Toc8819"/>
      <w:bookmarkStart w:id="107" w:name="_Toc32281"/>
      <w:bookmarkStart w:id="108" w:name="_Toc472411387"/>
      <w:bookmarkStart w:id="109" w:name="_Toc184635075"/>
      <w:r>
        <w:rPr>
          <w:rFonts w:hint="eastAsia" w:ascii="宋体" w:hAnsi="宋体" w:cs="宋体"/>
          <w:kern w:val="0"/>
          <w:sz w:val="24"/>
          <w:highlight w:val="none"/>
        </w:rPr>
        <w:t>4.1.1投标文件的递交：见供应商须知前附表。</w:t>
      </w:r>
    </w:p>
    <w:p w14:paraId="51629598">
      <w:pPr>
        <w:widowControl/>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4.2投标文件的修改与撤回</w:t>
      </w:r>
    </w:p>
    <w:p w14:paraId="4E11DB3C">
      <w:pPr>
        <w:widowControl/>
        <w:ind w:firstLine="420"/>
        <w:jc w:val="left"/>
        <w:rPr>
          <w:rFonts w:ascii="宋体" w:hAnsi="宋体" w:cs="宋体"/>
          <w:kern w:val="0"/>
          <w:sz w:val="24"/>
          <w:highlight w:val="none"/>
        </w:rPr>
      </w:pPr>
      <w:r>
        <w:rPr>
          <w:rFonts w:hint="eastAsia" w:ascii="宋体" w:hAnsi="宋体" w:cs="宋体"/>
          <w:kern w:val="0"/>
          <w:sz w:val="24"/>
          <w:highlight w:val="none"/>
        </w:rPr>
        <w:t>在本章第2.2.2项规定的投标截止时间前，供应商可以修改或撤回已递交的投标文件，已递交的投标文件，无须以书面形式通知采购人。</w:t>
      </w:r>
    </w:p>
    <w:p w14:paraId="1E145FAC">
      <w:pPr>
        <w:pStyle w:val="5"/>
        <w:widowControl/>
        <w:numPr>
          <w:ilvl w:val="0"/>
          <w:numId w:val="0"/>
        </w:numPr>
        <w:spacing w:before="0"/>
        <w:ind w:left="422" w:leftChars="201"/>
        <w:jc w:val="left"/>
        <w:rPr>
          <w:rFonts w:ascii="宋体" w:hAnsi="宋体" w:eastAsia="宋体" w:cs="宋体"/>
          <w:sz w:val="24"/>
          <w:szCs w:val="24"/>
          <w:highlight w:val="none"/>
          <w:lang w:bidi="en-US"/>
        </w:rPr>
      </w:pPr>
      <w:r>
        <w:rPr>
          <w:rFonts w:hint="eastAsia" w:ascii="宋体" w:hAnsi="宋体" w:eastAsia="宋体" w:cs="宋体"/>
          <w:sz w:val="24"/>
          <w:szCs w:val="24"/>
          <w:highlight w:val="none"/>
          <w:lang w:bidi="en-US"/>
        </w:rPr>
        <w:t>5.开标</w:t>
      </w:r>
      <w:bookmarkEnd w:id="104"/>
      <w:bookmarkEnd w:id="105"/>
      <w:bookmarkEnd w:id="106"/>
      <w:bookmarkEnd w:id="107"/>
      <w:bookmarkEnd w:id="108"/>
      <w:bookmarkEnd w:id="109"/>
    </w:p>
    <w:p w14:paraId="0EA6F8EB">
      <w:pPr>
        <w:pStyle w:val="6"/>
        <w:numPr>
          <w:ilvl w:val="0"/>
          <w:numId w:val="0"/>
        </w:numPr>
        <w:tabs>
          <w:tab w:val="left" w:pos="6874"/>
          <w:tab w:val="clear" w:pos="2518"/>
        </w:tabs>
        <w:spacing w:before="0"/>
        <w:ind w:left="420" w:leftChars="200"/>
        <w:rPr>
          <w:rFonts w:ascii="宋体" w:hAnsi="宋体" w:eastAsia="宋体" w:cs="宋体"/>
          <w:sz w:val="24"/>
          <w:szCs w:val="24"/>
          <w:highlight w:val="none"/>
        </w:rPr>
      </w:pPr>
      <w:bookmarkStart w:id="110" w:name="_Toc246996947"/>
      <w:bookmarkStart w:id="111" w:name="_Toc179632578"/>
      <w:bookmarkStart w:id="112" w:name="_Toc144974528"/>
      <w:bookmarkStart w:id="113" w:name="_Toc247085718"/>
      <w:bookmarkStart w:id="114" w:name="_Toc152042336"/>
      <w:bookmarkStart w:id="115" w:name="_Toc32569"/>
      <w:bookmarkStart w:id="116" w:name="_Toc113"/>
      <w:bookmarkStart w:id="117" w:name="_Toc246996204"/>
      <w:bookmarkStart w:id="118" w:name="_Toc152045560"/>
      <w:bookmarkStart w:id="119" w:name="_Toc15545"/>
      <w:bookmarkStart w:id="120" w:name="_Toc28869"/>
      <w:bookmarkStart w:id="121" w:name="_Toc472411390"/>
      <w:bookmarkStart w:id="122" w:name="_Toc184635076"/>
      <w:bookmarkStart w:id="123" w:name="_Toc472411521"/>
      <w:bookmarkStart w:id="124" w:name="_Toc16877"/>
      <w:r>
        <w:rPr>
          <w:rFonts w:hint="eastAsia" w:ascii="宋体" w:hAnsi="宋体" w:eastAsia="宋体" w:cs="宋体"/>
          <w:sz w:val="24"/>
          <w:szCs w:val="24"/>
          <w:highlight w:val="none"/>
        </w:rPr>
        <w:t>5.1 开标时间和地点</w:t>
      </w:r>
      <w:bookmarkEnd w:id="110"/>
      <w:bookmarkEnd w:id="111"/>
      <w:bookmarkEnd w:id="112"/>
      <w:bookmarkEnd w:id="113"/>
      <w:bookmarkEnd w:id="114"/>
      <w:bookmarkEnd w:id="115"/>
      <w:bookmarkEnd w:id="116"/>
      <w:bookmarkEnd w:id="117"/>
      <w:bookmarkEnd w:id="118"/>
    </w:p>
    <w:p w14:paraId="36A80206">
      <w:pPr>
        <w:ind w:firstLine="480" w:firstLineChars="200"/>
        <w:rPr>
          <w:rFonts w:ascii="宋体" w:hAnsi="宋体" w:cs="宋体"/>
          <w:sz w:val="24"/>
          <w:highlight w:val="none"/>
        </w:rPr>
      </w:pPr>
      <w:r>
        <w:rPr>
          <w:rFonts w:hint="eastAsia" w:ascii="宋体" w:hAnsi="宋体" w:cs="宋体"/>
          <w:sz w:val="24"/>
          <w:highlight w:val="none"/>
        </w:rPr>
        <w:t>5.1.1 采购人在本章第2.2.2项规定的投标截止时间（开标时间）和供应商须知前附表规定的地点公开开标。</w:t>
      </w:r>
    </w:p>
    <w:p w14:paraId="666271ED">
      <w:pPr>
        <w:ind w:firstLine="480" w:firstLineChars="200"/>
        <w:rPr>
          <w:rFonts w:ascii="宋体" w:hAnsi="宋体" w:cs="宋体"/>
          <w:sz w:val="24"/>
          <w:highlight w:val="none"/>
        </w:rPr>
      </w:pPr>
      <w:r>
        <w:rPr>
          <w:rFonts w:hint="eastAsia" w:ascii="宋体" w:hAnsi="宋体" w:cs="宋体"/>
          <w:sz w:val="24"/>
          <w:highlight w:val="none"/>
        </w:rPr>
        <w:t>5.1.2 到投标截止时间止，采购人收到的投标文件少于三份的，采购人将依法重新组织招标。</w:t>
      </w:r>
    </w:p>
    <w:p w14:paraId="69B97174">
      <w:pPr>
        <w:pStyle w:val="6"/>
        <w:numPr>
          <w:ilvl w:val="0"/>
          <w:numId w:val="0"/>
        </w:numPr>
        <w:tabs>
          <w:tab w:val="left" w:pos="6874"/>
          <w:tab w:val="clear" w:pos="2518"/>
        </w:tabs>
        <w:spacing w:before="0"/>
        <w:ind w:left="420" w:leftChars="200"/>
        <w:rPr>
          <w:rFonts w:ascii="宋体" w:hAnsi="宋体" w:eastAsia="宋体" w:cs="宋体"/>
          <w:sz w:val="24"/>
          <w:szCs w:val="24"/>
          <w:highlight w:val="none"/>
        </w:rPr>
      </w:pPr>
      <w:bookmarkStart w:id="125" w:name="_Toc26175"/>
      <w:bookmarkStart w:id="126" w:name="_Toc246996205"/>
      <w:bookmarkStart w:id="127" w:name="_Toc152045561"/>
      <w:bookmarkStart w:id="128" w:name="_Toc13165"/>
      <w:bookmarkStart w:id="129" w:name="_Toc247085719"/>
      <w:bookmarkStart w:id="130" w:name="_Toc144974529"/>
      <w:bookmarkStart w:id="131" w:name="_Toc152042337"/>
      <w:bookmarkStart w:id="132" w:name="_Toc246996948"/>
      <w:bookmarkStart w:id="133" w:name="_Toc179632579"/>
      <w:r>
        <w:rPr>
          <w:rFonts w:hint="eastAsia" w:ascii="宋体" w:hAnsi="宋体" w:eastAsia="宋体" w:cs="宋体"/>
          <w:sz w:val="24"/>
          <w:szCs w:val="24"/>
          <w:highlight w:val="none"/>
        </w:rPr>
        <w:t>5.2 开标程序</w:t>
      </w:r>
      <w:bookmarkEnd w:id="125"/>
      <w:bookmarkEnd w:id="126"/>
      <w:bookmarkEnd w:id="127"/>
      <w:bookmarkEnd w:id="128"/>
      <w:bookmarkEnd w:id="129"/>
      <w:bookmarkEnd w:id="130"/>
      <w:bookmarkEnd w:id="131"/>
      <w:bookmarkEnd w:id="132"/>
      <w:bookmarkEnd w:id="133"/>
    </w:p>
    <w:p w14:paraId="0A425F9D">
      <w:pPr>
        <w:ind w:firstLine="480" w:firstLineChars="200"/>
        <w:rPr>
          <w:rFonts w:ascii="宋体" w:hAnsi="宋体" w:cs="宋体"/>
          <w:sz w:val="24"/>
          <w:highlight w:val="none"/>
        </w:rPr>
      </w:pPr>
      <w:r>
        <w:rPr>
          <w:rFonts w:hint="eastAsia" w:ascii="宋体" w:hAnsi="宋体" w:cs="宋体"/>
          <w:sz w:val="24"/>
          <w:highlight w:val="none"/>
        </w:rPr>
        <w:t>主持人按下列程序进行开标：</w:t>
      </w:r>
    </w:p>
    <w:p w14:paraId="2F5AAFCD">
      <w:pPr>
        <w:ind w:firstLine="480" w:firstLineChars="200"/>
        <w:rPr>
          <w:rFonts w:ascii="宋体" w:hAnsi="宋体" w:cs="宋体"/>
          <w:sz w:val="24"/>
          <w:highlight w:val="none"/>
        </w:rPr>
      </w:pPr>
      <w:r>
        <w:rPr>
          <w:rFonts w:hint="eastAsia" w:ascii="宋体" w:hAnsi="宋体" w:cs="宋体"/>
          <w:sz w:val="24"/>
          <w:highlight w:val="none"/>
        </w:rPr>
        <w:t>（1） 开标会议由采购代理机构主持，主持人宣布开标会议开始并介绍出席开标会议的参会人员；</w:t>
      </w:r>
    </w:p>
    <w:p w14:paraId="451713EE">
      <w:pPr>
        <w:ind w:firstLine="480" w:firstLineChars="200"/>
        <w:rPr>
          <w:rFonts w:ascii="宋体" w:hAnsi="宋体" w:cs="宋体"/>
          <w:sz w:val="24"/>
          <w:highlight w:val="none"/>
        </w:rPr>
      </w:pPr>
      <w:r>
        <w:rPr>
          <w:rFonts w:hint="eastAsia" w:ascii="宋体" w:hAnsi="宋体" w:cs="宋体"/>
          <w:sz w:val="24"/>
          <w:highlight w:val="none"/>
        </w:rPr>
        <w:t>（2）远程解密；</w:t>
      </w:r>
    </w:p>
    <w:p w14:paraId="21645DBD">
      <w:pPr>
        <w:ind w:firstLine="480" w:firstLineChars="200"/>
        <w:rPr>
          <w:rFonts w:ascii="宋体" w:hAnsi="宋体" w:cs="宋体"/>
          <w:sz w:val="24"/>
          <w:highlight w:val="none"/>
        </w:rPr>
      </w:pPr>
      <w:r>
        <w:rPr>
          <w:rFonts w:hint="eastAsia" w:ascii="宋体" w:hAnsi="宋体" w:cs="宋体"/>
          <w:sz w:val="24"/>
          <w:highlight w:val="none"/>
        </w:rPr>
        <w:t>（3）唱标；</w:t>
      </w:r>
    </w:p>
    <w:p w14:paraId="226CF20E">
      <w:pPr>
        <w:ind w:firstLine="480" w:firstLineChars="200"/>
        <w:rPr>
          <w:rFonts w:ascii="宋体" w:hAnsi="宋体" w:cs="宋体"/>
          <w:sz w:val="24"/>
          <w:highlight w:val="none"/>
        </w:rPr>
      </w:pPr>
      <w:r>
        <w:rPr>
          <w:rFonts w:hint="eastAsia" w:ascii="宋体" w:hAnsi="宋体" w:cs="宋体"/>
          <w:sz w:val="24"/>
          <w:highlight w:val="none"/>
        </w:rPr>
        <w:t>（4）主持人宣布开标会议结束；</w:t>
      </w:r>
    </w:p>
    <w:p w14:paraId="488EC71F">
      <w:pPr>
        <w:ind w:firstLine="480" w:firstLineChars="200"/>
        <w:rPr>
          <w:rFonts w:ascii="宋体" w:hAnsi="宋体" w:cs="宋体"/>
          <w:sz w:val="24"/>
          <w:highlight w:val="none"/>
        </w:rPr>
      </w:pPr>
      <w:r>
        <w:rPr>
          <w:rFonts w:hint="eastAsia" w:ascii="宋体" w:hAnsi="宋体" w:cs="宋体"/>
          <w:sz w:val="24"/>
          <w:highlight w:val="none"/>
        </w:rPr>
        <w:t>（5）评标委员会开始评标。</w:t>
      </w:r>
    </w:p>
    <w:p w14:paraId="2879C768">
      <w:pPr>
        <w:pStyle w:val="6"/>
        <w:numPr>
          <w:ilvl w:val="0"/>
          <w:numId w:val="0"/>
        </w:numPr>
        <w:tabs>
          <w:tab w:val="left" w:pos="6874"/>
          <w:tab w:val="clear" w:pos="2518"/>
        </w:tabs>
        <w:spacing w:before="0"/>
        <w:ind w:left="420" w:leftChars="200"/>
        <w:rPr>
          <w:rFonts w:ascii="宋体" w:hAnsi="宋体" w:eastAsia="宋体" w:cs="宋体"/>
          <w:sz w:val="24"/>
          <w:szCs w:val="24"/>
          <w:highlight w:val="none"/>
        </w:rPr>
      </w:pPr>
      <w:bookmarkStart w:id="134" w:name="_Toc2066"/>
      <w:bookmarkStart w:id="135" w:name="_Toc17953"/>
      <w:r>
        <w:rPr>
          <w:rFonts w:hint="eastAsia" w:ascii="宋体" w:hAnsi="宋体" w:eastAsia="宋体" w:cs="宋体"/>
          <w:sz w:val="24"/>
          <w:szCs w:val="24"/>
          <w:highlight w:val="none"/>
        </w:rPr>
        <w:t>5.3 开标异议</w:t>
      </w:r>
      <w:bookmarkEnd w:id="134"/>
      <w:bookmarkEnd w:id="135"/>
    </w:p>
    <w:p w14:paraId="62E39DC5">
      <w:pPr>
        <w:ind w:firstLine="480" w:firstLineChars="200"/>
        <w:rPr>
          <w:rFonts w:ascii="宋体" w:hAnsi="宋体" w:cs="宋体"/>
          <w:sz w:val="24"/>
          <w:highlight w:val="none"/>
        </w:rPr>
      </w:pPr>
      <w:r>
        <w:rPr>
          <w:rFonts w:hint="eastAsia" w:ascii="宋体" w:hAnsi="宋体" w:cs="宋体"/>
          <w:sz w:val="24"/>
          <w:highlight w:val="none"/>
        </w:rPr>
        <w:t>供应商对开标有异议的，应当在开标现场提出，采购人当场作出答复，并制作记录。投标文件不予受理情形</w:t>
      </w:r>
    </w:p>
    <w:p w14:paraId="51288939">
      <w:pPr>
        <w:ind w:firstLine="480" w:firstLineChars="200"/>
        <w:rPr>
          <w:rFonts w:ascii="宋体" w:hAnsi="宋体" w:cs="宋体"/>
          <w:sz w:val="24"/>
          <w:highlight w:val="none"/>
        </w:rPr>
      </w:pPr>
      <w:r>
        <w:rPr>
          <w:rFonts w:hint="eastAsia" w:ascii="宋体" w:hAnsi="宋体" w:cs="宋体"/>
          <w:sz w:val="24"/>
          <w:highlight w:val="none"/>
        </w:rPr>
        <w:t>5.4投标文件有下列情形之一的，采购人不予受理：</w:t>
      </w:r>
    </w:p>
    <w:p w14:paraId="1B2536D0">
      <w:pPr>
        <w:ind w:firstLine="480" w:firstLineChars="200"/>
        <w:rPr>
          <w:rFonts w:ascii="宋体" w:hAnsi="宋体" w:cs="宋体"/>
          <w:sz w:val="24"/>
          <w:highlight w:val="none"/>
        </w:rPr>
      </w:pPr>
      <w:r>
        <w:rPr>
          <w:rFonts w:hint="eastAsia" w:ascii="宋体" w:hAnsi="宋体" w:cs="宋体"/>
          <w:sz w:val="24"/>
          <w:highlight w:val="none"/>
        </w:rPr>
        <w:t>（1）在供应商须知前附表2.2.2项规定的“投标截止时间”以后逾期网上上传投标文件的；</w:t>
      </w:r>
    </w:p>
    <w:p w14:paraId="7DB47AA3">
      <w:pPr>
        <w:ind w:firstLine="480" w:firstLineChars="200"/>
        <w:rPr>
          <w:rFonts w:ascii="宋体" w:hAnsi="宋体" w:cs="宋体"/>
          <w:sz w:val="24"/>
          <w:highlight w:val="none"/>
        </w:rPr>
      </w:pPr>
      <w:r>
        <w:rPr>
          <w:rFonts w:hint="eastAsia" w:ascii="宋体" w:hAnsi="宋体" w:cs="宋体"/>
          <w:sz w:val="24"/>
          <w:highlight w:val="none"/>
        </w:rPr>
        <w:t>（2）供应商提交的电子标书格式不符合3.7.1项要求或开标后无法读取导入的；</w:t>
      </w:r>
    </w:p>
    <w:p w14:paraId="0FD1BE72">
      <w:pPr>
        <w:pStyle w:val="5"/>
        <w:widowControl/>
        <w:numPr>
          <w:ilvl w:val="0"/>
          <w:numId w:val="0"/>
        </w:numPr>
        <w:spacing w:before="0"/>
        <w:ind w:left="422" w:leftChars="201"/>
        <w:jc w:val="left"/>
        <w:rPr>
          <w:rFonts w:ascii="宋体" w:hAnsi="宋体" w:eastAsia="宋体" w:cs="宋体"/>
          <w:sz w:val="24"/>
          <w:szCs w:val="24"/>
          <w:highlight w:val="none"/>
          <w:lang w:bidi="en-US"/>
        </w:rPr>
      </w:pPr>
      <w:r>
        <w:rPr>
          <w:rFonts w:hint="eastAsia" w:ascii="宋体" w:hAnsi="宋体" w:eastAsia="宋体" w:cs="宋体"/>
          <w:sz w:val="24"/>
          <w:szCs w:val="24"/>
          <w:highlight w:val="none"/>
          <w:lang w:bidi="en-US"/>
        </w:rPr>
        <w:t>6.评标</w:t>
      </w:r>
      <w:bookmarkEnd w:id="119"/>
      <w:bookmarkEnd w:id="120"/>
      <w:bookmarkEnd w:id="121"/>
      <w:bookmarkEnd w:id="122"/>
      <w:bookmarkEnd w:id="123"/>
      <w:bookmarkEnd w:id="124"/>
    </w:p>
    <w:p w14:paraId="7C83DF5F">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36" w:name="_Toc472411391"/>
      <w:r>
        <w:rPr>
          <w:rFonts w:hint="eastAsia" w:ascii="宋体" w:hAnsi="宋体" w:eastAsia="宋体" w:cs="宋体"/>
          <w:sz w:val="24"/>
          <w:szCs w:val="24"/>
          <w:highlight w:val="none"/>
        </w:rPr>
        <w:t>6.1 评标委员会</w:t>
      </w:r>
      <w:bookmarkEnd w:id="136"/>
    </w:p>
    <w:p w14:paraId="6A1D360C">
      <w:pPr>
        <w:ind w:firstLine="480" w:firstLineChars="200"/>
        <w:rPr>
          <w:rFonts w:ascii="宋体" w:hAnsi="宋体" w:cs="宋体"/>
          <w:sz w:val="24"/>
          <w:highlight w:val="none"/>
        </w:rPr>
      </w:pPr>
      <w:r>
        <w:rPr>
          <w:rFonts w:hint="eastAsia" w:ascii="宋体" w:hAnsi="宋体" w:cs="宋体"/>
          <w:sz w:val="24"/>
          <w:highlight w:val="none"/>
        </w:rPr>
        <w:t>6.1.1 评标由采购人依法组建的评标委员会负责。评标委员会由采购人熟悉相关业务的代表或委托代表，以及有关技术、经济等方面的专家组成。评标委员会成员人数以及技术、经济等方面专家的确定方式见供应商须知前附表。</w:t>
      </w:r>
    </w:p>
    <w:p w14:paraId="7DAF51FB">
      <w:pPr>
        <w:ind w:firstLine="480" w:firstLineChars="200"/>
        <w:rPr>
          <w:rFonts w:ascii="宋体" w:hAnsi="宋体" w:cs="宋体"/>
          <w:sz w:val="24"/>
          <w:highlight w:val="none"/>
        </w:rPr>
      </w:pPr>
      <w:r>
        <w:rPr>
          <w:rFonts w:hint="eastAsia" w:ascii="宋体" w:hAnsi="宋体" w:cs="宋体"/>
          <w:sz w:val="24"/>
          <w:highlight w:val="none"/>
        </w:rPr>
        <w:t>6.1.2 评标委员会成员有下列情形之一的，应当回避：</w:t>
      </w:r>
    </w:p>
    <w:p w14:paraId="49E91267">
      <w:pPr>
        <w:ind w:firstLine="480" w:firstLineChars="200"/>
        <w:rPr>
          <w:rFonts w:ascii="宋体" w:hAnsi="宋体" w:cs="宋体"/>
          <w:sz w:val="24"/>
          <w:highlight w:val="none"/>
        </w:rPr>
      </w:pPr>
      <w:r>
        <w:rPr>
          <w:rFonts w:hint="eastAsia" w:ascii="宋体" w:hAnsi="宋体" w:cs="宋体"/>
          <w:sz w:val="24"/>
          <w:highlight w:val="none"/>
        </w:rPr>
        <w:t>（1）参加评标评审活动前一年内与供应商存在合同、劳动关系，或者担任过供应商的董事、监事，或者是供应商的股东（通过证券交易所购买的少量股份者除外）或实际控制人；</w:t>
      </w:r>
    </w:p>
    <w:p w14:paraId="0D73DBF4">
      <w:pPr>
        <w:ind w:firstLine="480" w:firstLineChars="200"/>
        <w:rPr>
          <w:rFonts w:ascii="宋体" w:hAnsi="宋体" w:cs="宋体"/>
          <w:sz w:val="24"/>
          <w:highlight w:val="none"/>
        </w:rPr>
      </w:pPr>
      <w:r>
        <w:rPr>
          <w:rFonts w:hint="eastAsia" w:ascii="宋体" w:hAnsi="宋体" w:cs="宋体"/>
          <w:sz w:val="24"/>
          <w:highlight w:val="none"/>
        </w:rPr>
        <w:t>（2）与供应商的法定代表人或者主要负责人有夫妻、直系血亲、三代以内旁系血亲或者近姻亲关系；</w:t>
      </w:r>
    </w:p>
    <w:p w14:paraId="30C9CDA6">
      <w:pPr>
        <w:ind w:firstLine="480" w:firstLineChars="200"/>
        <w:rPr>
          <w:rFonts w:ascii="宋体" w:hAnsi="宋体" w:cs="宋体"/>
          <w:sz w:val="24"/>
          <w:highlight w:val="none"/>
        </w:rPr>
      </w:pPr>
      <w:r>
        <w:rPr>
          <w:rFonts w:hint="eastAsia" w:ascii="宋体" w:hAnsi="宋体" w:cs="宋体"/>
          <w:sz w:val="24"/>
          <w:highlight w:val="none"/>
        </w:rPr>
        <w:t>（3）与供应商有其他可能影响招标投标活动公平、公正进行的关系；</w:t>
      </w:r>
    </w:p>
    <w:p w14:paraId="48E32103">
      <w:pPr>
        <w:ind w:firstLine="480" w:firstLineChars="200"/>
        <w:rPr>
          <w:rFonts w:ascii="宋体" w:hAnsi="宋体" w:cs="宋体"/>
          <w:sz w:val="24"/>
          <w:highlight w:val="none"/>
        </w:rPr>
      </w:pPr>
      <w:r>
        <w:rPr>
          <w:rFonts w:hint="eastAsia" w:ascii="宋体" w:hAnsi="宋体" w:cs="宋体"/>
          <w:sz w:val="24"/>
          <w:highlight w:val="none"/>
        </w:rPr>
        <w:t>（4）曾因在招标、评标以及其他与招标投标有关活动中从事违法行为而受过行政处罚或刑事处罚的；</w:t>
      </w:r>
    </w:p>
    <w:p w14:paraId="4C764369">
      <w:pPr>
        <w:ind w:firstLine="480" w:firstLineChars="200"/>
        <w:rPr>
          <w:rFonts w:ascii="宋体" w:hAnsi="宋体" w:cs="宋体"/>
          <w:sz w:val="24"/>
          <w:highlight w:val="none"/>
        </w:rPr>
      </w:pPr>
      <w:r>
        <w:rPr>
          <w:rFonts w:hint="eastAsia" w:ascii="宋体" w:hAnsi="宋体" w:cs="宋体"/>
          <w:sz w:val="24"/>
          <w:highlight w:val="none"/>
        </w:rPr>
        <w:t>（5）项目主管部门或行政监督部门的工作人员；</w:t>
      </w:r>
    </w:p>
    <w:p w14:paraId="7004EC62">
      <w:pPr>
        <w:ind w:firstLine="480" w:firstLineChars="200"/>
        <w:rPr>
          <w:rFonts w:ascii="宋体" w:hAnsi="宋体" w:cs="宋体"/>
          <w:sz w:val="24"/>
          <w:highlight w:val="none"/>
        </w:rPr>
      </w:pPr>
      <w:r>
        <w:rPr>
          <w:rFonts w:hint="eastAsia" w:ascii="宋体" w:hAnsi="宋体" w:cs="宋体"/>
          <w:sz w:val="24"/>
          <w:highlight w:val="none"/>
        </w:rPr>
        <w:t>（6）其它应当进行回避的情形。</w:t>
      </w:r>
    </w:p>
    <w:p w14:paraId="07ED5242">
      <w:pPr>
        <w:ind w:firstLine="480" w:firstLineChars="200"/>
        <w:rPr>
          <w:rFonts w:ascii="宋体" w:hAnsi="宋体" w:cs="宋体"/>
          <w:sz w:val="24"/>
          <w:highlight w:val="none"/>
        </w:rPr>
      </w:pPr>
      <w:r>
        <w:rPr>
          <w:rFonts w:hint="eastAsia" w:ascii="宋体" w:hAnsi="宋体" w:cs="宋体"/>
          <w:sz w:val="24"/>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36795BC2">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37" w:name="_Toc472411392"/>
      <w:r>
        <w:rPr>
          <w:rFonts w:hint="eastAsia" w:ascii="宋体" w:hAnsi="宋体" w:eastAsia="宋体" w:cs="宋体"/>
          <w:sz w:val="24"/>
          <w:szCs w:val="24"/>
          <w:highlight w:val="none"/>
        </w:rPr>
        <w:t>6.2 评标原则</w:t>
      </w:r>
      <w:bookmarkEnd w:id="137"/>
    </w:p>
    <w:p w14:paraId="68C1FAA4">
      <w:pPr>
        <w:ind w:firstLine="480" w:firstLineChars="200"/>
        <w:rPr>
          <w:rFonts w:ascii="宋体" w:hAnsi="宋体" w:cs="宋体"/>
          <w:sz w:val="24"/>
          <w:highlight w:val="none"/>
        </w:rPr>
      </w:pPr>
      <w:r>
        <w:rPr>
          <w:rFonts w:hint="eastAsia" w:ascii="宋体" w:hAnsi="宋体" w:cs="宋体"/>
          <w:sz w:val="24"/>
          <w:highlight w:val="none"/>
        </w:rPr>
        <w:t>评标活动遵循公平、公正、科学和择优的原则。</w:t>
      </w:r>
    </w:p>
    <w:p w14:paraId="74B94542">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6.3 投标文件的澄清和补正</w:t>
      </w:r>
    </w:p>
    <w:p w14:paraId="02A2F376">
      <w:pPr>
        <w:ind w:firstLine="480" w:firstLineChars="200"/>
        <w:rPr>
          <w:rFonts w:ascii="宋体" w:hAnsi="宋体" w:cs="宋体"/>
          <w:sz w:val="24"/>
          <w:highlight w:val="none"/>
        </w:rPr>
      </w:pPr>
      <w:r>
        <w:rPr>
          <w:rFonts w:hint="eastAsia" w:ascii="宋体" w:hAnsi="宋体" w:cs="宋体"/>
          <w:sz w:val="24"/>
          <w:highlight w:val="none"/>
        </w:rPr>
        <w:t>6.3.1 在评标过程中，评标委员会可以书面形式要求供应商对所提交投标文件中不明确的内容进行书面澄清或说明，或者对细微偏差进行补正。评标委员会不接受供应商主动提出的澄清、说明或补正。</w:t>
      </w:r>
    </w:p>
    <w:p w14:paraId="40629A5C">
      <w:pPr>
        <w:ind w:firstLine="480" w:firstLineChars="200"/>
        <w:rPr>
          <w:rFonts w:ascii="宋体" w:hAnsi="宋体" w:cs="宋体"/>
          <w:sz w:val="24"/>
          <w:highlight w:val="none"/>
        </w:rPr>
      </w:pPr>
      <w:r>
        <w:rPr>
          <w:rFonts w:hint="eastAsia" w:ascii="宋体" w:hAnsi="宋体" w:cs="宋体"/>
          <w:sz w:val="24"/>
          <w:highlight w:val="none"/>
        </w:rPr>
        <w:t>6.3.2 澄清、说明和补正不得改变投标文件的实质性内容（算术性错误修正的除外）。供应商的书面澄清、说明和补正属于投标文件的组成部分。</w:t>
      </w:r>
    </w:p>
    <w:p w14:paraId="21C88083">
      <w:pPr>
        <w:ind w:firstLine="480" w:firstLineChars="200"/>
        <w:rPr>
          <w:rFonts w:ascii="宋体" w:hAnsi="宋体" w:cs="宋体"/>
          <w:sz w:val="24"/>
          <w:highlight w:val="none"/>
        </w:rPr>
      </w:pPr>
      <w:r>
        <w:rPr>
          <w:rFonts w:hint="eastAsia" w:ascii="宋体" w:hAnsi="宋体" w:cs="宋体"/>
          <w:sz w:val="24"/>
          <w:highlight w:val="none"/>
        </w:rPr>
        <w:t>6.3.3 评标委员会对供应商提交的澄清、说明或补正有疑问的，可以要求供应商进一步澄清、说明或补正，直至满足评标委员会的要求。</w:t>
      </w:r>
    </w:p>
    <w:p w14:paraId="23F6D7D7">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6.4 评标</w:t>
      </w:r>
    </w:p>
    <w:p w14:paraId="4FC31A10">
      <w:pPr>
        <w:ind w:firstLine="480" w:firstLineChars="200"/>
        <w:rPr>
          <w:rFonts w:ascii="宋体" w:hAnsi="宋体" w:cs="宋体"/>
          <w:sz w:val="24"/>
          <w:highlight w:val="none"/>
        </w:rPr>
      </w:pPr>
      <w:r>
        <w:rPr>
          <w:rFonts w:hint="eastAsia" w:ascii="宋体" w:hAnsi="宋体" w:cs="宋体"/>
          <w:sz w:val="24"/>
          <w:highlight w:val="none"/>
        </w:rPr>
        <w:t>6.4.1 评标委员会按照第六章“评标办法”规定的方法、评审因素、标准和程序对投标文件进行评审。第六章“评标办法”没有规定的方法、评审因素和标准，不作为评标依据。</w:t>
      </w:r>
    </w:p>
    <w:p w14:paraId="0ACBB22E">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6.5 中标人的确定</w:t>
      </w:r>
    </w:p>
    <w:p w14:paraId="437F446F">
      <w:pPr>
        <w:ind w:firstLine="480" w:firstLineChars="200"/>
        <w:rPr>
          <w:rFonts w:ascii="宋体" w:hAnsi="宋体" w:cs="宋体"/>
          <w:sz w:val="24"/>
          <w:highlight w:val="none"/>
        </w:rPr>
      </w:pPr>
      <w:r>
        <w:rPr>
          <w:rFonts w:hint="eastAsia" w:ascii="宋体" w:hAnsi="宋体" w:cs="宋体"/>
          <w:kern w:val="0"/>
          <w:sz w:val="24"/>
          <w:highlight w:val="none"/>
        </w:rPr>
        <w:t>采购人根据评审报告推荐的中标或者成交候选人顺序确定中标或者成交供应商。</w:t>
      </w:r>
    </w:p>
    <w:p w14:paraId="0471393C">
      <w:pPr>
        <w:pStyle w:val="6"/>
        <w:numPr>
          <w:ilvl w:val="0"/>
          <w:numId w:val="0"/>
        </w:numPr>
        <w:tabs>
          <w:tab w:val="left" w:pos="6874"/>
          <w:tab w:val="clear" w:pos="2518"/>
        </w:tabs>
        <w:spacing w:before="0"/>
        <w:ind w:left="412" w:leftChars="196"/>
        <w:rPr>
          <w:rFonts w:hAnsi="宋体" w:cs="宋体"/>
          <w:b/>
          <w:bCs/>
          <w:sz w:val="24"/>
          <w:highlight w:val="none"/>
        </w:rPr>
      </w:pPr>
      <w:r>
        <w:rPr>
          <w:rFonts w:hint="eastAsia" w:ascii="宋体" w:hAnsi="宋体" w:eastAsia="宋体" w:cs="宋体"/>
          <w:sz w:val="24"/>
          <w:szCs w:val="24"/>
          <w:highlight w:val="none"/>
        </w:rPr>
        <w:t>6.6中标</w:t>
      </w:r>
      <w:bookmarkStart w:id="138" w:name="_Toc4260"/>
      <w:bookmarkStart w:id="139" w:name="_Toc472411522"/>
      <w:bookmarkStart w:id="140" w:name="_Toc472411394"/>
      <w:bookmarkStart w:id="141" w:name="_Toc2088"/>
      <w:bookmarkStart w:id="142" w:name="_Toc184635077"/>
      <w:r>
        <w:rPr>
          <w:rFonts w:hint="eastAsia" w:ascii="宋体" w:hAnsi="宋体" w:eastAsia="宋体" w:cs="宋体"/>
          <w:sz w:val="24"/>
          <w:szCs w:val="24"/>
          <w:highlight w:val="none"/>
        </w:rPr>
        <w:t>通知书</w:t>
      </w:r>
    </w:p>
    <w:p w14:paraId="06AD5D49">
      <w:pPr>
        <w:pStyle w:val="21"/>
        <w:ind w:firstLine="480" w:firstLineChars="200"/>
        <w:rPr>
          <w:rFonts w:hAnsi="宋体" w:cs="宋体"/>
          <w:kern w:val="0"/>
          <w:sz w:val="24"/>
          <w:highlight w:val="none"/>
        </w:rPr>
      </w:pPr>
      <w:r>
        <w:rPr>
          <w:rFonts w:hint="eastAsia" w:hAnsi="宋体" w:cs="宋体"/>
          <w:kern w:val="0"/>
          <w:sz w:val="24"/>
          <w:highlight w:val="none"/>
        </w:rPr>
        <w:t>6.6.1中标人确定后，中标结果由采购代理机构在发布招标公告的网上公告。</w:t>
      </w:r>
    </w:p>
    <w:p w14:paraId="43E06C9F">
      <w:pPr>
        <w:pStyle w:val="21"/>
        <w:ind w:firstLine="480" w:firstLineChars="200"/>
        <w:rPr>
          <w:rFonts w:hAnsi="宋体" w:cs="宋体"/>
          <w:kern w:val="0"/>
          <w:sz w:val="24"/>
          <w:highlight w:val="none"/>
        </w:rPr>
      </w:pPr>
      <w:r>
        <w:rPr>
          <w:rFonts w:hint="eastAsia" w:hAnsi="宋体" w:cs="宋体"/>
          <w:kern w:val="0"/>
          <w:sz w:val="24"/>
          <w:highlight w:val="none"/>
        </w:rPr>
        <w:t>6.6.2中标通知书是合同的一个组成部分。</w:t>
      </w:r>
    </w:p>
    <w:p w14:paraId="13B3E4F5">
      <w:pPr>
        <w:pStyle w:val="21"/>
        <w:ind w:firstLine="480" w:firstLineChars="200"/>
        <w:rPr>
          <w:rFonts w:hAnsi="宋体" w:cs="宋体"/>
          <w:kern w:val="0"/>
          <w:sz w:val="24"/>
          <w:highlight w:val="none"/>
        </w:rPr>
      </w:pPr>
      <w:r>
        <w:rPr>
          <w:rFonts w:hint="eastAsia" w:hAnsi="宋体" w:cs="宋体"/>
          <w:kern w:val="0"/>
          <w:sz w:val="24"/>
          <w:highlight w:val="none"/>
        </w:rPr>
        <w:t>6.6.3采购代理机构无义务向未中标供应商解释落标原因和退回投标文件。</w:t>
      </w:r>
    </w:p>
    <w:p w14:paraId="776352A2">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r>
        <w:rPr>
          <w:rFonts w:hint="eastAsia" w:ascii="宋体" w:hAnsi="宋体" w:eastAsia="宋体" w:cs="宋体"/>
          <w:sz w:val="24"/>
          <w:szCs w:val="24"/>
          <w:highlight w:val="none"/>
        </w:rPr>
        <w:t>7.合同授予</w:t>
      </w:r>
      <w:bookmarkEnd w:id="138"/>
      <w:bookmarkEnd w:id="139"/>
      <w:bookmarkEnd w:id="140"/>
      <w:bookmarkEnd w:id="141"/>
      <w:bookmarkEnd w:id="142"/>
    </w:p>
    <w:p w14:paraId="38660391">
      <w:pPr>
        <w:pStyle w:val="21"/>
        <w:ind w:firstLine="480" w:firstLineChars="200"/>
        <w:rPr>
          <w:rFonts w:hAnsi="宋体" w:cs="宋体"/>
          <w:kern w:val="0"/>
          <w:sz w:val="24"/>
          <w:highlight w:val="none"/>
        </w:rPr>
      </w:pPr>
      <w:r>
        <w:rPr>
          <w:rFonts w:hint="eastAsia" w:hAnsi="宋体" w:cs="宋体"/>
          <w:kern w:val="0"/>
          <w:sz w:val="24"/>
          <w:highlight w:val="none"/>
        </w:rPr>
        <w:t>7.1成交人收到成交通知书后，按招标文件、投标文件及有关澄清承诺书的要求与采购人签订合同。</w:t>
      </w:r>
    </w:p>
    <w:p w14:paraId="3CA3AF1D">
      <w:pPr>
        <w:pStyle w:val="21"/>
        <w:ind w:firstLine="480" w:firstLineChars="200"/>
        <w:rPr>
          <w:rFonts w:hAnsi="宋体" w:cs="宋体"/>
          <w:kern w:val="0"/>
          <w:sz w:val="24"/>
          <w:highlight w:val="none"/>
        </w:rPr>
      </w:pPr>
      <w:r>
        <w:rPr>
          <w:rFonts w:hint="eastAsia" w:hAnsi="宋体" w:cs="宋体"/>
          <w:kern w:val="0"/>
          <w:sz w:val="24"/>
          <w:highlight w:val="none"/>
        </w:rPr>
        <w:t>7.2成交人因不可抗力或者自身原因不能履行政府采购合同的，采购人可以与排位在成交人之后第一位的成交候选供应商签订政府采购合同，以此类推。</w:t>
      </w:r>
    </w:p>
    <w:p w14:paraId="6E81B26A">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43" w:name="_Toc472411397"/>
      <w:r>
        <w:rPr>
          <w:rFonts w:hint="eastAsia" w:ascii="宋体" w:hAnsi="宋体" w:eastAsia="宋体" w:cs="宋体"/>
          <w:sz w:val="24"/>
          <w:szCs w:val="24"/>
          <w:highlight w:val="none"/>
        </w:rPr>
        <w:t>7.3 履约担保</w:t>
      </w:r>
      <w:bookmarkEnd w:id="143"/>
      <w:r>
        <w:rPr>
          <w:rFonts w:hint="eastAsia" w:ascii="宋体" w:hAnsi="宋体" w:eastAsia="宋体" w:cs="宋体"/>
          <w:sz w:val="24"/>
          <w:szCs w:val="24"/>
          <w:highlight w:val="none"/>
        </w:rPr>
        <w:t>（如有）</w:t>
      </w:r>
    </w:p>
    <w:p w14:paraId="00A68645">
      <w:pPr>
        <w:ind w:firstLine="480" w:firstLineChars="200"/>
        <w:rPr>
          <w:rFonts w:ascii="宋体" w:hAnsi="宋体" w:cs="宋体"/>
          <w:sz w:val="24"/>
          <w:highlight w:val="none"/>
        </w:rPr>
      </w:pPr>
      <w:r>
        <w:rPr>
          <w:rFonts w:hint="eastAsia" w:ascii="宋体" w:hAnsi="宋体" w:cs="宋体"/>
          <w:sz w:val="24"/>
          <w:highlight w:val="none"/>
        </w:rPr>
        <w:t>7.3.1 在签订合同前，中标人应按供应商须知前附表规定的担保形式和招标文件第三章“合同条款及格式”规定的或者事先经过采购人书面认可的履约担保格式向采购人提交履约担保。（同时采购人提供同等的支付担保）履约担保金额见供应商须知前附表。</w:t>
      </w:r>
    </w:p>
    <w:p w14:paraId="0F79BEFD">
      <w:pPr>
        <w:ind w:firstLine="480" w:firstLineChars="200"/>
        <w:rPr>
          <w:rFonts w:ascii="宋体" w:hAnsi="宋体" w:cs="宋体"/>
          <w:sz w:val="24"/>
          <w:highlight w:val="none"/>
        </w:rPr>
      </w:pPr>
      <w:r>
        <w:rPr>
          <w:rFonts w:hint="eastAsia" w:ascii="宋体" w:hAnsi="宋体" w:cs="宋体"/>
          <w:sz w:val="24"/>
          <w:highlight w:val="none"/>
        </w:rPr>
        <w:t>7.3.2 中标人不能按本章第7.3.1项要求提交履约担保的，视为放弃中标，其投标保证金不予退还，给采购人造成的损失超过投标保证金数额的，中标人还应当对超过部分予以赔偿。</w:t>
      </w:r>
    </w:p>
    <w:p w14:paraId="4CA0B30C">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44" w:name="_Toc472411398"/>
      <w:r>
        <w:rPr>
          <w:rFonts w:hint="eastAsia" w:ascii="宋体" w:hAnsi="宋体" w:eastAsia="宋体" w:cs="宋体"/>
          <w:sz w:val="24"/>
          <w:szCs w:val="24"/>
          <w:highlight w:val="none"/>
        </w:rPr>
        <w:t>7.4 签订合同</w:t>
      </w:r>
      <w:bookmarkEnd w:id="144"/>
    </w:p>
    <w:p w14:paraId="4C01AF1C">
      <w:pPr>
        <w:ind w:firstLine="480" w:firstLineChars="200"/>
        <w:rPr>
          <w:rFonts w:ascii="宋体" w:hAnsi="宋体" w:cs="宋体"/>
          <w:sz w:val="24"/>
          <w:highlight w:val="none"/>
        </w:rPr>
      </w:pPr>
      <w:r>
        <w:rPr>
          <w:rFonts w:hint="eastAsia" w:ascii="宋体" w:hAnsi="宋体" w:cs="宋体"/>
          <w:sz w:val="24"/>
          <w:highlight w:val="none"/>
        </w:rPr>
        <w:t>7.4.1 采购人和中标人应当自中标通知书发出之日起30天内，根据招标文件和中标人的投标文件订立书面合同。中标人无正当理由拒签合同的，采购人取消其中标资格，其投标保证金亦不予退还；给采购人造成的损失超过投标保证金数额的，中标人还应当对超过部分予以赔偿。</w:t>
      </w:r>
    </w:p>
    <w:p w14:paraId="77A79BF0">
      <w:pPr>
        <w:ind w:firstLine="480" w:firstLineChars="200"/>
        <w:rPr>
          <w:rFonts w:ascii="宋体" w:hAnsi="宋体" w:cs="宋体"/>
          <w:sz w:val="24"/>
          <w:highlight w:val="none"/>
        </w:rPr>
      </w:pPr>
      <w:r>
        <w:rPr>
          <w:rFonts w:hint="eastAsia" w:ascii="宋体" w:hAnsi="宋体" w:cs="宋体"/>
          <w:sz w:val="24"/>
          <w:highlight w:val="none"/>
        </w:rPr>
        <w:t>7.4.2 发出中标通知书后，采购人无正当理由拒签合同的，采购人向中标人退还投标保证金；给中标人造成损失的，还应当赔偿损失。</w:t>
      </w:r>
    </w:p>
    <w:p w14:paraId="74162D10">
      <w:pPr>
        <w:pStyle w:val="5"/>
        <w:widowControl/>
        <w:numPr>
          <w:ilvl w:val="0"/>
          <w:numId w:val="0"/>
        </w:numPr>
        <w:spacing w:before="0"/>
        <w:ind w:left="422" w:leftChars="201"/>
        <w:jc w:val="left"/>
        <w:rPr>
          <w:rFonts w:ascii="宋体" w:hAnsi="宋体" w:eastAsia="宋体" w:cs="宋体"/>
          <w:sz w:val="24"/>
          <w:szCs w:val="24"/>
          <w:highlight w:val="none"/>
          <w:lang w:bidi="en-US"/>
        </w:rPr>
      </w:pPr>
      <w:bookmarkStart w:id="145" w:name="_Toc4935"/>
      <w:bookmarkStart w:id="146" w:name="_Toc490"/>
      <w:bookmarkStart w:id="147" w:name="_Toc1204"/>
      <w:bookmarkStart w:id="148" w:name="_Toc472411523"/>
      <w:bookmarkStart w:id="149" w:name="_Toc184635078"/>
      <w:bookmarkStart w:id="150" w:name="_Toc472411399"/>
      <w:r>
        <w:rPr>
          <w:rFonts w:hint="eastAsia" w:ascii="宋体" w:hAnsi="宋体" w:eastAsia="宋体" w:cs="宋体"/>
          <w:sz w:val="24"/>
          <w:szCs w:val="24"/>
          <w:highlight w:val="none"/>
          <w:lang w:bidi="en-US"/>
        </w:rPr>
        <w:t>8.重新招标和不再招标</w:t>
      </w:r>
      <w:bookmarkEnd w:id="145"/>
      <w:bookmarkEnd w:id="146"/>
      <w:bookmarkEnd w:id="147"/>
      <w:bookmarkEnd w:id="148"/>
      <w:bookmarkEnd w:id="149"/>
      <w:bookmarkEnd w:id="150"/>
    </w:p>
    <w:p w14:paraId="11CBA7CA">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51" w:name="_Toc472411400"/>
      <w:r>
        <w:rPr>
          <w:rFonts w:hint="eastAsia" w:ascii="宋体" w:hAnsi="宋体" w:eastAsia="宋体" w:cs="宋体"/>
          <w:sz w:val="24"/>
          <w:szCs w:val="24"/>
          <w:highlight w:val="none"/>
        </w:rPr>
        <w:t>8.1 重新招标</w:t>
      </w:r>
      <w:bookmarkEnd w:id="151"/>
    </w:p>
    <w:p w14:paraId="4CF0B64A">
      <w:pPr>
        <w:ind w:firstLine="480" w:firstLineChars="200"/>
        <w:rPr>
          <w:rFonts w:ascii="宋体" w:hAnsi="宋体" w:cs="宋体"/>
          <w:sz w:val="24"/>
          <w:highlight w:val="none"/>
        </w:rPr>
      </w:pPr>
      <w:r>
        <w:rPr>
          <w:rFonts w:hint="eastAsia" w:ascii="宋体" w:hAnsi="宋体" w:cs="宋体"/>
          <w:sz w:val="24"/>
          <w:highlight w:val="none"/>
        </w:rPr>
        <w:t>有下列情形之一的，采购人将重新招标：</w:t>
      </w:r>
    </w:p>
    <w:p w14:paraId="498E20C7">
      <w:pPr>
        <w:ind w:firstLine="480" w:firstLineChars="200"/>
        <w:rPr>
          <w:rFonts w:ascii="宋体" w:hAnsi="宋体" w:cs="宋体"/>
          <w:sz w:val="24"/>
          <w:highlight w:val="none"/>
        </w:rPr>
      </w:pPr>
      <w:r>
        <w:rPr>
          <w:rFonts w:hint="eastAsia" w:ascii="宋体" w:hAnsi="宋体" w:cs="宋体"/>
          <w:sz w:val="24"/>
          <w:highlight w:val="none"/>
        </w:rPr>
        <w:t>（l）投标截止时间止，供应商少于3 个的；</w:t>
      </w:r>
    </w:p>
    <w:p w14:paraId="6C8C61B5">
      <w:pPr>
        <w:ind w:firstLine="480" w:firstLineChars="200"/>
        <w:rPr>
          <w:rFonts w:ascii="宋体" w:hAnsi="宋体" w:cs="宋体"/>
          <w:sz w:val="24"/>
          <w:highlight w:val="none"/>
        </w:rPr>
      </w:pPr>
      <w:r>
        <w:rPr>
          <w:rFonts w:hint="eastAsia" w:ascii="宋体" w:hAnsi="宋体" w:cs="宋体"/>
          <w:sz w:val="24"/>
          <w:highlight w:val="none"/>
        </w:rPr>
        <w:t>（2）经评标委员会评审后否决所有投标的。</w:t>
      </w:r>
    </w:p>
    <w:p w14:paraId="608D60C7">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52" w:name="_Toc472411401"/>
      <w:r>
        <w:rPr>
          <w:rFonts w:hint="eastAsia" w:ascii="宋体" w:hAnsi="宋体" w:eastAsia="宋体" w:cs="宋体"/>
          <w:sz w:val="24"/>
          <w:szCs w:val="24"/>
          <w:highlight w:val="none"/>
        </w:rPr>
        <w:t>8.2 不再招标</w:t>
      </w:r>
      <w:bookmarkEnd w:id="152"/>
    </w:p>
    <w:p w14:paraId="2AC68E3B">
      <w:pPr>
        <w:ind w:firstLine="480" w:firstLineChars="200"/>
        <w:rPr>
          <w:rFonts w:ascii="宋体" w:hAnsi="宋体" w:cs="宋体"/>
          <w:sz w:val="24"/>
          <w:highlight w:val="none"/>
        </w:rPr>
      </w:pPr>
      <w:r>
        <w:rPr>
          <w:rFonts w:hint="eastAsia" w:ascii="宋体" w:hAnsi="宋体" w:cs="宋体"/>
          <w:sz w:val="24"/>
          <w:highlight w:val="none"/>
        </w:rPr>
        <w:t>重新招标后供应商仍少于3 个或者所有投标被否决的，属于必须审批或核准的项目，经原审批或核准部门批准后不再进行招标。</w:t>
      </w:r>
    </w:p>
    <w:p w14:paraId="1E4B4268">
      <w:pPr>
        <w:pStyle w:val="5"/>
        <w:widowControl/>
        <w:numPr>
          <w:ilvl w:val="0"/>
          <w:numId w:val="0"/>
        </w:numPr>
        <w:spacing w:before="0"/>
        <w:ind w:left="422" w:leftChars="201"/>
        <w:jc w:val="left"/>
        <w:rPr>
          <w:rFonts w:ascii="宋体" w:hAnsi="宋体" w:eastAsia="宋体" w:cs="宋体"/>
          <w:sz w:val="24"/>
          <w:szCs w:val="24"/>
          <w:highlight w:val="none"/>
          <w:lang w:bidi="en-US"/>
        </w:rPr>
      </w:pPr>
      <w:bookmarkStart w:id="153" w:name="_Toc13588"/>
      <w:bookmarkStart w:id="154" w:name="_Toc184635079"/>
      <w:bookmarkStart w:id="155" w:name="_Toc472411402"/>
      <w:bookmarkStart w:id="156" w:name="_Toc24522"/>
      <w:bookmarkStart w:id="157" w:name="_Toc472411524"/>
      <w:bookmarkStart w:id="158" w:name="_Toc19071"/>
      <w:r>
        <w:rPr>
          <w:rFonts w:hint="eastAsia" w:ascii="宋体" w:hAnsi="宋体" w:eastAsia="宋体" w:cs="宋体"/>
          <w:sz w:val="24"/>
          <w:szCs w:val="24"/>
          <w:highlight w:val="none"/>
          <w:lang w:bidi="en-US"/>
        </w:rPr>
        <w:t>9.纪律和监督</w:t>
      </w:r>
      <w:bookmarkEnd w:id="153"/>
      <w:bookmarkEnd w:id="154"/>
      <w:bookmarkEnd w:id="155"/>
      <w:bookmarkEnd w:id="156"/>
      <w:bookmarkEnd w:id="157"/>
      <w:bookmarkEnd w:id="158"/>
    </w:p>
    <w:p w14:paraId="483F4282">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59" w:name="_Toc472411403"/>
      <w:r>
        <w:rPr>
          <w:rFonts w:hint="eastAsia" w:ascii="宋体" w:hAnsi="宋体" w:eastAsia="宋体" w:cs="宋体"/>
          <w:sz w:val="24"/>
          <w:szCs w:val="24"/>
          <w:highlight w:val="none"/>
        </w:rPr>
        <w:t>9.1 对采购人的纪律要求</w:t>
      </w:r>
      <w:bookmarkEnd w:id="159"/>
    </w:p>
    <w:p w14:paraId="3DE74DF1">
      <w:pPr>
        <w:ind w:firstLine="480" w:firstLineChars="200"/>
        <w:rPr>
          <w:rFonts w:ascii="宋体" w:hAnsi="宋体" w:cs="宋体"/>
          <w:sz w:val="24"/>
          <w:highlight w:val="none"/>
        </w:rPr>
      </w:pPr>
      <w:r>
        <w:rPr>
          <w:rFonts w:hint="eastAsia" w:ascii="宋体" w:hAnsi="宋体" w:cs="宋体"/>
          <w:sz w:val="24"/>
          <w:highlight w:val="none"/>
        </w:rPr>
        <w:t>采购人不得泄露招标投标活动中应当保密的情况和资料，不得与供应商串通损害国家利益、社会公共利益或者他人合法权益。</w:t>
      </w:r>
    </w:p>
    <w:p w14:paraId="6DA5F2C9">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60" w:name="_Toc472411404"/>
      <w:r>
        <w:rPr>
          <w:rFonts w:hint="eastAsia" w:ascii="宋体" w:hAnsi="宋体" w:eastAsia="宋体" w:cs="宋体"/>
          <w:sz w:val="24"/>
          <w:szCs w:val="24"/>
          <w:highlight w:val="none"/>
        </w:rPr>
        <w:t>9.2 对供应商的纪律要求</w:t>
      </w:r>
      <w:bookmarkEnd w:id="160"/>
    </w:p>
    <w:p w14:paraId="125FF9DD">
      <w:pPr>
        <w:ind w:firstLine="480" w:firstLineChars="200"/>
        <w:rPr>
          <w:rFonts w:ascii="宋体" w:hAnsi="宋体" w:cs="宋体"/>
          <w:sz w:val="24"/>
          <w:highlight w:val="none"/>
        </w:rPr>
      </w:pPr>
      <w:r>
        <w:rPr>
          <w:rFonts w:hint="eastAsia" w:ascii="宋体" w:hAnsi="宋体" w:cs="宋体"/>
          <w:sz w:val="24"/>
          <w:highlight w:val="none"/>
        </w:rPr>
        <w:t>9.2.1 对供应商的纪律要求：供应商不得相互串通投标或者与采购人串通投标，不得向采购人或者评标委员会成员行贿谋取中标，不得以他人名义投标或者以其他方式弄虚作假骗取中标；供应商不得以任何方式干扰、影响评标工作。</w:t>
      </w:r>
    </w:p>
    <w:p w14:paraId="07015C0B">
      <w:pPr>
        <w:ind w:firstLine="480" w:firstLineChars="200"/>
        <w:rPr>
          <w:rFonts w:ascii="宋体" w:hAnsi="宋体" w:cs="宋体"/>
          <w:sz w:val="24"/>
          <w:highlight w:val="none"/>
        </w:rPr>
      </w:pPr>
      <w:r>
        <w:rPr>
          <w:rFonts w:hint="eastAsia" w:ascii="宋体" w:hAnsi="宋体" w:cs="宋体"/>
          <w:sz w:val="24"/>
          <w:highlight w:val="none"/>
        </w:rPr>
        <w:t>9.2.2 根据《中华人民共和国刑法》第二百二十三条【串通投标罪】规定，供应商相互串通投标报价，损害采购人或者其他供应商利益，情节严重的，处三年以下有期徒刑或者拘役，并处或者单处罚金。供应商与采购人串通投标，损害国家、集体、公民的合法利益的，依照前款的规定处罚。</w:t>
      </w:r>
    </w:p>
    <w:p w14:paraId="5A34D3C8">
      <w:pPr>
        <w:ind w:firstLine="480" w:firstLineChars="200"/>
        <w:rPr>
          <w:rFonts w:ascii="宋体" w:hAnsi="宋体" w:cs="宋体"/>
          <w:sz w:val="24"/>
          <w:highlight w:val="none"/>
        </w:rPr>
      </w:pPr>
      <w:r>
        <w:rPr>
          <w:rFonts w:hint="eastAsia" w:ascii="宋体" w:hAnsi="宋体" w:cs="宋体"/>
          <w:sz w:val="24"/>
          <w:highlight w:val="none"/>
        </w:rPr>
        <w:t>供应商的行为涉及触犯【串通投标罪】相关规定的，将移送司法机关处理。</w:t>
      </w:r>
    </w:p>
    <w:p w14:paraId="37AD8BEE">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61" w:name="_Toc472411405"/>
      <w:r>
        <w:rPr>
          <w:rFonts w:hint="eastAsia" w:ascii="宋体" w:hAnsi="宋体" w:eastAsia="宋体" w:cs="宋体"/>
          <w:sz w:val="24"/>
          <w:szCs w:val="24"/>
          <w:highlight w:val="none"/>
        </w:rPr>
        <w:t>9.3 对评标委员会成员的纪律要求</w:t>
      </w:r>
      <w:bookmarkEnd w:id="161"/>
    </w:p>
    <w:p w14:paraId="17DDEEFF">
      <w:pPr>
        <w:ind w:firstLine="480" w:firstLineChars="200"/>
        <w:rPr>
          <w:rFonts w:ascii="宋体" w:hAnsi="宋体" w:cs="宋体"/>
          <w:sz w:val="24"/>
          <w:highlight w:val="none"/>
        </w:rPr>
      </w:pPr>
      <w:r>
        <w:rPr>
          <w:rFonts w:hint="eastAsia" w:ascii="宋体" w:hAnsi="宋体" w:cs="宋体"/>
          <w:sz w:val="24"/>
          <w:highlight w:val="none"/>
        </w:rPr>
        <w:t>评标委员会成员不得收受他人的财物或者其他好处，不得向他人透露对投标文件的评审和比较、中标候选人的推荐情况以及与评标有关的其他情况。在评标活动中，评标委员会成员不得擅离职守，影响评标程序正常进行，不得使用第六章“评标办法”没有规定的评审因素和标准进行评标。</w:t>
      </w:r>
    </w:p>
    <w:p w14:paraId="382675B1">
      <w:pPr>
        <w:pStyle w:val="6"/>
        <w:numPr>
          <w:ilvl w:val="0"/>
          <w:numId w:val="0"/>
        </w:numPr>
        <w:tabs>
          <w:tab w:val="left" w:pos="6874"/>
          <w:tab w:val="clear" w:pos="2518"/>
        </w:tabs>
        <w:spacing w:before="0"/>
        <w:ind w:left="412" w:leftChars="196"/>
        <w:rPr>
          <w:rFonts w:ascii="宋体" w:hAnsi="宋体" w:eastAsia="宋体" w:cs="宋体"/>
          <w:sz w:val="24"/>
          <w:szCs w:val="24"/>
          <w:highlight w:val="none"/>
        </w:rPr>
      </w:pPr>
      <w:bookmarkStart w:id="162" w:name="_Toc472411406"/>
      <w:r>
        <w:rPr>
          <w:rFonts w:hint="eastAsia" w:ascii="宋体" w:hAnsi="宋体" w:eastAsia="宋体" w:cs="宋体"/>
          <w:sz w:val="24"/>
          <w:szCs w:val="24"/>
          <w:highlight w:val="none"/>
        </w:rPr>
        <w:t>9.4 对与评标活动有关的工作人员的纪律要求</w:t>
      </w:r>
      <w:bookmarkEnd w:id="162"/>
    </w:p>
    <w:p w14:paraId="367DE4F6">
      <w:pPr>
        <w:ind w:firstLine="480" w:firstLineChars="200"/>
        <w:rPr>
          <w:rFonts w:ascii="宋体" w:hAnsi="宋体" w:cs="宋体"/>
          <w:sz w:val="24"/>
          <w:highlight w:val="none"/>
        </w:rPr>
      </w:pPr>
      <w:r>
        <w:rPr>
          <w:rFonts w:hint="eastAsia" w:ascii="宋体" w:hAnsi="宋体" w:cs="宋体"/>
          <w:sz w:val="24"/>
          <w:highlight w:val="none"/>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6C58D28">
      <w:pPr>
        <w:ind w:firstLine="482" w:firstLineChars="200"/>
        <w:rPr>
          <w:rFonts w:ascii="宋体" w:hAnsi="宋体" w:cs="宋体"/>
          <w:b/>
          <w:bCs/>
          <w:sz w:val="24"/>
          <w:highlight w:val="none"/>
          <w:lang w:eastAsia="zh-TW"/>
        </w:rPr>
      </w:pPr>
      <w:r>
        <w:rPr>
          <w:rFonts w:hint="eastAsia" w:ascii="宋体" w:hAnsi="宋体" w:cs="宋体"/>
          <w:b/>
          <w:bCs/>
          <w:sz w:val="24"/>
          <w:highlight w:val="none"/>
        </w:rPr>
        <w:t>9.5 对评标工作的监督</w:t>
      </w:r>
    </w:p>
    <w:p w14:paraId="33C4FE90">
      <w:pPr>
        <w:ind w:firstLine="480" w:firstLineChars="200"/>
        <w:rPr>
          <w:rFonts w:ascii="宋体" w:hAnsi="宋体" w:cs="宋体"/>
          <w:sz w:val="24"/>
          <w:highlight w:val="none"/>
          <w:lang w:eastAsia="zh-TW"/>
        </w:rPr>
      </w:pPr>
      <w:r>
        <w:rPr>
          <w:rFonts w:hint="eastAsia" w:ascii="宋体" w:hAnsi="宋体" w:cs="宋体"/>
          <w:sz w:val="24"/>
          <w:highlight w:val="none"/>
        </w:rPr>
        <w:t>本次招标开标、评标工作由采购人监督部门进行全过程监督。</w:t>
      </w:r>
    </w:p>
    <w:p w14:paraId="2766BBA5">
      <w:pPr>
        <w:ind w:firstLine="482" w:firstLineChars="200"/>
        <w:rPr>
          <w:rFonts w:ascii="宋体" w:hAnsi="宋体" w:cs="宋体"/>
          <w:b/>
          <w:bCs/>
          <w:sz w:val="24"/>
          <w:highlight w:val="none"/>
        </w:rPr>
      </w:pPr>
      <w:bookmarkStart w:id="163" w:name="_Toc472411407"/>
      <w:r>
        <w:rPr>
          <w:rFonts w:hint="eastAsia" w:ascii="宋体" w:hAnsi="宋体" w:cs="宋体"/>
          <w:b/>
          <w:bCs/>
          <w:sz w:val="24"/>
          <w:highlight w:val="none"/>
        </w:rPr>
        <w:t>9.</w:t>
      </w:r>
      <w:r>
        <w:rPr>
          <w:rFonts w:ascii="宋体" w:hAnsi="宋体" w:cs="宋体"/>
          <w:b/>
          <w:bCs/>
          <w:sz w:val="24"/>
          <w:highlight w:val="none"/>
        </w:rPr>
        <w:t>6</w:t>
      </w:r>
      <w:r>
        <w:rPr>
          <w:rFonts w:hint="eastAsia" w:ascii="宋体" w:hAnsi="宋体" w:cs="宋体"/>
          <w:b/>
          <w:bCs/>
          <w:sz w:val="24"/>
          <w:highlight w:val="none"/>
        </w:rPr>
        <w:t xml:space="preserve"> 投诉</w:t>
      </w:r>
      <w:bookmarkEnd w:id="163"/>
    </w:p>
    <w:p w14:paraId="2B3980E9">
      <w:pPr>
        <w:ind w:firstLine="480" w:firstLineChars="200"/>
        <w:rPr>
          <w:rFonts w:ascii="宋体" w:hAnsi="宋体" w:cs="宋体"/>
          <w:sz w:val="24"/>
          <w:highlight w:val="none"/>
        </w:rPr>
      </w:pPr>
      <w:r>
        <w:rPr>
          <w:rFonts w:hint="eastAsia" w:ascii="宋体" w:hAnsi="宋体" w:cs="宋体"/>
          <w:sz w:val="24"/>
          <w:highlight w:val="none"/>
        </w:rPr>
        <w:t>9.6.1根据中华人民共和国财政部令第94号--《政府采购质疑和投诉办法》，潜在供应商认为采购文件、采购过程、中标或者成交结果使自己的权益受到损害的，可以在知道或者应知其权益受到损害之日起7个工作日内，以书面形式向采购人、采购代理机构一次性提出针对同一采购程序环节的质疑。</w:t>
      </w:r>
    </w:p>
    <w:p w14:paraId="5813278F">
      <w:pPr>
        <w:ind w:firstLine="480" w:firstLineChars="200"/>
        <w:rPr>
          <w:rFonts w:ascii="宋体" w:hAnsi="宋体" w:cs="宋体"/>
          <w:sz w:val="24"/>
          <w:highlight w:val="none"/>
        </w:rPr>
      </w:pPr>
      <w:r>
        <w:rPr>
          <w:rFonts w:hint="eastAsia" w:ascii="宋体" w:hAnsi="宋体" w:cs="宋体"/>
          <w:sz w:val="24"/>
          <w:highlight w:val="none"/>
        </w:rPr>
        <w:t>9.6.2 潜在供应商提出质疑应当提交质疑函和必要的证明材料。质疑函应当包括下列内容：</w:t>
      </w:r>
    </w:p>
    <w:p w14:paraId="71E18CA3">
      <w:pPr>
        <w:ind w:firstLine="480" w:firstLineChars="200"/>
        <w:rPr>
          <w:rFonts w:ascii="宋体" w:hAnsi="宋体" w:cs="宋体"/>
          <w:sz w:val="24"/>
          <w:highlight w:val="none"/>
        </w:rPr>
      </w:pPr>
      <w:r>
        <w:rPr>
          <w:rFonts w:hint="eastAsia" w:ascii="宋体" w:hAnsi="宋体" w:cs="宋体"/>
          <w:sz w:val="24"/>
          <w:highlight w:val="none"/>
        </w:rPr>
        <w:t>　　（一）潜在供应商的姓名或者名称、地址、邮编、联系人及联系电话；</w:t>
      </w:r>
    </w:p>
    <w:p w14:paraId="74DD346F">
      <w:pPr>
        <w:ind w:firstLine="480" w:firstLineChars="200"/>
        <w:rPr>
          <w:rFonts w:ascii="宋体" w:hAnsi="宋体" w:cs="宋体"/>
          <w:sz w:val="24"/>
          <w:highlight w:val="none"/>
        </w:rPr>
      </w:pPr>
      <w:r>
        <w:rPr>
          <w:rFonts w:hint="eastAsia" w:ascii="宋体" w:hAnsi="宋体" w:cs="宋体"/>
          <w:sz w:val="24"/>
          <w:highlight w:val="none"/>
        </w:rPr>
        <w:t>　　（二）质疑项目的名称、编号；</w:t>
      </w:r>
    </w:p>
    <w:p w14:paraId="653183D4">
      <w:pPr>
        <w:ind w:firstLine="480" w:firstLineChars="200"/>
        <w:rPr>
          <w:rFonts w:ascii="宋体" w:hAnsi="宋体" w:cs="宋体"/>
          <w:sz w:val="24"/>
          <w:highlight w:val="none"/>
        </w:rPr>
      </w:pPr>
      <w:r>
        <w:rPr>
          <w:rFonts w:hint="eastAsia" w:ascii="宋体" w:hAnsi="宋体" w:cs="宋体"/>
          <w:sz w:val="24"/>
          <w:highlight w:val="none"/>
        </w:rPr>
        <w:t>　　（三）具体、明确的质疑事项和与质疑事项相关的请求；</w:t>
      </w:r>
    </w:p>
    <w:p w14:paraId="379B3F72">
      <w:pPr>
        <w:ind w:firstLine="480" w:firstLineChars="200"/>
        <w:rPr>
          <w:rFonts w:ascii="宋体" w:hAnsi="宋体" w:cs="宋体"/>
          <w:sz w:val="24"/>
          <w:highlight w:val="none"/>
        </w:rPr>
      </w:pPr>
      <w:r>
        <w:rPr>
          <w:rFonts w:hint="eastAsia" w:ascii="宋体" w:hAnsi="宋体" w:cs="宋体"/>
          <w:sz w:val="24"/>
          <w:highlight w:val="none"/>
        </w:rPr>
        <w:t>　　（四）事实依据；</w:t>
      </w:r>
    </w:p>
    <w:p w14:paraId="59DDD3AD">
      <w:pPr>
        <w:ind w:firstLine="480" w:firstLineChars="200"/>
        <w:rPr>
          <w:rFonts w:ascii="宋体" w:hAnsi="宋体" w:cs="宋体"/>
          <w:sz w:val="24"/>
          <w:highlight w:val="none"/>
        </w:rPr>
      </w:pPr>
      <w:r>
        <w:rPr>
          <w:rFonts w:hint="eastAsia" w:ascii="宋体" w:hAnsi="宋体" w:cs="宋体"/>
          <w:sz w:val="24"/>
          <w:highlight w:val="none"/>
        </w:rPr>
        <w:t>　　（五）必要的法律依据；</w:t>
      </w:r>
    </w:p>
    <w:p w14:paraId="2E0E76D4">
      <w:pPr>
        <w:ind w:firstLine="480" w:firstLineChars="200"/>
        <w:rPr>
          <w:rFonts w:ascii="宋体" w:hAnsi="宋体" w:cs="宋体"/>
          <w:sz w:val="24"/>
          <w:highlight w:val="none"/>
        </w:rPr>
      </w:pPr>
      <w:r>
        <w:rPr>
          <w:rFonts w:hint="eastAsia" w:ascii="宋体" w:hAnsi="宋体" w:cs="宋体"/>
          <w:sz w:val="24"/>
          <w:highlight w:val="none"/>
        </w:rPr>
        <w:t>　　（六）提出质疑的日期。</w:t>
      </w:r>
    </w:p>
    <w:p w14:paraId="7BF17AD4">
      <w:pPr>
        <w:ind w:firstLine="480" w:firstLineChars="200"/>
        <w:rPr>
          <w:rFonts w:ascii="宋体" w:hAnsi="宋体" w:cs="宋体"/>
          <w:sz w:val="24"/>
          <w:highlight w:val="none"/>
        </w:rPr>
      </w:pPr>
      <w:r>
        <w:rPr>
          <w:rFonts w:hint="eastAsia" w:ascii="宋体" w:hAnsi="宋体" w:cs="宋体"/>
          <w:sz w:val="24"/>
          <w:highlight w:val="none"/>
        </w:rPr>
        <w:t>潜在供应商为自然人的，应当由本人签字；潜在供应商为法人或者其他组织的，应当由法定代表人、主要负责人，或者其授权代表签字或者盖章，并加盖公章。</w:t>
      </w:r>
    </w:p>
    <w:p w14:paraId="7A0212B8">
      <w:pPr>
        <w:ind w:firstLine="480" w:firstLineChars="200"/>
        <w:rPr>
          <w:rFonts w:ascii="宋体" w:hAnsi="宋体" w:cs="宋体"/>
          <w:sz w:val="24"/>
          <w:highlight w:val="none"/>
        </w:rPr>
      </w:pPr>
      <w:r>
        <w:rPr>
          <w:rFonts w:hint="eastAsia" w:ascii="宋体" w:hAnsi="宋体" w:cs="宋体"/>
          <w:sz w:val="24"/>
          <w:highlight w:val="none"/>
        </w:rPr>
        <w:t>9.6.3 采购人、采购代理机构不得拒收质疑潜在供应商在法定质疑期内发出的质疑函，应当在收到质疑函后7个工作日内作出答复，并以书面形式通知质疑潜在供应商和其他有关潜在供应商。</w:t>
      </w:r>
    </w:p>
    <w:p w14:paraId="3C9518DA">
      <w:pPr>
        <w:ind w:firstLine="480" w:firstLineChars="200"/>
        <w:rPr>
          <w:rFonts w:ascii="宋体" w:hAnsi="宋体" w:cs="宋体"/>
          <w:sz w:val="24"/>
          <w:highlight w:val="none"/>
        </w:rPr>
      </w:pPr>
      <w:r>
        <w:rPr>
          <w:rFonts w:hint="eastAsia" w:ascii="宋体" w:hAnsi="宋体" w:cs="宋体"/>
          <w:sz w:val="24"/>
          <w:highlight w:val="none"/>
        </w:rPr>
        <w:t>9.6.4 投诉必须首先经过质疑程序。质疑供应商对采购人、采购代理机构的答复不满意，或者采购人、采购代理机构未在规定的时间内作出答复的，可以在答复期满后十五个工作日内书面向当地监督管理部门投诉。</w:t>
      </w:r>
    </w:p>
    <w:p w14:paraId="3EE72E59">
      <w:pPr>
        <w:pStyle w:val="5"/>
        <w:widowControl/>
        <w:numPr>
          <w:ilvl w:val="0"/>
          <w:numId w:val="0"/>
        </w:numPr>
        <w:spacing w:before="0"/>
        <w:ind w:left="422" w:leftChars="201"/>
        <w:jc w:val="left"/>
        <w:rPr>
          <w:rFonts w:ascii="宋体" w:hAnsi="宋体" w:eastAsia="宋体" w:cs="宋体"/>
          <w:sz w:val="24"/>
          <w:szCs w:val="24"/>
          <w:highlight w:val="none"/>
          <w:lang w:bidi="en-US"/>
        </w:rPr>
      </w:pPr>
      <w:bookmarkStart w:id="164" w:name="_Toc184635080"/>
      <w:bookmarkStart w:id="165" w:name="_Toc472411408"/>
      <w:bookmarkStart w:id="166" w:name="_Toc4930"/>
      <w:bookmarkStart w:id="167" w:name="_Toc25607"/>
      <w:bookmarkStart w:id="168" w:name="_Toc9179"/>
      <w:bookmarkStart w:id="169" w:name="_Toc472411525"/>
      <w:r>
        <w:rPr>
          <w:rFonts w:hint="eastAsia" w:ascii="宋体" w:hAnsi="宋体" w:eastAsia="宋体" w:cs="宋体"/>
          <w:sz w:val="24"/>
          <w:szCs w:val="24"/>
          <w:highlight w:val="none"/>
          <w:lang w:bidi="en-US"/>
        </w:rPr>
        <w:t>10.需要补充的其他内容</w:t>
      </w:r>
      <w:bookmarkEnd w:id="164"/>
      <w:bookmarkEnd w:id="165"/>
      <w:bookmarkEnd w:id="166"/>
      <w:bookmarkEnd w:id="167"/>
      <w:bookmarkEnd w:id="168"/>
      <w:bookmarkEnd w:id="169"/>
    </w:p>
    <w:p w14:paraId="45E9ED4A">
      <w:pPr>
        <w:ind w:firstLine="480" w:firstLineChars="200"/>
        <w:rPr>
          <w:rFonts w:ascii="宋体" w:hAnsi="宋体" w:cs="宋体"/>
          <w:sz w:val="24"/>
          <w:highlight w:val="none"/>
        </w:rPr>
      </w:pPr>
      <w:r>
        <w:rPr>
          <w:rFonts w:hint="eastAsia" w:ascii="宋体" w:hAnsi="宋体" w:cs="宋体"/>
          <w:sz w:val="24"/>
          <w:highlight w:val="none"/>
        </w:rPr>
        <w:t>本采购文件是根据《中华人民共和国政府采购法》及相关法律法规编制，解释权属采购人及采购代理机构。</w:t>
      </w:r>
    </w:p>
    <w:p w14:paraId="3A410B5F">
      <w:pPr>
        <w:pStyle w:val="21"/>
        <w:rPr>
          <w:kern w:val="0"/>
          <w:sz w:val="24"/>
          <w:highlight w:val="none"/>
        </w:rPr>
      </w:pPr>
    </w:p>
    <w:p w14:paraId="6C5E0D08">
      <w:pPr>
        <w:pStyle w:val="3"/>
        <w:numPr>
          <w:ilvl w:val="0"/>
          <w:numId w:val="0"/>
        </w:numPr>
        <w:jc w:val="center"/>
        <w:rPr>
          <w:rFonts w:eastAsia="宋体"/>
          <w:b w:val="0"/>
          <w:kern w:val="0"/>
          <w:sz w:val="36"/>
          <w:highlight w:val="none"/>
        </w:rPr>
      </w:pPr>
      <w:r>
        <w:rPr>
          <w:rFonts w:eastAsia="宋体"/>
          <w:highlight w:val="none"/>
        </w:rPr>
        <w:br w:type="page"/>
      </w:r>
      <w:bookmarkStart w:id="170" w:name="_Toc18516"/>
      <w:bookmarkStart w:id="171" w:name="_Toc30097"/>
      <w:bookmarkStart w:id="172" w:name="_Toc1096"/>
      <w:bookmarkStart w:id="173" w:name="_Toc15147"/>
      <w:bookmarkStart w:id="174" w:name="_Toc13243"/>
      <w:bookmarkStart w:id="175" w:name="_Toc3539"/>
      <w:bookmarkStart w:id="176" w:name="_Toc213141090"/>
      <w:bookmarkStart w:id="177" w:name="_Toc7360"/>
      <w:r>
        <w:rPr>
          <w:rFonts w:hint="eastAsia" w:eastAsia="宋体"/>
          <w:bCs/>
          <w:kern w:val="0"/>
          <w:sz w:val="36"/>
          <w:highlight w:val="none"/>
        </w:rPr>
        <w:t>第三章 合同书样式及主要条款</w:t>
      </w:r>
      <w:bookmarkEnd w:id="170"/>
      <w:bookmarkEnd w:id="171"/>
      <w:bookmarkEnd w:id="172"/>
      <w:bookmarkEnd w:id="173"/>
    </w:p>
    <w:bookmarkEnd w:id="174"/>
    <w:bookmarkEnd w:id="175"/>
    <w:bookmarkEnd w:id="176"/>
    <w:bookmarkEnd w:id="177"/>
    <w:p w14:paraId="6F26DDB8">
      <w:pPr>
        <w:autoSpaceDE w:val="0"/>
        <w:autoSpaceDN w:val="0"/>
        <w:adjustRightInd w:val="0"/>
        <w:jc w:val="center"/>
        <w:rPr>
          <w:rFonts w:ascii="宋体" w:hAnsi="宋体" w:cs="宋体"/>
          <w:sz w:val="24"/>
          <w:highlight w:val="none"/>
        </w:rPr>
      </w:pPr>
      <w:bookmarkStart w:id="178" w:name="_Toc27347"/>
      <w:bookmarkStart w:id="179" w:name="_Toc22266"/>
      <w:bookmarkStart w:id="180" w:name="_Toc16421"/>
      <w:bookmarkStart w:id="181" w:name="_Toc22700"/>
      <w:r>
        <w:rPr>
          <w:rFonts w:hint="eastAsia" w:ascii="宋体" w:hAnsi="宋体" w:cs="宋体"/>
          <w:b/>
          <w:bCs/>
          <w:sz w:val="24"/>
          <w:highlight w:val="none"/>
        </w:rPr>
        <w:t>（本合同内容仅供参考，本合同具体内容以双方签订为准）</w:t>
      </w:r>
    </w:p>
    <w:p w14:paraId="4114D8C0">
      <w:pPr>
        <w:autoSpaceDE w:val="0"/>
        <w:autoSpaceDN w:val="0"/>
        <w:adjustRightInd w:val="0"/>
        <w:jc w:val="center"/>
        <w:rPr>
          <w:rFonts w:ascii="宋体" w:hAnsi="宋体" w:cs="宋体"/>
          <w:b/>
          <w:bCs/>
          <w:sz w:val="27"/>
          <w:szCs w:val="27"/>
          <w:highlight w:val="none"/>
        </w:rPr>
      </w:pPr>
    </w:p>
    <w:p w14:paraId="57CC0FCC">
      <w:pPr>
        <w:autoSpaceDE w:val="0"/>
        <w:autoSpaceDN w:val="0"/>
        <w:adjustRightInd w:val="0"/>
        <w:jc w:val="center"/>
        <w:rPr>
          <w:rFonts w:ascii="宋体" w:hAnsi="宋体" w:cs="宋体"/>
          <w:b/>
          <w:bCs/>
          <w:sz w:val="52"/>
          <w:szCs w:val="52"/>
          <w:highlight w:val="none"/>
        </w:rPr>
      </w:pPr>
    </w:p>
    <w:p w14:paraId="4A86DAFA">
      <w:pPr>
        <w:autoSpaceDE w:val="0"/>
        <w:autoSpaceDN w:val="0"/>
        <w:adjustRightInd w:val="0"/>
        <w:jc w:val="center"/>
        <w:rPr>
          <w:rFonts w:ascii="宋体" w:hAnsi="宋体" w:cs="宋体"/>
          <w:b/>
          <w:bCs/>
          <w:sz w:val="52"/>
          <w:szCs w:val="52"/>
          <w:highlight w:val="none"/>
        </w:rPr>
      </w:pPr>
    </w:p>
    <w:p w14:paraId="328B88CE">
      <w:pPr>
        <w:autoSpaceDE w:val="0"/>
        <w:autoSpaceDN w:val="0"/>
        <w:adjustRightInd w:val="0"/>
        <w:jc w:val="center"/>
        <w:rPr>
          <w:rFonts w:ascii="宋体" w:hAnsi="宋体" w:cs="宋体"/>
          <w:b/>
          <w:bCs/>
          <w:sz w:val="52"/>
          <w:szCs w:val="52"/>
          <w:highlight w:val="none"/>
        </w:rPr>
      </w:pPr>
      <w:r>
        <w:rPr>
          <w:rFonts w:hint="eastAsia" w:ascii="宋体" w:hAnsi="宋体" w:cs="宋体"/>
          <w:b/>
          <w:bCs/>
          <w:sz w:val="52"/>
          <w:szCs w:val="52"/>
          <w:highlight w:val="none"/>
        </w:rPr>
        <w:t>政府采购合同</w:t>
      </w:r>
    </w:p>
    <w:p w14:paraId="2E0C1477">
      <w:pPr>
        <w:autoSpaceDE w:val="0"/>
        <w:autoSpaceDN w:val="0"/>
        <w:adjustRightInd w:val="0"/>
        <w:jc w:val="center"/>
        <w:rPr>
          <w:rFonts w:ascii="宋体" w:hAnsi="宋体" w:cs="宋体"/>
          <w:b/>
          <w:bCs/>
          <w:sz w:val="27"/>
          <w:szCs w:val="27"/>
          <w:highlight w:val="none"/>
        </w:rPr>
      </w:pPr>
    </w:p>
    <w:p w14:paraId="2079D39A">
      <w:pPr>
        <w:autoSpaceDE w:val="0"/>
        <w:autoSpaceDN w:val="0"/>
        <w:adjustRightInd w:val="0"/>
        <w:jc w:val="center"/>
        <w:rPr>
          <w:rFonts w:ascii="宋体" w:hAnsi="宋体" w:cs="宋体"/>
          <w:b/>
          <w:bCs/>
          <w:sz w:val="27"/>
          <w:szCs w:val="27"/>
          <w:highlight w:val="none"/>
        </w:rPr>
      </w:pPr>
    </w:p>
    <w:p w14:paraId="7CB78186">
      <w:pPr>
        <w:autoSpaceDE w:val="0"/>
        <w:autoSpaceDN w:val="0"/>
        <w:adjustRightInd w:val="0"/>
        <w:jc w:val="center"/>
        <w:rPr>
          <w:rFonts w:ascii="宋体" w:hAnsi="宋体" w:cs="宋体"/>
          <w:b/>
          <w:bCs/>
          <w:sz w:val="27"/>
          <w:szCs w:val="27"/>
          <w:highlight w:val="none"/>
        </w:rPr>
      </w:pPr>
      <w:r>
        <w:rPr>
          <w:rFonts w:hint="eastAsia" w:ascii="宋体" w:hAnsi="宋体" w:cs="宋体"/>
          <w:b/>
          <w:bCs/>
          <w:sz w:val="27"/>
          <w:szCs w:val="27"/>
          <w:highlight w:val="none"/>
        </w:rPr>
        <w:t xml:space="preserve"> </w:t>
      </w:r>
    </w:p>
    <w:p w14:paraId="26F0F5EE">
      <w:pPr>
        <w:autoSpaceDE w:val="0"/>
        <w:autoSpaceDN w:val="0"/>
        <w:adjustRightInd w:val="0"/>
        <w:jc w:val="center"/>
        <w:rPr>
          <w:rFonts w:ascii="宋体" w:hAnsi="宋体" w:cs="宋体"/>
          <w:b/>
          <w:bCs/>
          <w:sz w:val="28"/>
          <w:szCs w:val="28"/>
          <w:highlight w:val="none"/>
        </w:rPr>
      </w:pPr>
      <w:r>
        <w:rPr>
          <w:rFonts w:hint="eastAsia" w:ascii="宋体" w:hAnsi="宋体" w:cs="宋体"/>
          <w:b/>
          <w:bCs/>
          <w:sz w:val="28"/>
          <w:szCs w:val="28"/>
          <w:highlight w:val="none"/>
        </w:rPr>
        <w:t xml:space="preserve"> </w:t>
      </w:r>
    </w:p>
    <w:p w14:paraId="051775DE">
      <w:pPr>
        <w:autoSpaceDE w:val="0"/>
        <w:autoSpaceDN w:val="0"/>
        <w:adjustRightInd w:val="0"/>
        <w:ind w:left="2100" w:firstLine="420"/>
        <w:rPr>
          <w:rFonts w:ascii="宋体" w:hAnsi="宋体" w:cs="宋体"/>
          <w:b/>
          <w:bCs/>
          <w:sz w:val="24"/>
          <w:highlight w:val="none"/>
          <w:u w:val="single"/>
        </w:rPr>
      </w:pPr>
      <w:r>
        <w:rPr>
          <w:rFonts w:hint="eastAsia" w:ascii="宋体" w:hAnsi="宋体" w:cs="宋体"/>
          <w:b/>
          <w:bCs/>
          <w:sz w:val="24"/>
          <w:highlight w:val="none"/>
        </w:rPr>
        <w:t>项目名称：</w:t>
      </w:r>
      <w:r>
        <w:rPr>
          <w:rFonts w:hint="eastAsia" w:ascii="宋体" w:hAnsi="宋体" w:cs="宋体"/>
          <w:b/>
          <w:bCs/>
          <w:sz w:val="24"/>
          <w:highlight w:val="none"/>
          <w:u w:val="single"/>
        </w:rPr>
        <w:t xml:space="preserve">                           </w:t>
      </w:r>
    </w:p>
    <w:p w14:paraId="70118748">
      <w:pPr>
        <w:autoSpaceDE w:val="0"/>
        <w:autoSpaceDN w:val="0"/>
        <w:adjustRightInd w:val="0"/>
        <w:jc w:val="center"/>
        <w:rPr>
          <w:rFonts w:ascii="宋体" w:hAnsi="宋体" w:cs="宋体"/>
          <w:b/>
          <w:bCs/>
          <w:sz w:val="24"/>
          <w:highlight w:val="none"/>
        </w:rPr>
      </w:pPr>
    </w:p>
    <w:p w14:paraId="6B7FD9DA">
      <w:pPr>
        <w:autoSpaceDE w:val="0"/>
        <w:autoSpaceDN w:val="0"/>
        <w:adjustRightInd w:val="0"/>
        <w:rPr>
          <w:rFonts w:ascii="宋体" w:hAnsi="宋体" w:cs="宋体"/>
          <w:b/>
          <w:bCs/>
          <w:sz w:val="24"/>
          <w:highlight w:val="none"/>
        </w:rPr>
      </w:pPr>
    </w:p>
    <w:p w14:paraId="22D57469">
      <w:pPr>
        <w:autoSpaceDE w:val="0"/>
        <w:autoSpaceDN w:val="0"/>
        <w:adjustRightInd w:val="0"/>
        <w:jc w:val="center"/>
        <w:rPr>
          <w:rFonts w:ascii="宋体" w:hAnsi="宋体" w:cs="宋体"/>
          <w:b/>
          <w:bCs/>
          <w:sz w:val="24"/>
          <w:highlight w:val="none"/>
        </w:rPr>
      </w:pPr>
      <w:r>
        <w:rPr>
          <w:rFonts w:hint="eastAsia" w:ascii="宋体" w:hAnsi="宋体" w:cs="宋体"/>
          <w:b/>
          <w:bCs/>
          <w:sz w:val="24"/>
          <w:highlight w:val="none"/>
        </w:rPr>
        <w:t xml:space="preserve"> </w:t>
      </w:r>
    </w:p>
    <w:p w14:paraId="71DFAF7E">
      <w:pPr>
        <w:autoSpaceDE w:val="0"/>
        <w:autoSpaceDN w:val="0"/>
        <w:adjustRightInd w:val="0"/>
        <w:ind w:left="2100" w:firstLine="420"/>
        <w:rPr>
          <w:rFonts w:ascii="宋体" w:hAnsi="宋体" w:cs="宋体"/>
          <w:b/>
          <w:bCs/>
          <w:sz w:val="24"/>
          <w:highlight w:val="none"/>
        </w:rPr>
      </w:pPr>
      <w:r>
        <w:rPr>
          <w:rFonts w:hint="eastAsia" w:ascii="宋体" w:hAnsi="宋体" w:cs="宋体"/>
          <w:b/>
          <w:bCs/>
          <w:sz w:val="24"/>
          <w:highlight w:val="none"/>
        </w:rPr>
        <w:t>合同编号：</w:t>
      </w:r>
      <w:r>
        <w:rPr>
          <w:rFonts w:hint="eastAsia" w:ascii="宋体" w:hAnsi="宋体" w:cs="宋体"/>
          <w:b/>
          <w:bCs/>
          <w:sz w:val="24"/>
          <w:highlight w:val="none"/>
          <w:u w:val="single"/>
        </w:rPr>
        <w:tab/>
      </w:r>
      <w:r>
        <w:rPr>
          <w:rFonts w:hint="eastAsia" w:ascii="宋体" w:hAnsi="宋体" w:cs="宋体"/>
          <w:b/>
          <w:bCs/>
          <w:sz w:val="24"/>
          <w:highlight w:val="none"/>
          <w:u w:val="single"/>
        </w:rPr>
        <w:t xml:space="preserve">                </w:t>
      </w:r>
      <w:r>
        <w:rPr>
          <w:rFonts w:hint="eastAsia" w:ascii="宋体" w:hAnsi="宋体" w:cs="宋体"/>
          <w:b/>
          <w:bCs/>
          <w:sz w:val="24"/>
          <w:highlight w:val="none"/>
        </w:rPr>
        <w:t>（系统编号）</w:t>
      </w:r>
    </w:p>
    <w:p w14:paraId="2D5C5C53">
      <w:pPr>
        <w:autoSpaceDE w:val="0"/>
        <w:autoSpaceDN w:val="0"/>
        <w:adjustRightInd w:val="0"/>
        <w:jc w:val="center"/>
        <w:rPr>
          <w:rFonts w:ascii="宋体" w:hAnsi="宋体" w:cs="宋体"/>
          <w:b/>
          <w:bCs/>
          <w:sz w:val="24"/>
          <w:highlight w:val="none"/>
        </w:rPr>
      </w:pPr>
      <w:r>
        <w:rPr>
          <w:rFonts w:hint="eastAsia" w:ascii="宋体" w:hAnsi="宋体" w:cs="宋体"/>
          <w:b/>
          <w:bCs/>
          <w:sz w:val="24"/>
          <w:highlight w:val="none"/>
        </w:rPr>
        <w:t xml:space="preserve"> </w:t>
      </w:r>
    </w:p>
    <w:p w14:paraId="4B4EB731">
      <w:pPr>
        <w:autoSpaceDE w:val="0"/>
        <w:autoSpaceDN w:val="0"/>
        <w:adjustRightInd w:val="0"/>
        <w:jc w:val="center"/>
        <w:rPr>
          <w:rFonts w:ascii="宋体" w:hAnsi="宋体" w:cs="宋体"/>
          <w:b/>
          <w:bCs/>
          <w:sz w:val="24"/>
          <w:highlight w:val="none"/>
        </w:rPr>
      </w:pPr>
      <w:r>
        <w:rPr>
          <w:rFonts w:hint="eastAsia" w:ascii="宋体" w:hAnsi="宋体" w:cs="宋体"/>
          <w:b/>
          <w:bCs/>
          <w:sz w:val="24"/>
          <w:highlight w:val="none"/>
        </w:rPr>
        <w:tab/>
      </w:r>
      <w:r>
        <w:rPr>
          <w:rFonts w:hint="eastAsia" w:ascii="宋体" w:hAnsi="宋体" w:cs="宋体"/>
          <w:b/>
          <w:bCs/>
          <w:sz w:val="24"/>
          <w:highlight w:val="none"/>
        </w:rPr>
        <w:tab/>
      </w:r>
      <w:r>
        <w:rPr>
          <w:rFonts w:hint="eastAsia" w:ascii="宋体" w:hAnsi="宋体" w:cs="宋体"/>
          <w:b/>
          <w:bCs/>
          <w:sz w:val="24"/>
          <w:highlight w:val="none"/>
        </w:rPr>
        <w:tab/>
      </w:r>
      <w:r>
        <w:rPr>
          <w:rFonts w:hint="eastAsia" w:ascii="宋体" w:hAnsi="宋体" w:cs="宋体"/>
          <w:b/>
          <w:bCs/>
          <w:sz w:val="24"/>
          <w:highlight w:val="none"/>
        </w:rPr>
        <w:tab/>
      </w:r>
      <w:r>
        <w:rPr>
          <w:rFonts w:hint="eastAsia" w:ascii="宋体" w:hAnsi="宋体" w:cs="宋体"/>
          <w:b/>
          <w:bCs/>
          <w:sz w:val="24"/>
          <w:highlight w:val="none"/>
        </w:rPr>
        <w:t xml:space="preserve"> </w:t>
      </w:r>
      <w:r>
        <w:rPr>
          <w:rFonts w:hint="eastAsia" w:ascii="宋体" w:hAnsi="宋体" w:cs="宋体"/>
          <w:b/>
          <w:bCs/>
          <w:sz w:val="24"/>
          <w:highlight w:val="none"/>
          <w:u w:val="single"/>
        </w:rPr>
        <w:t xml:space="preserve">                </w:t>
      </w:r>
      <w:r>
        <w:rPr>
          <w:rFonts w:hint="eastAsia" w:ascii="宋体" w:hAnsi="宋体" w:cs="宋体"/>
          <w:b/>
          <w:bCs/>
          <w:sz w:val="24"/>
          <w:highlight w:val="none"/>
        </w:rPr>
        <w:t>（自编号，如有）</w:t>
      </w:r>
    </w:p>
    <w:p w14:paraId="25D6A0E1">
      <w:pPr>
        <w:autoSpaceDE w:val="0"/>
        <w:autoSpaceDN w:val="0"/>
        <w:adjustRightInd w:val="0"/>
        <w:jc w:val="center"/>
        <w:rPr>
          <w:rFonts w:ascii="宋体" w:hAnsi="宋体" w:cs="宋体"/>
          <w:b/>
          <w:bCs/>
          <w:sz w:val="24"/>
          <w:highlight w:val="none"/>
        </w:rPr>
      </w:pPr>
      <w:r>
        <w:rPr>
          <w:rFonts w:hint="eastAsia" w:ascii="宋体" w:hAnsi="宋体" w:cs="宋体"/>
          <w:b/>
          <w:bCs/>
          <w:sz w:val="24"/>
          <w:highlight w:val="none"/>
        </w:rPr>
        <w:t xml:space="preserve"> </w:t>
      </w:r>
    </w:p>
    <w:p w14:paraId="35E6958E">
      <w:pPr>
        <w:autoSpaceDE w:val="0"/>
        <w:autoSpaceDN w:val="0"/>
        <w:adjustRightInd w:val="0"/>
        <w:ind w:left="2100" w:firstLine="723" w:firstLineChars="300"/>
        <w:rPr>
          <w:rFonts w:ascii="宋体" w:hAnsi="宋体" w:cs="宋体"/>
          <w:b/>
          <w:bCs/>
          <w:sz w:val="24"/>
          <w:highlight w:val="none"/>
          <w:u w:val="single"/>
        </w:rPr>
      </w:pPr>
      <w:r>
        <w:rPr>
          <w:rFonts w:hint="eastAsia" w:ascii="宋体" w:hAnsi="宋体" w:cs="宋体"/>
          <w:b/>
          <w:bCs/>
          <w:sz w:val="24"/>
          <w:highlight w:val="none"/>
        </w:rPr>
        <w:t>甲方：</w:t>
      </w:r>
      <w:r>
        <w:rPr>
          <w:rFonts w:hint="eastAsia" w:ascii="宋体" w:hAnsi="宋体" w:cs="宋体"/>
          <w:b/>
          <w:bCs/>
          <w:sz w:val="24"/>
          <w:highlight w:val="none"/>
          <w:u w:val="single"/>
        </w:rPr>
        <w:t xml:space="preserve">               </w:t>
      </w:r>
      <w:r>
        <w:rPr>
          <w:rFonts w:hint="eastAsia" w:ascii="宋体" w:hAnsi="宋体" w:cs="宋体"/>
          <w:b/>
          <w:bCs/>
          <w:sz w:val="24"/>
          <w:highlight w:val="none"/>
          <w:u w:val="single"/>
        </w:rPr>
        <w:tab/>
      </w:r>
    </w:p>
    <w:p w14:paraId="6A043CCE">
      <w:pPr>
        <w:autoSpaceDE w:val="0"/>
        <w:autoSpaceDN w:val="0"/>
        <w:adjustRightInd w:val="0"/>
        <w:jc w:val="center"/>
        <w:rPr>
          <w:rFonts w:ascii="宋体" w:hAnsi="宋体" w:cs="宋体"/>
          <w:b/>
          <w:bCs/>
          <w:sz w:val="24"/>
          <w:highlight w:val="none"/>
        </w:rPr>
      </w:pPr>
      <w:r>
        <w:rPr>
          <w:rFonts w:hint="eastAsia" w:ascii="宋体" w:hAnsi="宋体" w:cs="宋体"/>
          <w:b/>
          <w:bCs/>
          <w:sz w:val="24"/>
          <w:highlight w:val="none"/>
        </w:rPr>
        <w:t xml:space="preserve"> </w:t>
      </w:r>
    </w:p>
    <w:p w14:paraId="3F9D8AF8">
      <w:pPr>
        <w:autoSpaceDE w:val="0"/>
        <w:autoSpaceDN w:val="0"/>
        <w:adjustRightInd w:val="0"/>
        <w:ind w:firstLine="2891" w:firstLineChars="1200"/>
        <w:rPr>
          <w:rFonts w:ascii="宋体" w:hAnsi="宋体" w:cs="宋体"/>
          <w:b/>
          <w:bCs/>
          <w:sz w:val="27"/>
          <w:szCs w:val="27"/>
          <w:highlight w:val="none"/>
        </w:rPr>
      </w:pPr>
      <w:r>
        <w:rPr>
          <w:rFonts w:hint="eastAsia" w:ascii="宋体" w:hAnsi="宋体" w:cs="宋体"/>
          <w:b/>
          <w:bCs/>
          <w:sz w:val="24"/>
          <w:highlight w:val="none"/>
        </w:rPr>
        <w:t>乙方：</w:t>
      </w:r>
      <w:r>
        <w:rPr>
          <w:rFonts w:hint="eastAsia" w:ascii="宋体" w:hAnsi="宋体" w:cs="宋体"/>
          <w:b/>
          <w:bCs/>
          <w:sz w:val="24"/>
          <w:highlight w:val="none"/>
          <w:u w:val="single"/>
        </w:rPr>
        <w:t xml:space="preserve">               </w:t>
      </w:r>
      <w:r>
        <w:rPr>
          <w:rFonts w:hint="eastAsia" w:ascii="宋体" w:hAnsi="宋体" w:cs="宋体"/>
          <w:b/>
          <w:bCs/>
          <w:sz w:val="24"/>
          <w:highlight w:val="none"/>
          <w:u w:val="single"/>
        </w:rPr>
        <w:tab/>
      </w:r>
    </w:p>
    <w:p w14:paraId="19E927A9">
      <w:pPr>
        <w:spacing w:line="580" w:lineRule="exact"/>
        <w:rPr>
          <w:rFonts w:ascii="宋体" w:hAnsi="宋体"/>
          <w:sz w:val="24"/>
          <w:highlight w:val="none"/>
        </w:rPr>
      </w:pPr>
    </w:p>
    <w:p w14:paraId="20A33086">
      <w:pPr>
        <w:rPr>
          <w:rFonts w:ascii="宋体" w:hAnsi="宋体"/>
          <w:sz w:val="24"/>
          <w:highlight w:val="none"/>
        </w:rPr>
      </w:pPr>
      <w:r>
        <w:rPr>
          <w:rFonts w:hint="eastAsia" w:ascii="宋体" w:hAnsi="宋体"/>
          <w:sz w:val="24"/>
          <w:highlight w:val="none"/>
        </w:rPr>
        <w:br w:type="page"/>
      </w:r>
    </w:p>
    <w:p w14:paraId="2F894C03">
      <w:pPr>
        <w:spacing w:line="580" w:lineRule="exact"/>
        <w:rPr>
          <w:rFonts w:hint="eastAsia" w:ascii="宋体" w:hAnsi="宋体" w:eastAsia="宋体"/>
          <w:sz w:val="24"/>
          <w:highlight w:val="none"/>
          <w:lang w:eastAsia="zh-CN"/>
        </w:rPr>
      </w:pPr>
      <w:r>
        <w:rPr>
          <w:rFonts w:hint="eastAsia" w:ascii="宋体" w:hAnsi="宋体"/>
          <w:sz w:val="24"/>
          <w:highlight w:val="none"/>
        </w:rPr>
        <w:t>甲方（采购人公章）名 称：</w:t>
      </w:r>
      <w:r>
        <w:rPr>
          <w:rFonts w:hint="eastAsia" w:ascii="宋体" w:hAnsi="宋体"/>
          <w:sz w:val="24"/>
          <w:highlight w:val="none"/>
          <w:lang w:eastAsia="zh-CN"/>
        </w:rPr>
        <w:t>玉溪职业技术学院（云南省玉溪工业财贸学校）</w:t>
      </w:r>
    </w:p>
    <w:p w14:paraId="4135E5EF">
      <w:pPr>
        <w:spacing w:line="580" w:lineRule="exact"/>
        <w:ind w:firstLine="2160" w:firstLineChars="900"/>
        <w:rPr>
          <w:rFonts w:ascii="宋体" w:hAnsi="宋体"/>
          <w:sz w:val="24"/>
          <w:highlight w:val="none"/>
        </w:rPr>
      </w:pPr>
      <w:r>
        <w:rPr>
          <w:rFonts w:hint="eastAsia" w:ascii="宋体" w:hAnsi="宋体"/>
          <w:sz w:val="24"/>
          <w:highlight w:val="none"/>
        </w:rPr>
        <w:t>地 址：</w:t>
      </w:r>
      <w:r>
        <w:rPr>
          <w:rFonts w:hint="eastAsia" w:ascii="宋体" w:hAnsi="宋体" w:cs="宋体"/>
          <w:sz w:val="24"/>
          <w:highlight w:val="none"/>
        </w:rPr>
        <w:t>‌云南省玉溪市红塔区科创大道9号</w:t>
      </w:r>
    </w:p>
    <w:p w14:paraId="4BC2C94E">
      <w:pPr>
        <w:spacing w:line="580" w:lineRule="exact"/>
        <w:ind w:firstLine="2160" w:firstLineChars="900"/>
        <w:rPr>
          <w:rFonts w:ascii="宋体" w:hAnsi="宋体"/>
          <w:sz w:val="24"/>
          <w:highlight w:val="none"/>
        </w:rPr>
      </w:pPr>
      <w:r>
        <w:rPr>
          <w:rFonts w:hint="eastAsia" w:ascii="宋体" w:hAnsi="宋体"/>
          <w:sz w:val="24"/>
          <w:highlight w:val="none"/>
        </w:rPr>
        <w:t>邮 编：653100</w:t>
      </w:r>
    </w:p>
    <w:p w14:paraId="0AB19A1E">
      <w:pPr>
        <w:spacing w:line="580" w:lineRule="exact"/>
        <w:ind w:firstLine="240" w:firstLineChars="100"/>
        <w:rPr>
          <w:rFonts w:ascii="宋体" w:hAnsi="宋体"/>
          <w:sz w:val="24"/>
          <w:highlight w:val="none"/>
        </w:rPr>
      </w:pPr>
      <w:r>
        <w:rPr>
          <w:rFonts w:hint="eastAsia" w:ascii="宋体" w:hAnsi="宋体"/>
          <w:sz w:val="24"/>
          <w:highlight w:val="none"/>
        </w:rPr>
        <w:t>法定代表人或委托代理人：</w:t>
      </w:r>
    </w:p>
    <w:p w14:paraId="5A723023">
      <w:pPr>
        <w:spacing w:line="580" w:lineRule="exact"/>
        <w:ind w:firstLine="720" w:firstLineChars="300"/>
        <w:rPr>
          <w:rFonts w:ascii="宋体" w:hAnsi="宋体"/>
          <w:sz w:val="24"/>
          <w:highlight w:val="none"/>
        </w:rPr>
      </w:pPr>
      <w:r>
        <w:rPr>
          <w:rFonts w:hint="eastAsia" w:ascii="宋体" w:hAnsi="宋体"/>
          <w:sz w:val="24"/>
          <w:highlight w:val="none"/>
        </w:rPr>
        <w:t>项目（技术）负责人：</w:t>
      </w:r>
    </w:p>
    <w:p w14:paraId="69AD943E">
      <w:pPr>
        <w:spacing w:line="580" w:lineRule="exact"/>
        <w:ind w:firstLine="2160" w:firstLineChars="900"/>
        <w:rPr>
          <w:rFonts w:ascii="宋体" w:hAnsi="宋体"/>
          <w:sz w:val="24"/>
          <w:highlight w:val="none"/>
        </w:rPr>
      </w:pPr>
      <w:r>
        <w:rPr>
          <w:rFonts w:hint="eastAsia" w:ascii="宋体" w:hAnsi="宋体"/>
          <w:sz w:val="24"/>
          <w:highlight w:val="none"/>
        </w:rPr>
        <w:t>电 话：</w:t>
      </w:r>
    </w:p>
    <w:p w14:paraId="431CED15">
      <w:pPr>
        <w:spacing w:line="580" w:lineRule="exact"/>
        <w:ind w:firstLine="2160" w:firstLineChars="900"/>
        <w:rPr>
          <w:rFonts w:ascii="宋体" w:hAnsi="宋体"/>
          <w:sz w:val="24"/>
          <w:highlight w:val="none"/>
        </w:rPr>
      </w:pPr>
      <w:r>
        <w:rPr>
          <w:rFonts w:hint="eastAsia" w:ascii="宋体" w:hAnsi="宋体"/>
          <w:sz w:val="24"/>
          <w:highlight w:val="none"/>
        </w:rPr>
        <w:t>签订日期：</w:t>
      </w:r>
    </w:p>
    <w:p w14:paraId="47C0214F">
      <w:pPr>
        <w:spacing w:line="580" w:lineRule="exact"/>
        <w:rPr>
          <w:rFonts w:ascii="宋体" w:hAnsi="宋体"/>
          <w:sz w:val="24"/>
          <w:highlight w:val="none"/>
        </w:rPr>
      </w:pPr>
    </w:p>
    <w:p w14:paraId="30CAB602">
      <w:pPr>
        <w:spacing w:line="580" w:lineRule="exact"/>
        <w:rPr>
          <w:rFonts w:ascii="宋体" w:hAnsi="宋体"/>
          <w:sz w:val="24"/>
          <w:highlight w:val="none"/>
        </w:rPr>
      </w:pPr>
      <w:r>
        <w:rPr>
          <w:rFonts w:hint="eastAsia" w:ascii="宋体" w:hAnsi="宋体"/>
          <w:sz w:val="24"/>
          <w:highlight w:val="none"/>
        </w:rPr>
        <w:t>乙方（供应商公章）名 称：</w:t>
      </w:r>
      <w:r>
        <w:rPr>
          <w:rFonts w:ascii="宋体" w:hAnsi="宋体"/>
          <w:sz w:val="24"/>
          <w:highlight w:val="none"/>
        </w:rPr>
        <w:t xml:space="preserve"> </w:t>
      </w:r>
    </w:p>
    <w:p w14:paraId="6BB52A30">
      <w:pPr>
        <w:spacing w:line="580" w:lineRule="exact"/>
        <w:ind w:firstLine="2160" w:firstLineChars="900"/>
        <w:rPr>
          <w:rFonts w:ascii="宋体" w:hAnsi="宋体"/>
          <w:sz w:val="24"/>
          <w:highlight w:val="none"/>
        </w:rPr>
      </w:pPr>
      <w:r>
        <w:rPr>
          <w:rFonts w:hint="eastAsia" w:ascii="宋体" w:hAnsi="宋体"/>
          <w:sz w:val="24"/>
          <w:highlight w:val="none"/>
        </w:rPr>
        <w:t>地 址：</w:t>
      </w:r>
    </w:p>
    <w:p w14:paraId="20206DDF">
      <w:pPr>
        <w:spacing w:line="580" w:lineRule="exact"/>
        <w:ind w:firstLine="2160" w:firstLineChars="900"/>
        <w:rPr>
          <w:rFonts w:ascii="宋体" w:hAnsi="宋体"/>
          <w:sz w:val="24"/>
          <w:highlight w:val="none"/>
        </w:rPr>
      </w:pPr>
      <w:r>
        <w:rPr>
          <w:rFonts w:hint="eastAsia" w:ascii="宋体" w:hAnsi="宋体"/>
          <w:sz w:val="24"/>
          <w:highlight w:val="none"/>
        </w:rPr>
        <w:t>邮 编：</w:t>
      </w:r>
    </w:p>
    <w:p w14:paraId="1723D65C">
      <w:pPr>
        <w:spacing w:line="580" w:lineRule="exact"/>
        <w:ind w:firstLine="240" w:firstLineChars="100"/>
        <w:rPr>
          <w:rFonts w:ascii="宋体" w:hAnsi="宋体"/>
          <w:sz w:val="24"/>
          <w:highlight w:val="none"/>
        </w:rPr>
      </w:pPr>
      <w:r>
        <w:rPr>
          <w:rFonts w:hint="eastAsia" w:ascii="宋体" w:hAnsi="宋体"/>
          <w:sz w:val="24"/>
          <w:highlight w:val="none"/>
        </w:rPr>
        <w:t>法定代表人或委托代理人：</w:t>
      </w:r>
    </w:p>
    <w:p w14:paraId="54E352CC">
      <w:pPr>
        <w:spacing w:line="580" w:lineRule="exact"/>
        <w:ind w:firstLine="720" w:firstLineChars="300"/>
        <w:rPr>
          <w:rFonts w:ascii="宋体" w:hAnsi="宋体"/>
          <w:sz w:val="24"/>
          <w:highlight w:val="none"/>
        </w:rPr>
      </w:pPr>
      <w:r>
        <w:rPr>
          <w:rFonts w:hint="eastAsia" w:ascii="宋体" w:hAnsi="宋体"/>
          <w:sz w:val="24"/>
          <w:highlight w:val="none"/>
        </w:rPr>
        <w:t>项目（技术）负责人：</w:t>
      </w:r>
    </w:p>
    <w:p w14:paraId="2FEC51F9">
      <w:pPr>
        <w:spacing w:line="580" w:lineRule="exact"/>
        <w:ind w:firstLine="2160" w:firstLineChars="900"/>
        <w:rPr>
          <w:rFonts w:ascii="宋体" w:hAnsi="宋体"/>
          <w:sz w:val="24"/>
          <w:highlight w:val="none"/>
        </w:rPr>
      </w:pPr>
      <w:r>
        <w:rPr>
          <w:rFonts w:hint="eastAsia" w:ascii="宋体" w:hAnsi="宋体"/>
          <w:sz w:val="24"/>
          <w:highlight w:val="none"/>
        </w:rPr>
        <w:t>电 话：</w:t>
      </w:r>
    </w:p>
    <w:p w14:paraId="18118C96">
      <w:pPr>
        <w:spacing w:line="580" w:lineRule="exact"/>
        <w:ind w:firstLine="1800" w:firstLineChars="750"/>
        <w:rPr>
          <w:rFonts w:ascii="宋体" w:hAnsi="宋体"/>
          <w:sz w:val="24"/>
          <w:highlight w:val="none"/>
        </w:rPr>
      </w:pPr>
      <w:r>
        <w:rPr>
          <w:rFonts w:hint="eastAsia" w:ascii="宋体" w:hAnsi="宋体"/>
          <w:sz w:val="24"/>
          <w:highlight w:val="none"/>
        </w:rPr>
        <w:t>签订日期：</w:t>
      </w:r>
    </w:p>
    <w:p w14:paraId="744B02C6">
      <w:pPr>
        <w:rPr>
          <w:rFonts w:ascii="宋体" w:hAnsi="宋体"/>
          <w:b/>
          <w:sz w:val="24"/>
          <w:highlight w:val="none"/>
        </w:rPr>
      </w:pPr>
    </w:p>
    <w:p w14:paraId="7CB64D2D">
      <w:pPr>
        <w:rPr>
          <w:rFonts w:ascii="宋体" w:hAnsi="宋体"/>
          <w:b/>
          <w:sz w:val="24"/>
          <w:highlight w:val="none"/>
        </w:rPr>
      </w:pPr>
    </w:p>
    <w:p w14:paraId="78BBC33C">
      <w:pPr>
        <w:rPr>
          <w:rFonts w:ascii="宋体" w:hAnsi="宋体"/>
          <w:bCs/>
          <w:sz w:val="24"/>
          <w:highlight w:val="none"/>
        </w:rPr>
      </w:pPr>
      <w:r>
        <w:rPr>
          <w:rFonts w:hint="eastAsia" w:ascii="宋体" w:hAnsi="宋体"/>
          <w:bCs/>
          <w:sz w:val="24"/>
          <w:highlight w:val="none"/>
        </w:rPr>
        <w:t>丙方（鉴证方公章）名 称：</w:t>
      </w:r>
      <w:r>
        <w:rPr>
          <w:rFonts w:ascii="宋体" w:hAnsi="宋体"/>
          <w:bCs/>
          <w:sz w:val="24"/>
          <w:highlight w:val="none"/>
        </w:rPr>
        <w:t xml:space="preserve"> </w:t>
      </w:r>
    </w:p>
    <w:p w14:paraId="563DD9CB">
      <w:pPr>
        <w:ind w:firstLine="2160" w:firstLineChars="900"/>
        <w:rPr>
          <w:rFonts w:ascii="宋体" w:hAnsi="宋体"/>
          <w:bCs/>
          <w:sz w:val="24"/>
          <w:highlight w:val="none"/>
        </w:rPr>
      </w:pPr>
      <w:r>
        <w:rPr>
          <w:rFonts w:hint="eastAsia" w:ascii="宋体" w:hAnsi="宋体"/>
          <w:bCs/>
          <w:sz w:val="24"/>
          <w:highlight w:val="none"/>
        </w:rPr>
        <w:t>地 址：</w:t>
      </w:r>
      <w:r>
        <w:rPr>
          <w:rFonts w:ascii="宋体" w:hAnsi="宋体"/>
          <w:bCs/>
          <w:sz w:val="24"/>
          <w:highlight w:val="none"/>
        </w:rPr>
        <w:t xml:space="preserve"> </w:t>
      </w:r>
    </w:p>
    <w:p w14:paraId="1DD92A79">
      <w:pPr>
        <w:ind w:firstLine="2160" w:firstLineChars="900"/>
        <w:rPr>
          <w:rFonts w:ascii="宋体" w:hAnsi="宋体"/>
          <w:bCs/>
          <w:sz w:val="24"/>
          <w:highlight w:val="none"/>
        </w:rPr>
      </w:pPr>
      <w:r>
        <w:rPr>
          <w:rFonts w:hint="eastAsia" w:ascii="宋体" w:hAnsi="宋体"/>
          <w:bCs/>
          <w:sz w:val="24"/>
          <w:highlight w:val="none"/>
        </w:rPr>
        <w:t>邮 编：</w:t>
      </w:r>
    </w:p>
    <w:p w14:paraId="2F3F22C0">
      <w:pPr>
        <w:ind w:firstLine="240" w:firstLineChars="100"/>
        <w:rPr>
          <w:rFonts w:ascii="宋体" w:hAnsi="宋体"/>
          <w:bCs/>
          <w:sz w:val="24"/>
          <w:highlight w:val="none"/>
        </w:rPr>
      </w:pPr>
      <w:r>
        <w:rPr>
          <w:rFonts w:hint="eastAsia" w:ascii="宋体" w:hAnsi="宋体"/>
          <w:bCs/>
          <w:sz w:val="24"/>
          <w:highlight w:val="none"/>
        </w:rPr>
        <w:t>法定代表人或委托代理人：</w:t>
      </w:r>
    </w:p>
    <w:p w14:paraId="2424DB78">
      <w:pPr>
        <w:ind w:firstLine="2160" w:firstLineChars="900"/>
        <w:rPr>
          <w:rFonts w:ascii="宋体" w:hAnsi="宋体"/>
          <w:bCs/>
          <w:sz w:val="24"/>
          <w:highlight w:val="none"/>
        </w:rPr>
      </w:pPr>
      <w:r>
        <w:rPr>
          <w:rFonts w:hint="eastAsia" w:ascii="宋体" w:hAnsi="宋体"/>
          <w:bCs/>
          <w:sz w:val="24"/>
          <w:highlight w:val="none"/>
        </w:rPr>
        <w:t>经办人：</w:t>
      </w:r>
    </w:p>
    <w:p w14:paraId="35045B84">
      <w:pPr>
        <w:ind w:firstLine="2160" w:firstLineChars="900"/>
        <w:rPr>
          <w:rFonts w:hint="eastAsia" w:ascii="宋体" w:hAnsi="宋体" w:eastAsia="宋体"/>
          <w:sz w:val="24"/>
          <w:highlight w:val="none"/>
          <w:u w:val="single"/>
          <w:lang w:eastAsia="zh-CN"/>
        </w:rPr>
      </w:pPr>
      <w:r>
        <w:rPr>
          <w:rFonts w:hint="eastAsia" w:ascii="宋体" w:hAnsi="宋体"/>
          <w:bCs/>
          <w:sz w:val="24"/>
          <w:highlight w:val="none"/>
        </w:rPr>
        <w:t>电  话：</w:t>
      </w:r>
      <w:r>
        <w:rPr>
          <w:rFonts w:hint="eastAsia" w:ascii="宋体" w:hAnsi="宋体"/>
          <w:b/>
          <w:sz w:val="24"/>
          <w:highlight w:val="none"/>
        </w:rPr>
        <w:br w:type="page"/>
      </w:r>
      <w:r>
        <w:rPr>
          <w:rFonts w:hint="eastAsia" w:ascii="宋体" w:hAnsi="宋体"/>
          <w:b/>
          <w:sz w:val="24"/>
          <w:highlight w:val="none"/>
        </w:rPr>
        <w:t>甲方（采购人全称）：</w:t>
      </w:r>
      <w:r>
        <w:rPr>
          <w:rFonts w:hint="eastAsia" w:ascii="宋体" w:hAnsi="宋体"/>
          <w:b/>
          <w:sz w:val="24"/>
          <w:highlight w:val="none"/>
          <w:u w:val="single"/>
          <w:lang w:eastAsia="zh-CN"/>
        </w:rPr>
        <w:t>玉溪职业技术学院（云南省玉溪工业财贸学校）</w:t>
      </w:r>
    </w:p>
    <w:p w14:paraId="0337B764">
      <w:pPr>
        <w:ind w:firstLine="482" w:firstLineChars="200"/>
        <w:rPr>
          <w:rFonts w:ascii="宋体" w:hAnsi="宋体"/>
          <w:b/>
          <w:sz w:val="24"/>
          <w:highlight w:val="none"/>
          <w:u w:val="single"/>
        </w:rPr>
      </w:pPr>
      <w:r>
        <w:rPr>
          <w:rFonts w:hint="eastAsia" w:ascii="宋体" w:hAnsi="宋体"/>
          <w:b/>
          <w:sz w:val="24"/>
          <w:highlight w:val="none"/>
        </w:rPr>
        <w:t>乙方（供应商全称）：</w:t>
      </w:r>
      <w:r>
        <w:rPr>
          <w:rFonts w:hint="eastAsia" w:ascii="宋体" w:hAnsi="宋体"/>
          <w:b/>
          <w:sz w:val="24"/>
          <w:highlight w:val="none"/>
          <w:u w:val="single"/>
        </w:rPr>
        <w:t xml:space="preserve">            </w:t>
      </w:r>
    </w:p>
    <w:p w14:paraId="0B83220A">
      <w:pPr>
        <w:adjustRightInd w:val="0"/>
        <w:snapToGrid w:val="0"/>
        <w:ind w:firstLine="480" w:firstLineChars="200"/>
        <w:rPr>
          <w:rFonts w:ascii="宋体" w:hAnsi="宋体"/>
          <w:sz w:val="24"/>
          <w:highlight w:val="none"/>
        </w:rPr>
      </w:pPr>
      <w:r>
        <w:rPr>
          <w:rFonts w:hint="eastAsia" w:ascii="宋体" w:hAnsi="宋体"/>
          <w:sz w:val="24"/>
          <w:highlight w:val="none"/>
        </w:rPr>
        <w:t>根据《中华人民共和国政府采购法》《中华人民共和国民法典》等法律法规，按照</w:t>
      </w:r>
      <w:r>
        <w:rPr>
          <w:rFonts w:hint="eastAsia" w:ascii="宋体" w:hAnsi="宋体" w:cs="宋体"/>
          <w:sz w:val="24"/>
          <w:highlight w:val="none"/>
          <w:lang w:eastAsia="zh-CN"/>
        </w:rPr>
        <w:t>玉溪职业技术学院（云南省玉溪工业财贸学校）人工智能赋能医药康养专业群建设项目</w:t>
      </w:r>
      <w:r>
        <w:rPr>
          <w:rFonts w:hint="eastAsia" w:ascii="宋体" w:hAnsi="宋体" w:cs="宋体"/>
          <w:sz w:val="24"/>
          <w:highlight w:val="none"/>
        </w:rPr>
        <w:t>（</w:t>
      </w:r>
      <w:r>
        <w:rPr>
          <w:rFonts w:hint="eastAsia" w:ascii="宋体" w:hAnsi="宋体"/>
          <w:sz w:val="24"/>
          <w:highlight w:val="none"/>
        </w:rPr>
        <w:t xml:space="preserve">招标项目编号： </w:t>
      </w:r>
      <w:r>
        <w:rPr>
          <w:rFonts w:hint="eastAsia" w:ascii="宋体" w:hAnsi="宋体"/>
          <w:sz w:val="24"/>
          <w:highlight w:val="none"/>
          <w:u w:val="single"/>
        </w:rPr>
        <w:t xml:space="preserve">           </w:t>
      </w:r>
      <w:r>
        <w:rPr>
          <w:rFonts w:hint="eastAsia" w:ascii="宋体" w:hAnsi="宋体" w:cs="宋体"/>
          <w:sz w:val="24"/>
          <w:highlight w:val="none"/>
        </w:rPr>
        <w:t>）</w:t>
      </w:r>
      <w:r>
        <w:rPr>
          <w:rFonts w:hint="eastAsia" w:ascii="宋体" w:hAnsi="宋体"/>
          <w:sz w:val="24"/>
          <w:highlight w:val="none"/>
        </w:rPr>
        <w:t xml:space="preserve"> </w:t>
      </w:r>
      <w:r>
        <w:rPr>
          <w:rFonts w:hint="eastAsia" w:ascii="宋体" w:hAnsi="宋体" w:cs="宋体"/>
          <w:sz w:val="24"/>
          <w:highlight w:val="none"/>
        </w:rPr>
        <w:t>的招标结果和要求，</w:t>
      </w:r>
      <w:r>
        <w:rPr>
          <w:rFonts w:hint="eastAsia" w:ascii="宋体" w:hAnsi="宋体"/>
          <w:sz w:val="24"/>
          <w:highlight w:val="none"/>
        </w:rPr>
        <w:t>甲、乙双方经协商确定，甲方向乙方订购</w:t>
      </w:r>
      <w:r>
        <w:rPr>
          <w:rFonts w:hint="eastAsia" w:ascii="宋体" w:hAnsi="宋体"/>
          <w:sz w:val="24"/>
          <w:highlight w:val="none"/>
          <w:u w:val="single"/>
        </w:rPr>
        <w:t xml:space="preserve">         </w:t>
      </w:r>
      <w:r>
        <w:rPr>
          <w:rFonts w:hint="eastAsia" w:ascii="宋体" w:hAnsi="宋体"/>
          <w:sz w:val="24"/>
          <w:highlight w:val="none"/>
        </w:rPr>
        <w:t xml:space="preserve">及其服务。为明确双方责任和权利，特签订本合同，共同遵守。具体条款如下： </w:t>
      </w:r>
    </w:p>
    <w:p w14:paraId="40BDA1A4">
      <w:pPr>
        <w:adjustRightInd w:val="0"/>
        <w:snapToGrid w:val="0"/>
        <w:ind w:firstLine="482" w:firstLineChars="200"/>
        <w:rPr>
          <w:rFonts w:ascii="宋体" w:hAnsi="宋体"/>
          <w:b/>
          <w:bCs/>
          <w:sz w:val="24"/>
          <w:highlight w:val="none"/>
        </w:rPr>
      </w:pPr>
      <w:r>
        <w:rPr>
          <w:rFonts w:hint="eastAsia" w:ascii="宋体" w:hAnsi="宋体"/>
          <w:b/>
          <w:sz w:val="24"/>
          <w:highlight w:val="none"/>
        </w:rPr>
        <w:t>一、乙方按投标文件的内容和中标（成交）结果，为甲方提供以下货物（可直接填写下表或后附明细清单</w:t>
      </w:r>
      <w:r>
        <w:rPr>
          <w:rFonts w:hint="eastAsia" w:ascii="宋体" w:hAnsi="宋体"/>
          <w:b/>
          <w:bCs/>
          <w:sz w:val="24"/>
          <w:highlight w:val="none"/>
        </w:rPr>
        <w:t>）。</w:t>
      </w:r>
    </w:p>
    <w:tbl>
      <w:tblPr>
        <w:tblStyle w:val="41"/>
        <w:tblW w:w="9464"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500"/>
        <w:gridCol w:w="934"/>
        <w:gridCol w:w="982"/>
        <w:gridCol w:w="1136"/>
        <w:gridCol w:w="891"/>
        <w:gridCol w:w="855"/>
        <w:gridCol w:w="1218"/>
        <w:gridCol w:w="1291"/>
      </w:tblGrid>
      <w:tr w14:paraId="36F5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45EEF067">
            <w:pPr>
              <w:jc w:val="center"/>
              <w:rPr>
                <w:rFonts w:ascii="宋体" w:hAnsi="宋体" w:cs="宋体"/>
                <w:kern w:val="0"/>
                <w:sz w:val="20"/>
                <w:szCs w:val="20"/>
                <w:highlight w:val="none"/>
              </w:rPr>
            </w:pPr>
            <w:r>
              <w:rPr>
                <w:rFonts w:hint="eastAsia" w:ascii="宋体" w:hAnsi="宋体" w:cs="宋体"/>
                <w:kern w:val="0"/>
                <w:sz w:val="20"/>
                <w:szCs w:val="20"/>
                <w:highlight w:val="none"/>
              </w:rPr>
              <w:t>序号</w:t>
            </w:r>
          </w:p>
        </w:tc>
        <w:tc>
          <w:tcPr>
            <w:tcW w:w="1500" w:type="dxa"/>
          </w:tcPr>
          <w:p w14:paraId="7A89762F">
            <w:pPr>
              <w:rPr>
                <w:highlight w:val="none"/>
              </w:rPr>
            </w:pPr>
            <w:r>
              <w:rPr>
                <w:rFonts w:hint="eastAsia"/>
                <w:highlight w:val="none"/>
              </w:rPr>
              <w:t>货物名称</w:t>
            </w:r>
          </w:p>
        </w:tc>
        <w:tc>
          <w:tcPr>
            <w:tcW w:w="934" w:type="dxa"/>
          </w:tcPr>
          <w:p w14:paraId="0687CFF4">
            <w:pPr>
              <w:rPr>
                <w:highlight w:val="none"/>
              </w:rPr>
            </w:pPr>
            <w:r>
              <w:rPr>
                <w:rFonts w:hint="eastAsia"/>
                <w:highlight w:val="none"/>
              </w:rPr>
              <w:t>规格</w:t>
            </w:r>
          </w:p>
        </w:tc>
        <w:tc>
          <w:tcPr>
            <w:tcW w:w="982" w:type="dxa"/>
          </w:tcPr>
          <w:p w14:paraId="23418641">
            <w:pPr>
              <w:rPr>
                <w:highlight w:val="none"/>
              </w:rPr>
            </w:pPr>
            <w:r>
              <w:rPr>
                <w:rFonts w:hint="eastAsia"/>
                <w:highlight w:val="none"/>
              </w:rPr>
              <w:t>产地</w:t>
            </w:r>
          </w:p>
        </w:tc>
        <w:tc>
          <w:tcPr>
            <w:tcW w:w="1136" w:type="dxa"/>
          </w:tcPr>
          <w:p w14:paraId="23C83173">
            <w:pPr>
              <w:rPr>
                <w:highlight w:val="none"/>
              </w:rPr>
            </w:pPr>
            <w:r>
              <w:rPr>
                <w:rFonts w:hint="eastAsia"/>
                <w:highlight w:val="none"/>
              </w:rPr>
              <w:t>制造商</w:t>
            </w:r>
          </w:p>
        </w:tc>
        <w:tc>
          <w:tcPr>
            <w:tcW w:w="891" w:type="dxa"/>
          </w:tcPr>
          <w:p w14:paraId="521DC757">
            <w:pPr>
              <w:jc w:val="center"/>
              <w:rPr>
                <w:rFonts w:ascii="宋体" w:hAnsi="宋体" w:cs="宋体"/>
                <w:kern w:val="0"/>
                <w:sz w:val="20"/>
                <w:szCs w:val="20"/>
                <w:highlight w:val="none"/>
              </w:rPr>
            </w:pPr>
            <w:r>
              <w:rPr>
                <w:rFonts w:hint="eastAsia" w:ascii="宋体" w:hAnsi="宋体" w:cs="宋体"/>
                <w:kern w:val="0"/>
                <w:sz w:val="20"/>
                <w:szCs w:val="20"/>
                <w:highlight w:val="none"/>
              </w:rPr>
              <w:t>单位</w:t>
            </w:r>
          </w:p>
        </w:tc>
        <w:tc>
          <w:tcPr>
            <w:tcW w:w="855" w:type="dxa"/>
          </w:tcPr>
          <w:p w14:paraId="5B754825">
            <w:pPr>
              <w:jc w:val="center"/>
              <w:rPr>
                <w:rFonts w:ascii="宋体" w:hAnsi="宋体" w:cs="宋体"/>
                <w:kern w:val="0"/>
                <w:sz w:val="20"/>
                <w:szCs w:val="20"/>
                <w:highlight w:val="none"/>
              </w:rPr>
            </w:pPr>
            <w:r>
              <w:rPr>
                <w:rFonts w:hint="eastAsia" w:ascii="宋体" w:hAnsi="宋体" w:cs="宋体"/>
                <w:kern w:val="0"/>
                <w:sz w:val="20"/>
                <w:szCs w:val="20"/>
                <w:highlight w:val="none"/>
              </w:rPr>
              <w:t>数量</w:t>
            </w:r>
          </w:p>
        </w:tc>
        <w:tc>
          <w:tcPr>
            <w:tcW w:w="1218" w:type="dxa"/>
          </w:tcPr>
          <w:p w14:paraId="3D5D90BA">
            <w:pPr>
              <w:jc w:val="center"/>
              <w:rPr>
                <w:rFonts w:ascii="宋体" w:hAnsi="宋体" w:cs="宋体"/>
                <w:kern w:val="0"/>
                <w:sz w:val="20"/>
                <w:szCs w:val="20"/>
                <w:highlight w:val="none"/>
              </w:rPr>
            </w:pPr>
            <w:r>
              <w:rPr>
                <w:rFonts w:hint="eastAsia" w:ascii="宋体" w:hAnsi="宋体" w:cs="宋体"/>
                <w:kern w:val="0"/>
                <w:sz w:val="20"/>
                <w:szCs w:val="20"/>
                <w:highlight w:val="none"/>
              </w:rPr>
              <w:t>单价（元）</w:t>
            </w:r>
          </w:p>
        </w:tc>
        <w:tc>
          <w:tcPr>
            <w:tcW w:w="1291" w:type="dxa"/>
          </w:tcPr>
          <w:p w14:paraId="49860EE1">
            <w:pPr>
              <w:jc w:val="center"/>
              <w:rPr>
                <w:rFonts w:ascii="宋体" w:hAnsi="宋体" w:cs="宋体"/>
                <w:kern w:val="0"/>
                <w:sz w:val="20"/>
                <w:szCs w:val="20"/>
                <w:highlight w:val="none"/>
              </w:rPr>
            </w:pPr>
            <w:r>
              <w:rPr>
                <w:rFonts w:hint="eastAsia" w:ascii="宋体" w:hAnsi="宋体" w:cs="宋体"/>
                <w:kern w:val="0"/>
                <w:sz w:val="20"/>
                <w:szCs w:val="20"/>
                <w:highlight w:val="none"/>
              </w:rPr>
              <w:t>金额（元）</w:t>
            </w:r>
          </w:p>
        </w:tc>
      </w:tr>
      <w:tr w14:paraId="0E26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096FA756">
            <w:pPr>
              <w:rPr>
                <w:bCs/>
                <w:sz w:val="20"/>
                <w:szCs w:val="20"/>
                <w:highlight w:val="none"/>
              </w:rPr>
            </w:pPr>
            <w:r>
              <w:rPr>
                <w:rFonts w:hint="eastAsia"/>
                <w:bCs/>
                <w:sz w:val="20"/>
                <w:szCs w:val="20"/>
                <w:highlight w:val="none"/>
              </w:rPr>
              <w:t>1</w:t>
            </w:r>
          </w:p>
        </w:tc>
        <w:tc>
          <w:tcPr>
            <w:tcW w:w="1500" w:type="dxa"/>
          </w:tcPr>
          <w:p w14:paraId="1B735175">
            <w:pPr>
              <w:rPr>
                <w:highlight w:val="none"/>
              </w:rPr>
            </w:pPr>
          </w:p>
        </w:tc>
        <w:tc>
          <w:tcPr>
            <w:tcW w:w="934" w:type="dxa"/>
          </w:tcPr>
          <w:p w14:paraId="3208A65C">
            <w:pPr>
              <w:rPr>
                <w:highlight w:val="none"/>
              </w:rPr>
            </w:pPr>
          </w:p>
        </w:tc>
        <w:tc>
          <w:tcPr>
            <w:tcW w:w="982" w:type="dxa"/>
          </w:tcPr>
          <w:p w14:paraId="10E2DB63">
            <w:pPr>
              <w:rPr>
                <w:b/>
                <w:bCs/>
                <w:sz w:val="24"/>
                <w:highlight w:val="none"/>
              </w:rPr>
            </w:pPr>
          </w:p>
        </w:tc>
        <w:tc>
          <w:tcPr>
            <w:tcW w:w="1136" w:type="dxa"/>
          </w:tcPr>
          <w:p w14:paraId="6A070EC6">
            <w:pPr>
              <w:rPr>
                <w:b/>
                <w:bCs/>
                <w:sz w:val="24"/>
                <w:highlight w:val="none"/>
              </w:rPr>
            </w:pPr>
          </w:p>
        </w:tc>
        <w:tc>
          <w:tcPr>
            <w:tcW w:w="891" w:type="dxa"/>
          </w:tcPr>
          <w:p w14:paraId="2BCEA968">
            <w:pPr>
              <w:rPr>
                <w:b/>
                <w:bCs/>
                <w:sz w:val="24"/>
                <w:highlight w:val="none"/>
              </w:rPr>
            </w:pPr>
          </w:p>
        </w:tc>
        <w:tc>
          <w:tcPr>
            <w:tcW w:w="855" w:type="dxa"/>
          </w:tcPr>
          <w:p w14:paraId="3245CEB4">
            <w:pPr>
              <w:rPr>
                <w:b/>
                <w:bCs/>
                <w:sz w:val="24"/>
                <w:highlight w:val="none"/>
              </w:rPr>
            </w:pPr>
          </w:p>
        </w:tc>
        <w:tc>
          <w:tcPr>
            <w:tcW w:w="1218" w:type="dxa"/>
          </w:tcPr>
          <w:p w14:paraId="3B1793A7">
            <w:pPr>
              <w:rPr>
                <w:b/>
                <w:bCs/>
                <w:sz w:val="24"/>
                <w:highlight w:val="none"/>
              </w:rPr>
            </w:pPr>
          </w:p>
        </w:tc>
        <w:tc>
          <w:tcPr>
            <w:tcW w:w="1291" w:type="dxa"/>
          </w:tcPr>
          <w:p w14:paraId="1288335B">
            <w:pPr>
              <w:rPr>
                <w:b/>
                <w:bCs/>
                <w:sz w:val="24"/>
                <w:highlight w:val="none"/>
              </w:rPr>
            </w:pPr>
          </w:p>
        </w:tc>
      </w:tr>
      <w:tr w14:paraId="2F071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03A0675C">
            <w:pPr>
              <w:rPr>
                <w:bCs/>
                <w:sz w:val="20"/>
                <w:szCs w:val="20"/>
                <w:highlight w:val="none"/>
              </w:rPr>
            </w:pPr>
            <w:r>
              <w:rPr>
                <w:rFonts w:hint="eastAsia"/>
                <w:bCs/>
                <w:sz w:val="20"/>
                <w:szCs w:val="20"/>
                <w:highlight w:val="none"/>
              </w:rPr>
              <w:t>2</w:t>
            </w:r>
          </w:p>
        </w:tc>
        <w:tc>
          <w:tcPr>
            <w:tcW w:w="1500" w:type="dxa"/>
          </w:tcPr>
          <w:p w14:paraId="3BA9EA98">
            <w:pPr>
              <w:rPr>
                <w:b/>
                <w:bCs/>
                <w:sz w:val="24"/>
                <w:highlight w:val="none"/>
              </w:rPr>
            </w:pPr>
          </w:p>
        </w:tc>
        <w:tc>
          <w:tcPr>
            <w:tcW w:w="934" w:type="dxa"/>
          </w:tcPr>
          <w:p w14:paraId="0099AF93">
            <w:pPr>
              <w:rPr>
                <w:b/>
                <w:bCs/>
                <w:sz w:val="24"/>
                <w:highlight w:val="none"/>
              </w:rPr>
            </w:pPr>
          </w:p>
        </w:tc>
        <w:tc>
          <w:tcPr>
            <w:tcW w:w="982" w:type="dxa"/>
          </w:tcPr>
          <w:p w14:paraId="22F15287">
            <w:pPr>
              <w:rPr>
                <w:b/>
                <w:bCs/>
                <w:sz w:val="24"/>
                <w:highlight w:val="none"/>
              </w:rPr>
            </w:pPr>
          </w:p>
        </w:tc>
        <w:tc>
          <w:tcPr>
            <w:tcW w:w="1136" w:type="dxa"/>
          </w:tcPr>
          <w:p w14:paraId="1EF7BA65">
            <w:pPr>
              <w:rPr>
                <w:b/>
                <w:bCs/>
                <w:sz w:val="24"/>
                <w:highlight w:val="none"/>
              </w:rPr>
            </w:pPr>
          </w:p>
        </w:tc>
        <w:tc>
          <w:tcPr>
            <w:tcW w:w="891" w:type="dxa"/>
          </w:tcPr>
          <w:p w14:paraId="20B68042">
            <w:pPr>
              <w:rPr>
                <w:b/>
                <w:bCs/>
                <w:sz w:val="24"/>
                <w:highlight w:val="none"/>
              </w:rPr>
            </w:pPr>
          </w:p>
        </w:tc>
        <w:tc>
          <w:tcPr>
            <w:tcW w:w="855" w:type="dxa"/>
          </w:tcPr>
          <w:p w14:paraId="146331B8">
            <w:pPr>
              <w:rPr>
                <w:b/>
                <w:bCs/>
                <w:sz w:val="24"/>
                <w:highlight w:val="none"/>
              </w:rPr>
            </w:pPr>
          </w:p>
        </w:tc>
        <w:tc>
          <w:tcPr>
            <w:tcW w:w="1218" w:type="dxa"/>
          </w:tcPr>
          <w:p w14:paraId="3C77117C">
            <w:pPr>
              <w:rPr>
                <w:b/>
                <w:bCs/>
                <w:sz w:val="24"/>
                <w:highlight w:val="none"/>
              </w:rPr>
            </w:pPr>
          </w:p>
        </w:tc>
        <w:tc>
          <w:tcPr>
            <w:tcW w:w="1291" w:type="dxa"/>
          </w:tcPr>
          <w:p w14:paraId="3EE695A1">
            <w:pPr>
              <w:rPr>
                <w:b/>
                <w:bCs/>
                <w:sz w:val="24"/>
                <w:highlight w:val="none"/>
              </w:rPr>
            </w:pPr>
          </w:p>
        </w:tc>
      </w:tr>
      <w:tr w14:paraId="04C2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3F5F8F4D">
            <w:pPr>
              <w:rPr>
                <w:bCs/>
                <w:sz w:val="20"/>
                <w:szCs w:val="20"/>
                <w:highlight w:val="none"/>
              </w:rPr>
            </w:pPr>
            <w:r>
              <w:rPr>
                <w:bCs/>
                <w:sz w:val="20"/>
                <w:szCs w:val="20"/>
                <w:highlight w:val="none"/>
              </w:rPr>
              <w:t>…</w:t>
            </w:r>
          </w:p>
        </w:tc>
        <w:tc>
          <w:tcPr>
            <w:tcW w:w="1500" w:type="dxa"/>
          </w:tcPr>
          <w:p w14:paraId="50094128">
            <w:pPr>
              <w:rPr>
                <w:rFonts w:ascii="宋体" w:hAnsi="宋体"/>
                <w:sz w:val="20"/>
                <w:szCs w:val="20"/>
                <w:highlight w:val="none"/>
              </w:rPr>
            </w:pPr>
          </w:p>
        </w:tc>
        <w:tc>
          <w:tcPr>
            <w:tcW w:w="934" w:type="dxa"/>
          </w:tcPr>
          <w:p w14:paraId="0E15809D">
            <w:pPr>
              <w:rPr>
                <w:rFonts w:ascii="宋体" w:hAnsi="宋体"/>
                <w:sz w:val="20"/>
                <w:szCs w:val="20"/>
                <w:highlight w:val="none"/>
              </w:rPr>
            </w:pPr>
          </w:p>
        </w:tc>
        <w:tc>
          <w:tcPr>
            <w:tcW w:w="982" w:type="dxa"/>
          </w:tcPr>
          <w:p w14:paraId="69F3BBC8">
            <w:pPr>
              <w:rPr>
                <w:rFonts w:ascii="宋体" w:hAnsi="宋体"/>
                <w:sz w:val="20"/>
                <w:szCs w:val="20"/>
                <w:highlight w:val="none"/>
              </w:rPr>
            </w:pPr>
          </w:p>
        </w:tc>
        <w:tc>
          <w:tcPr>
            <w:tcW w:w="1136" w:type="dxa"/>
          </w:tcPr>
          <w:p w14:paraId="4677E310">
            <w:pPr>
              <w:rPr>
                <w:rFonts w:ascii="宋体" w:hAnsi="宋体"/>
                <w:sz w:val="20"/>
                <w:szCs w:val="20"/>
                <w:highlight w:val="none"/>
              </w:rPr>
            </w:pPr>
          </w:p>
        </w:tc>
        <w:tc>
          <w:tcPr>
            <w:tcW w:w="891" w:type="dxa"/>
          </w:tcPr>
          <w:p w14:paraId="004EBCE0">
            <w:pPr>
              <w:rPr>
                <w:rFonts w:ascii="宋体" w:hAnsi="宋体"/>
                <w:sz w:val="20"/>
                <w:szCs w:val="20"/>
                <w:highlight w:val="none"/>
              </w:rPr>
            </w:pPr>
          </w:p>
        </w:tc>
        <w:tc>
          <w:tcPr>
            <w:tcW w:w="855" w:type="dxa"/>
          </w:tcPr>
          <w:p w14:paraId="67B08B9B">
            <w:pPr>
              <w:rPr>
                <w:rFonts w:ascii="宋体" w:hAnsi="宋体"/>
                <w:sz w:val="20"/>
                <w:szCs w:val="20"/>
                <w:highlight w:val="none"/>
              </w:rPr>
            </w:pPr>
          </w:p>
        </w:tc>
        <w:tc>
          <w:tcPr>
            <w:tcW w:w="1218" w:type="dxa"/>
          </w:tcPr>
          <w:p w14:paraId="7AE895EB">
            <w:pPr>
              <w:rPr>
                <w:rFonts w:ascii="宋体" w:hAnsi="宋体"/>
                <w:sz w:val="20"/>
                <w:szCs w:val="20"/>
                <w:highlight w:val="none"/>
              </w:rPr>
            </w:pPr>
          </w:p>
        </w:tc>
        <w:tc>
          <w:tcPr>
            <w:tcW w:w="1291" w:type="dxa"/>
          </w:tcPr>
          <w:p w14:paraId="47CC5414">
            <w:pPr>
              <w:rPr>
                <w:rFonts w:ascii="宋体" w:hAnsi="宋体"/>
                <w:sz w:val="20"/>
                <w:szCs w:val="20"/>
                <w:highlight w:val="none"/>
              </w:rPr>
            </w:pPr>
          </w:p>
        </w:tc>
      </w:tr>
      <w:tr w14:paraId="5DCA5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2ED9ADB9">
            <w:pPr>
              <w:rPr>
                <w:bCs/>
                <w:sz w:val="20"/>
                <w:szCs w:val="20"/>
                <w:highlight w:val="none"/>
              </w:rPr>
            </w:pPr>
            <w:r>
              <w:rPr>
                <w:rFonts w:hint="eastAsia"/>
                <w:bCs/>
                <w:sz w:val="20"/>
                <w:szCs w:val="20"/>
                <w:highlight w:val="none"/>
              </w:rPr>
              <w:t>合计</w:t>
            </w:r>
          </w:p>
        </w:tc>
        <w:tc>
          <w:tcPr>
            <w:tcW w:w="1500" w:type="dxa"/>
          </w:tcPr>
          <w:p w14:paraId="6FEA6C31">
            <w:pPr>
              <w:rPr>
                <w:b/>
                <w:bCs/>
                <w:sz w:val="24"/>
                <w:highlight w:val="none"/>
              </w:rPr>
            </w:pPr>
          </w:p>
        </w:tc>
        <w:tc>
          <w:tcPr>
            <w:tcW w:w="934" w:type="dxa"/>
          </w:tcPr>
          <w:p w14:paraId="0F4599C7">
            <w:pPr>
              <w:rPr>
                <w:b/>
                <w:bCs/>
                <w:sz w:val="24"/>
                <w:highlight w:val="none"/>
              </w:rPr>
            </w:pPr>
          </w:p>
        </w:tc>
        <w:tc>
          <w:tcPr>
            <w:tcW w:w="982" w:type="dxa"/>
          </w:tcPr>
          <w:p w14:paraId="7C291213">
            <w:pPr>
              <w:rPr>
                <w:b/>
                <w:bCs/>
                <w:sz w:val="24"/>
                <w:highlight w:val="none"/>
              </w:rPr>
            </w:pPr>
          </w:p>
        </w:tc>
        <w:tc>
          <w:tcPr>
            <w:tcW w:w="1136" w:type="dxa"/>
          </w:tcPr>
          <w:p w14:paraId="4EA7583D">
            <w:pPr>
              <w:rPr>
                <w:b/>
                <w:bCs/>
                <w:sz w:val="24"/>
                <w:highlight w:val="none"/>
              </w:rPr>
            </w:pPr>
          </w:p>
        </w:tc>
        <w:tc>
          <w:tcPr>
            <w:tcW w:w="891" w:type="dxa"/>
          </w:tcPr>
          <w:p w14:paraId="04F10763">
            <w:pPr>
              <w:rPr>
                <w:b/>
                <w:bCs/>
                <w:sz w:val="24"/>
                <w:highlight w:val="none"/>
              </w:rPr>
            </w:pPr>
          </w:p>
        </w:tc>
        <w:tc>
          <w:tcPr>
            <w:tcW w:w="855" w:type="dxa"/>
          </w:tcPr>
          <w:p w14:paraId="2DB511AB">
            <w:pPr>
              <w:rPr>
                <w:b/>
                <w:bCs/>
                <w:sz w:val="24"/>
                <w:highlight w:val="none"/>
              </w:rPr>
            </w:pPr>
          </w:p>
        </w:tc>
        <w:tc>
          <w:tcPr>
            <w:tcW w:w="1218" w:type="dxa"/>
          </w:tcPr>
          <w:p w14:paraId="1673A983">
            <w:pPr>
              <w:rPr>
                <w:b/>
                <w:bCs/>
                <w:sz w:val="24"/>
                <w:highlight w:val="none"/>
              </w:rPr>
            </w:pPr>
          </w:p>
        </w:tc>
        <w:tc>
          <w:tcPr>
            <w:tcW w:w="1291" w:type="dxa"/>
          </w:tcPr>
          <w:p w14:paraId="6E3AB8A4">
            <w:pPr>
              <w:rPr>
                <w:b/>
                <w:bCs/>
                <w:sz w:val="24"/>
                <w:highlight w:val="none"/>
              </w:rPr>
            </w:pPr>
          </w:p>
        </w:tc>
      </w:tr>
    </w:tbl>
    <w:p w14:paraId="35C45560">
      <w:pPr>
        <w:adjustRightInd w:val="0"/>
        <w:snapToGrid w:val="0"/>
        <w:ind w:firstLine="482" w:firstLineChars="200"/>
        <w:rPr>
          <w:rFonts w:ascii="宋体" w:hAnsi="宋体"/>
          <w:b/>
          <w:sz w:val="24"/>
          <w:highlight w:val="none"/>
        </w:rPr>
      </w:pPr>
      <w:r>
        <w:rPr>
          <w:rFonts w:hint="eastAsia" w:ascii="宋体" w:hAnsi="宋体"/>
          <w:b/>
          <w:sz w:val="24"/>
          <w:highlight w:val="none"/>
        </w:rPr>
        <w:t>二、合同总价款人民币</w:t>
      </w:r>
      <w:r>
        <w:rPr>
          <w:rFonts w:hint="eastAsia" w:ascii="宋体" w:hAnsi="宋体"/>
          <w:b/>
          <w:sz w:val="24"/>
          <w:highlight w:val="none"/>
          <w:u w:val="single"/>
        </w:rPr>
        <w:t xml:space="preserve">  </w:t>
      </w:r>
      <w:r>
        <w:rPr>
          <w:rFonts w:hint="eastAsia" w:ascii="宋体" w:hAnsi="宋体"/>
          <w:b/>
          <w:sz w:val="24"/>
          <w:highlight w:val="none"/>
        </w:rPr>
        <w:t>¥</w:t>
      </w:r>
      <w:r>
        <w:rPr>
          <w:rFonts w:hint="eastAsia" w:ascii="宋体" w:hAnsi="宋体"/>
          <w:b/>
          <w:sz w:val="24"/>
          <w:highlight w:val="none"/>
          <w:u w:val="single"/>
        </w:rPr>
        <w:t xml:space="preserve">         </w:t>
      </w:r>
      <w:r>
        <w:rPr>
          <w:rFonts w:hint="eastAsia" w:ascii="宋体" w:hAnsi="宋体"/>
          <w:b/>
          <w:sz w:val="24"/>
          <w:highlight w:val="none"/>
        </w:rPr>
        <w:t>元，大写：</w:t>
      </w:r>
      <w:r>
        <w:rPr>
          <w:rFonts w:hint="eastAsia" w:ascii="宋体" w:hAnsi="宋体"/>
          <w:b/>
          <w:sz w:val="24"/>
          <w:highlight w:val="none"/>
          <w:u w:val="single"/>
        </w:rPr>
        <w:t xml:space="preserve">                  </w:t>
      </w:r>
      <w:r>
        <w:rPr>
          <w:rFonts w:hint="eastAsia" w:ascii="宋体" w:hAnsi="宋体"/>
          <w:b/>
          <w:sz w:val="24"/>
          <w:highlight w:val="none"/>
        </w:rPr>
        <w:t>元整。</w:t>
      </w:r>
    </w:p>
    <w:p w14:paraId="480C11F3">
      <w:pPr>
        <w:adjustRightInd w:val="0"/>
        <w:snapToGrid w:val="0"/>
        <w:ind w:firstLine="480" w:firstLineChars="200"/>
        <w:rPr>
          <w:rFonts w:ascii="宋体" w:hAnsi="宋体" w:cs="Arial"/>
          <w:sz w:val="24"/>
          <w:highlight w:val="none"/>
        </w:rPr>
      </w:pPr>
      <w:r>
        <w:rPr>
          <w:rFonts w:hint="eastAsia" w:ascii="宋体" w:hAnsi="宋体" w:cs="Arial"/>
          <w:sz w:val="24"/>
          <w:highlight w:val="none"/>
        </w:rPr>
        <w:t>1.本合同总价款是货物设计、制造、包装、仓储、运输、安装、</w:t>
      </w:r>
      <w:r>
        <w:rPr>
          <w:rFonts w:ascii="宋体" w:hAnsi="宋体" w:cs="宋体"/>
          <w:sz w:val="24"/>
          <w:highlight w:val="none"/>
        </w:rPr>
        <w:t>调试、检测、售后服务</w:t>
      </w:r>
      <w:r>
        <w:rPr>
          <w:rFonts w:hint="eastAsia" w:ascii="宋体" w:hAnsi="宋体" w:cs="宋体"/>
          <w:sz w:val="24"/>
          <w:highlight w:val="none"/>
        </w:rPr>
        <w:t>，以及</w:t>
      </w:r>
      <w:r>
        <w:rPr>
          <w:rFonts w:hint="eastAsia" w:ascii="宋体" w:hAnsi="宋体" w:cs="Arial"/>
          <w:sz w:val="24"/>
          <w:highlight w:val="none"/>
        </w:rPr>
        <w:t>验收合格之前及质保期内发生的所有含税费用；以及招标文件规定的费用。</w:t>
      </w:r>
    </w:p>
    <w:p w14:paraId="12197B76">
      <w:pPr>
        <w:ind w:firstLine="480" w:firstLineChars="200"/>
        <w:rPr>
          <w:rFonts w:ascii="宋体" w:hAnsi="宋体" w:cs="宋体"/>
          <w:sz w:val="24"/>
          <w:highlight w:val="none"/>
        </w:rPr>
      </w:pPr>
      <w:r>
        <w:rPr>
          <w:rFonts w:hint="eastAsia" w:ascii="宋体" w:hAnsi="宋体" w:cs="Arial"/>
          <w:sz w:val="24"/>
          <w:highlight w:val="none"/>
        </w:rPr>
        <w:t>2.本合同执行期间合同单价不变</w:t>
      </w:r>
      <w:r>
        <w:rPr>
          <w:rFonts w:ascii="宋体" w:hAnsi="宋体" w:cs="宋体"/>
          <w:sz w:val="24"/>
          <w:highlight w:val="none"/>
        </w:rPr>
        <w:t>。</w:t>
      </w:r>
    </w:p>
    <w:p w14:paraId="76A20BB8">
      <w:pPr>
        <w:adjustRightInd w:val="0"/>
        <w:snapToGrid w:val="0"/>
        <w:ind w:firstLine="482" w:firstLineChars="200"/>
        <w:rPr>
          <w:rFonts w:ascii="宋体" w:hAnsi="宋体"/>
          <w:b/>
          <w:sz w:val="24"/>
          <w:highlight w:val="none"/>
        </w:rPr>
      </w:pPr>
      <w:r>
        <w:rPr>
          <w:rFonts w:hint="eastAsia" w:ascii="宋体" w:hAnsi="宋体"/>
          <w:b/>
          <w:sz w:val="24"/>
          <w:highlight w:val="none"/>
        </w:rPr>
        <w:t>三、双方权利、义务</w:t>
      </w:r>
    </w:p>
    <w:p w14:paraId="41A89857">
      <w:pPr>
        <w:adjustRightInd w:val="0"/>
        <w:snapToGrid w:val="0"/>
        <w:ind w:firstLine="480" w:firstLineChars="200"/>
        <w:rPr>
          <w:rFonts w:ascii="宋体" w:hAnsi="宋体"/>
          <w:sz w:val="24"/>
          <w:highlight w:val="none"/>
        </w:rPr>
      </w:pPr>
      <w:r>
        <w:rPr>
          <w:rFonts w:hint="eastAsia" w:ascii="宋体" w:hAnsi="宋体"/>
          <w:sz w:val="24"/>
          <w:highlight w:val="none"/>
        </w:rPr>
        <w:t>（一）甲方的权利和义务</w:t>
      </w:r>
    </w:p>
    <w:p w14:paraId="7BE91D3D">
      <w:pPr>
        <w:adjustRightInd w:val="0"/>
        <w:snapToGrid w:val="0"/>
        <w:ind w:firstLine="480" w:firstLineChars="200"/>
        <w:rPr>
          <w:rFonts w:ascii="宋体" w:hAnsi="宋体"/>
          <w:sz w:val="24"/>
          <w:highlight w:val="none"/>
        </w:rPr>
      </w:pPr>
      <w:r>
        <w:rPr>
          <w:rFonts w:hint="eastAsia" w:ascii="宋体" w:hAnsi="宋体"/>
          <w:sz w:val="24"/>
          <w:highlight w:val="none"/>
        </w:rPr>
        <w:t>1.甲方负</w:t>
      </w:r>
      <w:r>
        <w:rPr>
          <w:rFonts w:ascii="宋体" w:hAnsi="宋体"/>
          <w:sz w:val="24"/>
          <w:highlight w:val="none"/>
        </w:rPr>
        <w:t>责合同签订后项目实施的工作（如与</w:t>
      </w:r>
      <w:r>
        <w:rPr>
          <w:rFonts w:hint="eastAsia" w:ascii="宋体" w:hAnsi="宋体"/>
          <w:sz w:val="24"/>
          <w:highlight w:val="none"/>
        </w:rPr>
        <w:t>乙方</w:t>
      </w:r>
      <w:r>
        <w:rPr>
          <w:rFonts w:ascii="宋体" w:hAnsi="宋体"/>
          <w:sz w:val="24"/>
          <w:highlight w:val="none"/>
        </w:rPr>
        <w:t>的具体联系和</w:t>
      </w:r>
      <w:r>
        <w:rPr>
          <w:rFonts w:hint="eastAsia" w:ascii="宋体" w:hAnsi="宋体"/>
          <w:sz w:val="24"/>
          <w:highlight w:val="none"/>
        </w:rPr>
        <w:t>衔接</w:t>
      </w:r>
      <w:r>
        <w:rPr>
          <w:rFonts w:ascii="宋体" w:hAnsi="宋体"/>
          <w:sz w:val="24"/>
          <w:highlight w:val="none"/>
        </w:rPr>
        <w:t>，现场</w:t>
      </w:r>
      <w:r>
        <w:rPr>
          <w:rFonts w:hint="eastAsia" w:ascii="宋体" w:hAnsi="宋体"/>
          <w:sz w:val="24"/>
          <w:highlight w:val="none"/>
        </w:rPr>
        <w:t>验收</w:t>
      </w:r>
      <w:r>
        <w:rPr>
          <w:rFonts w:ascii="宋体" w:hAnsi="宋体"/>
          <w:sz w:val="24"/>
          <w:highlight w:val="none"/>
        </w:rPr>
        <w:t>时配备人员进行监管）</w:t>
      </w:r>
      <w:r>
        <w:rPr>
          <w:rFonts w:hint="eastAsia" w:ascii="宋体" w:hAnsi="宋体"/>
          <w:sz w:val="24"/>
          <w:highlight w:val="none"/>
        </w:rPr>
        <w:t>；</w:t>
      </w:r>
    </w:p>
    <w:p w14:paraId="3913B2FC">
      <w:pPr>
        <w:adjustRightInd w:val="0"/>
        <w:snapToGrid w:val="0"/>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负责提供</w:t>
      </w:r>
      <w:r>
        <w:rPr>
          <w:rFonts w:hint="eastAsia" w:ascii="宋体" w:hAnsi="宋体"/>
          <w:sz w:val="24"/>
          <w:highlight w:val="none"/>
        </w:rPr>
        <w:t>设备设施放置</w:t>
      </w:r>
      <w:r>
        <w:rPr>
          <w:rFonts w:ascii="宋体" w:hAnsi="宋体"/>
          <w:sz w:val="24"/>
          <w:highlight w:val="none"/>
        </w:rPr>
        <w:t>所必须的场地和环境</w:t>
      </w:r>
      <w:r>
        <w:rPr>
          <w:rFonts w:hint="eastAsia" w:ascii="宋体" w:hAnsi="宋体"/>
          <w:sz w:val="24"/>
          <w:highlight w:val="none"/>
        </w:rPr>
        <w:t>；</w:t>
      </w:r>
    </w:p>
    <w:p w14:paraId="43C630E8">
      <w:pPr>
        <w:adjustRightInd w:val="0"/>
        <w:snapToGrid w:val="0"/>
        <w:ind w:firstLine="480" w:firstLineChars="200"/>
        <w:rPr>
          <w:rFonts w:ascii="宋体" w:hAnsi="宋体"/>
          <w:sz w:val="24"/>
          <w:highlight w:val="none"/>
        </w:rPr>
      </w:pPr>
      <w:r>
        <w:rPr>
          <w:rFonts w:hint="eastAsia" w:ascii="宋体" w:hAnsi="宋体"/>
          <w:sz w:val="24"/>
          <w:highlight w:val="none"/>
        </w:rPr>
        <w:t>3.负责组织成立验收小组对服务内容和项目进行验收并签署验收报告；</w:t>
      </w:r>
    </w:p>
    <w:p w14:paraId="254F1970">
      <w:pPr>
        <w:adjustRightInd w:val="0"/>
        <w:snapToGrid w:val="0"/>
        <w:ind w:firstLine="480" w:firstLineChars="200"/>
        <w:rPr>
          <w:rFonts w:ascii="宋体" w:hAnsi="宋体"/>
          <w:sz w:val="24"/>
          <w:highlight w:val="none"/>
        </w:rPr>
      </w:pPr>
      <w:r>
        <w:rPr>
          <w:rFonts w:hint="eastAsia" w:ascii="宋体" w:hAnsi="宋体"/>
          <w:sz w:val="24"/>
          <w:highlight w:val="none"/>
        </w:rPr>
        <w:t>4.甲方有权拒付合同价款之外的任何费用；</w:t>
      </w:r>
    </w:p>
    <w:p w14:paraId="668F9967">
      <w:pPr>
        <w:adjustRightInd w:val="0"/>
        <w:snapToGrid w:val="0"/>
        <w:ind w:firstLine="480" w:firstLineChars="200"/>
        <w:rPr>
          <w:rFonts w:ascii="宋体" w:hAnsi="宋体"/>
          <w:sz w:val="24"/>
          <w:highlight w:val="none"/>
        </w:rPr>
      </w:pPr>
      <w:r>
        <w:rPr>
          <w:rFonts w:hint="eastAsia" w:ascii="宋体" w:hAnsi="宋体"/>
          <w:sz w:val="24"/>
          <w:highlight w:val="none"/>
        </w:rPr>
        <w:t>（二）乙方的权利和义务</w:t>
      </w:r>
    </w:p>
    <w:p w14:paraId="2DFCFBB5">
      <w:pPr>
        <w:adjustRightInd w:val="0"/>
        <w:snapToGrid w:val="0"/>
        <w:ind w:firstLine="480" w:firstLineChars="200"/>
        <w:rPr>
          <w:rFonts w:ascii="宋体" w:hAnsi="宋体"/>
          <w:sz w:val="24"/>
          <w:highlight w:val="none"/>
        </w:rPr>
      </w:pPr>
      <w:r>
        <w:rPr>
          <w:rFonts w:hint="eastAsia" w:ascii="宋体" w:hAnsi="宋体"/>
          <w:sz w:val="24"/>
          <w:highlight w:val="none"/>
        </w:rPr>
        <w:t>1.乙方按投标文件内容提供采购设备设施及相关服务要求，遵守所承诺的规定和条款；</w:t>
      </w:r>
    </w:p>
    <w:p w14:paraId="5D5108D2">
      <w:pPr>
        <w:adjustRightInd w:val="0"/>
        <w:snapToGrid w:val="0"/>
        <w:ind w:firstLine="480" w:firstLineChars="200"/>
        <w:rPr>
          <w:rFonts w:ascii="宋体" w:hAnsi="宋体"/>
          <w:sz w:val="24"/>
          <w:highlight w:val="none"/>
        </w:rPr>
      </w:pPr>
      <w:r>
        <w:rPr>
          <w:rFonts w:hint="eastAsia" w:ascii="宋体" w:hAnsi="宋体"/>
          <w:sz w:val="24"/>
          <w:highlight w:val="none"/>
        </w:rPr>
        <w:t>2.乙方保证甲方在合同实施期间不受第三方提出侵犯其专利权、商标权等侵权诉讼，并对所供货物出现的侵权承担全部责任；</w:t>
      </w:r>
    </w:p>
    <w:p w14:paraId="08CC57BA">
      <w:pPr>
        <w:adjustRightInd w:val="0"/>
        <w:snapToGrid w:val="0"/>
        <w:ind w:firstLine="480" w:firstLineChars="200"/>
        <w:rPr>
          <w:rFonts w:ascii="宋体" w:hAnsi="宋体"/>
          <w:sz w:val="24"/>
          <w:highlight w:val="none"/>
        </w:rPr>
      </w:pPr>
      <w:r>
        <w:rPr>
          <w:rFonts w:hint="eastAsia" w:ascii="宋体" w:hAnsi="宋体"/>
          <w:sz w:val="24"/>
          <w:highlight w:val="none"/>
        </w:rPr>
        <w:t>3. 与甲方共同对项目进行验收；</w:t>
      </w:r>
    </w:p>
    <w:p w14:paraId="224E4294">
      <w:pPr>
        <w:adjustRightInd w:val="0"/>
        <w:snapToGrid w:val="0"/>
        <w:ind w:firstLine="480" w:firstLineChars="200"/>
        <w:rPr>
          <w:rFonts w:ascii="宋体" w:hAnsi="宋体"/>
          <w:sz w:val="24"/>
          <w:highlight w:val="none"/>
        </w:rPr>
      </w:pPr>
      <w:r>
        <w:rPr>
          <w:rFonts w:hint="eastAsia" w:ascii="宋体" w:hAnsi="宋体"/>
          <w:sz w:val="24"/>
          <w:highlight w:val="none"/>
        </w:rPr>
        <w:t>4. 乙方有权拒绝合同约定条款以外的条件。</w:t>
      </w:r>
    </w:p>
    <w:p w14:paraId="2F5CF099">
      <w:pPr>
        <w:adjustRightInd w:val="0"/>
        <w:snapToGrid w:val="0"/>
        <w:ind w:firstLine="482" w:firstLineChars="200"/>
        <w:rPr>
          <w:rFonts w:ascii="宋体" w:hAnsi="宋体"/>
          <w:b/>
          <w:sz w:val="24"/>
          <w:highlight w:val="none"/>
        </w:rPr>
      </w:pPr>
      <w:r>
        <w:rPr>
          <w:rFonts w:hint="eastAsia" w:ascii="宋体" w:hAnsi="宋体"/>
          <w:b/>
          <w:sz w:val="24"/>
          <w:highlight w:val="none"/>
        </w:rPr>
        <w:t>四、质量保证</w:t>
      </w:r>
    </w:p>
    <w:p w14:paraId="1B86E657">
      <w:pPr>
        <w:adjustRightInd w:val="0"/>
        <w:snapToGrid w:val="0"/>
        <w:ind w:firstLine="480" w:firstLineChars="200"/>
        <w:rPr>
          <w:rFonts w:ascii="宋体" w:hAnsi="宋体"/>
          <w:sz w:val="24"/>
          <w:highlight w:val="none"/>
        </w:rPr>
      </w:pPr>
      <w:r>
        <w:rPr>
          <w:rFonts w:hint="eastAsia" w:ascii="宋体" w:hAnsi="宋体"/>
          <w:sz w:val="24"/>
          <w:highlight w:val="none"/>
        </w:rPr>
        <w:t>1.乙方所提供货物必须保证是全新的、符合国家质量检测标准（进口产品必须是通过中国海关报关验放进入中国境内且产自关境外的产品</w:t>
      </w:r>
      <w:r>
        <w:rPr>
          <w:rFonts w:hint="eastAsia"/>
          <w:highlight w:val="none"/>
          <w:shd w:val="clear" w:color="auto" w:fill="FFFFFF"/>
        </w:rPr>
        <w:t>，</w:t>
      </w:r>
      <w:r>
        <w:rPr>
          <w:rFonts w:hint="eastAsia" w:ascii="宋体" w:hAnsi="宋体"/>
          <w:sz w:val="24"/>
          <w:highlight w:val="none"/>
        </w:rPr>
        <w:t>具有国家有关部门完整手续。）和产品出厂标准、技术参数和配置要求与招标文件相符的，货物使用说明书及保修卡等资料齐全的货物；</w:t>
      </w:r>
    </w:p>
    <w:p w14:paraId="213F5965">
      <w:pPr>
        <w:adjustRightInd w:val="0"/>
        <w:snapToGrid w:val="0"/>
        <w:ind w:firstLine="480" w:firstLineChars="200"/>
        <w:rPr>
          <w:rFonts w:ascii="宋体" w:hAnsi="宋体"/>
          <w:sz w:val="24"/>
          <w:highlight w:val="none"/>
        </w:rPr>
      </w:pPr>
      <w:r>
        <w:rPr>
          <w:rFonts w:hint="eastAsia" w:ascii="宋体" w:hAnsi="宋体"/>
          <w:sz w:val="24"/>
          <w:highlight w:val="none"/>
        </w:rPr>
        <w:t>2.乙方在货物验收合格前，承担交验货物的一切责任和风险，对不合格产品及时予以更换，并承担在此期间由于质量问题给甲方造成的损失；</w:t>
      </w:r>
    </w:p>
    <w:p w14:paraId="16553D9A">
      <w:pPr>
        <w:adjustRightInd w:val="0"/>
        <w:snapToGrid w:val="0"/>
        <w:ind w:firstLine="360" w:firstLineChars="150"/>
        <w:rPr>
          <w:rFonts w:ascii="宋体"/>
          <w:sz w:val="24"/>
          <w:highlight w:val="none"/>
        </w:rPr>
      </w:pPr>
      <w:r>
        <w:rPr>
          <w:rFonts w:hint="eastAsia" w:ascii="宋体" w:hAnsi="宋体" w:cs="宋体"/>
          <w:sz w:val="24"/>
          <w:highlight w:val="none"/>
        </w:rPr>
        <w:t xml:space="preserve"> 3.本项目货物质保期为 </w:t>
      </w:r>
      <w:r>
        <w:rPr>
          <w:rFonts w:hint="eastAsia" w:ascii="宋体" w:hAnsi="宋体" w:cs="宋体"/>
          <w:sz w:val="24"/>
          <w:highlight w:val="none"/>
          <w:u w:val="single"/>
        </w:rPr>
        <w:t xml:space="preserve">    </w:t>
      </w:r>
      <w:r>
        <w:rPr>
          <w:rFonts w:hint="eastAsia" w:ascii="宋体" w:hAnsi="宋体" w:cs="宋体"/>
          <w:sz w:val="24"/>
          <w:highlight w:val="none"/>
        </w:rPr>
        <w:t>年（或详见售后服务列表中“质量保证期”），质保期自项目整体验收合格之日起算。</w:t>
      </w:r>
    </w:p>
    <w:p w14:paraId="5F29027A">
      <w:pPr>
        <w:adjustRightInd w:val="0"/>
        <w:snapToGrid w:val="0"/>
        <w:ind w:firstLine="482" w:firstLineChars="200"/>
        <w:rPr>
          <w:rFonts w:ascii="宋体" w:hAnsi="宋体"/>
          <w:b/>
          <w:sz w:val="24"/>
          <w:highlight w:val="none"/>
        </w:rPr>
      </w:pPr>
      <w:r>
        <w:rPr>
          <w:rFonts w:hint="eastAsia" w:ascii="宋体" w:hAnsi="宋体"/>
          <w:b/>
          <w:sz w:val="24"/>
          <w:highlight w:val="none"/>
        </w:rPr>
        <w:t>五</w:t>
      </w:r>
      <w:r>
        <w:rPr>
          <w:rFonts w:ascii="宋体" w:hAnsi="宋体"/>
          <w:b/>
          <w:sz w:val="24"/>
          <w:highlight w:val="none"/>
        </w:rPr>
        <w:t>、售后服务</w:t>
      </w:r>
    </w:p>
    <w:p w14:paraId="4350F1BD">
      <w:pPr>
        <w:adjustRightInd w:val="0"/>
        <w:snapToGrid w:val="0"/>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乙方提供的货物在质保期内因货物本身的质量问题发生故障，乙方应负责免费更换。对达不到技术要求者，根据实际情况，经双方协商，可按以下办法处理：</w:t>
      </w:r>
    </w:p>
    <w:p w14:paraId="1356BD53">
      <w:pPr>
        <w:adjustRightInd w:val="0"/>
        <w:snapToGrid w:val="0"/>
        <w:ind w:firstLine="480" w:firstLineChars="200"/>
        <w:rPr>
          <w:rFonts w:ascii="宋体" w:hAnsi="宋体"/>
          <w:sz w:val="24"/>
          <w:highlight w:val="none"/>
        </w:rPr>
      </w:pPr>
      <w:r>
        <w:rPr>
          <w:rFonts w:ascii="宋体" w:hAnsi="宋体"/>
          <w:sz w:val="24"/>
          <w:highlight w:val="none"/>
        </w:rPr>
        <w:t>（1）更换：由乙方承担所发生的全部费用。</w:t>
      </w:r>
    </w:p>
    <w:p w14:paraId="01A9CE95">
      <w:pPr>
        <w:adjustRightInd w:val="0"/>
        <w:snapToGrid w:val="0"/>
        <w:ind w:firstLine="480" w:firstLineChars="200"/>
        <w:rPr>
          <w:rFonts w:ascii="宋体" w:hAnsi="宋体"/>
          <w:sz w:val="24"/>
          <w:highlight w:val="none"/>
        </w:rPr>
      </w:pPr>
      <w:r>
        <w:rPr>
          <w:rFonts w:ascii="宋体" w:hAnsi="宋体"/>
          <w:sz w:val="24"/>
          <w:highlight w:val="none"/>
        </w:rPr>
        <w:t>（2）贬值处理：由甲乙双方合议定价。</w:t>
      </w:r>
    </w:p>
    <w:p w14:paraId="6A66CACC">
      <w:pPr>
        <w:adjustRightInd w:val="0"/>
        <w:snapToGrid w:val="0"/>
        <w:ind w:firstLine="480" w:firstLineChars="200"/>
        <w:rPr>
          <w:rFonts w:ascii="宋体" w:hAnsi="宋体"/>
          <w:sz w:val="24"/>
          <w:highlight w:val="none"/>
        </w:rPr>
      </w:pPr>
      <w:r>
        <w:rPr>
          <w:rFonts w:ascii="宋体" w:hAnsi="宋体"/>
          <w:sz w:val="24"/>
          <w:highlight w:val="none"/>
        </w:rPr>
        <w:t>（3）退货处理：乙方应退还甲方支付的合同款，同时应承担该货物的直接费用（运输、保险、检验、货款利息及银行手续费等）。</w:t>
      </w:r>
    </w:p>
    <w:p w14:paraId="047ED572">
      <w:pPr>
        <w:adjustRightInd w:val="0"/>
        <w:snapToGrid w:val="0"/>
        <w:ind w:firstLine="480" w:firstLineChars="200"/>
        <w:rPr>
          <w:rFonts w:ascii="宋体" w:hAnsi="宋体"/>
          <w:sz w:val="24"/>
          <w:highlight w:val="none"/>
        </w:rPr>
      </w:pPr>
      <w:r>
        <w:rPr>
          <w:rFonts w:hint="eastAsia" w:ascii="宋体" w:hAnsi="宋体"/>
          <w:sz w:val="24"/>
          <w:highlight w:val="none"/>
        </w:rPr>
        <w:t>2.乙方保证及时为甲方免费提供货物使用中的技术支持，联系人</w:t>
      </w:r>
      <w:r>
        <w:rPr>
          <w:rFonts w:hint="eastAsia" w:ascii="宋体" w:hAnsi="宋体"/>
          <w:sz w:val="24"/>
          <w:highlight w:val="none"/>
          <w:u w:val="single"/>
        </w:rPr>
        <w:t xml:space="preserve">          </w:t>
      </w:r>
      <w:r>
        <w:rPr>
          <w:rFonts w:hint="eastAsia" w:ascii="宋体" w:hAnsi="宋体"/>
          <w:sz w:val="24"/>
          <w:highlight w:val="none"/>
        </w:rPr>
        <w:t>，联系电话</w:t>
      </w:r>
      <w:r>
        <w:rPr>
          <w:rFonts w:hint="eastAsia" w:ascii="宋体" w:hAnsi="宋体"/>
          <w:sz w:val="24"/>
          <w:highlight w:val="none"/>
          <w:u w:val="single"/>
        </w:rPr>
        <w:t xml:space="preserve">             </w:t>
      </w:r>
      <w:r>
        <w:rPr>
          <w:rFonts w:hint="eastAsia" w:ascii="宋体" w:hAnsi="宋体"/>
          <w:sz w:val="24"/>
          <w:highlight w:val="none"/>
        </w:rPr>
        <w:t>。</w:t>
      </w:r>
      <w:r>
        <w:rPr>
          <w:rFonts w:ascii="宋体" w:hAnsi="宋体"/>
          <w:sz w:val="24"/>
          <w:highlight w:val="none"/>
        </w:rPr>
        <w:t xml:space="preserve"> </w:t>
      </w:r>
    </w:p>
    <w:p w14:paraId="10CF337C">
      <w:pPr>
        <w:adjustRightInd w:val="0"/>
        <w:snapToGrid w:val="0"/>
        <w:ind w:firstLine="482" w:firstLineChars="200"/>
        <w:rPr>
          <w:rFonts w:ascii="宋体" w:hAnsi="宋体"/>
          <w:b/>
          <w:sz w:val="24"/>
          <w:highlight w:val="none"/>
        </w:rPr>
      </w:pPr>
      <w:r>
        <w:rPr>
          <w:rFonts w:hint="eastAsia" w:ascii="宋体" w:hAnsi="宋体"/>
          <w:b/>
          <w:sz w:val="24"/>
          <w:highlight w:val="none"/>
        </w:rPr>
        <w:t>六、交货期、地点及交验方式</w:t>
      </w:r>
    </w:p>
    <w:p w14:paraId="77F6D0F1">
      <w:pPr>
        <w:adjustRightInd w:val="0"/>
        <w:snapToGrid w:val="0"/>
        <w:ind w:firstLine="480" w:firstLineChars="200"/>
        <w:rPr>
          <w:highlight w:val="none"/>
        </w:rPr>
      </w:pPr>
      <w:r>
        <w:rPr>
          <w:rFonts w:hint="eastAsia" w:ascii="宋体" w:hAnsi="宋体"/>
          <w:sz w:val="24"/>
          <w:highlight w:val="none"/>
        </w:rPr>
        <w:t>1.</w:t>
      </w:r>
      <w:r>
        <w:rPr>
          <w:rFonts w:hint="eastAsia"/>
          <w:highlight w:val="none"/>
        </w:rPr>
        <w:t xml:space="preserve"> </w:t>
      </w:r>
      <w:r>
        <w:rPr>
          <w:rFonts w:hint="eastAsia" w:ascii="宋体" w:hAnsi="宋体"/>
          <w:sz w:val="24"/>
          <w:highlight w:val="none"/>
        </w:rPr>
        <w:t>交货期：自合同生效之日起</w:t>
      </w:r>
      <w:r>
        <w:rPr>
          <w:rFonts w:hint="eastAsia" w:ascii="宋体" w:hAnsi="宋体"/>
          <w:sz w:val="24"/>
          <w:highlight w:val="none"/>
          <w:u w:val="single"/>
        </w:rPr>
        <w:t xml:space="preserve">   </w:t>
      </w:r>
      <w:r>
        <w:rPr>
          <w:rFonts w:hint="eastAsia" w:ascii="宋体" w:hAnsi="宋体"/>
          <w:sz w:val="24"/>
          <w:highlight w:val="none"/>
        </w:rPr>
        <w:t>个日历天（或工作日）内完成整个项目的供货、调试、采购范围内容及约定的工作，验收合格并交付使用；</w:t>
      </w:r>
    </w:p>
    <w:p w14:paraId="52BAB6E5">
      <w:pPr>
        <w:adjustRightInd w:val="0"/>
        <w:snapToGrid w:val="0"/>
        <w:ind w:firstLine="480" w:firstLineChars="200"/>
        <w:rPr>
          <w:rFonts w:ascii="宋体" w:hAnsi="宋体"/>
          <w:sz w:val="24"/>
          <w:highlight w:val="none"/>
        </w:rPr>
      </w:pPr>
      <w:r>
        <w:rPr>
          <w:rFonts w:hint="eastAsia" w:ascii="宋体" w:hAnsi="宋体"/>
          <w:sz w:val="24"/>
          <w:highlight w:val="none"/>
        </w:rPr>
        <w:t>2.交验地点：</w:t>
      </w:r>
      <w:r>
        <w:rPr>
          <w:rFonts w:ascii="宋体" w:hAnsi="宋体"/>
          <w:sz w:val="24"/>
          <w:highlight w:val="none"/>
          <w:u w:val="single"/>
        </w:rPr>
        <w:t xml:space="preserve"> </w:t>
      </w:r>
      <w:r>
        <w:rPr>
          <w:rFonts w:hint="eastAsia" w:ascii="宋体" w:hAnsi="宋体"/>
          <w:sz w:val="24"/>
          <w:highlight w:val="none"/>
          <w:u w:val="single"/>
        </w:rPr>
        <w:t>运输及卸车至甲方指定地点</w:t>
      </w:r>
      <w:r>
        <w:rPr>
          <w:rFonts w:hint="eastAsia" w:ascii="宋体" w:hAnsi="宋体"/>
          <w:sz w:val="24"/>
          <w:highlight w:val="none"/>
        </w:rPr>
        <w:t>；</w:t>
      </w:r>
    </w:p>
    <w:p w14:paraId="60074715">
      <w:pPr>
        <w:adjustRightInd w:val="0"/>
        <w:snapToGrid w:val="0"/>
        <w:ind w:firstLine="480" w:firstLineChars="200"/>
        <w:rPr>
          <w:rFonts w:ascii="宋体" w:hAnsi="宋体"/>
          <w:sz w:val="24"/>
          <w:highlight w:val="none"/>
        </w:rPr>
      </w:pPr>
      <w:r>
        <w:rPr>
          <w:rFonts w:hint="eastAsia" w:ascii="宋体" w:hAnsi="宋体"/>
          <w:sz w:val="24"/>
          <w:highlight w:val="none"/>
        </w:rPr>
        <w:t>3.交验方式：乙方负责将完整的设备设施（含运输、调试、维修必要的消耗品）送达交货地点，由甲乙双方共同开箱初验，并由乙方按合同规范要求测试和负责操作培训。交货时，乙方随货向甲方交付货物必需的合格证、保修卡、相关资料（如操作手册、使用指南等）。</w:t>
      </w:r>
    </w:p>
    <w:p w14:paraId="123ECCF2">
      <w:pPr>
        <w:ind w:firstLine="480" w:firstLineChars="200"/>
        <w:jc w:val="left"/>
        <w:rPr>
          <w:rFonts w:ascii="宋体"/>
          <w:sz w:val="24"/>
          <w:highlight w:val="none"/>
        </w:rPr>
      </w:pPr>
      <w:r>
        <w:rPr>
          <w:rFonts w:hint="eastAsia" w:ascii="宋体" w:hAnsi="宋体" w:cs="宋体"/>
          <w:sz w:val="24"/>
          <w:highlight w:val="none"/>
        </w:rPr>
        <w:t>4.供货方式：订单采购，每批次根据采购人要求时间及地点进行供货；供货数量：订单约定。</w:t>
      </w:r>
    </w:p>
    <w:p w14:paraId="0E490B00">
      <w:pPr>
        <w:adjustRightInd w:val="0"/>
        <w:snapToGrid w:val="0"/>
        <w:ind w:firstLine="482" w:firstLineChars="200"/>
        <w:rPr>
          <w:rFonts w:ascii="宋体" w:hAnsi="宋体"/>
          <w:b/>
          <w:sz w:val="24"/>
          <w:highlight w:val="none"/>
        </w:rPr>
      </w:pPr>
      <w:r>
        <w:rPr>
          <w:rFonts w:hint="eastAsia" w:ascii="宋体" w:hAnsi="宋体"/>
          <w:b/>
          <w:sz w:val="24"/>
          <w:highlight w:val="none"/>
        </w:rPr>
        <w:t>七、调试和验收</w:t>
      </w:r>
    </w:p>
    <w:p w14:paraId="2337C37D">
      <w:pPr>
        <w:adjustRightInd w:val="0"/>
        <w:snapToGrid w:val="0"/>
        <w:ind w:firstLine="480" w:firstLineChars="200"/>
        <w:rPr>
          <w:rFonts w:ascii="宋体" w:hAnsi="宋体"/>
          <w:bCs/>
          <w:sz w:val="24"/>
          <w:highlight w:val="none"/>
        </w:rPr>
      </w:pPr>
      <w:r>
        <w:rPr>
          <w:rFonts w:ascii="宋体" w:hAnsi="宋体"/>
          <w:sz w:val="24"/>
          <w:highlight w:val="none"/>
        </w:rPr>
        <w:t>1</w:t>
      </w:r>
      <w:r>
        <w:rPr>
          <w:rFonts w:ascii="宋体" w:hAnsi="宋体"/>
          <w:bCs/>
          <w:sz w:val="24"/>
          <w:highlight w:val="none"/>
        </w:rPr>
        <w:t>. 乙方交货前应对产品作全面检查，保证交付</w:t>
      </w:r>
      <w:r>
        <w:rPr>
          <w:rFonts w:hint="eastAsia" w:ascii="宋体" w:hAnsi="宋体"/>
          <w:bCs/>
          <w:sz w:val="24"/>
          <w:highlight w:val="none"/>
        </w:rPr>
        <w:t>予</w:t>
      </w:r>
      <w:r>
        <w:rPr>
          <w:rFonts w:ascii="宋体" w:hAnsi="宋体"/>
          <w:bCs/>
          <w:sz w:val="24"/>
          <w:highlight w:val="none"/>
        </w:rPr>
        <w:t>甲方的货物符合甲方要求</w:t>
      </w:r>
      <w:r>
        <w:rPr>
          <w:rFonts w:hint="eastAsia" w:ascii="宋体" w:hAnsi="宋体"/>
          <w:bCs/>
          <w:sz w:val="24"/>
          <w:highlight w:val="none"/>
        </w:rPr>
        <w:t>；</w:t>
      </w:r>
    </w:p>
    <w:p w14:paraId="2D5346A3">
      <w:pPr>
        <w:adjustRightInd w:val="0"/>
        <w:snapToGrid w:val="0"/>
        <w:ind w:firstLine="480" w:firstLineChars="200"/>
        <w:rPr>
          <w:rFonts w:ascii="宋体" w:hAnsi="宋体"/>
          <w:bCs/>
          <w:sz w:val="24"/>
          <w:highlight w:val="none"/>
        </w:rPr>
      </w:pPr>
      <w:r>
        <w:rPr>
          <w:rFonts w:ascii="宋体" w:hAnsi="宋体"/>
          <w:bCs/>
          <w:sz w:val="24"/>
          <w:highlight w:val="none"/>
        </w:rPr>
        <w:t>2. 提供的货物在使用前需进行调试的，乙方需负责安装并培训甲方的使用操作人员，并协助甲方一起调试</w:t>
      </w:r>
      <w:r>
        <w:rPr>
          <w:rFonts w:hint="eastAsia" w:ascii="宋体" w:hAnsi="宋体"/>
          <w:bCs/>
          <w:sz w:val="24"/>
          <w:highlight w:val="none"/>
        </w:rPr>
        <w:t>；</w:t>
      </w:r>
    </w:p>
    <w:p w14:paraId="6EC9A5D7">
      <w:pPr>
        <w:adjustRightInd w:val="0"/>
        <w:snapToGrid w:val="0"/>
        <w:ind w:firstLine="480" w:firstLineChars="200"/>
        <w:rPr>
          <w:rFonts w:ascii="宋体" w:hAnsi="宋体"/>
          <w:bCs/>
          <w:sz w:val="24"/>
          <w:highlight w:val="none"/>
        </w:rPr>
      </w:pPr>
      <w:r>
        <w:rPr>
          <w:rFonts w:ascii="宋体" w:hAnsi="宋体"/>
          <w:bCs/>
          <w:sz w:val="24"/>
          <w:highlight w:val="none"/>
        </w:rPr>
        <w:t>3. 甲方对乙方提交的货物需在</w:t>
      </w:r>
      <w:r>
        <w:rPr>
          <w:rFonts w:hint="eastAsia" w:ascii="宋体" w:hAnsi="宋体"/>
          <w:bCs/>
          <w:sz w:val="24"/>
          <w:highlight w:val="none"/>
          <w:u w:val="single"/>
        </w:rPr>
        <w:t xml:space="preserve">   </w:t>
      </w:r>
      <w:r>
        <w:rPr>
          <w:rFonts w:ascii="宋体" w:hAnsi="宋体"/>
          <w:bCs/>
          <w:sz w:val="24"/>
          <w:highlight w:val="none"/>
        </w:rPr>
        <w:t>个工作日内，依据招标文件上的技术规格要求和国家有关质量标准进行现场验收，验收合格</w:t>
      </w:r>
      <w:r>
        <w:rPr>
          <w:rFonts w:hint="eastAsia" w:ascii="宋体" w:hAnsi="宋体"/>
          <w:bCs/>
          <w:sz w:val="24"/>
          <w:highlight w:val="none"/>
        </w:rPr>
        <w:t>，</w:t>
      </w:r>
      <w:r>
        <w:rPr>
          <w:rFonts w:ascii="宋体" w:hAnsi="宋体"/>
          <w:bCs/>
          <w:sz w:val="24"/>
          <w:highlight w:val="none"/>
        </w:rPr>
        <w:t xml:space="preserve"> 出具《验收报告单》。</w:t>
      </w:r>
      <w:r>
        <w:rPr>
          <w:rFonts w:hint="eastAsia" w:ascii="宋体" w:hAnsi="宋体"/>
          <w:bCs/>
          <w:sz w:val="24"/>
          <w:highlight w:val="none"/>
        </w:rPr>
        <w:t>若测试发现不合格的货物，乙方必须予以更换，在货物最终验收后的质量保证期，乙方应对由于货物自身的缺陷而发生的任何不足或故障负责，费用由乙方承担。</w:t>
      </w:r>
      <w:r>
        <w:rPr>
          <w:rFonts w:ascii="宋体" w:hAnsi="宋体"/>
          <w:bCs/>
          <w:sz w:val="24"/>
          <w:highlight w:val="none"/>
        </w:rPr>
        <w:t>对技术复杂的货物，可邀请国家认可的专业检测机构参与初步验收及最终验收，并由其出具质量检测报告，验收合格</w:t>
      </w:r>
      <w:r>
        <w:rPr>
          <w:rFonts w:hint="eastAsia" w:ascii="宋体" w:hAnsi="宋体"/>
          <w:bCs/>
          <w:sz w:val="24"/>
          <w:highlight w:val="none"/>
        </w:rPr>
        <w:t>的</w:t>
      </w:r>
      <w:r>
        <w:rPr>
          <w:rFonts w:ascii="宋体" w:hAnsi="宋体"/>
          <w:bCs/>
          <w:sz w:val="24"/>
          <w:highlight w:val="none"/>
        </w:rPr>
        <w:t>费用由甲方负责，验收不合格的费用由乙方负责</w:t>
      </w:r>
      <w:r>
        <w:rPr>
          <w:rFonts w:hint="eastAsia" w:ascii="宋体" w:hAnsi="宋体"/>
          <w:bCs/>
          <w:sz w:val="24"/>
          <w:highlight w:val="none"/>
        </w:rPr>
        <w:t>；</w:t>
      </w:r>
    </w:p>
    <w:p w14:paraId="48EC2603">
      <w:pPr>
        <w:adjustRightInd w:val="0"/>
        <w:snapToGrid w:val="0"/>
        <w:ind w:firstLine="480" w:firstLineChars="200"/>
        <w:rPr>
          <w:rFonts w:ascii="宋体" w:hAnsi="宋体"/>
          <w:sz w:val="24"/>
          <w:highlight w:val="none"/>
        </w:rPr>
      </w:pPr>
      <w:r>
        <w:rPr>
          <w:rFonts w:hint="eastAsia" w:ascii="宋体" w:hAnsi="宋体"/>
          <w:sz w:val="24"/>
          <w:highlight w:val="none"/>
        </w:rPr>
        <w:t>4.甲方无正当理由逾期不予验收或者验收完毕但不签署验收报告的视为验收合格并已出具验收结果报告。</w:t>
      </w:r>
    </w:p>
    <w:p w14:paraId="267B1323">
      <w:pPr>
        <w:adjustRightInd w:val="0"/>
        <w:snapToGrid w:val="0"/>
        <w:ind w:firstLine="482" w:firstLineChars="200"/>
        <w:rPr>
          <w:rFonts w:ascii="宋体" w:hAnsi="宋体"/>
          <w:b/>
          <w:bCs/>
          <w:sz w:val="24"/>
          <w:highlight w:val="none"/>
        </w:rPr>
      </w:pPr>
      <w:r>
        <w:rPr>
          <w:rFonts w:hint="eastAsia" w:ascii="宋体" w:hAnsi="宋体"/>
          <w:b/>
          <w:bCs/>
          <w:sz w:val="24"/>
          <w:highlight w:val="none"/>
        </w:rPr>
        <w:t>八、支付方式</w:t>
      </w:r>
    </w:p>
    <w:p w14:paraId="3A630F5B">
      <w:pPr>
        <w:adjustRightInd w:val="0"/>
        <w:snapToGrid w:val="0"/>
        <w:ind w:firstLine="480" w:firstLineChars="200"/>
        <w:rPr>
          <w:rFonts w:hint="eastAsia" w:ascii="宋体" w:hAnsi="宋体" w:cs="宋体"/>
          <w:sz w:val="24"/>
          <w:highlight w:val="none"/>
        </w:rPr>
      </w:pPr>
      <w:r>
        <w:rPr>
          <w:rFonts w:hint="eastAsia" w:ascii="宋体" w:hAnsi="宋体" w:cs="宋体"/>
          <w:sz w:val="24"/>
          <w:highlight w:val="none"/>
        </w:rPr>
        <w:t>1.按照国家及地方政府采购相关法律法规及政策规定支付本项目合同价款。合同签订并生效后，在收到成交供应商开具的合法有效税务发票后10个工作日内，按合同约定预付合同总价的</w:t>
      </w:r>
      <w:r>
        <w:rPr>
          <w:rFonts w:hint="eastAsia" w:ascii="宋体" w:hAnsi="宋体" w:cs="宋体"/>
          <w:sz w:val="24"/>
          <w:highlight w:val="none"/>
          <w:lang w:val="en-US" w:eastAsia="zh-CN"/>
        </w:rPr>
        <w:t xml:space="preserve">    </w:t>
      </w:r>
      <w:r>
        <w:rPr>
          <w:rFonts w:hint="eastAsia" w:ascii="宋体" w:hAnsi="宋体" w:cs="宋体"/>
          <w:sz w:val="24"/>
          <w:highlight w:val="none"/>
        </w:rPr>
        <w:t>%。全部货物交付、安装调试完成并经采购人验收合格后，在收到成交供应商开具的合法有效税务发票后10个工作日内，采购人向成交供应商支付合同价款</w:t>
      </w:r>
      <w:r>
        <w:rPr>
          <w:rFonts w:hint="eastAsia" w:ascii="宋体" w:hAnsi="宋体" w:cs="宋体"/>
          <w:sz w:val="24"/>
          <w:highlight w:val="none"/>
          <w:lang w:val="en-US" w:eastAsia="zh-CN"/>
        </w:rPr>
        <w:t>的   %</w:t>
      </w:r>
      <w:r>
        <w:rPr>
          <w:rFonts w:hint="eastAsia" w:ascii="宋体" w:hAnsi="宋体" w:cs="宋体"/>
          <w:sz w:val="24"/>
          <w:highlight w:val="none"/>
        </w:rPr>
        <w:t>。</w:t>
      </w:r>
    </w:p>
    <w:p w14:paraId="46C81D29">
      <w:pPr>
        <w:adjustRightInd w:val="0"/>
        <w:snapToGrid w:val="0"/>
        <w:ind w:firstLine="480" w:firstLineChars="200"/>
        <w:rPr>
          <w:rFonts w:ascii="宋体" w:hAnsi="宋体"/>
          <w:sz w:val="24"/>
          <w:highlight w:val="none"/>
        </w:rPr>
      </w:pPr>
      <w:r>
        <w:rPr>
          <w:rFonts w:hint="eastAsia" w:ascii="宋体" w:hAnsi="宋体"/>
          <w:sz w:val="24"/>
          <w:highlight w:val="none"/>
        </w:rPr>
        <w:t>乙方的收款账户为本协议签署处列明的银行账户，如有变更，需以书面形式特别说明。甲方向乙方支付货款时，乙方应向甲方提供等额发票，乙方所提供的发票必须符合甲方财务管理要求，否则甲方付款时间顺延，并不承担任何违约责任。</w:t>
      </w:r>
      <w:r>
        <w:rPr>
          <w:rFonts w:hint="eastAsia" w:ascii="宋体" w:hAnsi="宋体" w:cs="宋体"/>
          <w:sz w:val="24"/>
          <w:highlight w:val="none"/>
        </w:rPr>
        <w:t>如因财政、政策等原因导致未能按时支付，采购人不承担相应责任。</w:t>
      </w:r>
    </w:p>
    <w:p w14:paraId="06138EA1">
      <w:pPr>
        <w:pStyle w:val="55"/>
        <w:ind w:firstLine="480" w:firstLineChars="200"/>
        <w:rPr>
          <w:rFonts w:ascii="宋体" w:hAnsi="宋体"/>
          <w:bCs w:val="0"/>
          <w:spacing w:val="0"/>
          <w:kern w:val="2"/>
          <w:szCs w:val="24"/>
          <w:highlight w:val="none"/>
        </w:rPr>
      </w:pPr>
      <w:r>
        <w:rPr>
          <w:rFonts w:hint="eastAsia" w:ascii="宋体" w:hAnsi="宋体"/>
          <w:bCs w:val="0"/>
          <w:spacing w:val="0"/>
          <w:kern w:val="2"/>
          <w:szCs w:val="24"/>
          <w:highlight w:val="none"/>
          <w:lang w:val="en-US" w:eastAsia="zh-CN"/>
        </w:rPr>
        <w:t>2</w:t>
      </w:r>
      <w:r>
        <w:rPr>
          <w:rFonts w:hint="eastAsia" w:ascii="宋体" w:hAnsi="宋体"/>
          <w:bCs w:val="0"/>
          <w:spacing w:val="0"/>
          <w:kern w:val="2"/>
          <w:szCs w:val="24"/>
          <w:highlight w:val="none"/>
        </w:rPr>
        <w:t>. 开户信息</w:t>
      </w:r>
    </w:p>
    <w:p w14:paraId="37537D12">
      <w:pPr>
        <w:pStyle w:val="55"/>
        <w:ind w:firstLine="780" w:firstLineChars="300"/>
        <w:rPr>
          <w:highlight w:val="none"/>
        </w:rPr>
      </w:pPr>
      <w:r>
        <w:rPr>
          <w:rFonts w:hint="eastAsia"/>
          <w:highlight w:val="none"/>
        </w:rPr>
        <w:t>开户名称：</w:t>
      </w:r>
    </w:p>
    <w:p w14:paraId="18F1F96D">
      <w:pPr>
        <w:pStyle w:val="55"/>
        <w:ind w:firstLine="780" w:firstLineChars="300"/>
        <w:rPr>
          <w:highlight w:val="none"/>
        </w:rPr>
      </w:pPr>
      <w:r>
        <w:rPr>
          <w:rFonts w:hint="eastAsia"/>
          <w:highlight w:val="none"/>
        </w:rPr>
        <w:t>开户银行：</w:t>
      </w:r>
    </w:p>
    <w:p w14:paraId="15FA94EE">
      <w:pPr>
        <w:pStyle w:val="55"/>
        <w:ind w:firstLine="780" w:firstLineChars="300"/>
        <w:rPr>
          <w:rFonts w:hint="eastAsia"/>
          <w:highlight w:val="none"/>
        </w:rPr>
      </w:pPr>
      <w:r>
        <w:rPr>
          <w:rFonts w:hint="eastAsia"/>
          <w:highlight w:val="none"/>
        </w:rPr>
        <w:t>银行账号：</w:t>
      </w:r>
    </w:p>
    <w:p w14:paraId="7D9DF8D8">
      <w:pPr>
        <w:keepNext w:val="0"/>
        <w:keepLines w:val="0"/>
        <w:pageBreakBefore w:val="0"/>
        <w:kinsoku/>
        <w:wordWrap/>
        <w:topLinePunct w:val="0"/>
        <w:bidi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乙方应根据招标文件要求向采购人交付履约保证金¥        元。（人民币大写：          ）（按合同成交价</w:t>
      </w:r>
      <w:r>
        <w:rPr>
          <w:rFonts w:hint="eastAsia" w:ascii="宋体" w:hAnsi="宋体" w:cs="宋体"/>
          <w:sz w:val="24"/>
          <w:highlight w:val="none"/>
          <w:lang w:val="en-US" w:eastAsia="zh-CN"/>
        </w:rPr>
        <w:t>5</w:t>
      </w:r>
      <w:r>
        <w:rPr>
          <w:rFonts w:hint="eastAsia" w:ascii="宋体" w:hAnsi="宋体" w:cs="宋体"/>
          <w:sz w:val="24"/>
          <w:highlight w:val="none"/>
        </w:rPr>
        <w:t>%计算）后才能取得</w:t>
      </w:r>
      <w:r>
        <w:rPr>
          <w:rFonts w:hint="eastAsia" w:ascii="宋体" w:hAnsi="宋体" w:cs="宋体"/>
          <w:sz w:val="24"/>
          <w:highlight w:val="none"/>
          <w:lang w:eastAsia="zh-CN"/>
        </w:rPr>
        <w:t>玉溪职业技术学院（云南省玉溪工业财贸学校）</w:t>
      </w:r>
      <w:r>
        <w:rPr>
          <w:rFonts w:hint="eastAsia" w:ascii="宋体" w:hAnsi="宋体" w:cs="宋体"/>
          <w:sz w:val="24"/>
          <w:highlight w:val="none"/>
        </w:rPr>
        <w:t>的签章，合同才正式生效。甲方指定账户（账户名称：</w:t>
      </w:r>
      <w:r>
        <w:rPr>
          <w:rFonts w:hint="eastAsia" w:ascii="宋体" w:hAnsi="宋体" w:cs="宋体"/>
          <w:sz w:val="24"/>
          <w:highlight w:val="none"/>
          <w:lang w:eastAsia="zh-CN"/>
        </w:rPr>
        <w:t>玉溪职业技术学院</w:t>
      </w:r>
      <w:r>
        <w:rPr>
          <w:rFonts w:hint="eastAsia" w:ascii="宋体" w:hAnsi="宋体" w:cs="宋体"/>
          <w:sz w:val="24"/>
          <w:highlight w:val="none"/>
        </w:rPr>
        <w:t>；开户行名称：建行玉溪建设支行；账号：53050165614100000559）交纳履约保证金（请在汇款单备注栏注明采购项目名称）；待合同届满后，乙方无违约行为（任何纠纷）的，由乙方向甲方提出申请全额无息退还履约保证金。</w:t>
      </w:r>
    </w:p>
    <w:p w14:paraId="49302921">
      <w:pPr>
        <w:adjustRightInd w:val="0"/>
        <w:snapToGrid w:val="0"/>
        <w:ind w:firstLine="482" w:firstLineChars="200"/>
        <w:rPr>
          <w:rFonts w:ascii="宋体" w:hAnsi="宋体"/>
          <w:b/>
          <w:sz w:val="24"/>
          <w:highlight w:val="none"/>
        </w:rPr>
      </w:pPr>
      <w:r>
        <w:rPr>
          <w:rFonts w:hint="eastAsia" w:ascii="宋体" w:hAnsi="宋体"/>
          <w:b/>
          <w:sz w:val="24"/>
          <w:highlight w:val="none"/>
        </w:rPr>
        <w:t>九、违约责任</w:t>
      </w:r>
    </w:p>
    <w:p w14:paraId="57A6B971">
      <w:pPr>
        <w:adjustRightInd w:val="0"/>
        <w:snapToGrid w:val="0"/>
        <w:ind w:firstLine="480" w:firstLineChars="200"/>
        <w:rPr>
          <w:rFonts w:ascii="宋体" w:hAnsi="宋体"/>
          <w:sz w:val="24"/>
          <w:highlight w:val="none"/>
        </w:rPr>
      </w:pPr>
      <w:r>
        <w:rPr>
          <w:rFonts w:hint="eastAsia" w:ascii="宋体" w:hAnsi="宋体"/>
          <w:sz w:val="24"/>
          <w:highlight w:val="none"/>
        </w:rPr>
        <w:t>1.除发生不可抗力事实外，乙方所交货物</w:t>
      </w:r>
      <w:r>
        <w:rPr>
          <w:rFonts w:ascii="宋体" w:hAnsi="宋体"/>
          <w:sz w:val="24"/>
          <w:highlight w:val="none"/>
        </w:rPr>
        <w:t>品种、型号、规格、技术参数、质量</w:t>
      </w:r>
      <w:r>
        <w:rPr>
          <w:rFonts w:hint="eastAsia" w:ascii="宋体" w:hAnsi="宋体"/>
          <w:sz w:val="24"/>
          <w:highlight w:val="none"/>
        </w:rPr>
        <w:t>、服务内容与合同</w:t>
      </w:r>
      <w:r>
        <w:rPr>
          <w:rFonts w:ascii="宋体" w:hAnsi="宋体"/>
          <w:sz w:val="24"/>
          <w:highlight w:val="none"/>
        </w:rPr>
        <w:t>及招标文件</w:t>
      </w:r>
      <w:r>
        <w:rPr>
          <w:rFonts w:hint="eastAsia" w:ascii="宋体" w:hAnsi="宋体"/>
          <w:sz w:val="24"/>
          <w:highlight w:val="none"/>
        </w:rPr>
        <w:t>不相符的，甲方有权拒收货物，乙方无权请求返还履约保证金；</w:t>
      </w:r>
    </w:p>
    <w:p w14:paraId="322517D1">
      <w:pPr>
        <w:ind w:firstLine="480" w:firstLineChars="200"/>
        <w:rPr>
          <w:rFonts w:ascii="宋体" w:hAnsi="宋体"/>
          <w:sz w:val="24"/>
          <w:highlight w:val="none"/>
        </w:rPr>
      </w:pPr>
      <w:r>
        <w:rPr>
          <w:rFonts w:hint="eastAsia" w:ascii="宋体" w:hAnsi="宋体" w:cs="宋体"/>
          <w:sz w:val="24"/>
          <w:highlight w:val="none"/>
        </w:rPr>
        <w:t>2</w:t>
      </w:r>
      <w:r>
        <w:rPr>
          <w:rFonts w:ascii="宋体" w:hAnsi="宋体" w:cs="宋体"/>
          <w:sz w:val="24"/>
          <w:highlight w:val="none"/>
        </w:rPr>
        <w:t>.</w:t>
      </w:r>
      <w:r>
        <w:rPr>
          <w:rFonts w:hint="eastAsia" w:ascii="宋体" w:hAnsi="宋体"/>
          <w:sz w:val="24"/>
          <w:highlight w:val="none"/>
        </w:rPr>
        <w:t>乙方无故逾期交货将向甲方每日偿付5‰违约金。</w:t>
      </w:r>
      <w:r>
        <w:rPr>
          <w:rFonts w:hint="eastAsia" w:ascii="宋体" w:hAnsi="宋体" w:cs="宋体"/>
          <w:sz w:val="24"/>
          <w:highlight w:val="none"/>
        </w:rPr>
        <w:t>乙方延迟交货</w:t>
      </w:r>
      <w:r>
        <w:rPr>
          <w:rFonts w:ascii="宋体" w:hAnsi="宋体" w:cs="宋体"/>
          <w:sz w:val="24"/>
          <w:highlight w:val="none"/>
          <w:u w:val="single"/>
        </w:rPr>
        <w:t>7</w:t>
      </w:r>
      <w:r>
        <w:rPr>
          <w:rFonts w:hint="eastAsia" w:ascii="宋体" w:hAnsi="宋体" w:cs="宋体"/>
          <w:sz w:val="24"/>
          <w:highlight w:val="none"/>
          <w:u w:val="single"/>
        </w:rPr>
        <w:t>日以上</w:t>
      </w:r>
      <w:r>
        <w:rPr>
          <w:rFonts w:hint="eastAsia" w:ascii="宋体" w:hAnsi="宋体" w:cs="宋体"/>
          <w:sz w:val="24"/>
          <w:highlight w:val="none"/>
        </w:rPr>
        <w:t>的，视为乙方未能交付货物，则向甲方支付合同金额的</w:t>
      </w:r>
      <w:r>
        <w:rPr>
          <w:rFonts w:hint="eastAsia" w:ascii="宋体" w:hAnsi="宋体" w:cs="宋体"/>
          <w:sz w:val="24"/>
          <w:highlight w:val="none"/>
          <w:u w:val="single"/>
        </w:rPr>
        <w:t xml:space="preserve">   </w:t>
      </w:r>
      <w:r>
        <w:rPr>
          <w:rFonts w:hint="eastAsia" w:ascii="宋体" w:hAnsi="宋体" w:cs="宋体"/>
          <w:sz w:val="24"/>
          <w:highlight w:val="none"/>
        </w:rPr>
        <w:t>违约金。且甲方有权单方解除本合同。</w:t>
      </w:r>
      <w:r>
        <w:rPr>
          <w:rFonts w:ascii="宋体" w:hAnsi="宋体" w:cs="宋体"/>
          <w:sz w:val="24"/>
          <w:highlight w:val="none"/>
        </w:rPr>
        <w:t xml:space="preserve"> </w:t>
      </w:r>
    </w:p>
    <w:p w14:paraId="540F78C1">
      <w:pPr>
        <w:adjustRightInd w:val="0"/>
        <w:snapToGrid w:val="0"/>
        <w:ind w:firstLine="480" w:firstLineChars="200"/>
        <w:rPr>
          <w:rFonts w:ascii="宋体" w:hAnsi="宋体"/>
          <w:sz w:val="24"/>
          <w:highlight w:val="none"/>
        </w:rPr>
      </w:pPr>
      <w:r>
        <w:rPr>
          <w:rFonts w:hint="eastAsia" w:ascii="宋体" w:hAnsi="宋体"/>
          <w:sz w:val="24"/>
          <w:highlight w:val="none"/>
        </w:rPr>
        <w:t>3.</w:t>
      </w:r>
      <w:r>
        <w:rPr>
          <w:rFonts w:ascii="宋体" w:hAnsi="宋体"/>
          <w:sz w:val="24"/>
          <w:highlight w:val="none"/>
        </w:rPr>
        <w:t>甲方无故拒收</w:t>
      </w:r>
      <w:r>
        <w:rPr>
          <w:rFonts w:hint="eastAsia" w:ascii="宋体" w:hAnsi="宋体"/>
          <w:sz w:val="24"/>
          <w:highlight w:val="none"/>
        </w:rPr>
        <w:t>货物</w:t>
      </w:r>
      <w:r>
        <w:rPr>
          <w:rFonts w:ascii="宋体" w:hAnsi="宋体"/>
          <w:sz w:val="24"/>
          <w:highlight w:val="none"/>
        </w:rPr>
        <w:t>，应向乙方偿付合同总额的 5％违约金，甲方无故拒收超过</w:t>
      </w:r>
      <w:r>
        <w:rPr>
          <w:rFonts w:ascii="宋体" w:hAnsi="宋体"/>
          <w:sz w:val="24"/>
          <w:highlight w:val="none"/>
          <w:u w:val="single"/>
        </w:rPr>
        <w:t xml:space="preserve"> 10 </w:t>
      </w:r>
      <w:r>
        <w:rPr>
          <w:rFonts w:ascii="宋体" w:hAnsi="宋体"/>
          <w:sz w:val="24"/>
          <w:highlight w:val="none"/>
        </w:rPr>
        <w:t>个工作日，乙方可以申请解除本合同；甲方无正当理由逾期支付合同款应向乙方每日偿付欠款总额</w:t>
      </w:r>
      <w:r>
        <w:rPr>
          <w:rFonts w:hint="eastAsia" w:ascii="宋体" w:hAnsi="宋体"/>
          <w:sz w:val="24"/>
          <w:highlight w:val="none"/>
        </w:rPr>
        <w:t>3</w:t>
      </w:r>
      <w:r>
        <w:rPr>
          <w:rFonts w:ascii="宋体" w:hAnsi="宋体"/>
          <w:sz w:val="24"/>
          <w:highlight w:val="none"/>
        </w:rPr>
        <w:t>‰的违约金</w:t>
      </w:r>
      <w:r>
        <w:rPr>
          <w:rFonts w:hint="eastAsia" w:ascii="宋体" w:hAnsi="宋体"/>
          <w:sz w:val="24"/>
          <w:highlight w:val="none"/>
        </w:rPr>
        <w:t>。</w:t>
      </w:r>
    </w:p>
    <w:p w14:paraId="7098570E">
      <w:pPr>
        <w:adjustRightInd w:val="0"/>
        <w:snapToGrid w:val="0"/>
        <w:ind w:firstLine="482" w:firstLineChars="200"/>
        <w:rPr>
          <w:rFonts w:ascii="宋体" w:hAnsi="宋体"/>
          <w:sz w:val="24"/>
          <w:highlight w:val="none"/>
        </w:rPr>
      </w:pPr>
      <w:r>
        <w:rPr>
          <w:rFonts w:hint="eastAsia" w:ascii="宋体" w:hAnsi="宋体"/>
          <w:b/>
          <w:sz w:val="24"/>
          <w:highlight w:val="none"/>
        </w:rPr>
        <w:t>十</w:t>
      </w:r>
      <w:r>
        <w:rPr>
          <w:rFonts w:ascii="宋体" w:hAnsi="宋体"/>
          <w:b/>
          <w:sz w:val="24"/>
          <w:highlight w:val="none"/>
        </w:rPr>
        <w:t>、争议</w:t>
      </w:r>
      <w:r>
        <w:rPr>
          <w:rFonts w:hint="eastAsia" w:ascii="宋体" w:hAnsi="宋体"/>
          <w:b/>
          <w:sz w:val="24"/>
          <w:highlight w:val="none"/>
        </w:rPr>
        <w:t>处理</w:t>
      </w:r>
    </w:p>
    <w:p w14:paraId="1F50B736">
      <w:pPr>
        <w:pStyle w:val="31"/>
        <w:adjustRightInd w:val="0"/>
        <w:snapToGrid w:val="0"/>
        <w:spacing w:line="360" w:lineRule="auto"/>
        <w:ind w:left="0" w:firstLine="480" w:firstLineChars="200"/>
        <w:rPr>
          <w:rFonts w:ascii="宋体" w:hAnsi="宋体"/>
          <w:highlight w:val="none"/>
        </w:rPr>
      </w:pPr>
      <w:r>
        <w:rPr>
          <w:rFonts w:hint="eastAsia" w:ascii="宋体" w:hAnsi="宋体"/>
          <w:highlight w:val="none"/>
        </w:rPr>
        <w:t>1.因货物的质量问题发生争议的，应当委托甲乙双方共同认可的具有相关资质的质量检测机构对货物质量进行鉴定，鉴定费由乙方承担。</w:t>
      </w:r>
    </w:p>
    <w:p w14:paraId="769167A8">
      <w:pPr>
        <w:pStyle w:val="31"/>
        <w:adjustRightInd w:val="0"/>
        <w:snapToGrid w:val="0"/>
        <w:spacing w:line="360" w:lineRule="auto"/>
        <w:ind w:left="0" w:firstLine="480" w:firstLineChars="200"/>
        <w:rPr>
          <w:rFonts w:ascii="宋体" w:hAnsi="宋体" w:cs="Arial"/>
          <w:highlight w:val="none"/>
        </w:rPr>
      </w:pPr>
      <w:r>
        <w:rPr>
          <w:rFonts w:hint="eastAsia" w:ascii="宋体" w:hAnsi="宋体" w:cs="Arial"/>
          <w:highlight w:val="none"/>
        </w:rPr>
        <w:t>2. 本</w:t>
      </w:r>
      <w:r>
        <w:rPr>
          <w:rFonts w:ascii="宋体" w:hAnsi="宋体"/>
          <w:highlight w:val="none"/>
        </w:rPr>
        <w:t>合同</w:t>
      </w:r>
      <w:r>
        <w:rPr>
          <w:rFonts w:hint="eastAsia" w:ascii="宋体" w:hAnsi="宋体"/>
          <w:highlight w:val="none"/>
        </w:rPr>
        <w:t>签署地为玉溪市红塔区，</w:t>
      </w:r>
      <w:r>
        <w:rPr>
          <w:rFonts w:ascii="宋体" w:hAnsi="宋体" w:cs="Arial"/>
          <w:highlight w:val="none"/>
        </w:rPr>
        <w:t>因履行本合同引起的或与本合同有关的争议，甲、乙双方应首先通过友好协商解决，如果协商不能解决争议，则向</w:t>
      </w:r>
      <w:r>
        <w:rPr>
          <w:rFonts w:hint="eastAsia" w:ascii="宋体" w:hAnsi="宋体" w:cs="Arial"/>
          <w:highlight w:val="none"/>
        </w:rPr>
        <w:t>玉溪仲裁委员会</w:t>
      </w:r>
      <w:r>
        <w:rPr>
          <w:rFonts w:ascii="宋体" w:hAnsi="宋体" w:cs="Arial"/>
          <w:highlight w:val="none"/>
        </w:rPr>
        <w:t>申请仲裁</w:t>
      </w:r>
      <w:r>
        <w:rPr>
          <w:rFonts w:hint="eastAsia" w:ascii="宋体" w:hAnsi="宋体" w:cs="Arial"/>
          <w:highlight w:val="none"/>
        </w:rPr>
        <w:t>。</w:t>
      </w:r>
    </w:p>
    <w:p w14:paraId="43429E74">
      <w:pPr>
        <w:pStyle w:val="31"/>
        <w:adjustRightInd w:val="0"/>
        <w:snapToGrid w:val="0"/>
        <w:spacing w:line="360" w:lineRule="auto"/>
        <w:ind w:left="0"/>
        <w:rPr>
          <w:rFonts w:ascii="宋体" w:hAnsi="宋体"/>
          <w:b/>
          <w:highlight w:val="none"/>
        </w:rPr>
      </w:pPr>
      <w:r>
        <w:rPr>
          <w:rFonts w:hint="eastAsia" w:ascii="宋体" w:hAnsi="宋体"/>
          <w:b/>
          <w:highlight w:val="none"/>
        </w:rPr>
        <w:t xml:space="preserve">    十一</w:t>
      </w:r>
      <w:r>
        <w:rPr>
          <w:rFonts w:ascii="宋体" w:hAnsi="宋体"/>
          <w:b/>
          <w:highlight w:val="none"/>
        </w:rPr>
        <w:t>、合同的转让</w:t>
      </w:r>
    </w:p>
    <w:p w14:paraId="6DC59CE2">
      <w:pPr>
        <w:pStyle w:val="31"/>
        <w:adjustRightInd w:val="0"/>
        <w:snapToGrid w:val="0"/>
        <w:spacing w:line="360" w:lineRule="auto"/>
        <w:ind w:left="0" w:firstLine="480" w:firstLineChars="200"/>
        <w:rPr>
          <w:rFonts w:ascii="宋体" w:hAnsi="宋体"/>
          <w:highlight w:val="none"/>
        </w:rPr>
      </w:pPr>
      <w:r>
        <w:rPr>
          <w:rFonts w:hint="eastAsia" w:ascii="宋体" w:hAnsi="宋体"/>
          <w:highlight w:val="none"/>
        </w:rPr>
        <w:t>本采购合同仅适用于本次货物采购，甲乙双方之权利、义务不得转让他人，否则，本采购合同无效。</w:t>
      </w:r>
    </w:p>
    <w:p w14:paraId="512074A6">
      <w:pPr>
        <w:pStyle w:val="31"/>
        <w:adjustRightInd w:val="0"/>
        <w:snapToGrid w:val="0"/>
        <w:spacing w:line="360" w:lineRule="auto"/>
        <w:ind w:left="0" w:firstLine="482" w:firstLineChars="200"/>
        <w:rPr>
          <w:rFonts w:ascii="宋体" w:hAnsi="宋体"/>
          <w:b/>
          <w:highlight w:val="none"/>
        </w:rPr>
      </w:pPr>
      <w:r>
        <w:rPr>
          <w:rFonts w:hint="eastAsia" w:ascii="宋体" w:hAnsi="宋体"/>
          <w:b/>
          <w:highlight w:val="none"/>
        </w:rPr>
        <w:t>十二</w:t>
      </w:r>
      <w:r>
        <w:rPr>
          <w:rFonts w:ascii="宋体" w:hAnsi="宋体"/>
          <w:b/>
          <w:highlight w:val="none"/>
        </w:rPr>
        <w:t>、合同的变更和终止</w:t>
      </w:r>
    </w:p>
    <w:p w14:paraId="6527E988">
      <w:pPr>
        <w:pStyle w:val="31"/>
        <w:adjustRightInd w:val="0"/>
        <w:snapToGrid w:val="0"/>
        <w:spacing w:line="360" w:lineRule="auto"/>
        <w:ind w:left="0" w:firstLine="480" w:firstLineChars="200"/>
        <w:rPr>
          <w:rFonts w:ascii="宋体" w:hAnsi="宋体"/>
          <w:highlight w:val="none"/>
        </w:rPr>
      </w:pPr>
      <w:r>
        <w:rPr>
          <w:rFonts w:ascii="宋体" w:hAnsi="宋体"/>
          <w:highlight w:val="none"/>
        </w:rPr>
        <w:t>除</w:t>
      </w:r>
      <w:r>
        <w:rPr>
          <w:rFonts w:hint="eastAsia" w:ascii="宋体" w:hAnsi="宋体"/>
          <w:highlight w:val="none"/>
        </w:rPr>
        <w:t>《中华人民共和国民法典》规定的不可抗力和</w:t>
      </w:r>
      <w:r>
        <w:rPr>
          <w:rFonts w:ascii="宋体" w:hAnsi="宋体"/>
          <w:highlight w:val="none"/>
        </w:rPr>
        <w:t>《</w:t>
      </w:r>
      <w:r>
        <w:rPr>
          <w:rFonts w:hint="eastAsia" w:ascii="宋体" w:hAnsi="宋体"/>
          <w:highlight w:val="none"/>
        </w:rPr>
        <w:t>中华人民共和国政府采购法</w:t>
      </w:r>
      <w:r>
        <w:rPr>
          <w:rFonts w:ascii="宋体" w:hAnsi="宋体"/>
          <w:highlight w:val="none"/>
        </w:rPr>
        <w:t>》第19条、第50条第二款规定的情形</w:t>
      </w:r>
      <w:r>
        <w:rPr>
          <w:rFonts w:hint="eastAsia" w:ascii="宋体" w:hAnsi="宋体"/>
          <w:highlight w:val="none"/>
        </w:rPr>
        <w:t>，以及本合同违约责任中约定的解除合同事由的条款外</w:t>
      </w:r>
      <w:r>
        <w:rPr>
          <w:rFonts w:ascii="宋体" w:hAnsi="宋体"/>
          <w:highlight w:val="none"/>
        </w:rPr>
        <w:t>，本合同一经签订，甲乙双方不得擅自变更、中止或</w:t>
      </w:r>
      <w:r>
        <w:rPr>
          <w:rFonts w:hint="eastAsia" w:ascii="宋体" w:hAnsi="宋体"/>
          <w:highlight w:val="none"/>
        </w:rPr>
        <w:t>解除，合同履行完毕自动终止。</w:t>
      </w:r>
    </w:p>
    <w:p w14:paraId="4736EF75">
      <w:pPr>
        <w:pStyle w:val="31"/>
        <w:adjustRightInd w:val="0"/>
        <w:snapToGrid w:val="0"/>
        <w:spacing w:line="360" w:lineRule="auto"/>
        <w:ind w:left="0" w:firstLine="482" w:firstLineChars="200"/>
        <w:rPr>
          <w:rFonts w:ascii="宋体" w:hAnsi="宋体" w:cs="Arial"/>
          <w:b/>
          <w:highlight w:val="none"/>
        </w:rPr>
      </w:pPr>
      <w:r>
        <w:rPr>
          <w:rFonts w:hint="eastAsia" w:ascii="宋体" w:hAnsi="宋体" w:cs="Arial"/>
          <w:b/>
          <w:highlight w:val="none"/>
        </w:rPr>
        <w:t>十三、合</w:t>
      </w:r>
      <w:r>
        <w:rPr>
          <w:rFonts w:ascii="宋体" w:hAnsi="宋体" w:cs="Arial"/>
          <w:b/>
          <w:highlight w:val="none"/>
        </w:rPr>
        <w:t>同生效及其他</w:t>
      </w:r>
    </w:p>
    <w:p w14:paraId="218D284F">
      <w:pPr>
        <w:pStyle w:val="31"/>
        <w:adjustRightInd w:val="0"/>
        <w:snapToGrid w:val="0"/>
        <w:spacing w:line="360" w:lineRule="auto"/>
        <w:ind w:left="0" w:firstLine="480" w:firstLineChars="200"/>
        <w:rPr>
          <w:rFonts w:ascii="宋体" w:hAnsi="宋体" w:cs="Arial"/>
          <w:highlight w:val="none"/>
        </w:rPr>
      </w:pPr>
      <w:r>
        <w:rPr>
          <w:rFonts w:hint="eastAsia" w:ascii="宋体" w:hAnsi="宋体" w:cs="Arial"/>
          <w:highlight w:val="none"/>
        </w:rPr>
        <w:t>1.本</w:t>
      </w:r>
      <w:r>
        <w:rPr>
          <w:rFonts w:ascii="宋体" w:hAnsi="宋体"/>
          <w:highlight w:val="none"/>
        </w:rPr>
        <w:t>合同自双方签字盖章之日起生效</w:t>
      </w:r>
      <w:r>
        <w:rPr>
          <w:rFonts w:ascii="宋体" w:hAnsi="宋体" w:cs="Arial"/>
          <w:highlight w:val="none"/>
        </w:rPr>
        <w:t xml:space="preserve">。 </w:t>
      </w:r>
    </w:p>
    <w:p w14:paraId="3F501925">
      <w:pPr>
        <w:pStyle w:val="31"/>
        <w:adjustRightInd w:val="0"/>
        <w:snapToGrid w:val="0"/>
        <w:spacing w:line="360" w:lineRule="auto"/>
        <w:ind w:left="0" w:firstLine="480" w:firstLineChars="200"/>
        <w:rPr>
          <w:rFonts w:ascii="宋体" w:hAnsi="宋体" w:cs="Arial"/>
          <w:highlight w:val="none"/>
        </w:rPr>
      </w:pPr>
      <w:r>
        <w:rPr>
          <w:rFonts w:hint="eastAsia" w:ascii="宋体" w:hAnsi="宋体" w:cs="Arial"/>
          <w:highlight w:val="none"/>
        </w:rPr>
        <w:t>2.</w:t>
      </w:r>
      <w:r>
        <w:rPr>
          <w:rFonts w:hint="eastAsia" w:ascii="宋体" w:hAnsi="宋体"/>
          <w:highlight w:val="none"/>
        </w:rPr>
        <w:t>本合同一式六份，甲方执三份、乙方执两份、采购代理机构一份（委托采购项目）。</w:t>
      </w:r>
    </w:p>
    <w:p w14:paraId="7EE16DFD">
      <w:pPr>
        <w:ind w:firstLine="480" w:firstLineChars="200"/>
        <w:rPr>
          <w:rFonts w:ascii="宋体" w:hAnsi="宋体"/>
          <w:sz w:val="24"/>
          <w:highlight w:val="none"/>
        </w:rPr>
      </w:pPr>
      <w:r>
        <w:rPr>
          <w:rFonts w:hint="eastAsia" w:ascii="宋体" w:hAnsi="宋体"/>
          <w:sz w:val="24"/>
          <w:highlight w:val="none"/>
        </w:rPr>
        <w:t>3.本合同其他未尽事宜，按《中华人民共和国民法典》中“合同”规定内容处理。</w:t>
      </w:r>
    </w:p>
    <w:p w14:paraId="2945830A">
      <w:pPr>
        <w:pStyle w:val="31"/>
        <w:adjustRightInd w:val="0"/>
        <w:snapToGrid w:val="0"/>
        <w:spacing w:line="360" w:lineRule="auto"/>
        <w:ind w:left="0" w:firstLine="482" w:firstLineChars="200"/>
        <w:rPr>
          <w:rFonts w:ascii="宋体" w:hAnsi="宋体"/>
          <w:highlight w:val="none"/>
        </w:rPr>
      </w:pPr>
      <w:r>
        <w:rPr>
          <w:rFonts w:hint="eastAsia" w:ascii="宋体" w:hAnsi="宋体"/>
          <w:b/>
          <w:highlight w:val="none"/>
        </w:rPr>
        <w:t>十四、</w:t>
      </w:r>
      <w:r>
        <w:rPr>
          <w:rFonts w:hint="eastAsia" w:ascii="宋体" w:hAnsi="宋体"/>
          <w:highlight w:val="none"/>
        </w:rPr>
        <w:t>为方便本合同的履行，乙方确认下述住所/住址、联系电话、传真、电子信箱、QQ或微信均为送达地址（住所：    ；联系电话：   ；电子信箱：    ； QQ或微信：   ），非经书面通知变更，甲方可以选择送达地址中确认的任何一种方式向其送达文件信函、律师函、诉讼文书等，送达后如发生退件或拒收，均视为已经送达。</w:t>
      </w:r>
    </w:p>
    <w:p w14:paraId="6AC0E17C">
      <w:pPr>
        <w:pStyle w:val="31"/>
        <w:adjustRightInd w:val="0"/>
        <w:snapToGrid w:val="0"/>
        <w:spacing w:line="360" w:lineRule="auto"/>
        <w:ind w:left="0" w:firstLine="482" w:firstLineChars="200"/>
        <w:rPr>
          <w:rFonts w:ascii="宋体" w:hAnsi="宋体" w:cs="Arial"/>
          <w:b/>
          <w:highlight w:val="none"/>
        </w:rPr>
      </w:pPr>
      <w:r>
        <w:rPr>
          <w:rFonts w:hint="eastAsia" w:ascii="宋体" w:hAnsi="宋体" w:cs="Arial"/>
          <w:b/>
          <w:highlight w:val="none"/>
        </w:rPr>
        <w:t>十五、</w:t>
      </w:r>
      <w:r>
        <w:rPr>
          <w:rFonts w:hint="eastAsia" w:ascii="宋体" w:hAnsi="宋体"/>
          <w:b/>
          <w:bCs/>
          <w:highlight w:val="none"/>
        </w:rPr>
        <w:t>本合同不可分割之部分及解释顺序：</w:t>
      </w:r>
    </w:p>
    <w:p w14:paraId="04973D7F">
      <w:pPr>
        <w:autoSpaceDE w:val="0"/>
        <w:autoSpaceDN w:val="0"/>
        <w:adjustRightInd w:val="0"/>
        <w:ind w:firstLine="480" w:firstLineChars="200"/>
        <w:rPr>
          <w:rFonts w:ascii="宋体" w:hAnsi="宋体"/>
          <w:sz w:val="24"/>
          <w:highlight w:val="none"/>
        </w:rPr>
      </w:pPr>
      <w:bookmarkStart w:id="182" w:name="_Hlk97015908"/>
      <w:r>
        <w:rPr>
          <w:rFonts w:hint="eastAsia" w:ascii="宋体" w:hAnsi="宋体"/>
          <w:sz w:val="24"/>
          <w:highlight w:val="none"/>
        </w:rPr>
        <w:t>1. 合同书及附件；</w:t>
      </w:r>
    </w:p>
    <w:p w14:paraId="391EF6BF">
      <w:pPr>
        <w:autoSpaceDE w:val="0"/>
        <w:autoSpaceDN w:val="0"/>
        <w:adjustRightInd w:val="0"/>
        <w:ind w:firstLine="480" w:firstLineChars="200"/>
        <w:rPr>
          <w:rFonts w:ascii="宋体" w:hAnsi="宋体"/>
          <w:sz w:val="24"/>
          <w:highlight w:val="none"/>
        </w:rPr>
      </w:pPr>
      <w:r>
        <w:rPr>
          <w:rFonts w:hint="eastAsia" w:ascii="宋体" w:hAnsi="宋体"/>
          <w:sz w:val="24"/>
          <w:highlight w:val="none"/>
        </w:rPr>
        <w:t>2. 成交（中标）通知书；</w:t>
      </w:r>
    </w:p>
    <w:p w14:paraId="73ECCD68">
      <w:pPr>
        <w:autoSpaceDE w:val="0"/>
        <w:autoSpaceDN w:val="0"/>
        <w:adjustRightInd w:val="0"/>
        <w:ind w:firstLine="480" w:firstLineChars="200"/>
        <w:rPr>
          <w:rFonts w:ascii="宋体" w:hAnsi="宋体"/>
          <w:sz w:val="24"/>
          <w:highlight w:val="none"/>
        </w:rPr>
      </w:pPr>
      <w:r>
        <w:rPr>
          <w:rFonts w:hint="eastAsia" w:ascii="宋体" w:hAnsi="宋体"/>
          <w:sz w:val="24"/>
          <w:highlight w:val="none"/>
        </w:rPr>
        <w:t>3. 成交人（中标人）投标文件及澄清文件；</w:t>
      </w:r>
    </w:p>
    <w:p w14:paraId="5E910EAF">
      <w:pPr>
        <w:autoSpaceDE w:val="0"/>
        <w:autoSpaceDN w:val="0"/>
        <w:adjustRightInd w:val="0"/>
        <w:ind w:firstLine="480" w:firstLineChars="200"/>
        <w:rPr>
          <w:rFonts w:ascii="宋体" w:hAnsi="宋体"/>
          <w:sz w:val="24"/>
          <w:highlight w:val="none"/>
        </w:rPr>
      </w:pPr>
      <w:r>
        <w:rPr>
          <w:rFonts w:hint="eastAsia" w:ascii="宋体" w:hAnsi="宋体"/>
          <w:sz w:val="24"/>
          <w:highlight w:val="none"/>
        </w:rPr>
        <w:t>4. 采购文件。</w:t>
      </w:r>
    </w:p>
    <w:bookmarkEnd w:id="182"/>
    <w:p w14:paraId="7DED2BCF">
      <w:pPr>
        <w:adjustRightInd w:val="0"/>
        <w:snapToGrid w:val="0"/>
        <w:ind w:firstLine="482" w:firstLineChars="200"/>
        <w:rPr>
          <w:rFonts w:ascii="宋体" w:hAnsi="宋体"/>
          <w:b/>
          <w:sz w:val="24"/>
          <w:highlight w:val="none"/>
        </w:rPr>
      </w:pPr>
    </w:p>
    <w:p w14:paraId="02089652">
      <w:pPr>
        <w:rPr>
          <w:rFonts w:hint="eastAsia" w:eastAsia="宋体"/>
          <w:bCs/>
          <w:kern w:val="0"/>
          <w:sz w:val="36"/>
          <w:highlight w:val="none"/>
        </w:rPr>
      </w:pPr>
      <w:bookmarkStart w:id="183" w:name="_Toc26580"/>
      <w:bookmarkStart w:id="184" w:name="_Toc13815"/>
      <w:r>
        <w:rPr>
          <w:rFonts w:hint="eastAsia" w:eastAsia="宋体"/>
          <w:bCs/>
          <w:kern w:val="0"/>
          <w:sz w:val="36"/>
          <w:highlight w:val="none"/>
        </w:rPr>
        <w:br w:type="page"/>
      </w:r>
    </w:p>
    <w:p w14:paraId="1817A0E7">
      <w:pPr>
        <w:pStyle w:val="3"/>
        <w:numPr>
          <w:ilvl w:val="0"/>
          <w:numId w:val="0"/>
        </w:numPr>
        <w:jc w:val="center"/>
        <w:rPr>
          <w:rFonts w:eastAsia="宋体"/>
          <w:bCs/>
          <w:kern w:val="0"/>
          <w:sz w:val="36"/>
          <w:highlight w:val="none"/>
        </w:rPr>
      </w:pPr>
      <w:r>
        <w:rPr>
          <w:rFonts w:hint="eastAsia" w:eastAsia="宋体"/>
          <w:bCs/>
          <w:kern w:val="0"/>
          <w:sz w:val="36"/>
          <w:highlight w:val="none"/>
        </w:rPr>
        <w:t>第四章  投标文件格式</w:t>
      </w:r>
      <w:bookmarkEnd w:id="178"/>
      <w:bookmarkEnd w:id="179"/>
      <w:bookmarkEnd w:id="180"/>
      <w:bookmarkEnd w:id="181"/>
      <w:bookmarkEnd w:id="183"/>
      <w:bookmarkEnd w:id="184"/>
    </w:p>
    <w:p w14:paraId="5D8483D3">
      <w:pPr>
        <w:rPr>
          <w:highlight w:val="none"/>
        </w:rPr>
      </w:pPr>
    </w:p>
    <w:p w14:paraId="3FC2218D">
      <w:pPr>
        <w:rPr>
          <w:highlight w:val="none"/>
        </w:rPr>
      </w:pPr>
    </w:p>
    <w:p w14:paraId="158DE748">
      <w:pPr>
        <w:pStyle w:val="21"/>
        <w:jc w:val="center"/>
        <w:rPr>
          <w:rFonts w:ascii="楷体_GB2312"/>
          <w:kern w:val="0"/>
          <w:sz w:val="52"/>
          <w:szCs w:val="44"/>
          <w:highlight w:val="none"/>
        </w:rPr>
      </w:pPr>
      <w:r>
        <w:rPr>
          <w:rFonts w:hint="eastAsia" w:ascii="楷体_GB2312"/>
          <w:kern w:val="0"/>
          <w:sz w:val="52"/>
          <w:szCs w:val="44"/>
          <w:highlight w:val="none"/>
          <w:lang w:eastAsia="zh-CN"/>
        </w:rPr>
        <w:t>玉溪职业技术学院（云南省玉溪工业财贸学校）人工智能赋能医药康养专业群建设项目</w:t>
      </w:r>
      <w:r>
        <w:rPr>
          <w:rFonts w:hint="eastAsia" w:ascii="楷体_GB2312"/>
          <w:kern w:val="0"/>
          <w:sz w:val="52"/>
          <w:szCs w:val="44"/>
          <w:highlight w:val="none"/>
          <w:u w:val="single"/>
        </w:rPr>
        <w:t xml:space="preserve">   </w:t>
      </w:r>
      <w:r>
        <w:rPr>
          <w:rFonts w:hint="eastAsia" w:ascii="楷体_GB2312"/>
          <w:kern w:val="0"/>
          <w:sz w:val="52"/>
          <w:szCs w:val="44"/>
          <w:highlight w:val="none"/>
        </w:rPr>
        <w:t>包</w:t>
      </w:r>
    </w:p>
    <w:p w14:paraId="7FEE6C73">
      <w:pPr>
        <w:pStyle w:val="21"/>
        <w:rPr>
          <w:kern w:val="0"/>
          <w:sz w:val="32"/>
          <w:szCs w:val="32"/>
          <w:highlight w:val="none"/>
        </w:rPr>
      </w:pPr>
    </w:p>
    <w:p w14:paraId="78C379ED">
      <w:pPr>
        <w:rPr>
          <w:kern w:val="0"/>
          <w:sz w:val="32"/>
          <w:szCs w:val="32"/>
          <w:highlight w:val="none"/>
        </w:rPr>
      </w:pPr>
    </w:p>
    <w:p w14:paraId="7E296690">
      <w:pPr>
        <w:rPr>
          <w:highlight w:val="none"/>
        </w:rPr>
      </w:pPr>
    </w:p>
    <w:p w14:paraId="1550B10E">
      <w:pPr>
        <w:rPr>
          <w:highlight w:val="none"/>
        </w:rPr>
      </w:pPr>
    </w:p>
    <w:p w14:paraId="53A51A9C">
      <w:pPr>
        <w:pStyle w:val="21"/>
        <w:jc w:val="center"/>
        <w:rPr>
          <w:kern w:val="0"/>
          <w:sz w:val="72"/>
          <w:szCs w:val="72"/>
          <w:highlight w:val="none"/>
        </w:rPr>
      </w:pPr>
      <w:r>
        <w:rPr>
          <w:rFonts w:hint="eastAsia"/>
          <w:kern w:val="0"/>
          <w:sz w:val="72"/>
          <w:szCs w:val="72"/>
          <w:highlight w:val="none"/>
        </w:rPr>
        <w:t>投 标 文 件</w:t>
      </w:r>
    </w:p>
    <w:p w14:paraId="7FFAB92C">
      <w:pPr>
        <w:pStyle w:val="21"/>
        <w:jc w:val="center"/>
        <w:rPr>
          <w:b/>
          <w:kern w:val="0"/>
          <w:sz w:val="72"/>
          <w:szCs w:val="72"/>
          <w:highlight w:val="none"/>
        </w:rPr>
      </w:pPr>
    </w:p>
    <w:p w14:paraId="509EB968">
      <w:pPr>
        <w:pStyle w:val="21"/>
        <w:jc w:val="center"/>
        <w:rPr>
          <w:b/>
          <w:kern w:val="0"/>
          <w:sz w:val="72"/>
          <w:szCs w:val="72"/>
          <w:highlight w:val="none"/>
        </w:rPr>
      </w:pPr>
      <w:r>
        <w:rPr>
          <w:rFonts w:hint="eastAsia"/>
          <w:kern w:val="0"/>
          <w:sz w:val="28"/>
          <w:szCs w:val="28"/>
          <w:highlight w:val="none"/>
        </w:rPr>
        <w:t>项目编号：</w:t>
      </w:r>
      <w:r>
        <w:rPr>
          <w:rFonts w:hint="eastAsia" w:ascii="楷体_GB2312"/>
          <w:kern w:val="0"/>
          <w:sz w:val="28"/>
          <w:szCs w:val="28"/>
          <w:highlight w:val="none"/>
          <w:u w:val="single"/>
        </w:rPr>
        <w:t xml:space="preserve"> </w:t>
      </w:r>
      <w:r>
        <w:rPr>
          <w:rFonts w:hint="eastAsia" w:ascii="楷体_GB2312"/>
          <w:kern w:val="0"/>
          <w:sz w:val="52"/>
          <w:szCs w:val="44"/>
          <w:highlight w:val="none"/>
          <w:u w:val="single"/>
        </w:rPr>
        <w:t xml:space="preserve">  </w:t>
      </w:r>
      <w:r>
        <w:rPr>
          <w:rFonts w:hint="eastAsia"/>
          <w:kern w:val="0"/>
          <w:sz w:val="28"/>
          <w:szCs w:val="28"/>
          <w:highlight w:val="none"/>
          <w:u w:val="single"/>
        </w:rPr>
        <w:t xml:space="preserve">          </w:t>
      </w:r>
    </w:p>
    <w:p w14:paraId="743B9E53">
      <w:pPr>
        <w:rPr>
          <w:b/>
          <w:kern w:val="0"/>
          <w:sz w:val="72"/>
          <w:szCs w:val="72"/>
          <w:highlight w:val="none"/>
        </w:rPr>
      </w:pPr>
    </w:p>
    <w:p w14:paraId="2E35C44C">
      <w:pPr>
        <w:rPr>
          <w:b/>
          <w:kern w:val="0"/>
          <w:sz w:val="72"/>
          <w:szCs w:val="72"/>
          <w:highlight w:val="none"/>
        </w:rPr>
      </w:pPr>
    </w:p>
    <w:p w14:paraId="5FB8720C">
      <w:pPr>
        <w:jc w:val="center"/>
        <w:rPr>
          <w:rFonts w:ascii="宋体"/>
          <w:kern w:val="0"/>
          <w:sz w:val="28"/>
          <w:szCs w:val="28"/>
          <w:highlight w:val="none"/>
        </w:rPr>
      </w:pPr>
      <w:r>
        <w:rPr>
          <w:rFonts w:hint="eastAsia" w:ascii="宋体"/>
          <w:kern w:val="0"/>
          <w:sz w:val="28"/>
          <w:szCs w:val="28"/>
          <w:highlight w:val="none"/>
        </w:rPr>
        <w:t>供应商全称：</w:t>
      </w:r>
      <w:r>
        <w:rPr>
          <w:rFonts w:hint="eastAsia" w:ascii="宋体"/>
          <w:kern w:val="0"/>
          <w:sz w:val="28"/>
          <w:szCs w:val="28"/>
          <w:highlight w:val="none"/>
          <w:u w:val="single"/>
        </w:rPr>
        <w:t xml:space="preserve">                                （</w:t>
      </w:r>
      <w:r>
        <w:rPr>
          <w:rFonts w:hint="eastAsia"/>
          <w:sz w:val="28"/>
          <w:szCs w:val="32"/>
          <w:highlight w:val="none"/>
        </w:rPr>
        <w:t>电子签章）</w:t>
      </w:r>
    </w:p>
    <w:p w14:paraId="41FC196A">
      <w:pPr>
        <w:pStyle w:val="21"/>
        <w:jc w:val="center"/>
        <w:rPr>
          <w:kern w:val="0"/>
          <w:sz w:val="28"/>
          <w:szCs w:val="21"/>
          <w:highlight w:val="none"/>
        </w:rPr>
      </w:pPr>
      <w:r>
        <w:rPr>
          <w:rFonts w:hint="eastAsia"/>
          <w:kern w:val="0"/>
          <w:sz w:val="28"/>
          <w:szCs w:val="21"/>
          <w:highlight w:val="none"/>
        </w:rPr>
        <w:t>法定代表人或委托代理人：</w:t>
      </w:r>
      <w:r>
        <w:rPr>
          <w:rFonts w:hint="eastAsia"/>
          <w:kern w:val="0"/>
          <w:sz w:val="28"/>
          <w:szCs w:val="21"/>
          <w:highlight w:val="none"/>
          <w:u w:val="single"/>
        </w:rPr>
        <w:t xml:space="preserve">                    </w:t>
      </w:r>
      <w:r>
        <w:rPr>
          <w:rFonts w:hint="eastAsia"/>
          <w:kern w:val="0"/>
          <w:sz w:val="28"/>
          <w:szCs w:val="21"/>
          <w:highlight w:val="none"/>
        </w:rPr>
        <w:t>（签字或</w:t>
      </w:r>
      <w:r>
        <w:rPr>
          <w:rFonts w:hint="eastAsia"/>
          <w:sz w:val="28"/>
          <w:szCs w:val="32"/>
          <w:highlight w:val="none"/>
        </w:rPr>
        <w:t>电子签章</w:t>
      </w:r>
      <w:r>
        <w:rPr>
          <w:rFonts w:hint="eastAsia"/>
          <w:kern w:val="0"/>
          <w:sz w:val="28"/>
          <w:szCs w:val="21"/>
          <w:highlight w:val="none"/>
        </w:rPr>
        <w:t>）</w:t>
      </w:r>
    </w:p>
    <w:p w14:paraId="7F67D64A">
      <w:pPr>
        <w:pStyle w:val="21"/>
        <w:ind w:firstLine="2940" w:firstLineChars="1050"/>
        <w:jc w:val="center"/>
        <w:rPr>
          <w:kern w:val="0"/>
          <w:sz w:val="28"/>
          <w:szCs w:val="21"/>
          <w:highlight w:val="none"/>
        </w:rPr>
      </w:pPr>
    </w:p>
    <w:p w14:paraId="4D94CC78">
      <w:pPr>
        <w:pStyle w:val="21"/>
        <w:jc w:val="center"/>
        <w:rPr>
          <w:kern w:val="0"/>
          <w:sz w:val="28"/>
          <w:szCs w:val="21"/>
          <w:highlight w:val="none"/>
        </w:rPr>
      </w:pPr>
      <w:r>
        <w:rPr>
          <w:rFonts w:hint="eastAsia"/>
          <w:kern w:val="0"/>
          <w:sz w:val="28"/>
          <w:szCs w:val="21"/>
          <w:highlight w:val="none"/>
          <w:u w:val="single"/>
        </w:rPr>
        <w:t xml:space="preserve">     </w:t>
      </w:r>
      <w:r>
        <w:rPr>
          <w:rFonts w:hint="eastAsia"/>
          <w:kern w:val="0"/>
          <w:sz w:val="28"/>
          <w:szCs w:val="21"/>
          <w:highlight w:val="none"/>
        </w:rPr>
        <w:t>年</w:t>
      </w:r>
      <w:r>
        <w:rPr>
          <w:rFonts w:hint="eastAsia"/>
          <w:kern w:val="0"/>
          <w:sz w:val="28"/>
          <w:szCs w:val="21"/>
          <w:highlight w:val="none"/>
          <w:u w:val="single"/>
        </w:rPr>
        <w:t xml:space="preserve">     </w:t>
      </w:r>
      <w:r>
        <w:rPr>
          <w:rFonts w:hint="eastAsia"/>
          <w:kern w:val="0"/>
          <w:sz w:val="28"/>
          <w:szCs w:val="21"/>
          <w:highlight w:val="none"/>
        </w:rPr>
        <w:t>月</w:t>
      </w:r>
      <w:r>
        <w:rPr>
          <w:rFonts w:hint="eastAsia"/>
          <w:kern w:val="0"/>
          <w:sz w:val="28"/>
          <w:szCs w:val="21"/>
          <w:highlight w:val="none"/>
          <w:u w:val="single"/>
        </w:rPr>
        <w:t xml:space="preserve">    </w:t>
      </w:r>
      <w:r>
        <w:rPr>
          <w:rFonts w:hint="eastAsia"/>
          <w:kern w:val="0"/>
          <w:sz w:val="28"/>
          <w:szCs w:val="21"/>
          <w:highlight w:val="none"/>
        </w:rPr>
        <w:t>日</w:t>
      </w:r>
    </w:p>
    <w:p w14:paraId="00C987BA">
      <w:pPr>
        <w:pStyle w:val="37"/>
        <w:spacing w:before="0" w:after="0" w:line="500" w:lineRule="exact"/>
        <w:outlineLvl w:val="9"/>
        <w:rPr>
          <w:rFonts w:ascii="宋体" w:hAnsi="宋体" w:cs="宋体"/>
          <w:sz w:val="24"/>
          <w:szCs w:val="24"/>
          <w:highlight w:val="none"/>
        </w:rPr>
      </w:pPr>
      <w:bookmarkStart w:id="185" w:name="_Toc12998"/>
      <w:r>
        <w:rPr>
          <w:rFonts w:hint="eastAsia" w:ascii="宋体" w:hAnsi="宋体" w:cs="宋体"/>
          <w:sz w:val="24"/>
          <w:szCs w:val="24"/>
          <w:highlight w:val="none"/>
        </w:rPr>
        <w:t>开标一览表</w:t>
      </w:r>
      <w:bookmarkEnd w:id="185"/>
    </w:p>
    <w:p w14:paraId="4E688DB6">
      <w:pPr>
        <w:pStyle w:val="21"/>
        <w:spacing w:line="460" w:lineRule="exact"/>
        <w:rPr>
          <w:rFonts w:hint="eastAsia" w:hAnsi="宋体" w:eastAsia="宋体" w:cs="宋体"/>
          <w:b/>
          <w:sz w:val="24"/>
          <w:szCs w:val="24"/>
          <w:highlight w:val="none"/>
          <w:u w:val="single"/>
          <w:lang w:eastAsia="zh-CN"/>
        </w:rPr>
      </w:pPr>
      <w:r>
        <w:rPr>
          <w:rFonts w:hint="eastAsia" w:hAnsi="宋体" w:cs="宋体"/>
          <w:b/>
          <w:sz w:val="24"/>
          <w:szCs w:val="24"/>
          <w:highlight w:val="none"/>
        </w:rPr>
        <w:t>项目名称：</w:t>
      </w:r>
      <w:r>
        <w:rPr>
          <w:rFonts w:hint="eastAsia" w:hAnsi="宋体" w:cs="宋体"/>
          <w:b/>
          <w:sz w:val="24"/>
          <w:szCs w:val="24"/>
          <w:highlight w:val="none"/>
          <w:lang w:eastAsia="zh-CN"/>
        </w:rPr>
        <w:t>玉溪职业技术学院（云南省玉溪工业财贸学校）人工智能赋能医药康养专业群建设项目</w:t>
      </w:r>
    </w:p>
    <w:p w14:paraId="1C11603A">
      <w:pPr>
        <w:pStyle w:val="21"/>
        <w:spacing w:line="460" w:lineRule="exact"/>
        <w:rPr>
          <w:rFonts w:hAnsi="宋体" w:cs="宋体"/>
          <w:b/>
          <w:sz w:val="24"/>
          <w:szCs w:val="24"/>
          <w:highlight w:val="none"/>
        </w:rPr>
      </w:pPr>
      <w:r>
        <w:rPr>
          <w:rFonts w:hint="eastAsia" w:hAnsi="宋体" w:cs="宋体"/>
          <w:b/>
          <w:sz w:val="24"/>
          <w:szCs w:val="24"/>
          <w:highlight w:val="none"/>
        </w:rPr>
        <w:t>项目编号：</w:t>
      </w:r>
    </w:p>
    <w:p w14:paraId="61A55F98">
      <w:pPr>
        <w:rPr>
          <w:highlight w:val="none"/>
        </w:rPr>
      </w:pPr>
      <w:r>
        <w:rPr>
          <w:rFonts w:hint="eastAsia" w:hAnsi="宋体" w:cs="宋体"/>
          <w:b/>
          <w:sz w:val="24"/>
          <w:highlight w:val="none"/>
        </w:rPr>
        <w:t>包号：</w:t>
      </w:r>
    </w:p>
    <w:tbl>
      <w:tblPr>
        <w:tblStyle w:val="41"/>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1"/>
        <w:gridCol w:w="5368"/>
      </w:tblGrid>
      <w:tr w14:paraId="11F60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51" w:type="dxa"/>
            <w:vAlign w:val="center"/>
          </w:tcPr>
          <w:p w14:paraId="205131D9">
            <w:pPr>
              <w:spacing w:line="460" w:lineRule="exact"/>
              <w:jc w:val="center"/>
              <w:rPr>
                <w:rFonts w:ascii="宋体" w:hAnsi="宋体" w:cs="宋体"/>
                <w:sz w:val="24"/>
                <w:highlight w:val="none"/>
              </w:rPr>
            </w:pPr>
            <w:r>
              <w:rPr>
                <w:rFonts w:hint="eastAsia" w:ascii="宋体" w:hAnsi="宋体" w:cs="宋体"/>
                <w:sz w:val="24"/>
                <w:highlight w:val="none"/>
              </w:rPr>
              <w:t>供应商名称</w:t>
            </w:r>
          </w:p>
        </w:tc>
        <w:tc>
          <w:tcPr>
            <w:tcW w:w="5368" w:type="dxa"/>
            <w:vAlign w:val="center"/>
          </w:tcPr>
          <w:p w14:paraId="65F20D53">
            <w:pPr>
              <w:spacing w:line="460" w:lineRule="exact"/>
              <w:jc w:val="left"/>
              <w:rPr>
                <w:rFonts w:ascii="宋体" w:hAnsi="宋体" w:cs="宋体"/>
                <w:sz w:val="24"/>
                <w:highlight w:val="none"/>
              </w:rPr>
            </w:pPr>
          </w:p>
        </w:tc>
      </w:tr>
      <w:tr w14:paraId="67C0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51" w:type="dxa"/>
            <w:vAlign w:val="center"/>
          </w:tcPr>
          <w:p w14:paraId="27254D34">
            <w:pPr>
              <w:spacing w:line="460" w:lineRule="exact"/>
              <w:jc w:val="center"/>
              <w:rPr>
                <w:rFonts w:ascii="宋体" w:hAnsi="宋体" w:cs="宋体"/>
                <w:sz w:val="24"/>
                <w:highlight w:val="none"/>
              </w:rPr>
            </w:pPr>
            <w:r>
              <w:rPr>
                <w:rFonts w:hint="eastAsia" w:ascii="宋体" w:hAnsi="宋体" w:cs="宋体"/>
                <w:sz w:val="24"/>
                <w:highlight w:val="none"/>
              </w:rPr>
              <w:t>投标总报价</w:t>
            </w:r>
          </w:p>
        </w:tc>
        <w:tc>
          <w:tcPr>
            <w:tcW w:w="5368" w:type="dxa"/>
            <w:vAlign w:val="center"/>
          </w:tcPr>
          <w:p w14:paraId="5D0F93D6">
            <w:pPr>
              <w:spacing w:line="460" w:lineRule="exact"/>
              <w:jc w:val="left"/>
              <w:rPr>
                <w:rFonts w:ascii="宋体" w:hAnsi="宋体" w:cs="宋体"/>
                <w:sz w:val="24"/>
                <w:highlight w:val="none"/>
              </w:rPr>
            </w:pPr>
            <w:r>
              <w:rPr>
                <w:rFonts w:hint="eastAsia" w:ascii="宋体" w:hAnsi="宋体" w:cs="宋体"/>
                <w:sz w:val="24"/>
                <w:highlight w:val="none"/>
              </w:rPr>
              <w:t>大写：</w:t>
            </w:r>
          </w:p>
          <w:p w14:paraId="39A771AD">
            <w:pPr>
              <w:spacing w:line="460" w:lineRule="exact"/>
              <w:jc w:val="left"/>
              <w:rPr>
                <w:rFonts w:ascii="宋体" w:hAnsi="宋体" w:cs="宋体"/>
                <w:sz w:val="24"/>
                <w:highlight w:val="none"/>
              </w:rPr>
            </w:pPr>
            <w:r>
              <w:rPr>
                <w:rFonts w:hint="eastAsia" w:ascii="宋体" w:hAnsi="宋体" w:cs="宋体"/>
                <w:sz w:val="24"/>
                <w:highlight w:val="none"/>
              </w:rPr>
              <w:t>小写：</w:t>
            </w:r>
          </w:p>
        </w:tc>
      </w:tr>
      <w:tr w14:paraId="5805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6C7D0D7C">
            <w:pPr>
              <w:spacing w:line="460" w:lineRule="exact"/>
              <w:jc w:val="center"/>
              <w:rPr>
                <w:rFonts w:ascii="宋体" w:hAnsi="宋体" w:cs="宋体"/>
                <w:sz w:val="24"/>
                <w:highlight w:val="none"/>
              </w:rPr>
            </w:pPr>
            <w:r>
              <w:rPr>
                <w:rFonts w:hint="eastAsia" w:ascii="宋体" w:hAnsi="宋体" w:cs="宋体"/>
                <w:sz w:val="24"/>
                <w:highlight w:val="none"/>
              </w:rPr>
              <w:t>合同履行期限</w:t>
            </w:r>
          </w:p>
        </w:tc>
        <w:tc>
          <w:tcPr>
            <w:tcW w:w="5368" w:type="dxa"/>
            <w:vAlign w:val="center"/>
          </w:tcPr>
          <w:p w14:paraId="147B44A9">
            <w:pPr>
              <w:spacing w:line="460" w:lineRule="exact"/>
              <w:jc w:val="left"/>
              <w:rPr>
                <w:rFonts w:ascii="宋体" w:hAnsi="宋体" w:cs="宋体"/>
                <w:sz w:val="24"/>
                <w:highlight w:val="none"/>
              </w:rPr>
            </w:pPr>
          </w:p>
        </w:tc>
      </w:tr>
      <w:tr w14:paraId="105B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71F82AFD">
            <w:pPr>
              <w:spacing w:line="460" w:lineRule="exact"/>
              <w:jc w:val="center"/>
              <w:rPr>
                <w:rFonts w:ascii="宋体" w:hAnsi="宋体" w:cs="宋体"/>
                <w:sz w:val="24"/>
                <w:highlight w:val="none"/>
              </w:rPr>
            </w:pPr>
            <w:r>
              <w:rPr>
                <w:rFonts w:hint="eastAsia" w:ascii="宋体" w:hAnsi="宋体" w:cs="宋体"/>
                <w:sz w:val="24"/>
                <w:highlight w:val="none"/>
              </w:rPr>
              <w:t>质量要求</w:t>
            </w:r>
          </w:p>
        </w:tc>
        <w:tc>
          <w:tcPr>
            <w:tcW w:w="5368" w:type="dxa"/>
            <w:vAlign w:val="center"/>
          </w:tcPr>
          <w:p w14:paraId="589612C9">
            <w:pPr>
              <w:spacing w:line="460" w:lineRule="exact"/>
              <w:jc w:val="left"/>
              <w:rPr>
                <w:rFonts w:ascii="宋体" w:hAnsi="宋体" w:cs="宋体"/>
                <w:sz w:val="24"/>
                <w:highlight w:val="none"/>
              </w:rPr>
            </w:pPr>
          </w:p>
        </w:tc>
      </w:tr>
      <w:tr w14:paraId="6BBD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23FCA979">
            <w:pPr>
              <w:spacing w:line="460" w:lineRule="exact"/>
              <w:jc w:val="center"/>
              <w:rPr>
                <w:rFonts w:ascii="宋体" w:hAnsi="宋体" w:cs="宋体"/>
                <w:sz w:val="24"/>
                <w:highlight w:val="none"/>
              </w:rPr>
            </w:pPr>
            <w:r>
              <w:rPr>
                <w:rFonts w:hint="eastAsia" w:ascii="宋体" w:hAnsi="宋体" w:cs="宋体"/>
                <w:sz w:val="24"/>
                <w:highlight w:val="none"/>
              </w:rPr>
              <w:t>质保期</w:t>
            </w:r>
          </w:p>
        </w:tc>
        <w:tc>
          <w:tcPr>
            <w:tcW w:w="5368" w:type="dxa"/>
            <w:vAlign w:val="center"/>
          </w:tcPr>
          <w:p w14:paraId="2EFE4586">
            <w:pPr>
              <w:spacing w:line="460" w:lineRule="exact"/>
              <w:jc w:val="left"/>
              <w:rPr>
                <w:rFonts w:ascii="宋体" w:hAnsi="宋体" w:cs="宋体"/>
                <w:sz w:val="24"/>
                <w:highlight w:val="none"/>
              </w:rPr>
            </w:pPr>
          </w:p>
        </w:tc>
      </w:tr>
      <w:tr w14:paraId="09C40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711A98D7">
            <w:pPr>
              <w:pStyle w:val="21"/>
              <w:spacing w:line="460" w:lineRule="exact"/>
              <w:jc w:val="center"/>
              <w:rPr>
                <w:rFonts w:hAnsi="宋体" w:cs="宋体"/>
                <w:sz w:val="24"/>
                <w:szCs w:val="24"/>
                <w:highlight w:val="none"/>
              </w:rPr>
            </w:pPr>
            <w:r>
              <w:rPr>
                <w:rFonts w:hint="eastAsia" w:hAnsi="宋体" w:cs="宋体"/>
                <w:sz w:val="24"/>
                <w:szCs w:val="24"/>
                <w:highlight w:val="none"/>
              </w:rPr>
              <w:t>投标保证金</w:t>
            </w:r>
          </w:p>
        </w:tc>
        <w:tc>
          <w:tcPr>
            <w:tcW w:w="5368" w:type="dxa"/>
            <w:vAlign w:val="center"/>
          </w:tcPr>
          <w:p w14:paraId="246675DB">
            <w:pPr>
              <w:spacing w:line="460" w:lineRule="exact"/>
              <w:jc w:val="left"/>
              <w:rPr>
                <w:rFonts w:ascii="宋体" w:hAnsi="宋体" w:cs="宋体"/>
                <w:sz w:val="24"/>
                <w:highlight w:val="none"/>
              </w:rPr>
            </w:pPr>
          </w:p>
        </w:tc>
      </w:tr>
      <w:tr w14:paraId="3B5DB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8419" w:type="dxa"/>
            <w:gridSpan w:val="2"/>
            <w:vAlign w:val="center"/>
          </w:tcPr>
          <w:p w14:paraId="417B89AE">
            <w:pPr>
              <w:spacing w:line="460" w:lineRule="exact"/>
              <w:jc w:val="left"/>
              <w:rPr>
                <w:rFonts w:ascii="宋体" w:hAnsi="宋体" w:cs="宋体"/>
                <w:sz w:val="24"/>
                <w:highlight w:val="none"/>
                <w:u w:val="single"/>
              </w:rPr>
            </w:pPr>
            <w:r>
              <w:rPr>
                <w:rFonts w:hint="eastAsia" w:ascii="宋体" w:hAnsi="宋体" w:cs="宋体"/>
                <w:sz w:val="24"/>
                <w:highlight w:val="none"/>
              </w:rPr>
              <w:t>备注</w:t>
            </w:r>
          </w:p>
        </w:tc>
      </w:tr>
    </w:tbl>
    <w:p w14:paraId="165059B5">
      <w:pPr>
        <w:tabs>
          <w:tab w:val="left" w:pos="6660"/>
        </w:tabs>
        <w:spacing w:line="500" w:lineRule="exact"/>
        <w:rPr>
          <w:rFonts w:ascii="宋体" w:hAnsi="宋体" w:cs="宋体"/>
          <w:b/>
          <w:bCs/>
          <w:sz w:val="24"/>
          <w:highlight w:val="none"/>
        </w:rPr>
      </w:pPr>
      <w:r>
        <w:rPr>
          <w:rFonts w:hint="eastAsia" w:ascii="宋体" w:hAnsi="宋体" w:cs="宋体"/>
          <w:b/>
          <w:bCs/>
          <w:sz w:val="24"/>
          <w:highlight w:val="none"/>
        </w:rPr>
        <w:t>注：本表还须放在投标文件封面后第一页，并不得对格式做任何更改。</w:t>
      </w:r>
    </w:p>
    <w:p w14:paraId="238E2097">
      <w:pPr>
        <w:ind w:firstLine="465"/>
        <w:jc w:val="left"/>
        <w:rPr>
          <w:rFonts w:ascii="宋体" w:hAnsi="宋体" w:cs="宋体"/>
          <w:sz w:val="24"/>
          <w:highlight w:val="none"/>
        </w:rPr>
      </w:pPr>
    </w:p>
    <w:p w14:paraId="1E84FE4D">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6F1C8159">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339B2812">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625D1460">
      <w:pPr>
        <w:pStyle w:val="21"/>
        <w:spacing w:line="460" w:lineRule="exact"/>
        <w:rPr>
          <w:rFonts w:hAnsi="宋体" w:cs="宋体"/>
          <w:sz w:val="24"/>
          <w:szCs w:val="24"/>
          <w:highlight w:val="none"/>
        </w:rPr>
      </w:pPr>
      <w:r>
        <w:rPr>
          <w:rFonts w:hint="eastAsia" w:hAnsi="宋体" w:cs="宋体"/>
          <w:sz w:val="24"/>
          <w:szCs w:val="24"/>
          <w:highlight w:val="none"/>
        </w:rPr>
        <w:t>注：</w:t>
      </w:r>
    </w:p>
    <w:p w14:paraId="27E39EE9">
      <w:pPr>
        <w:pStyle w:val="21"/>
        <w:spacing w:line="460" w:lineRule="exact"/>
        <w:rPr>
          <w:rFonts w:hAnsi="宋体" w:cs="宋体"/>
          <w:sz w:val="24"/>
          <w:szCs w:val="24"/>
          <w:highlight w:val="none"/>
        </w:rPr>
      </w:pPr>
      <w:r>
        <w:rPr>
          <w:rFonts w:hint="eastAsia" w:hAnsi="宋体" w:cs="宋体"/>
          <w:sz w:val="24"/>
          <w:szCs w:val="24"/>
          <w:highlight w:val="none"/>
        </w:rPr>
        <w:t>1.总价金额与按单价汇总金额不一致的，以单价金额计算结果为准；</w:t>
      </w:r>
    </w:p>
    <w:p w14:paraId="62542A08">
      <w:pPr>
        <w:pStyle w:val="21"/>
        <w:spacing w:line="460" w:lineRule="exact"/>
        <w:rPr>
          <w:rFonts w:hAnsi="宋体" w:cs="宋体"/>
          <w:sz w:val="24"/>
          <w:szCs w:val="24"/>
          <w:highlight w:val="none"/>
        </w:rPr>
      </w:pPr>
      <w:r>
        <w:rPr>
          <w:rFonts w:hint="eastAsia" w:hAnsi="宋体" w:cs="宋体"/>
          <w:sz w:val="24"/>
          <w:szCs w:val="24"/>
          <w:highlight w:val="none"/>
        </w:rPr>
        <w:t>2.如果供应商认为有应当说明而本表中无相应栏目的内容，请在“备注”一栏中说明。</w:t>
      </w:r>
    </w:p>
    <w:p w14:paraId="51DD697E">
      <w:pPr>
        <w:pStyle w:val="21"/>
        <w:spacing w:line="460" w:lineRule="exact"/>
        <w:rPr>
          <w:rFonts w:hAnsi="宋体" w:cs="宋体"/>
          <w:sz w:val="24"/>
          <w:szCs w:val="24"/>
          <w:highlight w:val="none"/>
        </w:rPr>
      </w:pPr>
      <w:bookmarkStart w:id="186" w:name="_Toc20374"/>
      <w:r>
        <w:rPr>
          <w:rFonts w:hint="eastAsia" w:hAnsi="宋体" w:cs="宋体"/>
          <w:sz w:val="24"/>
          <w:szCs w:val="24"/>
          <w:highlight w:val="none"/>
        </w:rPr>
        <w:t>3.表中“投标报价”应与格式2“投标函”中“投标报价”一致。</w:t>
      </w:r>
      <w:bookmarkEnd w:id="186"/>
    </w:p>
    <w:p w14:paraId="3624F8E4">
      <w:pPr>
        <w:rPr>
          <w:rFonts w:ascii="宋体" w:hAnsi="宋体" w:cs="宋体"/>
          <w:b/>
          <w:bCs/>
          <w:kern w:val="0"/>
          <w:sz w:val="32"/>
          <w:szCs w:val="32"/>
          <w:highlight w:val="none"/>
        </w:rPr>
      </w:pPr>
    </w:p>
    <w:p w14:paraId="436D0ECE">
      <w:pPr>
        <w:rPr>
          <w:rFonts w:hAnsi="宋体" w:cs="宋体"/>
          <w:b/>
          <w:bCs/>
          <w:kern w:val="0"/>
          <w:sz w:val="32"/>
          <w:szCs w:val="32"/>
          <w:highlight w:val="none"/>
        </w:rPr>
      </w:pPr>
      <w:r>
        <w:rPr>
          <w:rFonts w:hint="eastAsia" w:hAnsi="宋体" w:cs="宋体"/>
          <w:b/>
          <w:bCs/>
          <w:kern w:val="0"/>
          <w:sz w:val="32"/>
          <w:szCs w:val="32"/>
          <w:highlight w:val="none"/>
        </w:rPr>
        <w:br w:type="page"/>
      </w:r>
    </w:p>
    <w:p w14:paraId="49DDD5B8">
      <w:pPr>
        <w:pStyle w:val="21"/>
        <w:jc w:val="center"/>
        <w:outlineLvl w:val="1"/>
        <w:rPr>
          <w:rFonts w:hAnsi="宋体" w:cs="宋体"/>
          <w:highlight w:val="none"/>
        </w:rPr>
      </w:pPr>
      <w:bookmarkStart w:id="187" w:name="_Toc10823"/>
      <w:r>
        <w:rPr>
          <w:rFonts w:hint="eastAsia" w:hAnsi="宋体" w:cs="宋体"/>
          <w:b/>
          <w:bCs/>
          <w:kern w:val="0"/>
          <w:sz w:val="32"/>
          <w:szCs w:val="32"/>
          <w:highlight w:val="none"/>
        </w:rPr>
        <w:t>一、资格审查部分文件格式</w:t>
      </w:r>
      <w:bookmarkEnd w:id="187"/>
    </w:p>
    <w:p w14:paraId="5E5CC85D">
      <w:pPr>
        <w:jc w:val="center"/>
        <w:outlineLvl w:val="2"/>
        <w:rPr>
          <w:rFonts w:ascii="宋体" w:hAnsi="宋体" w:cs="宋体"/>
          <w:sz w:val="28"/>
          <w:szCs w:val="28"/>
          <w:highlight w:val="none"/>
        </w:rPr>
      </w:pPr>
      <w:r>
        <w:rPr>
          <w:rFonts w:hint="eastAsia" w:ascii="宋体" w:hAnsi="宋体" w:cs="宋体"/>
          <w:b/>
          <w:bCs/>
          <w:sz w:val="28"/>
          <w:szCs w:val="28"/>
          <w:highlight w:val="none"/>
        </w:rPr>
        <w:t>（一）供应商基本情况表</w:t>
      </w:r>
    </w:p>
    <w:tbl>
      <w:tblPr>
        <w:tblStyle w:val="41"/>
        <w:tblW w:w="954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042"/>
        <w:gridCol w:w="1317"/>
        <w:gridCol w:w="1210"/>
        <w:gridCol w:w="169"/>
        <w:gridCol w:w="1300"/>
        <w:gridCol w:w="291"/>
        <w:gridCol w:w="2423"/>
      </w:tblGrid>
      <w:tr w14:paraId="7FC0B9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0" w:hRule="exact"/>
          <w:jc w:val="center"/>
        </w:trPr>
        <w:tc>
          <w:tcPr>
            <w:tcW w:w="1788" w:type="dxa"/>
            <w:vAlign w:val="center"/>
          </w:tcPr>
          <w:p w14:paraId="287F6D6E">
            <w:pPr>
              <w:jc w:val="center"/>
              <w:rPr>
                <w:rFonts w:ascii="宋体" w:hAnsi="宋体" w:cs="宋体"/>
                <w:sz w:val="24"/>
                <w:highlight w:val="none"/>
              </w:rPr>
            </w:pPr>
            <w:r>
              <w:rPr>
                <w:rFonts w:hint="eastAsia" w:ascii="宋体" w:hAnsi="宋体" w:cs="宋体"/>
                <w:sz w:val="24"/>
                <w:highlight w:val="none"/>
              </w:rPr>
              <w:t>供应商名称</w:t>
            </w:r>
          </w:p>
        </w:tc>
        <w:tc>
          <w:tcPr>
            <w:tcW w:w="7752" w:type="dxa"/>
            <w:gridSpan w:val="7"/>
            <w:vAlign w:val="center"/>
          </w:tcPr>
          <w:p w14:paraId="3B95E00A">
            <w:pPr>
              <w:jc w:val="center"/>
              <w:rPr>
                <w:rFonts w:ascii="宋体" w:hAnsi="宋体" w:cs="宋体"/>
                <w:sz w:val="24"/>
                <w:highlight w:val="none"/>
              </w:rPr>
            </w:pPr>
          </w:p>
        </w:tc>
      </w:tr>
      <w:tr w14:paraId="05070B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1788" w:type="dxa"/>
            <w:vAlign w:val="center"/>
          </w:tcPr>
          <w:p w14:paraId="1F9DE85F">
            <w:pPr>
              <w:jc w:val="center"/>
              <w:rPr>
                <w:rFonts w:ascii="宋体" w:hAnsi="宋体" w:cs="宋体"/>
                <w:sz w:val="24"/>
                <w:highlight w:val="none"/>
              </w:rPr>
            </w:pPr>
            <w:r>
              <w:rPr>
                <w:rFonts w:hint="eastAsia" w:ascii="宋体" w:hAnsi="宋体" w:cs="宋体"/>
                <w:sz w:val="24"/>
                <w:highlight w:val="none"/>
              </w:rPr>
              <w:t>注册地址</w:t>
            </w:r>
          </w:p>
        </w:tc>
        <w:tc>
          <w:tcPr>
            <w:tcW w:w="3738" w:type="dxa"/>
            <w:gridSpan w:val="4"/>
            <w:vAlign w:val="center"/>
          </w:tcPr>
          <w:p w14:paraId="07E855AA">
            <w:pPr>
              <w:rPr>
                <w:rFonts w:ascii="宋体" w:hAnsi="宋体" w:cs="宋体"/>
                <w:sz w:val="24"/>
                <w:highlight w:val="none"/>
              </w:rPr>
            </w:pPr>
          </w:p>
        </w:tc>
        <w:tc>
          <w:tcPr>
            <w:tcW w:w="1300" w:type="dxa"/>
            <w:vAlign w:val="center"/>
          </w:tcPr>
          <w:p w14:paraId="772B035E">
            <w:pPr>
              <w:jc w:val="center"/>
              <w:rPr>
                <w:rFonts w:ascii="宋体" w:hAnsi="宋体" w:cs="宋体"/>
                <w:sz w:val="24"/>
                <w:highlight w:val="none"/>
              </w:rPr>
            </w:pPr>
            <w:r>
              <w:rPr>
                <w:rFonts w:hint="eastAsia" w:ascii="宋体" w:hAnsi="宋体" w:cs="宋体"/>
                <w:sz w:val="24"/>
                <w:highlight w:val="none"/>
              </w:rPr>
              <w:t>邮政编码</w:t>
            </w:r>
          </w:p>
        </w:tc>
        <w:tc>
          <w:tcPr>
            <w:tcW w:w="2714" w:type="dxa"/>
            <w:gridSpan w:val="2"/>
            <w:vAlign w:val="center"/>
          </w:tcPr>
          <w:p w14:paraId="482D1839">
            <w:pPr>
              <w:jc w:val="center"/>
              <w:rPr>
                <w:rFonts w:ascii="宋体" w:hAnsi="宋体" w:cs="宋体"/>
                <w:sz w:val="24"/>
                <w:highlight w:val="none"/>
              </w:rPr>
            </w:pPr>
          </w:p>
        </w:tc>
      </w:tr>
      <w:tr w14:paraId="0B06A9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8" w:hRule="exact"/>
          <w:jc w:val="center"/>
        </w:trPr>
        <w:tc>
          <w:tcPr>
            <w:tcW w:w="1788" w:type="dxa"/>
            <w:vMerge w:val="restart"/>
            <w:vAlign w:val="center"/>
          </w:tcPr>
          <w:p w14:paraId="7A60D53D">
            <w:pPr>
              <w:jc w:val="center"/>
              <w:rPr>
                <w:rFonts w:ascii="宋体" w:hAnsi="宋体" w:cs="宋体"/>
                <w:sz w:val="24"/>
                <w:highlight w:val="none"/>
              </w:rPr>
            </w:pPr>
            <w:r>
              <w:rPr>
                <w:rFonts w:hint="eastAsia" w:ascii="宋体" w:hAnsi="宋体" w:cs="宋体"/>
                <w:sz w:val="24"/>
                <w:highlight w:val="none"/>
              </w:rPr>
              <w:t>联系方式</w:t>
            </w:r>
          </w:p>
        </w:tc>
        <w:tc>
          <w:tcPr>
            <w:tcW w:w="1042" w:type="dxa"/>
            <w:vAlign w:val="center"/>
          </w:tcPr>
          <w:p w14:paraId="6FE17F11">
            <w:pPr>
              <w:jc w:val="center"/>
              <w:rPr>
                <w:rFonts w:ascii="宋体" w:hAnsi="宋体" w:cs="宋体"/>
                <w:sz w:val="24"/>
                <w:highlight w:val="none"/>
              </w:rPr>
            </w:pPr>
            <w:r>
              <w:rPr>
                <w:rFonts w:hint="eastAsia" w:ascii="宋体" w:hAnsi="宋体" w:cs="宋体"/>
                <w:sz w:val="24"/>
                <w:highlight w:val="none"/>
              </w:rPr>
              <w:t>联系人</w:t>
            </w:r>
          </w:p>
        </w:tc>
        <w:tc>
          <w:tcPr>
            <w:tcW w:w="2696" w:type="dxa"/>
            <w:gridSpan w:val="3"/>
            <w:vAlign w:val="center"/>
          </w:tcPr>
          <w:p w14:paraId="38D49D65">
            <w:pPr>
              <w:rPr>
                <w:rFonts w:ascii="宋体" w:hAnsi="宋体" w:cs="宋体"/>
                <w:sz w:val="24"/>
                <w:highlight w:val="none"/>
              </w:rPr>
            </w:pPr>
          </w:p>
        </w:tc>
        <w:tc>
          <w:tcPr>
            <w:tcW w:w="1300" w:type="dxa"/>
            <w:vAlign w:val="center"/>
          </w:tcPr>
          <w:p w14:paraId="4FA70D06">
            <w:pPr>
              <w:jc w:val="center"/>
              <w:rPr>
                <w:rFonts w:ascii="宋体" w:hAnsi="宋体" w:cs="宋体"/>
                <w:sz w:val="24"/>
                <w:highlight w:val="none"/>
              </w:rPr>
            </w:pPr>
            <w:r>
              <w:rPr>
                <w:rFonts w:hint="eastAsia" w:ascii="宋体" w:hAnsi="宋体" w:cs="宋体"/>
                <w:sz w:val="24"/>
                <w:highlight w:val="none"/>
              </w:rPr>
              <w:t>电    话</w:t>
            </w:r>
          </w:p>
        </w:tc>
        <w:tc>
          <w:tcPr>
            <w:tcW w:w="2714" w:type="dxa"/>
            <w:gridSpan w:val="2"/>
            <w:vAlign w:val="center"/>
          </w:tcPr>
          <w:p w14:paraId="56AB7725">
            <w:pPr>
              <w:jc w:val="center"/>
              <w:rPr>
                <w:rFonts w:ascii="宋体" w:hAnsi="宋体" w:cs="宋体"/>
                <w:sz w:val="24"/>
                <w:highlight w:val="none"/>
              </w:rPr>
            </w:pPr>
          </w:p>
        </w:tc>
      </w:tr>
      <w:tr w14:paraId="5B51C2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1788" w:type="dxa"/>
            <w:vMerge w:val="continue"/>
            <w:vAlign w:val="center"/>
          </w:tcPr>
          <w:p w14:paraId="19A9EB89">
            <w:pPr>
              <w:jc w:val="center"/>
              <w:rPr>
                <w:rFonts w:ascii="宋体" w:hAnsi="宋体" w:cs="宋体"/>
                <w:sz w:val="24"/>
                <w:highlight w:val="none"/>
              </w:rPr>
            </w:pPr>
          </w:p>
        </w:tc>
        <w:tc>
          <w:tcPr>
            <w:tcW w:w="1042" w:type="dxa"/>
            <w:vAlign w:val="center"/>
          </w:tcPr>
          <w:p w14:paraId="26BDABA1">
            <w:pPr>
              <w:jc w:val="center"/>
              <w:rPr>
                <w:rFonts w:ascii="宋体" w:hAnsi="宋体" w:cs="宋体"/>
                <w:sz w:val="24"/>
                <w:highlight w:val="none"/>
              </w:rPr>
            </w:pPr>
            <w:r>
              <w:rPr>
                <w:rFonts w:hint="eastAsia" w:ascii="宋体" w:hAnsi="宋体" w:cs="宋体"/>
                <w:sz w:val="24"/>
                <w:highlight w:val="none"/>
              </w:rPr>
              <w:t>传  真</w:t>
            </w:r>
          </w:p>
        </w:tc>
        <w:tc>
          <w:tcPr>
            <w:tcW w:w="2696" w:type="dxa"/>
            <w:gridSpan w:val="3"/>
            <w:vAlign w:val="center"/>
          </w:tcPr>
          <w:p w14:paraId="556E168E">
            <w:pPr>
              <w:rPr>
                <w:rFonts w:ascii="宋体" w:hAnsi="宋体" w:cs="宋体"/>
                <w:sz w:val="24"/>
                <w:highlight w:val="none"/>
              </w:rPr>
            </w:pPr>
          </w:p>
        </w:tc>
        <w:tc>
          <w:tcPr>
            <w:tcW w:w="1300" w:type="dxa"/>
            <w:vAlign w:val="center"/>
          </w:tcPr>
          <w:p w14:paraId="7B6421F8">
            <w:pPr>
              <w:jc w:val="center"/>
              <w:rPr>
                <w:rFonts w:ascii="宋体" w:hAnsi="宋体" w:cs="宋体"/>
                <w:sz w:val="24"/>
                <w:highlight w:val="none"/>
              </w:rPr>
            </w:pPr>
            <w:r>
              <w:rPr>
                <w:rFonts w:hint="eastAsia" w:ascii="宋体" w:hAnsi="宋体" w:cs="宋体"/>
                <w:sz w:val="24"/>
                <w:highlight w:val="none"/>
              </w:rPr>
              <w:t>网    址</w:t>
            </w:r>
          </w:p>
        </w:tc>
        <w:tc>
          <w:tcPr>
            <w:tcW w:w="2714" w:type="dxa"/>
            <w:gridSpan w:val="2"/>
            <w:vAlign w:val="center"/>
          </w:tcPr>
          <w:p w14:paraId="4B7825DF">
            <w:pPr>
              <w:jc w:val="center"/>
              <w:rPr>
                <w:rFonts w:ascii="宋体" w:hAnsi="宋体" w:cs="宋体"/>
                <w:sz w:val="24"/>
                <w:highlight w:val="none"/>
              </w:rPr>
            </w:pPr>
          </w:p>
        </w:tc>
      </w:tr>
      <w:tr w14:paraId="46CBFB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exact"/>
          <w:jc w:val="center"/>
        </w:trPr>
        <w:tc>
          <w:tcPr>
            <w:tcW w:w="1788" w:type="dxa"/>
            <w:vAlign w:val="center"/>
          </w:tcPr>
          <w:p w14:paraId="6AA8A79F">
            <w:pPr>
              <w:jc w:val="center"/>
              <w:rPr>
                <w:rFonts w:ascii="宋体" w:hAnsi="宋体" w:cs="宋体"/>
                <w:sz w:val="24"/>
                <w:highlight w:val="none"/>
              </w:rPr>
            </w:pPr>
            <w:r>
              <w:rPr>
                <w:rFonts w:hint="eastAsia" w:ascii="宋体" w:hAnsi="宋体" w:cs="宋体"/>
                <w:sz w:val="24"/>
                <w:highlight w:val="none"/>
              </w:rPr>
              <w:t>组织结构</w:t>
            </w:r>
          </w:p>
        </w:tc>
        <w:tc>
          <w:tcPr>
            <w:tcW w:w="7752" w:type="dxa"/>
            <w:gridSpan w:val="7"/>
            <w:vAlign w:val="center"/>
          </w:tcPr>
          <w:p w14:paraId="63336C3B">
            <w:pPr>
              <w:rPr>
                <w:rFonts w:ascii="宋体" w:hAnsi="宋体" w:cs="宋体"/>
                <w:sz w:val="24"/>
                <w:highlight w:val="none"/>
              </w:rPr>
            </w:pPr>
          </w:p>
        </w:tc>
      </w:tr>
      <w:tr w14:paraId="21FB6A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1788" w:type="dxa"/>
            <w:vAlign w:val="center"/>
          </w:tcPr>
          <w:p w14:paraId="1A852F25">
            <w:pPr>
              <w:jc w:val="center"/>
              <w:rPr>
                <w:rFonts w:ascii="宋体" w:hAnsi="宋体" w:cs="宋体"/>
                <w:sz w:val="24"/>
                <w:highlight w:val="none"/>
              </w:rPr>
            </w:pPr>
            <w:r>
              <w:rPr>
                <w:rFonts w:hint="eastAsia" w:ascii="宋体" w:hAnsi="宋体" w:cs="宋体"/>
                <w:sz w:val="24"/>
                <w:highlight w:val="none"/>
              </w:rPr>
              <w:t>法定代表人</w:t>
            </w:r>
          </w:p>
        </w:tc>
        <w:tc>
          <w:tcPr>
            <w:tcW w:w="1042" w:type="dxa"/>
            <w:vAlign w:val="center"/>
          </w:tcPr>
          <w:p w14:paraId="026E5BBD">
            <w:pPr>
              <w:jc w:val="center"/>
              <w:rPr>
                <w:rFonts w:ascii="宋体" w:hAnsi="宋体" w:cs="宋体"/>
                <w:sz w:val="24"/>
                <w:highlight w:val="none"/>
              </w:rPr>
            </w:pPr>
            <w:r>
              <w:rPr>
                <w:rFonts w:hint="eastAsia" w:ascii="宋体" w:hAnsi="宋体" w:cs="宋体"/>
                <w:sz w:val="24"/>
                <w:highlight w:val="none"/>
              </w:rPr>
              <w:t>姓名</w:t>
            </w:r>
          </w:p>
        </w:tc>
        <w:tc>
          <w:tcPr>
            <w:tcW w:w="2527" w:type="dxa"/>
            <w:gridSpan w:val="2"/>
            <w:vAlign w:val="center"/>
          </w:tcPr>
          <w:p w14:paraId="5EC2051A">
            <w:pPr>
              <w:jc w:val="center"/>
              <w:rPr>
                <w:rFonts w:ascii="宋体" w:hAnsi="宋体" w:cs="宋体"/>
                <w:sz w:val="24"/>
                <w:highlight w:val="none"/>
              </w:rPr>
            </w:pPr>
          </w:p>
        </w:tc>
        <w:tc>
          <w:tcPr>
            <w:tcW w:w="1760" w:type="dxa"/>
            <w:gridSpan w:val="3"/>
            <w:vAlign w:val="center"/>
          </w:tcPr>
          <w:p w14:paraId="544A8D10">
            <w:pPr>
              <w:jc w:val="center"/>
              <w:rPr>
                <w:rFonts w:ascii="宋体" w:hAnsi="宋体" w:cs="宋体"/>
                <w:sz w:val="24"/>
                <w:highlight w:val="none"/>
              </w:rPr>
            </w:pPr>
            <w:r>
              <w:rPr>
                <w:rFonts w:hint="eastAsia" w:ascii="宋体" w:hAnsi="宋体" w:cs="宋体"/>
                <w:sz w:val="24"/>
                <w:highlight w:val="none"/>
              </w:rPr>
              <w:t>电话</w:t>
            </w:r>
          </w:p>
        </w:tc>
        <w:tc>
          <w:tcPr>
            <w:tcW w:w="2423" w:type="dxa"/>
            <w:vAlign w:val="center"/>
          </w:tcPr>
          <w:p w14:paraId="4B128EC1">
            <w:pPr>
              <w:jc w:val="center"/>
              <w:rPr>
                <w:rFonts w:ascii="宋体" w:hAnsi="宋体" w:cs="宋体"/>
                <w:sz w:val="24"/>
                <w:highlight w:val="none"/>
              </w:rPr>
            </w:pPr>
          </w:p>
        </w:tc>
      </w:tr>
      <w:tr w14:paraId="446965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1788" w:type="dxa"/>
            <w:vAlign w:val="center"/>
          </w:tcPr>
          <w:p w14:paraId="452598BE">
            <w:pPr>
              <w:jc w:val="center"/>
              <w:rPr>
                <w:rFonts w:ascii="宋体" w:hAnsi="宋体" w:cs="宋体"/>
                <w:sz w:val="24"/>
                <w:highlight w:val="none"/>
              </w:rPr>
            </w:pPr>
            <w:r>
              <w:rPr>
                <w:rFonts w:hint="eastAsia" w:ascii="宋体" w:hAnsi="宋体" w:cs="宋体"/>
                <w:sz w:val="24"/>
                <w:highlight w:val="none"/>
              </w:rPr>
              <w:t>成立时间</w:t>
            </w:r>
          </w:p>
        </w:tc>
        <w:tc>
          <w:tcPr>
            <w:tcW w:w="2359" w:type="dxa"/>
            <w:gridSpan w:val="2"/>
            <w:vAlign w:val="center"/>
          </w:tcPr>
          <w:p w14:paraId="4E617AAD">
            <w:pPr>
              <w:jc w:val="center"/>
              <w:rPr>
                <w:rFonts w:ascii="宋体" w:hAnsi="宋体" w:cs="宋体"/>
                <w:sz w:val="24"/>
                <w:highlight w:val="none"/>
              </w:rPr>
            </w:pPr>
          </w:p>
        </w:tc>
        <w:tc>
          <w:tcPr>
            <w:tcW w:w="5393" w:type="dxa"/>
            <w:gridSpan w:val="5"/>
            <w:vAlign w:val="center"/>
          </w:tcPr>
          <w:p w14:paraId="0CAC2DE5">
            <w:pPr>
              <w:rPr>
                <w:rFonts w:ascii="宋体" w:hAnsi="宋体" w:cs="宋体"/>
                <w:sz w:val="24"/>
                <w:highlight w:val="none"/>
              </w:rPr>
            </w:pPr>
            <w:r>
              <w:rPr>
                <w:rFonts w:hint="eastAsia" w:ascii="宋体" w:hAnsi="宋体" w:cs="宋体"/>
                <w:sz w:val="24"/>
                <w:highlight w:val="none"/>
              </w:rPr>
              <w:t>员工总人数：</w:t>
            </w:r>
          </w:p>
        </w:tc>
      </w:tr>
      <w:tr w14:paraId="78915B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exact"/>
          <w:jc w:val="center"/>
        </w:trPr>
        <w:tc>
          <w:tcPr>
            <w:tcW w:w="1788" w:type="dxa"/>
            <w:vAlign w:val="center"/>
          </w:tcPr>
          <w:p w14:paraId="1A54EE1F">
            <w:pPr>
              <w:jc w:val="center"/>
              <w:rPr>
                <w:rFonts w:ascii="宋体" w:hAnsi="宋体" w:cs="宋体"/>
                <w:sz w:val="24"/>
                <w:highlight w:val="none"/>
              </w:rPr>
            </w:pPr>
            <w:r>
              <w:rPr>
                <w:rFonts w:hint="eastAsia" w:ascii="宋体" w:hAnsi="宋体" w:cs="宋体"/>
                <w:sz w:val="24"/>
                <w:highlight w:val="none"/>
              </w:rPr>
              <w:t>营业执照号</w:t>
            </w:r>
          </w:p>
        </w:tc>
        <w:tc>
          <w:tcPr>
            <w:tcW w:w="7752" w:type="dxa"/>
            <w:gridSpan w:val="7"/>
            <w:vAlign w:val="center"/>
          </w:tcPr>
          <w:p w14:paraId="473FE06C">
            <w:pPr>
              <w:jc w:val="center"/>
              <w:rPr>
                <w:rFonts w:ascii="宋体" w:hAnsi="宋体" w:cs="宋体"/>
                <w:sz w:val="24"/>
                <w:highlight w:val="none"/>
              </w:rPr>
            </w:pPr>
          </w:p>
        </w:tc>
      </w:tr>
      <w:tr w14:paraId="02038D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788" w:type="dxa"/>
            <w:vAlign w:val="center"/>
          </w:tcPr>
          <w:p w14:paraId="7B7C0676">
            <w:pPr>
              <w:jc w:val="center"/>
              <w:rPr>
                <w:rFonts w:ascii="宋体" w:hAnsi="宋体" w:cs="宋体"/>
                <w:sz w:val="24"/>
                <w:highlight w:val="none"/>
              </w:rPr>
            </w:pPr>
            <w:r>
              <w:rPr>
                <w:rFonts w:hint="eastAsia" w:ascii="宋体" w:hAnsi="宋体" w:cs="宋体"/>
                <w:sz w:val="24"/>
                <w:highlight w:val="none"/>
              </w:rPr>
              <w:t>注册资本金</w:t>
            </w:r>
          </w:p>
        </w:tc>
        <w:tc>
          <w:tcPr>
            <w:tcW w:w="7752" w:type="dxa"/>
            <w:gridSpan w:val="7"/>
            <w:vAlign w:val="center"/>
          </w:tcPr>
          <w:p w14:paraId="6010DD38">
            <w:pPr>
              <w:jc w:val="center"/>
              <w:rPr>
                <w:rFonts w:ascii="宋体" w:hAnsi="宋体" w:cs="宋体"/>
                <w:sz w:val="24"/>
                <w:highlight w:val="none"/>
              </w:rPr>
            </w:pPr>
          </w:p>
        </w:tc>
      </w:tr>
      <w:tr w14:paraId="42D91E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1788" w:type="dxa"/>
            <w:vAlign w:val="center"/>
          </w:tcPr>
          <w:p w14:paraId="5D461DA8">
            <w:pPr>
              <w:jc w:val="center"/>
              <w:rPr>
                <w:rFonts w:ascii="宋体" w:hAnsi="宋体" w:cs="宋体"/>
                <w:sz w:val="24"/>
                <w:highlight w:val="none"/>
              </w:rPr>
            </w:pPr>
            <w:r>
              <w:rPr>
                <w:rFonts w:hint="eastAsia" w:ascii="宋体" w:hAnsi="宋体" w:cs="宋体"/>
                <w:sz w:val="24"/>
                <w:highlight w:val="none"/>
              </w:rPr>
              <w:t>开户银行</w:t>
            </w:r>
          </w:p>
        </w:tc>
        <w:tc>
          <w:tcPr>
            <w:tcW w:w="7752" w:type="dxa"/>
            <w:gridSpan w:val="7"/>
            <w:vAlign w:val="center"/>
          </w:tcPr>
          <w:p w14:paraId="65ECA740">
            <w:pPr>
              <w:jc w:val="center"/>
              <w:rPr>
                <w:rFonts w:ascii="宋体" w:hAnsi="宋体" w:cs="宋体"/>
                <w:sz w:val="24"/>
                <w:highlight w:val="none"/>
              </w:rPr>
            </w:pPr>
          </w:p>
        </w:tc>
      </w:tr>
      <w:tr w14:paraId="604326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1" w:hRule="exact"/>
          <w:jc w:val="center"/>
        </w:trPr>
        <w:tc>
          <w:tcPr>
            <w:tcW w:w="1788" w:type="dxa"/>
            <w:vAlign w:val="center"/>
          </w:tcPr>
          <w:p w14:paraId="1E6DAC26">
            <w:pPr>
              <w:jc w:val="center"/>
              <w:rPr>
                <w:rFonts w:ascii="宋体" w:hAnsi="宋体" w:cs="宋体"/>
                <w:sz w:val="24"/>
                <w:highlight w:val="none"/>
              </w:rPr>
            </w:pPr>
            <w:r>
              <w:rPr>
                <w:rFonts w:hint="eastAsia" w:ascii="宋体" w:hAnsi="宋体" w:cs="宋体"/>
                <w:sz w:val="24"/>
                <w:highlight w:val="none"/>
              </w:rPr>
              <w:t>账号</w:t>
            </w:r>
          </w:p>
        </w:tc>
        <w:tc>
          <w:tcPr>
            <w:tcW w:w="7752" w:type="dxa"/>
            <w:gridSpan w:val="7"/>
            <w:vAlign w:val="center"/>
          </w:tcPr>
          <w:p w14:paraId="7071FEA6">
            <w:pPr>
              <w:jc w:val="center"/>
              <w:rPr>
                <w:rFonts w:ascii="宋体" w:hAnsi="宋体" w:cs="宋体"/>
                <w:sz w:val="24"/>
                <w:highlight w:val="none"/>
              </w:rPr>
            </w:pPr>
          </w:p>
        </w:tc>
      </w:tr>
      <w:tr w14:paraId="4EC7CE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1" w:hRule="exact"/>
          <w:jc w:val="center"/>
        </w:trPr>
        <w:tc>
          <w:tcPr>
            <w:tcW w:w="1788" w:type="dxa"/>
            <w:vAlign w:val="center"/>
          </w:tcPr>
          <w:p w14:paraId="0B1ABBB3">
            <w:pPr>
              <w:jc w:val="center"/>
              <w:rPr>
                <w:rFonts w:ascii="宋体" w:hAnsi="宋体" w:cs="宋体"/>
                <w:sz w:val="24"/>
                <w:highlight w:val="none"/>
              </w:rPr>
            </w:pPr>
            <w:r>
              <w:rPr>
                <w:rFonts w:hint="eastAsia" w:ascii="宋体" w:hAnsi="宋体" w:cs="宋体"/>
                <w:sz w:val="24"/>
                <w:highlight w:val="none"/>
              </w:rPr>
              <w:t>经营范围</w:t>
            </w:r>
          </w:p>
        </w:tc>
        <w:tc>
          <w:tcPr>
            <w:tcW w:w="7752" w:type="dxa"/>
            <w:gridSpan w:val="7"/>
            <w:vAlign w:val="center"/>
          </w:tcPr>
          <w:p w14:paraId="1B9F713C">
            <w:pPr>
              <w:jc w:val="center"/>
              <w:rPr>
                <w:rFonts w:ascii="宋体" w:hAnsi="宋体" w:cs="宋体"/>
                <w:sz w:val="24"/>
                <w:highlight w:val="none"/>
              </w:rPr>
            </w:pPr>
          </w:p>
        </w:tc>
      </w:tr>
      <w:tr w14:paraId="649A2F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1788" w:type="dxa"/>
            <w:vAlign w:val="center"/>
          </w:tcPr>
          <w:p w14:paraId="62597864">
            <w:pPr>
              <w:jc w:val="center"/>
              <w:rPr>
                <w:rFonts w:ascii="宋体" w:hAnsi="宋体" w:cs="宋体"/>
                <w:sz w:val="24"/>
                <w:highlight w:val="none"/>
              </w:rPr>
            </w:pPr>
            <w:r>
              <w:rPr>
                <w:rFonts w:hint="eastAsia" w:ascii="宋体" w:hAnsi="宋体" w:cs="宋体"/>
                <w:sz w:val="24"/>
                <w:highlight w:val="none"/>
              </w:rPr>
              <w:t>备    注</w:t>
            </w:r>
          </w:p>
        </w:tc>
        <w:tc>
          <w:tcPr>
            <w:tcW w:w="7752" w:type="dxa"/>
            <w:gridSpan w:val="7"/>
            <w:vAlign w:val="center"/>
          </w:tcPr>
          <w:p w14:paraId="1D6C7390">
            <w:pPr>
              <w:jc w:val="center"/>
              <w:rPr>
                <w:rFonts w:ascii="宋体" w:hAnsi="宋体" w:cs="宋体"/>
                <w:sz w:val="24"/>
                <w:highlight w:val="none"/>
              </w:rPr>
            </w:pPr>
          </w:p>
        </w:tc>
      </w:tr>
    </w:tbl>
    <w:p w14:paraId="0A2F93C4">
      <w:pPr>
        <w:spacing w:line="240" w:lineRule="exact"/>
        <w:ind w:firstLine="643" w:firstLineChars="200"/>
        <w:rPr>
          <w:rFonts w:ascii="宋体" w:hAnsi="宋体" w:cs="宋体"/>
          <w:b/>
          <w:bCs/>
          <w:sz w:val="32"/>
          <w:szCs w:val="32"/>
          <w:highlight w:val="none"/>
        </w:rPr>
      </w:pPr>
    </w:p>
    <w:p w14:paraId="5E44890A">
      <w:pPr>
        <w:tabs>
          <w:tab w:val="left" w:pos="0"/>
        </w:tabs>
        <w:spacing w:line="500" w:lineRule="exact"/>
        <w:ind w:right="-212" w:firstLine="100"/>
        <w:jc w:val="left"/>
        <w:rPr>
          <w:rFonts w:ascii="宋体" w:hAnsi="宋体" w:cs="宋体"/>
          <w:b/>
          <w:bCs/>
          <w:sz w:val="24"/>
          <w:highlight w:val="none"/>
        </w:rPr>
      </w:pPr>
      <w:r>
        <w:rPr>
          <w:rFonts w:hint="eastAsia" w:ascii="宋体" w:hAnsi="宋体" w:cs="宋体"/>
          <w:b/>
          <w:bCs/>
          <w:sz w:val="24"/>
          <w:highlight w:val="none"/>
        </w:rPr>
        <w:t>注：附营业执照或者其他主体资格证明文件扫描件。</w:t>
      </w:r>
    </w:p>
    <w:p w14:paraId="064A1F60">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64A25813">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4319C591">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4EBD1E65">
      <w:pPr>
        <w:pStyle w:val="17"/>
        <w:jc w:val="center"/>
        <w:rPr>
          <w:rFonts w:ascii="宋体" w:hAnsi="宋体" w:eastAsia="宋体" w:cs="宋体"/>
          <w:sz w:val="28"/>
          <w:szCs w:val="28"/>
          <w:highlight w:val="none"/>
        </w:rPr>
      </w:pPr>
    </w:p>
    <w:p w14:paraId="4843F6E9">
      <w:pPr>
        <w:pStyle w:val="37"/>
        <w:spacing w:before="0" w:after="0" w:line="500" w:lineRule="exact"/>
        <w:jc w:val="both"/>
        <w:outlineLvl w:val="9"/>
        <w:rPr>
          <w:rFonts w:ascii="宋体" w:hAnsi="宋体" w:cs="宋体"/>
          <w:sz w:val="24"/>
          <w:szCs w:val="24"/>
          <w:highlight w:val="none"/>
        </w:rPr>
      </w:pPr>
      <w:r>
        <w:rPr>
          <w:rFonts w:hint="eastAsia" w:ascii="宋体" w:hAnsi="宋体" w:cs="宋体"/>
          <w:sz w:val="24"/>
          <w:szCs w:val="24"/>
          <w:highlight w:val="none"/>
        </w:rPr>
        <w:br w:type="page"/>
      </w:r>
    </w:p>
    <w:p w14:paraId="726429E6">
      <w:pPr>
        <w:jc w:val="center"/>
        <w:outlineLvl w:val="2"/>
        <w:rPr>
          <w:sz w:val="28"/>
          <w:szCs w:val="28"/>
          <w:highlight w:val="none"/>
        </w:rPr>
      </w:pPr>
      <w:r>
        <w:rPr>
          <w:rFonts w:hint="eastAsia" w:ascii="宋体" w:hAnsi="宋体" w:cs="宋体"/>
          <w:b/>
          <w:bCs/>
          <w:sz w:val="28"/>
          <w:szCs w:val="28"/>
          <w:highlight w:val="none"/>
        </w:rPr>
        <w:t>（二）供应商资格声明函</w:t>
      </w:r>
    </w:p>
    <w:p w14:paraId="07A853EB">
      <w:pPr>
        <w:spacing w:before="159" w:beforeLines="50" w:after="159" w:afterLines="50" w:line="440" w:lineRule="exact"/>
        <w:rPr>
          <w:rFonts w:ascii="宋体" w:hAnsi="宋体"/>
          <w:sz w:val="24"/>
          <w:highlight w:val="none"/>
          <w:u w:val="single"/>
        </w:rPr>
      </w:pPr>
      <w:r>
        <w:rPr>
          <w:rFonts w:hint="eastAsia" w:ascii="宋体" w:hAnsi="宋体"/>
          <w:sz w:val="24"/>
          <w:highlight w:val="none"/>
        </w:rPr>
        <w:t>致：</w:t>
      </w:r>
      <w:r>
        <w:rPr>
          <w:rFonts w:hint="eastAsia" w:ascii="宋体" w:hAnsi="宋体"/>
          <w:sz w:val="24"/>
          <w:highlight w:val="none"/>
          <w:u w:val="single"/>
        </w:rPr>
        <w:t xml:space="preserve">         （采购人、代理机构）   </w:t>
      </w:r>
    </w:p>
    <w:p w14:paraId="5FA81F7B">
      <w:pPr>
        <w:spacing w:line="440" w:lineRule="exact"/>
        <w:ind w:firstLine="480" w:firstLineChars="200"/>
        <w:rPr>
          <w:rFonts w:ascii="宋体" w:hAnsi="宋体"/>
          <w:sz w:val="24"/>
          <w:highlight w:val="none"/>
          <w:u w:val="single"/>
        </w:rPr>
      </w:pPr>
      <w:r>
        <w:rPr>
          <w:rFonts w:hint="eastAsia" w:ascii="宋体" w:hAnsi="宋体"/>
          <w:sz w:val="24"/>
          <w:highlight w:val="none"/>
        </w:rPr>
        <w:t>关于贵公司</w:t>
      </w:r>
      <w:r>
        <w:rPr>
          <w:rFonts w:hint="eastAsia" w:ascii="宋体" w:hAnsi="宋体"/>
          <w:sz w:val="24"/>
          <w:highlight w:val="none"/>
          <w:u w:val="single"/>
        </w:rPr>
        <w:t>　 　</w:t>
      </w:r>
      <w:r>
        <w:rPr>
          <w:rFonts w:hint="eastAsia" w:ascii="宋体" w:hAnsi="宋体"/>
          <w:sz w:val="24"/>
          <w:highlight w:val="none"/>
        </w:rPr>
        <w:t>年</w:t>
      </w:r>
      <w:r>
        <w:rPr>
          <w:rFonts w:hint="eastAsia" w:ascii="宋体" w:hAnsi="宋体"/>
          <w:sz w:val="24"/>
          <w:highlight w:val="none"/>
          <w:u w:val="single"/>
        </w:rPr>
        <w:t>　　</w:t>
      </w:r>
      <w:r>
        <w:rPr>
          <w:rFonts w:hint="eastAsia" w:ascii="宋体" w:hAnsi="宋体"/>
          <w:sz w:val="24"/>
          <w:highlight w:val="none"/>
        </w:rPr>
        <w:t>月</w:t>
      </w:r>
      <w:r>
        <w:rPr>
          <w:rFonts w:hint="eastAsia" w:ascii="宋体" w:hAnsi="宋体"/>
          <w:sz w:val="24"/>
          <w:highlight w:val="none"/>
          <w:u w:val="single"/>
        </w:rPr>
        <w:t>　　</w:t>
      </w:r>
      <w:r>
        <w:rPr>
          <w:rFonts w:hint="eastAsia" w:ascii="宋体" w:hAnsi="宋体"/>
          <w:sz w:val="24"/>
          <w:highlight w:val="none"/>
        </w:rPr>
        <w:t xml:space="preserve">日发布 </w:t>
      </w:r>
      <w:r>
        <w:rPr>
          <w:rFonts w:hint="eastAsia" w:ascii="宋体" w:hAnsi="宋体"/>
          <w:sz w:val="24"/>
          <w:highlight w:val="none"/>
          <w:u w:val="single"/>
        </w:rPr>
        <w:t xml:space="preserve">（项目名称）        </w:t>
      </w:r>
      <w:r>
        <w:rPr>
          <w:rFonts w:hint="eastAsia" w:ascii="宋体" w:hAnsi="宋体"/>
          <w:sz w:val="24"/>
          <w:highlight w:val="none"/>
        </w:rPr>
        <w:t>（项目编号：</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）的招标公告，本公司（企业）愿意参加投标，并声明：</w:t>
      </w:r>
    </w:p>
    <w:p w14:paraId="4FCCABF7">
      <w:pPr>
        <w:tabs>
          <w:tab w:val="left" w:pos="851"/>
        </w:tabs>
        <w:adjustRightInd w:val="0"/>
        <w:snapToGrid w:val="0"/>
        <w:spacing w:line="440" w:lineRule="exact"/>
        <w:ind w:left="424"/>
        <w:rPr>
          <w:rFonts w:ascii="宋体" w:hAnsi="宋体"/>
          <w:bCs/>
          <w:sz w:val="24"/>
          <w:highlight w:val="none"/>
        </w:rPr>
      </w:pPr>
      <w:r>
        <w:rPr>
          <w:rFonts w:hint="eastAsia" w:ascii="宋体" w:hAnsi="宋体"/>
          <w:sz w:val="24"/>
          <w:highlight w:val="none"/>
        </w:rPr>
        <w:t>一、本公司（企业）</w:t>
      </w:r>
      <w:r>
        <w:rPr>
          <w:rFonts w:hint="eastAsia" w:ascii="宋体" w:hAnsi="宋体"/>
          <w:bCs/>
          <w:sz w:val="24"/>
          <w:highlight w:val="none"/>
        </w:rPr>
        <w:t>具备《中华人民共和国政府采购法》第二十二条规定及《中华人民共和国政府采购法实施条例》第十七条的相关要求：</w:t>
      </w:r>
    </w:p>
    <w:p w14:paraId="79EE0D5A">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（一）具有独立承担民事责任的能力；</w:t>
      </w:r>
    </w:p>
    <w:p w14:paraId="3C8321BE">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（二）具有良好的商业信誉和健全的财务会计制度；</w:t>
      </w:r>
      <w:r>
        <w:rPr>
          <w:rFonts w:ascii="宋体" w:hAnsi="宋体" w:cs="宋体"/>
          <w:kern w:val="0"/>
          <w:sz w:val="24"/>
          <w:highlight w:val="none"/>
        </w:rPr>
        <w:t xml:space="preserve"> </w:t>
      </w:r>
    </w:p>
    <w:p w14:paraId="0DB24D2B">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（三）具有履行合同所必需的设备和专业技术能力；</w:t>
      </w:r>
    </w:p>
    <w:p w14:paraId="0C47279E">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（四）有依法缴纳税收和社会保障资金的良好记录；</w:t>
      </w:r>
    </w:p>
    <w:p w14:paraId="20C78655">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（五）参加政府采购活动前三年内，在经营活动中没有重大违法记录；</w:t>
      </w:r>
    </w:p>
    <w:p w14:paraId="21792B9F">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（六）法律、行政法规规定的其他条件。</w:t>
      </w:r>
    </w:p>
    <w:p w14:paraId="408B23D7">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本公司（企业）的单位负责人与所参投的本采购项目包组的其他供应商的单位负责人不为同一人且与其他供应商之间不存在直接控股、管理关系。</w:t>
      </w:r>
    </w:p>
    <w:p w14:paraId="34EAC7F9">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参照《中华人民共和国政府采购法实施条例》的规定，本公司（企业）如为本采购项目包组提供整体设计、规范编制或者项目管理、检测、验收等服务的供应商，不得再参加该采购项目包组的其他采购活动。否则，由此所造成的损失、不良后果及法律责任，一律由我公司（企业）承担。</w:t>
      </w:r>
    </w:p>
    <w:p w14:paraId="2E065F45">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本公司（企业）承诺在本次采购活动中，如有违法、违规、弄虚作假行为，所造成的损失、不良后果及法律责任，一律由我公司（企业）承担。</w:t>
      </w:r>
    </w:p>
    <w:p w14:paraId="45819C4E">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特此声明！</w:t>
      </w:r>
    </w:p>
    <w:p w14:paraId="185625B2">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（1）本声明函必须提供且内容不得擅自删改，否则视为无效投标。</w:t>
      </w:r>
    </w:p>
    <w:p w14:paraId="3BF0CA79">
      <w:pPr>
        <w:widowControl/>
        <w:adjustRightInd w:val="0"/>
        <w:snapToGrid w:val="0"/>
        <w:spacing w:line="440" w:lineRule="exact"/>
        <w:ind w:firstLine="360"/>
        <w:rPr>
          <w:rFonts w:ascii="宋体" w:hAnsi="宋体" w:cs="宋体"/>
          <w:kern w:val="0"/>
          <w:sz w:val="24"/>
          <w:highlight w:val="none"/>
        </w:rPr>
      </w:pPr>
      <w:r>
        <w:rPr>
          <w:rFonts w:hint="eastAsia" w:ascii="宋体" w:hAnsi="宋体" w:cs="宋体"/>
          <w:kern w:val="0"/>
          <w:sz w:val="24"/>
          <w:highlight w:val="none"/>
        </w:rPr>
        <w:t>（2）本声明函如有虚假或与事实不符的，作无效投标处理。</w:t>
      </w:r>
    </w:p>
    <w:p w14:paraId="1F944F43">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17B185E0">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10698F43">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3CA9A940">
      <w:pPr>
        <w:widowControl/>
        <w:adjustRightInd w:val="0"/>
        <w:snapToGrid w:val="0"/>
        <w:spacing w:line="440" w:lineRule="exact"/>
        <w:ind w:firstLine="360"/>
        <w:rPr>
          <w:rFonts w:ascii="宋体" w:hAnsi="宋体" w:cs="宋体"/>
          <w:kern w:val="0"/>
          <w:sz w:val="24"/>
          <w:highlight w:val="none"/>
        </w:rPr>
      </w:pPr>
    </w:p>
    <w:p w14:paraId="53CEC0A9">
      <w:pPr>
        <w:pStyle w:val="37"/>
        <w:spacing w:before="0" w:after="0" w:line="500" w:lineRule="exact"/>
        <w:outlineLvl w:val="2"/>
        <w:rPr>
          <w:rFonts w:ascii="宋体" w:hAnsi="宋体" w:cs="宋体"/>
          <w:sz w:val="24"/>
          <w:szCs w:val="24"/>
          <w:highlight w:val="none"/>
        </w:rPr>
      </w:pPr>
      <w:r>
        <w:rPr>
          <w:rFonts w:hint="eastAsia" w:ascii="宋体" w:hAnsi="宋体" w:cs="宋体"/>
          <w:sz w:val="24"/>
          <w:szCs w:val="24"/>
          <w:highlight w:val="none"/>
        </w:rPr>
        <w:br w:type="page"/>
      </w:r>
      <w:bookmarkStart w:id="188" w:name="_Toc26452"/>
      <w:r>
        <w:rPr>
          <w:rFonts w:hint="eastAsia" w:ascii="宋体" w:hAnsi="宋体" w:cs="宋体"/>
          <w:sz w:val="28"/>
          <w:szCs w:val="28"/>
          <w:highlight w:val="none"/>
        </w:rPr>
        <w:t>（三）信誉</w:t>
      </w:r>
      <w:bookmarkEnd w:id="188"/>
      <w:r>
        <w:rPr>
          <w:rFonts w:hint="eastAsia" w:ascii="宋体" w:hAnsi="宋体" w:cs="宋体"/>
          <w:sz w:val="28"/>
          <w:szCs w:val="28"/>
          <w:highlight w:val="none"/>
        </w:rPr>
        <w:t>要求</w:t>
      </w:r>
    </w:p>
    <w:p w14:paraId="3DC1E704">
      <w:pPr>
        <w:ind w:firstLine="480" w:firstLineChars="200"/>
        <w:jc w:val="left"/>
        <w:rPr>
          <w:rFonts w:ascii="宋体" w:hAnsi="宋体" w:cs="宋体"/>
          <w:sz w:val="24"/>
          <w:highlight w:val="none"/>
        </w:rPr>
      </w:pPr>
      <w:r>
        <w:rPr>
          <w:rFonts w:hint="eastAsia" w:ascii="宋体" w:hAnsi="宋体" w:cs="宋体"/>
          <w:sz w:val="24"/>
          <w:highlight w:val="none"/>
        </w:rPr>
        <w:t>投标文件递交截止时间前供应商在“信用中国”网站（www.creditchina.gov.cn）中未被列入：重大税收违法失信主体、政府采购严重违法失信行为记录名单；在“中国政府采购网”（www.ccgp.gov.cn）中未被列入：政府采购严重违法失信行为记录名单。供应商自拟格式承诺以上内容，加盖供应商公章或电子签章在投标文件中提供，以上信用信息由采购人或采购代理机构在开标会议结束后、评标前将通过“信用中国”网站</w:t>
      </w:r>
      <w:r>
        <w:rPr>
          <w:rFonts w:hint="eastAsia" w:ascii="宋体" w:hAnsi="宋体" w:cs="宋体"/>
          <w:sz w:val="24"/>
          <w:highlight w:val="none"/>
          <w:lang w:eastAsia="zh-CN"/>
        </w:rPr>
        <w:t>（</w:t>
      </w:r>
      <w:r>
        <w:rPr>
          <w:rFonts w:hint="eastAsia" w:ascii="宋体" w:hAnsi="宋体" w:cs="宋体"/>
          <w:sz w:val="24"/>
          <w:highlight w:val="none"/>
        </w:rPr>
        <w:t>www.creditchina.gov.cn</w:t>
      </w:r>
      <w:r>
        <w:rPr>
          <w:rFonts w:hint="eastAsia" w:ascii="宋体" w:hAnsi="宋体" w:cs="宋体"/>
          <w:sz w:val="24"/>
          <w:highlight w:val="none"/>
          <w:lang w:eastAsia="zh-CN"/>
        </w:rPr>
        <w:t>）</w:t>
      </w:r>
      <w:r>
        <w:rPr>
          <w:rFonts w:hint="eastAsia" w:ascii="宋体" w:hAnsi="宋体" w:cs="宋体"/>
          <w:sz w:val="24"/>
          <w:highlight w:val="none"/>
        </w:rPr>
        <w:t>、中国政府采购网（www.ccgp.gov.cn）查询供应商信用记录，上述网站信用信息查询结果的网页截图或网页打印稿作为证据留存，若供应商存在查证的以上相关记录，采购人有权取消其竞标（中标）资格）。</w:t>
      </w:r>
    </w:p>
    <w:p w14:paraId="52C85334">
      <w:pPr>
        <w:ind w:firstLine="480" w:firstLineChars="200"/>
        <w:jc w:val="left"/>
        <w:rPr>
          <w:rFonts w:ascii="宋体" w:hAnsi="宋体" w:cs="宋体"/>
          <w:sz w:val="24"/>
          <w:highlight w:val="none"/>
        </w:rPr>
      </w:pPr>
    </w:p>
    <w:p w14:paraId="6A2CC80E">
      <w:pPr>
        <w:rPr>
          <w:rFonts w:ascii="宋体" w:hAnsi="宋体" w:cs="宋体"/>
          <w:b/>
          <w:bCs/>
          <w:sz w:val="28"/>
          <w:szCs w:val="28"/>
          <w:highlight w:val="none"/>
        </w:rPr>
      </w:pPr>
      <w:r>
        <w:rPr>
          <w:rFonts w:hint="eastAsia" w:ascii="宋体" w:hAnsi="宋体" w:cs="宋体"/>
          <w:b/>
          <w:bCs/>
          <w:sz w:val="28"/>
          <w:szCs w:val="28"/>
          <w:highlight w:val="none"/>
        </w:rPr>
        <w:br w:type="page"/>
      </w:r>
    </w:p>
    <w:p w14:paraId="5303BCF1">
      <w:pPr>
        <w:tabs>
          <w:tab w:val="left" w:pos="1021"/>
        </w:tabs>
        <w:jc w:val="center"/>
        <w:outlineLvl w:val="2"/>
        <w:rPr>
          <w:rFonts w:ascii="宋体" w:hAnsi="宋体" w:cs="宋体"/>
          <w:b/>
          <w:bCs/>
          <w:sz w:val="28"/>
          <w:szCs w:val="28"/>
          <w:highlight w:val="none"/>
        </w:rPr>
      </w:pPr>
      <w:r>
        <w:rPr>
          <w:rFonts w:hint="eastAsia" w:ascii="宋体" w:hAnsi="宋体" w:cs="宋体"/>
          <w:b/>
          <w:bCs/>
          <w:sz w:val="28"/>
          <w:szCs w:val="28"/>
          <w:highlight w:val="none"/>
        </w:rPr>
        <w:t>（四）供应商认为需提供的其他资格证明材料</w:t>
      </w:r>
    </w:p>
    <w:p w14:paraId="51744D0E">
      <w:pPr>
        <w:tabs>
          <w:tab w:val="left" w:pos="1021"/>
        </w:tabs>
        <w:jc w:val="center"/>
        <w:outlineLvl w:val="1"/>
        <w:rPr>
          <w:rFonts w:ascii="宋体" w:hAnsi="宋体" w:cs="宋体"/>
          <w:b/>
          <w:bCs/>
          <w:kern w:val="0"/>
          <w:sz w:val="32"/>
          <w:szCs w:val="32"/>
          <w:highlight w:val="none"/>
        </w:rPr>
      </w:pPr>
      <w:r>
        <w:rPr>
          <w:rFonts w:hint="eastAsia" w:ascii="宋体" w:hAnsi="宋体" w:cs="宋体"/>
          <w:b/>
          <w:bCs/>
          <w:sz w:val="24"/>
          <w:highlight w:val="none"/>
        </w:rPr>
        <w:br w:type="page"/>
      </w:r>
      <w:bookmarkStart w:id="189" w:name="_Toc6103"/>
      <w:r>
        <w:rPr>
          <w:rFonts w:hint="eastAsia" w:ascii="宋体" w:hAnsi="宋体" w:cs="宋体"/>
          <w:b/>
          <w:bCs/>
          <w:kern w:val="0"/>
          <w:sz w:val="32"/>
          <w:szCs w:val="32"/>
          <w:highlight w:val="none"/>
        </w:rPr>
        <w:t>二、报价部分文件格式</w:t>
      </w:r>
      <w:bookmarkEnd w:id="189"/>
    </w:p>
    <w:p w14:paraId="75BCF450">
      <w:pPr>
        <w:pStyle w:val="37"/>
        <w:spacing w:before="0" w:after="0" w:line="500" w:lineRule="exact"/>
        <w:outlineLvl w:val="2"/>
        <w:rPr>
          <w:rFonts w:ascii="宋体" w:hAnsi="宋体" w:cs="宋体"/>
          <w:sz w:val="28"/>
          <w:szCs w:val="28"/>
          <w:highlight w:val="none"/>
        </w:rPr>
      </w:pPr>
      <w:r>
        <w:rPr>
          <w:rFonts w:hint="eastAsia" w:ascii="宋体" w:hAnsi="宋体" w:cs="宋体"/>
          <w:sz w:val="28"/>
          <w:szCs w:val="28"/>
          <w:highlight w:val="none"/>
        </w:rPr>
        <w:t>（一）开标一览表</w:t>
      </w:r>
    </w:p>
    <w:p w14:paraId="6CF5A648">
      <w:pPr>
        <w:pStyle w:val="21"/>
        <w:spacing w:line="460" w:lineRule="exact"/>
        <w:rPr>
          <w:rFonts w:hint="eastAsia" w:hAnsi="宋体" w:eastAsia="宋体" w:cs="宋体"/>
          <w:b/>
          <w:sz w:val="24"/>
          <w:szCs w:val="24"/>
          <w:highlight w:val="none"/>
          <w:u w:val="single"/>
          <w:lang w:eastAsia="zh-CN"/>
        </w:rPr>
      </w:pPr>
      <w:r>
        <w:rPr>
          <w:rFonts w:hint="eastAsia" w:hAnsi="宋体" w:cs="宋体"/>
          <w:b/>
          <w:sz w:val="24"/>
          <w:szCs w:val="24"/>
          <w:highlight w:val="none"/>
        </w:rPr>
        <w:t>项目名称：</w:t>
      </w:r>
      <w:r>
        <w:rPr>
          <w:rFonts w:hint="eastAsia" w:hAnsi="宋体" w:cs="宋体"/>
          <w:b/>
          <w:sz w:val="24"/>
          <w:szCs w:val="24"/>
          <w:highlight w:val="none"/>
          <w:lang w:eastAsia="zh-CN"/>
        </w:rPr>
        <w:t>玉溪职业技术学院（云南省玉溪工业财贸学校）人工智能赋能医药康养专业群建设项目</w:t>
      </w:r>
    </w:p>
    <w:p w14:paraId="26F916DD">
      <w:pPr>
        <w:pStyle w:val="21"/>
        <w:spacing w:line="460" w:lineRule="exact"/>
        <w:rPr>
          <w:rFonts w:hAnsi="宋体" w:cs="宋体"/>
          <w:b/>
          <w:sz w:val="24"/>
          <w:szCs w:val="24"/>
          <w:highlight w:val="none"/>
        </w:rPr>
      </w:pPr>
      <w:r>
        <w:rPr>
          <w:rFonts w:hint="eastAsia" w:hAnsi="宋体" w:cs="宋体"/>
          <w:b/>
          <w:sz w:val="24"/>
          <w:szCs w:val="24"/>
          <w:highlight w:val="none"/>
        </w:rPr>
        <w:t>项目编号：</w:t>
      </w:r>
    </w:p>
    <w:p w14:paraId="3CEED5C1">
      <w:pPr>
        <w:rPr>
          <w:highlight w:val="none"/>
        </w:rPr>
      </w:pPr>
      <w:r>
        <w:rPr>
          <w:rFonts w:hint="eastAsia" w:hAnsi="宋体" w:cs="宋体"/>
          <w:b/>
          <w:sz w:val="24"/>
          <w:highlight w:val="none"/>
        </w:rPr>
        <w:t>包号：</w:t>
      </w:r>
    </w:p>
    <w:tbl>
      <w:tblPr>
        <w:tblStyle w:val="41"/>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1"/>
        <w:gridCol w:w="5368"/>
      </w:tblGrid>
      <w:tr w14:paraId="02B9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51" w:type="dxa"/>
            <w:vAlign w:val="center"/>
          </w:tcPr>
          <w:p w14:paraId="318B332B">
            <w:pPr>
              <w:spacing w:line="460" w:lineRule="exact"/>
              <w:jc w:val="center"/>
              <w:rPr>
                <w:rFonts w:ascii="宋体" w:hAnsi="宋体" w:cs="宋体"/>
                <w:sz w:val="24"/>
                <w:highlight w:val="none"/>
              </w:rPr>
            </w:pPr>
            <w:r>
              <w:rPr>
                <w:rFonts w:hint="eastAsia" w:ascii="宋体" w:hAnsi="宋体" w:cs="宋体"/>
                <w:sz w:val="24"/>
                <w:highlight w:val="none"/>
              </w:rPr>
              <w:t>供应商名称</w:t>
            </w:r>
          </w:p>
        </w:tc>
        <w:tc>
          <w:tcPr>
            <w:tcW w:w="5368" w:type="dxa"/>
            <w:vAlign w:val="center"/>
          </w:tcPr>
          <w:p w14:paraId="4436BB3B">
            <w:pPr>
              <w:spacing w:line="460" w:lineRule="exact"/>
              <w:jc w:val="left"/>
              <w:rPr>
                <w:rFonts w:ascii="宋体" w:hAnsi="宋体" w:cs="宋体"/>
                <w:sz w:val="24"/>
                <w:highlight w:val="none"/>
              </w:rPr>
            </w:pPr>
          </w:p>
        </w:tc>
      </w:tr>
      <w:tr w14:paraId="207C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51" w:type="dxa"/>
            <w:vAlign w:val="center"/>
          </w:tcPr>
          <w:p w14:paraId="2906AF6B">
            <w:pPr>
              <w:spacing w:line="460" w:lineRule="exact"/>
              <w:jc w:val="center"/>
              <w:rPr>
                <w:rFonts w:ascii="宋体" w:hAnsi="宋体" w:cs="宋体"/>
                <w:sz w:val="24"/>
                <w:highlight w:val="none"/>
              </w:rPr>
            </w:pPr>
            <w:r>
              <w:rPr>
                <w:rFonts w:hint="eastAsia" w:ascii="宋体" w:hAnsi="宋体" w:cs="宋体"/>
                <w:sz w:val="24"/>
                <w:highlight w:val="none"/>
              </w:rPr>
              <w:t>投标总报价</w:t>
            </w:r>
          </w:p>
        </w:tc>
        <w:tc>
          <w:tcPr>
            <w:tcW w:w="5368" w:type="dxa"/>
            <w:vAlign w:val="center"/>
          </w:tcPr>
          <w:p w14:paraId="0084690E">
            <w:pPr>
              <w:spacing w:line="460" w:lineRule="exact"/>
              <w:jc w:val="left"/>
              <w:rPr>
                <w:rFonts w:ascii="宋体" w:hAnsi="宋体" w:cs="宋体"/>
                <w:sz w:val="24"/>
                <w:highlight w:val="none"/>
              </w:rPr>
            </w:pPr>
            <w:r>
              <w:rPr>
                <w:rFonts w:hint="eastAsia" w:ascii="宋体" w:hAnsi="宋体" w:cs="宋体"/>
                <w:sz w:val="24"/>
                <w:highlight w:val="none"/>
              </w:rPr>
              <w:t>大写：</w:t>
            </w:r>
          </w:p>
          <w:p w14:paraId="72BEE5A5">
            <w:pPr>
              <w:spacing w:line="460" w:lineRule="exact"/>
              <w:jc w:val="left"/>
              <w:rPr>
                <w:rFonts w:ascii="宋体" w:hAnsi="宋体" w:cs="宋体"/>
                <w:sz w:val="24"/>
                <w:highlight w:val="none"/>
              </w:rPr>
            </w:pPr>
            <w:r>
              <w:rPr>
                <w:rFonts w:hint="eastAsia" w:ascii="宋体" w:hAnsi="宋体" w:cs="宋体"/>
                <w:sz w:val="24"/>
                <w:highlight w:val="none"/>
              </w:rPr>
              <w:t>小写：</w:t>
            </w:r>
          </w:p>
        </w:tc>
      </w:tr>
      <w:tr w14:paraId="4224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72CBCDEF">
            <w:pPr>
              <w:spacing w:line="460" w:lineRule="exact"/>
              <w:jc w:val="center"/>
              <w:rPr>
                <w:rFonts w:ascii="宋体" w:hAnsi="宋体" w:cs="宋体"/>
                <w:sz w:val="24"/>
                <w:highlight w:val="none"/>
              </w:rPr>
            </w:pPr>
            <w:r>
              <w:rPr>
                <w:rFonts w:hint="eastAsia" w:ascii="宋体" w:hAnsi="宋体" w:cs="宋体"/>
                <w:sz w:val="24"/>
                <w:highlight w:val="none"/>
              </w:rPr>
              <w:t>合同履行期限</w:t>
            </w:r>
          </w:p>
        </w:tc>
        <w:tc>
          <w:tcPr>
            <w:tcW w:w="5368" w:type="dxa"/>
            <w:vAlign w:val="center"/>
          </w:tcPr>
          <w:p w14:paraId="0FA82F21">
            <w:pPr>
              <w:spacing w:line="460" w:lineRule="exact"/>
              <w:jc w:val="left"/>
              <w:rPr>
                <w:rFonts w:ascii="宋体" w:hAnsi="宋体" w:cs="宋体"/>
                <w:sz w:val="24"/>
                <w:highlight w:val="none"/>
              </w:rPr>
            </w:pPr>
          </w:p>
        </w:tc>
      </w:tr>
      <w:tr w14:paraId="3F53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191858A0">
            <w:pPr>
              <w:spacing w:line="460" w:lineRule="exact"/>
              <w:jc w:val="center"/>
              <w:rPr>
                <w:rFonts w:ascii="宋体" w:hAnsi="宋体" w:cs="宋体"/>
                <w:sz w:val="24"/>
                <w:highlight w:val="none"/>
              </w:rPr>
            </w:pPr>
            <w:r>
              <w:rPr>
                <w:rFonts w:hint="eastAsia" w:ascii="宋体" w:hAnsi="宋体" w:cs="宋体"/>
                <w:sz w:val="24"/>
                <w:highlight w:val="none"/>
              </w:rPr>
              <w:t>质量要求</w:t>
            </w:r>
          </w:p>
        </w:tc>
        <w:tc>
          <w:tcPr>
            <w:tcW w:w="5368" w:type="dxa"/>
            <w:vAlign w:val="center"/>
          </w:tcPr>
          <w:p w14:paraId="560CACF1">
            <w:pPr>
              <w:spacing w:line="460" w:lineRule="exact"/>
              <w:jc w:val="left"/>
              <w:rPr>
                <w:rFonts w:ascii="宋体" w:hAnsi="宋体" w:cs="宋体"/>
                <w:sz w:val="24"/>
                <w:highlight w:val="none"/>
              </w:rPr>
            </w:pPr>
          </w:p>
        </w:tc>
      </w:tr>
      <w:tr w14:paraId="711A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02DFCE14">
            <w:pPr>
              <w:spacing w:line="460" w:lineRule="exact"/>
              <w:jc w:val="center"/>
              <w:rPr>
                <w:rFonts w:ascii="宋体" w:hAnsi="宋体" w:cs="宋体"/>
                <w:sz w:val="24"/>
                <w:highlight w:val="none"/>
              </w:rPr>
            </w:pPr>
            <w:r>
              <w:rPr>
                <w:rFonts w:hint="eastAsia" w:ascii="宋体" w:hAnsi="宋体" w:cs="宋体"/>
                <w:sz w:val="24"/>
                <w:highlight w:val="none"/>
              </w:rPr>
              <w:t>质保期</w:t>
            </w:r>
          </w:p>
        </w:tc>
        <w:tc>
          <w:tcPr>
            <w:tcW w:w="5368" w:type="dxa"/>
            <w:vAlign w:val="center"/>
          </w:tcPr>
          <w:p w14:paraId="5EF17B7A">
            <w:pPr>
              <w:spacing w:line="460" w:lineRule="exact"/>
              <w:jc w:val="left"/>
              <w:rPr>
                <w:rFonts w:ascii="宋体" w:hAnsi="宋体" w:cs="宋体"/>
                <w:sz w:val="24"/>
                <w:highlight w:val="none"/>
              </w:rPr>
            </w:pPr>
          </w:p>
        </w:tc>
      </w:tr>
      <w:tr w14:paraId="41885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51" w:type="dxa"/>
            <w:vAlign w:val="center"/>
          </w:tcPr>
          <w:p w14:paraId="30801069">
            <w:pPr>
              <w:pStyle w:val="21"/>
              <w:spacing w:line="460" w:lineRule="exact"/>
              <w:jc w:val="center"/>
              <w:rPr>
                <w:rFonts w:hAnsi="宋体" w:cs="宋体"/>
                <w:sz w:val="24"/>
                <w:szCs w:val="24"/>
                <w:highlight w:val="none"/>
              </w:rPr>
            </w:pPr>
            <w:r>
              <w:rPr>
                <w:rFonts w:hint="eastAsia" w:hAnsi="宋体" w:cs="宋体"/>
                <w:sz w:val="24"/>
                <w:szCs w:val="24"/>
                <w:highlight w:val="none"/>
              </w:rPr>
              <w:t>投标保证金</w:t>
            </w:r>
          </w:p>
        </w:tc>
        <w:tc>
          <w:tcPr>
            <w:tcW w:w="5368" w:type="dxa"/>
            <w:vAlign w:val="center"/>
          </w:tcPr>
          <w:p w14:paraId="3C025BCB">
            <w:pPr>
              <w:spacing w:line="460" w:lineRule="exact"/>
              <w:jc w:val="left"/>
              <w:rPr>
                <w:rFonts w:ascii="宋体" w:hAnsi="宋体" w:cs="宋体"/>
                <w:sz w:val="24"/>
                <w:highlight w:val="none"/>
              </w:rPr>
            </w:pPr>
          </w:p>
        </w:tc>
      </w:tr>
      <w:tr w14:paraId="000F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8419" w:type="dxa"/>
            <w:gridSpan w:val="2"/>
            <w:vAlign w:val="center"/>
          </w:tcPr>
          <w:p w14:paraId="269D6A9B">
            <w:pPr>
              <w:spacing w:line="460" w:lineRule="exact"/>
              <w:jc w:val="left"/>
              <w:rPr>
                <w:rFonts w:ascii="宋体" w:hAnsi="宋体" w:cs="宋体"/>
                <w:sz w:val="24"/>
                <w:highlight w:val="none"/>
                <w:u w:val="single"/>
              </w:rPr>
            </w:pPr>
            <w:r>
              <w:rPr>
                <w:rFonts w:hint="eastAsia" w:ascii="宋体" w:hAnsi="宋体" w:cs="宋体"/>
                <w:sz w:val="24"/>
                <w:highlight w:val="none"/>
              </w:rPr>
              <w:t>备注</w:t>
            </w:r>
          </w:p>
        </w:tc>
      </w:tr>
    </w:tbl>
    <w:p w14:paraId="6D5F8B3F">
      <w:pPr>
        <w:tabs>
          <w:tab w:val="left" w:pos="6660"/>
        </w:tabs>
        <w:spacing w:line="500" w:lineRule="exact"/>
        <w:rPr>
          <w:rFonts w:ascii="宋体" w:hAnsi="宋体" w:cs="宋体"/>
          <w:b/>
          <w:bCs/>
          <w:sz w:val="24"/>
          <w:highlight w:val="none"/>
        </w:rPr>
      </w:pPr>
      <w:r>
        <w:rPr>
          <w:rFonts w:hint="eastAsia" w:ascii="宋体" w:hAnsi="宋体" w:cs="宋体"/>
          <w:b/>
          <w:bCs/>
          <w:sz w:val="24"/>
          <w:highlight w:val="none"/>
        </w:rPr>
        <w:t>注：本表还须放在投标文件封面后第一页，并不得对格式做任何更改。</w:t>
      </w:r>
    </w:p>
    <w:p w14:paraId="056DE408">
      <w:pPr>
        <w:ind w:firstLine="465"/>
        <w:jc w:val="left"/>
        <w:rPr>
          <w:rFonts w:ascii="宋体" w:hAnsi="宋体" w:cs="宋体"/>
          <w:sz w:val="24"/>
          <w:highlight w:val="none"/>
        </w:rPr>
      </w:pPr>
    </w:p>
    <w:p w14:paraId="63D1B6A2">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7F5859BC">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7B778F48">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34C0C574">
      <w:pPr>
        <w:pStyle w:val="21"/>
        <w:spacing w:line="460" w:lineRule="exact"/>
        <w:rPr>
          <w:rFonts w:hAnsi="宋体" w:cs="宋体"/>
          <w:sz w:val="24"/>
          <w:szCs w:val="24"/>
          <w:highlight w:val="none"/>
        </w:rPr>
      </w:pPr>
      <w:r>
        <w:rPr>
          <w:rFonts w:hint="eastAsia" w:hAnsi="宋体" w:cs="宋体"/>
          <w:sz w:val="24"/>
          <w:szCs w:val="24"/>
          <w:highlight w:val="none"/>
        </w:rPr>
        <w:t>注：</w:t>
      </w:r>
    </w:p>
    <w:p w14:paraId="6263B633">
      <w:pPr>
        <w:pStyle w:val="21"/>
        <w:spacing w:line="460" w:lineRule="exact"/>
        <w:rPr>
          <w:rFonts w:hAnsi="宋体" w:cs="宋体"/>
          <w:sz w:val="24"/>
          <w:szCs w:val="24"/>
          <w:highlight w:val="none"/>
        </w:rPr>
      </w:pPr>
      <w:r>
        <w:rPr>
          <w:rFonts w:hint="eastAsia" w:hAnsi="宋体" w:cs="宋体"/>
          <w:sz w:val="24"/>
          <w:szCs w:val="24"/>
          <w:highlight w:val="none"/>
        </w:rPr>
        <w:t>1.总价金额与按单价汇总金额不一致的，以单价金额计算结果为准；</w:t>
      </w:r>
    </w:p>
    <w:p w14:paraId="2651B22C">
      <w:pPr>
        <w:pStyle w:val="21"/>
        <w:spacing w:line="460" w:lineRule="exact"/>
        <w:rPr>
          <w:rFonts w:hAnsi="宋体" w:cs="宋体"/>
          <w:sz w:val="24"/>
          <w:szCs w:val="24"/>
          <w:highlight w:val="none"/>
        </w:rPr>
      </w:pPr>
      <w:r>
        <w:rPr>
          <w:rFonts w:hint="eastAsia" w:hAnsi="宋体" w:cs="宋体"/>
          <w:sz w:val="24"/>
          <w:szCs w:val="24"/>
          <w:highlight w:val="none"/>
        </w:rPr>
        <w:t>2.如果供应商认为有应当说明而本表中无相应栏目的内容，请在“备注”一栏中说明。</w:t>
      </w:r>
    </w:p>
    <w:p w14:paraId="272D0E30">
      <w:pPr>
        <w:pStyle w:val="21"/>
        <w:spacing w:line="460" w:lineRule="exact"/>
        <w:rPr>
          <w:rFonts w:hAnsi="宋体" w:cs="宋体"/>
          <w:sz w:val="24"/>
          <w:szCs w:val="24"/>
          <w:highlight w:val="none"/>
        </w:rPr>
      </w:pPr>
      <w:r>
        <w:rPr>
          <w:rFonts w:hint="eastAsia" w:hAnsi="宋体" w:cs="宋体"/>
          <w:sz w:val="24"/>
          <w:szCs w:val="24"/>
          <w:highlight w:val="none"/>
        </w:rPr>
        <w:t>3.表中“投标报价”应与格式2“投标函”中“投标报价”一致。</w:t>
      </w:r>
    </w:p>
    <w:p w14:paraId="068616DE">
      <w:pPr>
        <w:pStyle w:val="125"/>
        <w:spacing w:beforeAutospacing="0" w:after="0" w:afterAutospacing="0" w:line="460" w:lineRule="exact"/>
        <w:rPr>
          <w:rFonts w:cs="宋体"/>
          <w:highlight w:val="none"/>
        </w:rPr>
      </w:pPr>
    </w:p>
    <w:p w14:paraId="6127E470">
      <w:pPr>
        <w:pStyle w:val="124"/>
        <w:spacing w:line="500" w:lineRule="exact"/>
        <w:jc w:val="left"/>
        <w:rPr>
          <w:rFonts w:ascii="宋体" w:hAnsi="宋体" w:cs="宋体"/>
          <w:b/>
          <w:bCs/>
          <w:sz w:val="28"/>
          <w:szCs w:val="28"/>
          <w:highlight w:val="none"/>
        </w:rPr>
      </w:pPr>
      <w:r>
        <w:rPr>
          <w:rFonts w:hint="eastAsia"/>
          <w:sz w:val="32"/>
          <w:szCs w:val="32"/>
          <w:highlight w:val="none"/>
        </w:rPr>
        <w:br w:type="page"/>
      </w:r>
    </w:p>
    <w:p w14:paraId="527399D1">
      <w:pPr>
        <w:pStyle w:val="5"/>
        <w:numPr>
          <w:ilvl w:val="0"/>
          <w:numId w:val="0"/>
        </w:numPr>
        <w:tabs>
          <w:tab w:val="left" w:pos="1021"/>
          <w:tab w:val="clear" w:pos="900"/>
        </w:tabs>
        <w:jc w:val="center"/>
        <w:rPr>
          <w:rFonts w:eastAsia="宋体"/>
          <w:sz w:val="32"/>
          <w:szCs w:val="32"/>
          <w:highlight w:val="none"/>
        </w:rPr>
      </w:pPr>
      <w:r>
        <w:rPr>
          <w:rFonts w:hint="eastAsia" w:eastAsia="宋体"/>
          <w:sz w:val="32"/>
          <w:szCs w:val="32"/>
          <w:highlight w:val="none"/>
        </w:rPr>
        <w:t>（二）投标函</w:t>
      </w:r>
    </w:p>
    <w:p w14:paraId="37E0CDCE">
      <w:pPr>
        <w:pStyle w:val="21"/>
        <w:spacing w:line="440" w:lineRule="exact"/>
        <w:rPr>
          <w:rFonts w:hAnsi="宋体" w:cs="宋体"/>
          <w:sz w:val="24"/>
          <w:szCs w:val="24"/>
          <w:highlight w:val="none"/>
        </w:rPr>
      </w:pPr>
      <w:r>
        <w:rPr>
          <w:rFonts w:hint="eastAsia" w:hAnsi="宋体" w:cs="宋体"/>
          <w:sz w:val="24"/>
          <w:szCs w:val="24"/>
          <w:highlight w:val="none"/>
        </w:rPr>
        <w:t>致：</w:t>
      </w:r>
      <w:r>
        <w:rPr>
          <w:rFonts w:hint="eastAsia" w:hAnsi="宋体" w:cs="宋体"/>
          <w:sz w:val="24"/>
          <w:szCs w:val="24"/>
          <w:highlight w:val="none"/>
          <w:u w:val="single"/>
        </w:rPr>
        <w:t>（采购人名称）</w:t>
      </w:r>
    </w:p>
    <w:p w14:paraId="46441A5F">
      <w:pPr>
        <w:pStyle w:val="21"/>
        <w:spacing w:line="440" w:lineRule="exact"/>
        <w:ind w:firstLine="482"/>
        <w:rPr>
          <w:rFonts w:hAnsi="宋体" w:cs="宋体"/>
          <w:sz w:val="24"/>
          <w:szCs w:val="24"/>
          <w:highlight w:val="none"/>
        </w:rPr>
      </w:pPr>
      <w:r>
        <w:rPr>
          <w:rFonts w:hint="eastAsia" w:hAnsi="宋体" w:cs="宋体"/>
          <w:sz w:val="24"/>
          <w:szCs w:val="24"/>
          <w:highlight w:val="none"/>
        </w:rPr>
        <w:t>我方仔细研究了</w:t>
      </w:r>
      <w:r>
        <w:rPr>
          <w:rFonts w:hint="eastAsia" w:hAnsi="宋体" w:cs="宋体"/>
          <w:sz w:val="24"/>
          <w:szCs w:val="24"/>
          <w:highlight w:val="none"/>
          <w:u w:val="single"/>
          <w:lang w:eastAsia="zh-CN"/>
        </w:rPr>
        <w:t>玉溪职业技术学院（云南省玉溪工业财贸学校）人工智能赋能医药康养专业群建设项目</w:t>
      </w:r>
      <w:r>
        <w:rPr>
          <w:rFonts w:hint="eastAsia" w:hAnsi="宋体" w:cs="宋体"/>
          <w:sz w:val="24"/>
          <w:szCs w:val="24"/>
          <w:highlight w:val="none"/>
          <w:u w:val="single"/>
        </w:rPr>
        <w:t xml:space="preserve">   包</w:t>
      </w:r>
      <w:r>
        <w:rPr>
          <w:rFonts w:hint="eastAsia" w:hAnsi="宋体" w:cs="宋体"/>
          <w:sz w:val="24"/>
          <w:szCs w:val="24"/>
          <w:highlight w:val="none"/>
        </w:rPr>
        <w:t>（项目编号：</w:t>
      </w:r>
      <w:r>
        <w:rPr>
          <w:rFonts w:hint="eastAsia" w:hAnsi="宋体" w:cs="宋体"/>
          <w:sz w:val="24"/>
          <w:szCs w:val="24"/>
          <w:highlight w:val="none"/>
          <w:u w:val="single"/>
        </w:rPr>
        <w:t xml:space="preserve">             </w:t>
      </w:r>
      <w:r>
        <w:rPr>
          <w:rFonts w:hint="eastAsia" w:hAnsi="宋体" w:cs="宋体"/>
          <w:sz w:val="24"/>
          <w:szCs w:val="24"/>
          <w:highlight w:val="none"/>
        </w:rPr>
        <w:t>）项目招标文件的全部内容，正式授权下述签字人</w:t>
      </w:r>
      <w:r>
        <w:rPr>
          <w:rFonts w:hint="eastAsia" w:hAnsi="宋体" w:cs="宋体"/>
          <w:sz w:val="24"/>
          <w:szCs w:val="24"/>
          <w:highlight w:val="none"/>
          <w:u w:val="single"/>
        </w:rPr>
        <w:t>（姓名和职务）</w:t>
      </w:r>
      <w:r>
        <w:rPr>
          <w:rFonts w:hint="eastAsia" w:hAnsi="宋体" w:cs="宋体"/>
          <w:sz w:val="24"/>
          <w:szCs w:val="24"/>
          <w:highlight w:val="none"/>
        </w:rPr>
        <w:t>全权代表供应商</w:t>
      </w:r>
      <w:r>
        <w:rPr>
          <w:rFonts w:hint="eastAsia" w:hAnsi="宋体" w:cs="宋体"/>
          <w:sz w:val="24"/>
          <w:szCs w:val="24"/>
          <w:highlight w:val="none"/>
          <w:u w:val="single"/>
        </w:rPr>
        <w:t>（供应商全称）</w:t>
      </w:r>
      <w:r>
        <w:rPr>
          <w:rFonts w:hint="eastAsia" w:hAnsi="宋体" w:cs="宋体"/>
          <w:sz w:val="24"/>
          <w:szCs w:val="24"/>
          <w:highlight w:val="none"/>
        </w:rPr>
        <w:t>参加投标，并提交投标文件。</w:t>
      </w:r>
    </w:p>
    <w:p w14:paraId="3DB493BE">
      <w:pPr>
        <w:pStyle w:val="21"/>
        <w:spacing w:line="440" w:lineRule="exact"/>
        <w:ind w:firstLine="420"/>
        <w:rPr>
          <w:rFonts w:hAnsi="宋体" w:cs="宋体"/>
          <w:sz w:val="24"/>
          <w:szCs w:val="24"/>
          <w:highlight w:val="none"/>
        </w:rPr>
      </w:pPr>
      <w:r>
        <w:rPr>
          <w:rFonts w:hint="eastAsia" w:hAnsi="宋体" w:cs="宋体"/>
          <w:sz w:val="24"/>
          <w:szCs w:val="24"/>
          <w:highlight w:val="none"/>
        </w:rPr>
        <w:t>据此函，签字人兹宣布同意如下：</w:t>
      </w:r>
    </w:p>
    <w:p w14:paraId="5394A2B5">
      <w:pPr>
        <w:pStyle w:val="21"/>
        <w:wordWrap w:val="0"/>
        <w:spacing w:line="440" w:lineRule="exact"/>
        <w:ind w:firstLine="468" w:firstLineChars="195"/>
        <w:rPr>
          <w:rFonts w:hAnsi="宋体" w:cs="宋体"/>
          <w:sz w:val="24"/>
          <w:szCs w:val="24"/>
          <w:highlight w:val="none"/>
        </w:rPr>
      </w:pPr>
      <w:r>
        <w:rPr>
          <w:rFonts w:hint="eastAsia" w:hAnsi="宋体" w:cs="宋体"/>
          <w:sz w:val="24"/>
          <w:szCs w:val="24"/>
          <w:highlight w:val="none"/>
        </w:rPr>
        <w:t>1.按招标文件技术规范和服务要求，我方投标总报价：大写：</w:t>
      </w:r>
      <w:r>
        <w:rPr>
          <w:rFonts w:hint="eastAsia" w:hAnsi="宋体" w:cs="宋体"/>
          <w:sz w:val="24"/>
          <w:szCs w:val="24"/>
          <w:highlight w:val="none"/>
          <w:u w:val="single"/>
        </w:rPr>
        <w:t xml:space="preserve">     </w:t>
      </w:r>
      <w:r>
        <w:rPr>
          <w:rFonts w:hint="eastAsia" w:hAnsi="宋体" w:cs="宋体"/>
          <w:sz w:val="24"/>
          <w:szCs w:val="24"/>
          <w:highlight w:val="none"/>
        </w:rPr>
        <w:t>（小写：</w:t>
      </w:r>
      <w:r>
        <w:rPr>
          <w:rFonts w:hint="eastAsia" w:hAnsi="宋体" w:cs="宋体"/>
          <w:sz w:val="24"/>
          <w:szCs w:val="24"/>
          <w:highlight w:val="none"/>
          <w:u w:val="single"/>
        </w:rPr>
        <w:t xml:space="preserve">     </w:t>
      </w:r>
      <w:r>
        <w:rPr>
          <w:rFonts w:hint="eastAsia" w:hAnsi="宋体" w:cs="宋体"/>
          <w:sz w:val="24"/>
          <w:szCs w:val="24"/>
          <w:highlight w:val="none"/>
        </w:rPr>
        <w:t>），合同履行期限：</w:t>
      </w:r>
      <w:r>
        <w:rPr>
          <w:rFonts w:hint="eastAsia" w:hAnsi="宋体" w:cs="宋体"/>
          <w:sz w:val="24"/>
          <w:szCs w:val="24"/>
          <w:highlight w:val="none"/>
          <w:u w:val="single"/>
        </w:rPr>
        <w:t xml:space="preserve">                </w:t>
      </w:r>
      <w:r>
        <w:rPr>
          <w:rFonts w:hint="eastAsia" w:hAnsi="宋体" w:cs="宋体"/>
          <w:sz w:val="24"/>
          <w:szCs w:val="24"/>
          <w:highlight w:val="none"/>
        </w:rPr>
        <w:t>，质量要求：</w:t>
      </w:r>
      <w:r>
        <w:rPr>
          <w:rFonts w:hint="eastAsia" w:hAnsi="宋体" w:cs="宋体"/>
          <w:sz w:val="24"/>
          <w:szCs w:val="24"/>
          <w:highlight w:val="none"/>
          <w:u w:val="single"/>
        </w:rPr>
        <w:t xml:space="preserve">                </w:t>
      </w:r>
      <w:r>
        <w:rPr>
          <w:rFonts w:hint="eastAsia" w:hAnsi="宋体" w:cs="宋体"/>
          <w:sz w:val="24"/>
          <w:szCs w:val="24"/>
          <w:highlight w:val="none"/>
        </w:rPr>
        <w:t>。</w:t>
      </w:r>
      <w:r>
        <w:rPr>
          <w:rFonts w:hint="eastAsia" w:hAnsi="宋体" w:cs="宋体"/>
          <w:sz w:val="24"/>
          <w:szCs w:val="24"/>
          <w:highlight w:val="none"/>
          <w:u w:val="single"/>
        </w:rPr>
        <w:t xml:space="preserve">               </w:t>
      </w:r>
    </w:p>
    <w:p w14:paraId="0832ECEC">
      <w:pPr>
        <w:pStyle w:val="21"/>
        <w:spacing w:line="440" w:lineRule="exact"/>
        <w:ind w:firstLine="420"/>
        <w:rPr>
          <w:rFonts w:hAnsi="宋体" w:cs="宋体"/>
          <w:spacing w:val="-10"/>
          <w:sz w:val="24"/>
          <w:szCs w:val="24"/>
          <w:highlight w:val="none"/>
        </w:rPr>
      </w:pPr>
      <w:r>
        <w:rPr>
          <w:rFonts w:hint="eastAsia" w:hAnsi="宋体" w:cs="宋体"/>
          <w:sz w:val="24"/>
          <w:szCs w:val="24"/>
          <w:highlight w:val="none"/>
        </w:rPr>
        <w:t>2.</w:t>
      </w:r>
      <w:r>
        <w:rPr>
          <w:rFonts w:hint="eastAsia" w:hAnsi="宋体" w:cs="宋体"/>
          <w:spacing w:val="-10"/>
          <w:sz w:val="24"/>
          <w:szCs w:val="24"/>
          <w:highlight w:val="none"/>
        </w:rPr>
        <w:t>我方已详细审查招标文件及相关文件全部内容，包括</w:t>
      </w:r>
      <w:r>
        <w:rPr>
          <w:rFonts w:hint="eastAsia" w:hAnsi="宋体" w:cs="宋体"/>
          <w:spacing w:val="-10"/>
          <w:sz w:val="24"/>
          <w:szCs w:val="24"/>
          <w:highlight w:val="none"/>
          <w:u w:val="single"/>
        </w:rPr>
        <w:t>（澄清文件）（如有）</w:t>
      </w:r>
      <w:r>
        <w:rPr>
          <w:rFonts w:hint="eastAsia" w:hAnsi="宋体" w:cs="宋体"/>
          <w:spacing w:val="-10"/>
          <w:sz w:val="24"/>
          <w:szCs w:val="24"/>
          <w:highlight w:val="none"/>
        </w:rPr>
        <w:t>。我方完全理解招标文件及相关文件要求，并承担对这方面有不明及误解的后果。</w:t>
      </w:r>
    </w:p>
    <w:p w14:paraId="24B7D42E">
      <w:pPr>
        <w:pStyle w:val="21"/>
        <w:spacing w:line="440" w:lineRule="exact"/>
        <w:ind w:firstLine="420"/>
        <w:rPr>
          <w:rFonts w:hAnsi="宋体" w:cs="宋体"/>
          <w:sz w:val="24"/>
          <w:szCs w:val="24"/>
          <w:highlight w:val="none"/>
        </w:rPr>
      </w:pPr>
      <w:r>
        <w:rPr>
          <w:rFonts w:hint="eastAsia" w:hAnsi="宋体" w:cs="宋体"/>
          <w:sz w:val="24"/>
          <w:szCs w:val="24"/>
          <w:highlight w:val="none"/>
        </w:rPr>
        <w:t>3.在供应商须知规定的开标日期起遵循本投标文件，并在供应商须知第3.3.1条规定的投标文件有效期满之前均具有约束力。</w:t>
      </w:r>
    </w:p>
    <w:p w14:paraId="3B53B643">
      <w:pPr>
        <w:pStyle w:val="21"/>
        <w:spacing w:line="440" w:lineRule="exact"/>
        <w:ind w:firstLine="420"/>
        <w:rPr>
          <w:rFonts w:hAnsi="宋体" w:cs="宋体"/>
          <w:sz w:val="24"/>
          <w:szCs w:val="24"/>
          <w:highlight w:val="none"/>
        </w:rPr>
      </w:pPr>
      <w:bookmarkStart w:id="190" w:name="_Toc20958"/>
      <w:r>
        <w:rPr>
          <w:rFonts w:hint="eastAsia" w:hAnsi="宋体" w:cs="宋体"/>
          <w:sz w:val="24"/>
          <w:szCs w:val="24"/>
          <w:highlight w:val="none"/>
        </w:rPr>
        <w:t>4.同意招标文件中关于没收投标保证金的规定。</w:t>
      </w:r>
      <w:bookmarkEnd w:id="190"/>
    </w:p>
    <w:p w14:paraId="1584021B">
      <w:pPr>
        <w:pStyle w:val="21"/>
        <w:spacing w:line="440" w:lineRule="exact"/>
        <w:ind w:firstLine="420"/>
        <w:rPr>
          <w:rFonts w:hAnsi="宋体" w:cs="宋体"/>
          <w:sz w:val="24"/>
          <w:szCs w:val="24"/>
          <w:highlight w:val="none"/>
        </w:rPr>
      </w:pPr>
      <w:r>
        <w:rPr>
          <w:rFonts w:hint="eastAsia" w:hAnsi="宋体" w:cs="宋体"/>
          <w:sz w:val="24"/>
          <w:szCs w:val="24"/>
          <w:highlight w:val="none"/>
        </w:rPr>
        <w:t>5.同意应贵方要求提供与本次投标有关的任何数据或资料，并保证数据和资料的完整性和真实性。</w:t>
      </w:r>
    </w:p>
    <w:p w14:paraId="04519084">
      <w:pPr>
        <w:pStyle w:val="21"/>
        <w:spacing w:line="440" w:lineRule="exact"/>
        <w:ind w:firstLine="420"/>
        <w:rPr>
          <w:rFonts w:hAnsi="宋体" w:cs="宋体"/>
          <w:sz w:val="24"/>
          <w:szCs w:val="24"/>
          <w:highlight w:val="none"/>
        </w:rPr>
      </w:pPr>
      <w:r>
        <w:rPr>
          <w:rFonts w:hint="eastAsia" w:hAnsi="宋体" w:cs="宋体"/>
          <w:sz w:val="24"/>
          <w:szCs w:val="24"/>
          <w:highlight w:val="none"/>
        </w:rPr>
        <w:t>6.完全理解贵方不一定要接受最低报价的供应商为中标供应商的行为。</w:t>
      </w:r>
    </w:p>
    <w:p w14:paraId="4821CF1A">
      <w:pPr>
        <w:pStyle w:val="21"/>
        <w:spacing w:line="440" w:lineRule="exact"/>
        <w:ind w:firstLine="420"/>
        <w:rPr>
          <w:rFonts w:hAnsi="宋体" w:cs="宋体"/>
          <w:sz w:val="24"/>
          <w:szCs w:val="24"/>
          <w:highlight w:val="none"/>
        </w:rPr>
      </w:pPr>
      <w:bookmarkStart w:id="191" w:name="_Toc30218"/>
      <w:r>
        <w:rPr>
          <w:rFonts w:hint="eastAsia" w:hAnsi="宋体" w:cs="宋体"/>
          <w:sz w:val="24"/>
          <w:szCs w:val="24"/>
          <w:highlight w:val="none"/>
        </w:rPr>
        <w:t>7.如我方中标：</w:t>
      </w:r>
      <w:bookmarkEnd w:id="191"/>
    </w:p>
    <w:p w14:paraId="5412E64B">
      <w:pPr>
        <w:pStyle w:val="21"/>
        <w:spacing w:line="440" w:lineRule="exact"/>
        <w:ind w:firstLine="420"/>
        <w:rPr>
          <w:rFonts w:hAnsi="宋体" w:cs="宋体"/>
          <w:sz w:val="24"/>
          <w:szCs w:val="24"/>
          <w:highlight w:val="none"/>
        </w:rPr>
      </w:pPr>
      <w:r>
        <w:rPr>
          <w:rFonts w:hint="eastAsia" w:hAnsi="宋体" w:cs="宋体"/>
          <w:sz w:val="24"/>
          <w:szCs w:val="24"/>
          <w:highlight w:val="none"/>
        </w:rPr>
        <w:t>我方承诺在收到中标通知书后，在中标通知书规定的期限内与你方签订合同，并履行相应的合同责任和义务。</w:t>
      </w:r>
    </w:p>
    <w:p w14:paraId="7419C0E1">
      <w:pPr>
        <w:pStyle w:val="21"/>
        <w:spacing w:line="440" w:lineRule="exact"/>
        <w:ind w:firstLine="420"/>
        <w:rPr>
          <w:rFonts w:hAnsi="宋体" w:cs="宋体"/>
          <w:sz w:val="24"/>
          <w:szCs w:val="24"/>
          <w:highlight w:val="none"/>
        </w:rPr>
      </w:pPr>
      <w:r>
        <w:rPr>
          <w:rFonts w:hint="eastAsia" w:hAnsi="宋体" w:cs="宋体"/>
          <w:sz w:val="24"/>
          <w:szCs w:val="24"/>
          <w:highlight w:val="none"/>
        </w:rPr>
        <w:t>8.我方在此声明，所递交的投标文件及有关资料内容完整、真实和准确。</w:t>
      </w:r>
    </w:p>
    <w:p w14:paraId="1B097EB0">
      <w:pPr>
        <w:pStyle w:val="21"/>
        <w:spacing w:line="440" w:lineRule="exact"/>
        <w:ind w:firstLine="420"/>
        <w:rPr>
          <w:rFonts w:hAnsi="宋体" w:cs="宋体"/>
          <w:sz w:val="24"/>
          <w:szCs w:val="24"/>
          <w:highlight w:val="none"/>
        </w:rPr>
      </w:pPr>
      <w:r>
        <w:rPr>
          <w:rFonts w:hint="eastAsia" w:hAnsi="宋体" w:cs="宋体"/>
          <w:sz w:val="24"/>
          <w:szCs w:val="24"/>
          <w:highlight w:val="none"/>
        </w:rPr>
        <w:t>9.（其他补充说明）。</w:t>
      </w:r>
    </w:p>
    <w:p w14:paraId="564DDEA8">
      <w:pPr>
        <w:pStyle w:val="21"/>
        <w:spacing w:line="440" w:lineRule="exact"/>
        <w:ind w:firstLine="420"/>
        <w:rPr>
          <w:rFonts w:hAnsi="宋体" w:cs="宋体"/>
          <w:sz w:val="24"/>
          <w:szCs w:val="24"/>
          <w:highlight w:val="none"/>
        </w:rPr>
      </w:pPr>
      <w:r>
        <w:rPr>
          <w:rFonts w:hint="eastAsia" w:hAnsi="宋体" w:cs="宋体"/>
          <w:sz w:val="24"/>
          <w:szCs w:val="24"/>
          <w:highlight w:val="none"/>
        </w:rPr>
        <w:t>与本投标有关的正式通讯地址为：</w:t>
      </w:r>
    </w:p>
    <w:p w14:paraId="0463C021">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供应商地址：</w:t>
      </w:r>
    </w:p>
    <w:p w14:paraId="01CE7773">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邮政编码：</w:t>
      </w:r>
    </w:p>
    <w:p w14:paraId="68C938DD">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电话：</w:t>
      </w:r>
    </w:p>
    <w:p w14:paraId="0A975813">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开户名称：</w:t>
      </w:r>
    </w:p>
    <w:p w14:paraId="6B1A7697">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开户银行：</w:t>
      </w:r>
    </w:p>
    <w:p w14:paraId="714466B4">
      <w:pPr>
        <w:pStyle w:val="21"/>
        <w:spacing w:line="440" w:lineRule="exact"/>
        <w:ind w:firstLine="420"/>
        <w:rPr>
          <w:rFonts w:hAnsi="宋体" w:cs="宋体"/>
          <w:sz w:val="24"/>
          <w:szCs w:val="24"/>
          <w:highlight w:val="none"/>
        </w:rPr>
      </w:pPr>
      <w:r>
        <w:rPr>
          <w:rFonts w:hint="eastAsia" w:hAnsi="宋体" w:cs="宋体"/>
          <w:sz w:val="24"/>
          <w:szCs w:val="24"/>
          <w:highlight w:val="none"/>
        </w:rPr>
        <w:t>账号：</w:t>
      </w:r>
    </w:p>
    <w:p w14:paraId="6824FE4D">
      <w:pPr>
        <w:pStyle w:val="21"/>
        <w:spacing w:line="440" w:lineRule="exact"/>
        <w:ind w:firstLine="420"/>
        <w:rPr>
          <w:rFonts w:hAnsi="宋体" w:cs="宋体"/>
          <w:sz w:val="24"/>
          <w:szCs w:val="24"/>
          <w:highlight w:val="none"/>
          <w:u w:val="single"/>
        </w:rPr>
      </w:pPr>
      <w:r>
        <w:rPr>
          <w:rFonts w:hint="eastAsia" w:hAnsi="宋体" w:cs="宋体"/>
          <w:sz w:val="24"/>
          <w:szCs w:val="24"/>
          <w:highlight w:val="none"/>
        </w:rPr>
        <w:t>供应商（盖单位公章或电子签章）：</w:t>
      </w:r>
    </w:p>
    <w:p w14:paraId="6E3CB400">
      <w:pPr>
        <w:pStyle w:val="21"/>
        <w:spacing w:line="440" w:lineRule="exact"/>
        <w:ind w:firstLine="420"/>
        <w:rPr>
          <w:rFonts w:hAnsi="宋体" w:cs="宋体"/>
          <w:sz w:val="24"/>
          <w:szCs w:val="24"/>
          <w:highlight w:val="none"/>
        </w:rPr>
      </w:pPr>
      <w:r>
        <w:rPr>
          <w:rFonts w:hint="eastAsia" w:hAnsi="宋体" w:cs="宋体"/>
          <w:sz w:val="24"/>
          <w:szCs w:val="24"/>
          <w:highlight w:val="none"/>
        </w:rPr>
        <w:t>法定代表人（</w:t>
      </w:r>
      <w:r>
        <w:rPr>
          <w:rFonts w:hint="eastAsia" w:hAnsi="宋体" w:cs="宋体"/>
          <w:sz w:val="24"/>
          <w:highlight w:val="none"/>
        </w:rPr>
        <w:t>签字或电子签章</w:t>
      </w:r>
      <w:r>
        <w:rPr>
          <w:rFonts w:hint="eastAsia" w:hAnsi="宋体" w:cs="宋体"/>
          <w:sz w:val="24"/>
          <w:szCs w:val="24"/>
          <w:highlight w:val="none"/>
        </w:rPr>
        <w:t>）：</w:t>
      </w:r>
    </w:p>
    <w:p w14:paraId="29D250A6">
      <w:pPr>
        <w:pStyle w:val="21"/>
        <w:spacing w:line="440" w:lineRule="exact"/>
        <w:ind w:firstLine="420"/>
        <w:rPr>
          <w:rFonts w:hAnsi="宋体" w:cs="宋体"/>
          <w:sz w:val="24"/>
          <w:szCs w:val="24"/>
          <w:highlight w:val="none"/>
        </w:rPr>
      </w:pPr>
      <w:r>
        <w:rPr>
          <w:rFonts w:hint="eastAsia" w:hAnsi="宋体" w:cs="宋体"/>
          <w:sz w:val="24"/>
          <w:szCs w:val="24"/>
          <w:highlight w:val="none"/>
        </w:rPr>
        <w:t>日期：</w:t>
      </w:r>
    </w:p>
    <w:p w14:paraId="046CB278">
      <w:pPr>
        <w:pStyle w:val="124"/>
        <w:spacing w:line="500" w:lineRule="exact"/>
        <w:jc w:val="center"/>
        <w:rPr>
          <w:rFonts w:ascii="宋体" w:hAnsi="宋体" w:cs="宋体"/>
          <w:b/>
          <w:bCs/>
          <w:sz w:val="28"/>
          <w:szCs w:val="28"/>
          <w:highlight w:val="none"/>
        </w:rPr>
      </w:pPr>
    </w:p>
    <w:p w14:paraId="31C29E8C">
      <w:pPr>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590767FB">
      <w:pPr>
        <w:pStyle w:val="124"/>
        <w:spacing w:line="500" w:lineRule="exact"/>
        <w:jc w:val="center"/>
        <w:outlineLvl w:val="2"/>
        <w:rPr>
          <w:rFonts w:ascii="宋体" w:hAnsi="宋体" w:cs="宋体"/>
          <w:b/>
          <w:bCs/>
          <w:sz w:val="28"/>
          <w:szCs w:val="28"/>
          <w:highlight w:val="none"/>
        </w:rPr>
      </w:pPr>
      <w:r>
        <w:rPr>
          <w:rFonts w:hint="eastAsia" w:ascii="宋体" w:hAnsi="宋体" w:cs="宋体"/>
          <w:b/>
          <w:bCs/>
          <w:sz w:val="28"/>
          <w:szCs w:val="28"/>
          <w:highlight w:val="none"/>
        </w:rPr>
        <w:t>（三）投标报价明细表</w:t>
      </w:r>
    </w:p>
    <w:p w14:paraId="0C2CDF7B">
      <w:pPr>
        <w:pStyle w:val="124"/>
        <w:spacing w:line="500" w:lineRule="exact"/>
        <w:jc w:val="center"/>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玉溪职业技术学院（云南省玉溪工业财贸学校）人工智能赋能医药康养专业群建设项目</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包</w:t>
      </w:r>
    </w:p>
    <w:p w14:paraId="30861640">
      <w:pPr>
        <w:pStyle w:val="124"/>
        <w:spacing w:line="500" w:lineRule="exact"/>
        <w:jc w:val="center"/>
        <w:outlineLvl w:val="9"/>
        <w:rPr>
          <w:rFonts w:asciiTheme="minorEastAsia" w:hAnsiTheme="minorEastAsia" w:eastAsiaTheme="minorEastAsia" w:cstheme="minorEastAsia"/>
          <w:sz w:val="28"/>
          <w:szCs w:val="28"/>
          <w:highlight w:val="none"/>
        </w:rPr>
      </w:pPr>
    </w:p>
    <w:tbl>
      <w:tblPr>
        <w:tblStyle w:val="41"/>
        <w:tblW w:w="1011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1"/>
        <w:gridCol w:w="1392"/>
        <w:gridCol w:w="785"/>
        <w:gridCol w:w="1318"/>
        <w:gridCol w:w="870"/>
        <w:gridCol w:w="850"/>
        <w:gridCol w:w="850"/>
        <w:gridCol w:w="1247"/>
        <w:gridCol w:w="1090"/>
        <w:gridCol w:w="1090"/>
      </w:tblGrid>
      <w:tr w14:paraId="1193B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2310614E">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序号</w:t>
            </w:r>
          </w:p>
        </w:tc>
        <w:tc>
          <w:tcPr>
            <w:tcW w:w="1392" w:type="dxa"/>
            <w:tcBorders>
              <w:top w:val="single" w:color="auto" w:sz="6" w:space="0"/>
              <w:left w:val="single" w:color="auto" w:sz="6" w:space="0"/>
              <w:bottom w:val="single" w:color="auto" w:sz="6" w:space="0"/>
              <w:right w:val="single" w:color="auto" w:sz="6" w:space="0"/>
            </w:tcBorders>
            <w:vAlign w:val="center"/>
          </w:tcPr>
          <w:p w14:paraId="4671AED3">
            <w:pPr>
              <w:ind w:firstLine="92"/>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设备名称</w:t>
            </w:r>
          </w:p>
        </w:tc>
        <w:tc>
          <w:tcPr>
            <w:tcW w:w="785" w:type="dxa"/>
            <w:tcBorders>
              <w:top w:val="single" w:color="auto" w:sz="6" w:space="0"/>
              <w:left w:val="single" w:color="auto" w:sz="6" w:space="0"/>
              <w:bottom w:val="single" w:color="auto" w:sz="6" w:space="0"/>
              <w:right w:val="single" w:color="auto" w:sz="4" w:space="0"/>
            </w:tcBorders>
            <w:vAlign w:val="center"/>
          </w:tcPr>
          <w:p w14:paraId="124CA50E">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品牌</w:t>
            </w:r>
          </w:p>
        </w:tc>
        <w:tc>
          <w:tcPr>
            <w:tcW w:w="1318" w:type="dxa"/>
            <w:tcBorders>
              <w:top w:val="single" w:color="auto" w:sz="6" w:space="0"/>
              <w:left w:val="single" w:color="auto" w:sz="4" w:space="0"/>
              <w:bottom w:val="single" w:color="auto" w:sz="6" w:space="0"/>
              <w:right w:val="single" w:color="auto" w:sz="4" w:space="0"/>
            </w:tcBorders>
            <w:vAlign w:val="center"/>
          </w:tcPr>
          <w:p w14:paraId="2164B9BE">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规格型号</w:t>
            </w:r>
          </w:p>
        </w:tc>
        <w:tc>
          <w:tcPr>
            <w:tcW w:w="870" w:type="dxa"/>
            <w:tcBorders>
              <w:top w:val="single" w:color="auto" w:sz="6" w:space="0"/>
              <w:left w:val="single" w:color="auto" w:sz="4" w:space="0"/>
              <w:bottom w:val="single" w:color="auto" w:sz="6" w:space="0"/>
              <w:right w:val="single" w:color="auto" w:sz="4" w:space="0"/>
            </w:tcBorders>
            <w:vAlign w:val="center"/>
          </w:tcPr>
          <w:p w14:paraId="30367595">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产地</w:t>
            </w:r>
          </w:p>
        </w:tc>
        <w:tc>
          <w:tcPr>
            <w:tcW w:w="850" w:type="dxa"/>
            <w:tcBorders>
              <w:top w:val="single" w:color="auto" w:sz="6" w:space="0"/>
              <w:left w:val="single" w:color="auto" w:sz="4" w:space="0"/>
              <w:bottom w:val="single" w:color="auto" w:sz="6" w:space="0"/>
              <w:right w:val="single" w:color="auto" w:sz="4" w:space="0"/>
            </w:tcBorders>
            <w:vAlign w:val="center"/>
          </w:tcPr>
          <w:p w14:paraId="34499A83">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数量</w:t>
            </w:r>
          </w:p>
        </w:tc>
        <w:tc>
          <w:tcPr>
            <w:tcW w:w="850" w:type="dxa"/>
            <w:tcBorders>
              <w:top w:val="single" w:color="auto" w:sz="6" w:space="0"/>
              <w:left w:val="single" w:color="auto" w:sz="4" w:space="0"/>
              <w:bottom w:val="single" w:color="auto" w:sz="6" w:space="0"/>
              <w:right w:val="single" w:color="auto" w:sz="4" w:space="0"/>
            </w:tcBorders>
            <w:vAlign w:val="center"/>
          </w:tcPr>
          <w:p w14:paraId="06B97513">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单位</w:t>
            </w:r>
          </w:p>
        </w:tc>
        <w:tc>
          <w:tcPr>
            <w:tcW w:w="1247" w:type="dxa"/>
            <w:tcBorders>
              <w:top w:val="single" w:color="auto" w:sz="6" w:space="0"/>
              <w:left w:val="single" w:color="auto" w:sz="4" w:space="0"/>
              <w:bottom w:val="single" w:color="auto" w:sz="6" w:space="0"/>
              <w:right w:val="single" w:color="auto" w:sz="4" w:space="0"/>
            </w:tcBorders>
            <w:vAlign w:val="center"/>
          </w:tcPr>
          <w:p w14:paraId="13CD1972">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单价报价（元）</w:t>
            </w:r>
          </w:p>
        </w:tc>
        <w:tc>
          <w:tcPr>
            <w:tcW w:w="1090" w:type="dxa"/>
            <w:tcBorders>
              <w:top w:val="single" w:color="auto" w:sz="6" w:space="0"/>
              <w:left w:val="single" w:color="auto" w:sz="4" w:space="0"/>
              <w:bottom w:val="single" w:color="auto" w:sz="6" w:space="0"/>
              <w:right w:val="single" w:color="auto" w:sz="6" w:space="0"/>
            </w:tcBorders>
            <w:vAlign w:val="center"/>
          </w:tcPr>
          <w:p w14:paraId="3E55DF17">
            <w:pPr>
              <w:jc w:val="center"/>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合计（元）</w:t>
            </w:r>
          </w:p>
        </w:tc>
        <w:tc>
          <w:tcPr>
            <w:tcW w:w="1090" w:type="dxa"/>
            <w:tcBorders>
              <w:top w:val="single" w:color="auto" w:sz="6" w:space="0"/>
              <w:left w:val="single" w:color="auto" w:sz="4" w:space="0"/>
              <w:bottom w:val="single" w:color="auto" w:sz="6" w:space="0"/>
              <w:right w:val="single" w:color="auto" w:sz="6" w:space="0"/>
            </w:tcBorders>
            <w:vAlign w:val="center"/>
          </w:tcPr>
          <w:p w14:paraId="7F5C436D">
            <w:pPr>
              <w:pStyle w:val="94"/>
              <w:widowControl w:val="0"/>
              <w:spacing w:before="0" w:beforeAutospacing="0" w:after="0" w:afterAutospacing="0" w:line="360" w:lineRule="auto"/>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备注</w:t>
            </w:r>
          </w:p>
        </w:tc>
      </w:tr>
      <w:tr w14:paraId="5006E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6AE5B45F">
            <w:pPr>
              <w:pStyle w:val="21"/>
              <w:jc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1</w:t>
            </w:r>
          </w:p>
        </w:tc>
        <w:tc>
          <w:tcPr>
            <w:tcW w:w="1392" w:type="dxa"/>
            <w:tcBorders>
              <w:top w:val="single" w:color="auto" w:sz="6" w:space="0"/>
              <w:left w:val="single" w:color="auto" w:sz="6" w:space="0"/>
              <w:bottom w:val="single" w:color="auto" w:sz="6" w:space="0"/>
              <w:right w:val="single" w:color="auto" w:sz="6" w:space="0"/>
            </w:tcBorders>
            <w:vAlign w:val="center"/>
          </w:tcPr>
          <w:p w14:paraId="0945879E">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4B70697A">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328B4630">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24106340">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23BC507D">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0A6894C5">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691FF65F">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0A3B8C2E">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297D893E">
            <w:pPr>
              <w:jc w:val="center"/>
              <w:rPr>
                <w:rFonts w:asciiTheme="minorEastAsia" w:hAnsiTheme="minorEastAsia" w:eastAsiaTheme="minorEastAsia" w:cstheme="minorEastAsia"/>
                <w:kern w:val="0"/>
                <w:highlight w:val="none"/>
              </w:rPr>
            </w:pPr>
          </w:p>
        </w:tc>
      </w:tr>
      <w:tr w14:paraId="130A2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0C273C6A">
            <w:pPr>
              <w:pStyle w:val="21"/>
              <w:jc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2</w:t>
            </w:r>
          </w:p>
        </w:tc>
        <w:tc>
          <w:tcPr>
            <w:tcW w:w="1392" w:type="dxa"/>
            <w:tcBorders>
              <w:top w:val="single" w:color="auto" w:sz="6" w:space="0"/>
              <w:left w:val="single" w:color="auto" w:sz="6" w:space="0"/>
              <w:bottom w:val="single" w:color="auto" w:sz="6" w:space="0"/>
              <w:right w:val="single" w:color="auto" w:sz="6" w:space="0"/>
            </w:tcBorders>
            <w:vAlign w:val="center"/>
          </w:tcPr>
          <w:p w14:paraId="487B2EE0">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48EA228A">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4FE87035">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6B795BE0">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0316CC38">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5761F5C2">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24543DF7">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10927794">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21287781">
            <w:pPr>
              <w:jc w:val="center"/>
              <w:rPr>
                <w:rFonts w:asciiTheme="minorEastAsia" w:hAnsiTheme="minorEastAsia" w:eastAsiaTheme="minorEastAsia" w:cstheme="minorEastAsia"/>
                <w:kern w:val="0"/>
                <w:highlight w:val="none"/>
              </w:rPr>
            </w:pPr>
          </w:p>
        </w:tc>
      </w:tr>
      <w:tr w14:paraId="11938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36BDF6FB">
            <w:pPr>
              <w:pStyle w:val="21"/>
              <w:jc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3</w:t>
            </w:r>
          </w:p>
        </w:tc>
        <w:tc>
          <w:tcPr>
            <w:tcW w:w="1392" w:type="dxa"/>
            <w:tcBorders>
              <w:top w:val="single" w:color="auto" w:sz="6" w:space="0"/>
              <w:left w:val="single" w:color="auto" w:sz="6" w:space="0"/>
              <w:bottom w:val="single" w:color="auto" w:sz="6" w:space="0"/>
              <w:right w:val="single" w:color="auto" w:sz="6" w:space="0"/>
            </w:tcBorders>
            <w:vAlign w:val="center"/>
          </w:tcPr>
          <w:p w14:paraId="3EE0FADF">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7DAADA32">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41A2D259">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108E8C42">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38DE2FD4">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4BF25A7D">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233014A5">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574BA882">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54EBB3A1">
            <w:pPr>
              <w:jc w:val="center"/>
              <w:rPr>
                <w:rFonts w:asciiTheme="minorEastAsia" w:hAnsiTheme="minorEastAsia" w:eastAsiaTheme="minorEastAsia" w:cstheme="minorEastAsia"/>
                <w:kern w:val="0"/>
                <w:highlight w:val="none"/>
              </w:rPr>
            </w:pPr>
          </w:p>
        </w:tc>
      </w:tr>
      <w:tr w14:paraId="1C6E9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3A1C2430">
            <w:pPr>
              <w:pStyle w:val="21"/>
              <w:jc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4</w:t>
            </w:r>
          </w:p>
        </w:tc>
        <w:tc>
          <w:tcPr>
            <w:tcW w:w="1392" w:type="dxa"/>
            <w:tcBorders>
              <w:top w:val="single" w:color="auto" w:sz="6" w:space="0"/>
              <w:left w:val="single" w:color="auto" w:sz="6" w:space="0"/>
              <w:bottom w:val="single" w:color="auto" w:sz="6" w:space="0"/>
              <w:right w:val="single" w:color="auto" w:sz="6" w:space="0"/>
            </w:tcBorders>
            <w:vAlign w:val="center"/>
          </w:tcPr>
          <w:p w14:paraId="2992DEE8">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22D60A62">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6B0B01FA">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38DE55F7">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7FACFCB7">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3AAF0F91">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2A7ECED8">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10410273">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53BAB50F">
            <w:pPr>
              <w:jc w:val="center"/>
              <w:rPr>
                <w:rFonts w:asciiTheme="minorEastAsia" w:hAnsiTheme="minorEastAsia" w:eastAsiaTheme="minorEastAsia" w:cstheme="minorEastAsia"/>
                <w:kern w:val="0"/>
                <w:highlight w:val="none"/>
              </w:rPr>
            </w:pPr>
          </w:p>
        </w:tc>
      </w:tr>
      <w:tr w14:paraId="06FB0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30AED782">
            <w:pPr>
              <w:pStyle w:val="21"/>
              <w:jc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5</w:t>
            </w:r>
          </w:p>
        </w:tc>
        <w:tc>
          <w:tcPr>
            <w:tcW w:w="1392" w:type="dxa"/>
            <w:tcBorders>
              <w:top w:val="single" w:color="auto" w:sz="6" w:space="0"/>
              <w:left w:val="single" w:color="auto" w:sz="6" w:space="0"/>
              <w:bottom w:val="single" w:color="auto" w:sz="6" w:space="0"/>
              <w:right w:val="single" w:color="auto" w:sz="6" w:space="0"/>
            </w:tcBorders>
            <w:vAlign w:val="center"/>
          </w:tcPr>
          <w:p w14:paraId="3E7F2DBB">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61C84BF5">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2F951CFC">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610104AF">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5F279466">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0F858D15">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4AA43E03">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08BD11E9">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18C74202">
            <w:pPr>
              <w:jc w:val="center"/>
              <w:rPr>
                <w:rFonts w:asciiTheme="minorEastAsia" w:hAnsiTheme="minorEastAsia" w:eastAsiaTheme="minorEastAsia" w:cstheme="minorEastAsia"/>
                <w:kern w:val="0"/>
                <w:highlight w:val="none"/>
              </w:rPr>
            </w:pPr>
          </w:p>
        </w:tc>
      </w:tr>
      <w:tr w14:paraId="2E11D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621" w:type="dxa"/>
            <w:tcBorders>
              <w:top w:val="single" w:color="auto" w:sz="6" w:space="0"/>
              <w:left w:val="single" w:color="auto" w:sz="6" w:space="0"/>
              <w:bottom w:val="single" w:color="auto" w:sz="6" w:space="0"/>
              <w:right w:val="single" w:color="auto" w:sz="6" w:space="0"/>
            </w:tcBorders>
            <w:vAlign w:val="center"/>
          </w:tcPr>
          <w:p w14:paraId="130CD256">
            <w:pPr>
              <w:pStyle w:val="21"/>
              <w:jc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w:t>
            </w:r>
          </w:p>
        </w:tc>
        <w:tc>
          <w:tcPr>
            <w:tcW w:w="1392" w:type="dxa"/>
            <w:tcBorders>
              <w:top w:val="single" w:color="auto" w:sz="6" w:space="0"/>
              <w:left w:val="single" w:color="auto" w:sz="6" w:space="0"/>
              <w:bottom w:val="single" w:color="auto" w:sz="6" w:space="0"/>
              <w:right w:val="single" w:color="auto" w:sz="6" w:space="0"/>
            </w:tcBorders>
            <w:vAlign w:val="center"/>
          </w:tcPr>
          <w:p w14:paraId="2F754231">
            <w:pPr>
              <w:pStyle w:val="21"/>
              <w:rPr>
                <w:rFonts w:asciiTheme="minorEastAsia" w:hAnsiTheme="minorEastAsia" w:eastAsiaTheme="minorEastAsia" w:cstheme="minorEastAsia"/>
                <w:kern w:val="0"/>
                <w:sz w:val="24"/>
                <w:szCs w:val="24"/>
                <w:highlight w:val="none"/>
              </w:rPr>
            </w:pPr>
          </w:p>
        </w:tc>
        <w:tc>
          <w:tcPr>
            <w:tcW w:w="785" w:type="dxa"/>
            <w:tcBorders>
              <w:top w:val="single" w:color="auto" w:sz="6" w:space="0"/>
              <w:left w:val="single" w:color="auto" w:sz="6" w:space="0"/>
              <w:bottom w:val="single" w:color="auto" w:sz="6" w:space="0"/>
              <w:right w:val="single" w:color="auto" w:sz="4" w:space="0"/>
            </w:tcBorders>
            <w:vAlign w:val="center"/>
          </w:tcPr>
          <w:p w14:paraId="116BD32A">
            <w:pPr>
              <w:jc w:val="center"/>
              <w:rPr>
                <w:rFonts w:asciiTheme="minorEastAsia" w:hAnsiTheme="minorEastAsia" w:eastAsiaTheme="minorEastAsia" w:cstheme="minorEastAsia"/>
                <w:kern w:val="0"/>
                <w:sz w:val="24"/>
                <w:highlight w:val="none"/>
              </w:rPr>
            </w:pPr>
          </w:p>
        </w:tc>
        <w:tc>
          <w:tcPr>
            <w:tcW w:w="1318" w:type="dxa"/>
            <w:tcBorders>
              <w:top w:val="single" w:color="auto" w:sz="6" w:space="0"/>
              <w:left w:val="single" w:color="auto" w:sz="4" w:space="0"/>
              <w:bottom w:val="single" w:color="auto" w:sz="6" w:space="0"/>
              <w:right w:val="single" w:color="auto" w:sz="4" w:space="0"/>
            </w:tcBorders>
            <w:vAlign w:val="center"/>
          </w:tcPr>
          <w:p w14:paraId="7861C0DF">
            <w:pPr>
              <w:jc w:val="center"/>
              <w:rPr>
                <w:rFonts w:asciiTheme="minorEastAsia" w:hAnsiTheme="minorEastAsia" w:eastAsiaTheme="minorEastAsia" w:cstheme="minorEastAsia"/>
                <w:kern w:val="0"/>
                <w:sz w:val="24"/>
                <w:highlight w:val="none"/>
              </w:rPr>
            </w:pPr>
          </w:p>
        </w:tc>
        <w:tc>
          <w:tcPr>
            <w:tcW w:w="870" w:type="dxa"/>
            <w:tcBorders>
              <w:top w:val="single" w:color="auto" w:sz="6" w:space="0"/>
              <w:left w:val="single" w:color="auto" w:sz="4" w:space="0"/>
              <w:bottom w:val="single" w:color="auto" w:sz="6" w:space="0"/>
              <w:right w:val="single" w:color="auto" w:sz="4" w:space="0"/>
            </w:tcBorders>
            <w:vAlign w:val="center"/>
          </w:tcPr>
          <w:p w14:paraId="51E707FF">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5D36F429">
            <w:pPr>
              <w:jc w:val="center"/>
              <w:rPr>
                <w:rFonts w:asciiTheme="minorEastAsia" w:hAnsiTheme="minorEastAsia" w:eastAsiaTheme="minorEastAsia" w:cstheme="minorEastAsia"/>
                <w:kern w:val="0"/>
                <w:sz w:val="24"/>
                <w:highlight w:val="none"/>
              </w:rPr>
            </w:pPr>
          </w:p>
        </w:tc>
        <w:tc>
          <w:tcPr>
            <w:tcW w:w="850" w:type="dxa"/>
            <w:tcBorders>
              <w:top w:val="single" w:color="auto" w:sz="6" w:space="0"/>
              <w:left w:val="single" w:color="auto" w:sz="4" w:space="0"/>
              <w:bottom w:val="single" w:color="auto" w:sz="6" w:space="0"/>
              <w:right w:val="single" w:color="auto" w:sz="4" w:space="0"/>
            </w:tcBorders>
            <w:vAlign w:val="center"/>
          </w:tcPr>
          <w:p w14:paraId="15491779">
            <w:pPr>
              <w:jc w:val="center"/>
              <w:rPr>
                <w:rFonts w:asciiTheme="minorEastAsia" w:hAnsiTheme="minorEastAsia" w:eastAsiaTheme="minorEastAsia" w:cstheme="minorEastAsia"/>
                <w:kern w:val="0"/>
                <w:sz w:val="24"/>
                <w:highlight w:val="none"/>
              </w:rPr>
            </w:pPr>
          </w:p>
        </w:tc>
        <w:tc>
          <w:tcPr>
            <w:tcW w:w="1247" w:type="dxa"/>
            <w:tcBorders>
              <w:top w:val="single" w:color="auto" w:sz="6" w:space="0"/>
              <w:left w:val="single" w:color="auto" w:sz="4" w:space="0"/>
              <w:bottom w:val="single" w:color="auto" w:sz="6" w:space="0"/>
              <w:right w:val="single" w:color="auto" w:sz="4" w:space="0"/>
            </w:tcBorders>
            <w:vAlign w:val="center"/>
          </w:tcPr>
          <w:p w14:paraId="56223152">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0FBE7DCF">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7B2136B6">
            <w:pPr>
              <w:jc w:val="center"/>
              <w:rPr>
                <w:rFonts w:asciiTheme="minorEastAsia" w:hAnsiTheme="minorEastAsia" w:eastAsiaTheme="minorEastAsia" w:cstheme="minorEastAsia"/>
                <w:kern w:val="0"/>
                <w:highlight w:val="none"/>
              </w:rPr>
            </w:pPr>
          </w:p>
        </w:tc>
      </w:tr>
      <w:tr w14:paraId="08B33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1" w:hRule="atLeast"/>
          <w:jc w:val="center"/>
        </w:trPr>
        <w:tc>
          <w:tcPr>
            <w:tcW w:w="2013" w:type="dxa"/>
            <w:gridSpan w:val="2"/>
            <w:tcBorders>
              <w:top w:val="single" w:color="auto" w:sz="6" w:space="0"/>
              <w:left w:val="single" w:color="auto" w:sz="6" w:space="0"/>
              <w:bottom w:val="single" w:color="auto" w:sz="6" w:space="0"/>
              <w:right w:val="single" w:color="auto" w:sz="6" w:space="0"/>
            </w:tcBorders>
            <w:vAlign w:val="center"/>
          </w:tcPr>
          <w:p w14:paraId="333671D7">
            <w:pPr>
              <w:pStyle w:val="21"/>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highlight w:val="none"/>
              </w:rPr>
              <w:t>投 标 总 价（元）</w:t>
            </w:r>
          </w:p>
        </w:tc>
        <w:tc>
          <w:tcPr>
            <w:tcW w:w="7010" w:type="dxa"/>
            <w:gridSpan w:val="7"/>
            <w:tcBorders>
              <w:top w:val="single" w:color="auto" w:sz="6" w:space="0"/>
              <w:left w:val="single" w:color="auto" w:sz="6" w:space="0"/>
              <w:bottom w:val="single" w:color="auto" w:sz="6" w:space="0"/>
              <w:right w:val="single" w:color="auto" w:sz="6" w:space="0"/>
            </w:tcBorders>
            <w:vAlign w:val="center"/>
          </w:tcPr>
          <w:p w14:paraId="4ABA0984">
            <w:pPr>
              <w:jc w:val="center"/>
              <w:rPr>
                <w:rFonts w:asciiTheme="minorEastAsia" w:hAnsiTheme="minorEastAsia" w:eastAsiaTheme="minorEastAsia" w:cstheme="minorEastAsia"/>
                <w:kern w:val="0"/>
                <w:highlight w:val="none"/>
              </w:rPr>
            </w:pPr>
          </w:p>
        </w:tc>
        <w:tc>
          <w:tcPr>
            <w:tcW w:w="1090" w:type="dxa"/>
            <w:tcBorders>
              <w:top w:val="single" w:color="auto" w:sz="6" w:space="0"/>
              <w:left w:val="single" w:color="auto" w:sz="4" w:space="0"/>
              <w:bottom w:val="single" w:color="auto" w:sz="6" w:space="0"/>
              <w:right w:val="single" w:color="auto" w:sz="6" w:space="0"/>
            </w:tcBorders>
            <w:vAlign w:val="center"/>
          </w:tcPr>
          <w:p w14:paraId="5E0BE092">
            <w:pPr>
              <w:jc w:val="center"/>
              <w:rPr>
                <w:rFonts w:asciiTheme="minorEastAsia" w:hAnsiTheme="minorEastAsia" w:eastAsiaTheme="minorEastAsia" w:cstheme="minorEastAsia"/>
                <w:kern w:val="0"/>
                <w:highlight w:val="none"/>
              </w:rPr>
            </w:pPr>
          </w:p>
        </w:tc>
      </w:tr>
    </w:tbl>
    <w:p w14:paraId="5E314C56">
      <w:pPr>
        <w:pStyle w:val="21"/>
        <w:rPr>
          <w:rFonts w:hint="default" w:eastAsia="宋体"/>
          <w:kern w:val="0"/>
          <w:sz w:val="24"/>
          <w:highlight w:val="none"/>
          <w:lang w:val="en-US" w:eastAsia="zh-CN"/>
        </w:rPr>
      </w:pPr>
      <w:r>
        <w:rPr>
          <w:rFonts w:hint="eastAsia"/>
          <w:kern w:val="0"/>
          <w:sz w:val="24"/>
          <w:highlight w:val="none"/>
          <w:lang w:val="en-US" w:eastAsia="zh-CN"/>
        </w:rPr>
        <w:t>此表可扩展</w:t>
      </w:r>
    </w:p>
    <w:p w14:paraId="251F628B">
      <w:pPr>
        <w:pStyle w:val="21"/>
        <w:rPr>
          <w:b/>
          <w:kern w:val="0"/>
          <w:sz w:val="24"/>
          <w:highlight w:val="none"/>
          <w:u w:val="single"/>
        </w:rPr>
      </w:pPr>
      <w:r>
        <w:rPr>
          <w:rFonts w:hint="eastAsia"/>
          <w:b/>
          <w:kern w:val="0"/>
          <w:sz w:val="24"/>
          <w:highlight w:val="none"/>
          <w:u w:val="single"/>
        </w:rPr>
        <w:t xml:space="preserve">      </w:t>
      </w:r>
      <w:r>
        <w:rPr>
          <w:rFonts w:hint="eastAsia"/>
          <w:b/>
          <w:kern w:val="0"/>
          <w:sz w:val="24"/>
          <w:highlight w:val="none"/>
        </w:rPr>
        <w:t xml:space="preserve">  </w:t>
      </w:r>
      <w:r>
        <w:rPr>
          <w:rFonts w:hint="eastAsia"/>
          <w:b/>
          <w:kern w:val="0"/>
          <w:sz w:val="24"/>
          <w:highlight w:val="none"/>
          <w:u w:val="single"/>
        </w:rPr>
        <w:t xml:space="preserve">          </w:t>
      </w:r>
    </w:p>
    <w:p w14:paraId="40143395">
      <w:pPr>
        <w:pStyle w:val="21"/>
        <w:rPr>
          <w:b/>
          <w:kern w:val="0"/>
          <w:sz w:val="28"/>
          <w:szCs w:val="28"/>
          <w:highlight w:val="none"/>
        </w:rPr>
      </w:pPr>
      <w:r>
        <w:rPr>
          <w:rFonts w:hint="eastAsia"/>
          <w:b/>
          <w:kern w:val="0"/>
          <w:sz w:val="24"/>
          <w:highlight w:val="none"/>
          <w:u w:val="single"/>
        </w:rPr>
        <w:t xml:space="preserve">      </w:t>
      </w:r>
    </w:p>
    <w:p w14:paraId="620BA0BC">
      <w:pPr>
        <w:pStyle w:val="21"/>
        <w:spacing w:line="460" w:lineRule="exact"/>
        <w:rPr>
          <w:rFonts w:hAnsi="宋体" w:cs="宋体"/>
          <w:sz w:val="24"/>
          <w:szCs w:val="24"/>
          <w:highlight w:val="none"/>
        </w:rPr>
      </w:pPr>
    </w:p>
    <w:p w14:paraId="732242AE">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04650D1E">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33B4EDC6">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3F128F69">
      <w:pPr>
        <w:pStyle w:val="21"/>
        <w:rPr>
          <w:b/>
          <w:kern w:val="0"/>
          <w:sz w:val="28"/>
          <w:szCs w:val="28"/>
          <w:highlight w:val="none"/>
        </w:rPr>
      </w:pPr>
    </w:p>
    <w:p w14:paraId="461477C0">
      <w:pPr>
        <w:rPr>
          <w:rFonts w:ascii="宋体"/>
          <w:b/>
          <w:kern w:val="0"/>
          <w:sz w:val="24"/>
          <w:highlight w:val="none"/>
        </w:rPr>
      </w:pPr>
      <w:r>
        <w:rPr>
          <w:rFonts w:hint="eastAsia" w:ascii="宋体"/>
          <w:b/>
          <w:kern w:val="0"/>
          <w:sz w:val="24"/>
          <w:highlight w:val="none"/>
        </w:rPr>
        <w:br w:type="page"/>
      </w:r>
    </w:p>
    <w:p w14:paraId="1A42DAF7">
      <w:pPr>
        <w:pStyle w:val="124"/>
        <w:spacing w:line="500" w:lineRule="exact"/>
        <w:jc w:val="center"/>
        <w:rPr>
          <w:rFonts w:ascii="宋体" w:hAnsi="宋体" w:cs="宋体"/>
          <w:b/>
          <w:bCs/>
          <w:sz w:val="28"/>
          <w:szCs w:val="28"/>
          <w:highlight w:val="none"/>
        </w:rPr>
      </w:pPr>
    </w:p>
    <w:p w14:paraId="11D703E2">
      <w:pPr>
        <w:pStyle w:val="124"/>
        <w:spacing w:line="500" w:lineRule="exact"/>
        <w:jc w:val="center"/>
        <w:outlineLvl w:val="2"/>
        <w:rPr>
          <w:rFonts w:ascii="宋体" w:hAnsi="宋体"/>
          <w:b/>
          <w:bCs/>
          <w:sz w:val="24"/>
          <w:szCs w:val="24"/>
          <w:highlight w:val="none"/>
        </w:rPr>
      </w:pPr>
      <w:r>
        <w:rPr>
          <w:rFonts w:hint="eastAsia" w:ascii="宋体" w:hAnsi="宋体" w:cs="宋体"/>
          <w:b/>
          <w:bCs/>
          <w:sz w:val="28"/>
          <w:szCs w:val="28"/>
          <w:highlight w:val="none"/>
        </w:rPr>
        <w:t>（四）报价说明</w:t>
      </w:r>
    </w:p>
    <w:p w14:paraId="00BCB9E4">
      <w:pPr>
        <w:pStyle w:val="21"/>
        <w:rPr>
          <w:rFonts w:hAnsi="宋体" w:cs="宋体"/>
          <w:sz w:val="24"/>
          <w:szCs w:val="15"/>
          <w:highlight w:val="none"/>
        </w:rPr>
      </w:pPr>
    </w:p>
    <w:p w14:paraId="63340990">
      <w:pPr>
        <w:pStyle w:val="21"/>
        <w:jc w:val="center"/>
        <w:rPr>
          <w:b/>
          <w:kern w:val="0"/>
          <w:sz w:val="28"/>
          <w:szCs w:val="28"/>
          <w:highlight w:val="none"/>
        </w:rPr>
      </w:pPr>
      <w:r>
        <w:rPr>
          <w:rFonts w:hint="eastAsia" w:hAnsi="宋体" w:cs="宋体"/>
          <w:sz w:val="24"/>
          <w:szCs w:val="15"/>
          <w:highlight w:val="none"/>
        </w:rPr>
        <w:t>供应商认为报价需要说明的其他材料，格式自拟。</w:t>
      </w:r>
    </w:p>
    <w:p w14:paraId="5E5FB9D2">
      <w:pPr>
        <w:rPr>
          <w:highlight w:val="none"/>
        </w:rPr>
      </w:pPr>
    </w:p>
    <w:p w14:paraId="196890CC">
      <w:pPr>
        <w:rPr>
          <w:highlight w:val="none"/>
        </w:rPr>
      </w:pPr>
    </w:p>
    <w:p w14:paraId="5B879DFA">
      <w:pPr>
        <w:rPr>
          <w:rFonts w:ascii="宋体" w:hAnsi="宋体" w:cs="宋体"/>
          <w:b/>
          <w:bCs/>
          <w:kern w:val="0"/>
          <w:sz w:val="32"/>
          <w:szCs w:val="32"/>
          <w:highlight w:val="none"/>
        </w:rPr>
      </w:pPr>
      <w:r>
        <w:rPr>
          <w:rFonts w:hint="eastAsia" w:ascii="宋体" w:hAnsi="宋体" w:cs="宋体"/>
          <w:b/>
          <w:bCs/>
          <w:kern w:val="0"/>
          <w:sz w:val="32"/>
          <w:szCs w:val="32"/>
          <w:highlight w:val="none"/>
        </w:rPr>
        <w:br w:type="page"/>
      </w:r>
    </w:p>
    <w:p w14:paraId="7CC45EAD">
      <w:pPr>
        <w:jc w:val="center"/>
        <w:outlineLvl w:val="1"/>
        <w:rPr>
          <w:rFonts w:ascii="宋体" w:hAnsi="宋体" w:cs="宋体"/>
          <w:highlight w:val="none"/>
        </w:rPr>
      </w:pPr>
      <w:bookmarkStart w:id="192" w:name="_Toc10522"/>
      <w:r>
        <w:rPr>
          <w:rFonts w:hint="eastAsia"/>
          <w:b/>
          <w:bCs/>
          <w:sz w:val="32"/>
          <w:szCs w:val="32"/>
          <w:highlight w:val="none"/>
        </w:rPr>
        <w:t>三、</w:t>
      </w:r>
      <w:r>
        <w:rPr>
          <w:rFonts w:hint="eastAsia" w:ascii="宋体" w:hAnsi="宋体" w:cs="宋体"/>
          <w:b/>
          <w:bCs/>
          <w:kern w:val="0"/>
          <w:sz w:val="32"/>
          <w:szCs w:val="32"/>
          <w:highlight w:val="none"/>
        </w:rPr>
        <w:t>技术部分文件格式</w:t>
      </w:r>
      <w:bookmarkEnd w:id="192"/>
    </w:p>
    <w:p w14:paraId="14711168">
      <w:pPr>
        <w:pStyle w:val="21"/>
        <w:jc w:val="center"/>
        <w:outlineLvl w:val="2"/>
        <w:rPr>
          <w:kern w:val="0"/>
          <w:highlight w:val="none"/>
        </w:rPr>
      </w:pPr>
      <w:r>
        <w:rPr>
          <w:rFonts w:hint="eastAsia" w:hAnsi="宋体" w:cs="宋体"/>
          <w:b/>
          <w:bCs/>
          <w:sz w:val="28"/>
          <w:szCs w:val="28"/>
          <w:highlight w:val="none"/>
        </w:rPr>
        <w:t>（一）技术规格偏离表</w:t>
      </w:r>
    </w:p>
    <w:p w14:paraId="50B56E50">
      <w:pPr>
        <w:pStyle w:val="21"/>
        <w:ind w:firstLine="210" w:firstLineChars="100"/>
        <w:rPr>
          <w:kern w:val="0"/>
          <w:sz w:val="24"/>
          <w:highlight w:val="none"/>
        </w:rPr>
      </w:pPr>
      <w:r>
        <w:rPr>
          <w:rFonts w:hint="eastAsia"/>
          <w:kern w:val="0"/>
          <w:highlight w:val="none"/>
        </w:rPr>
        <w:t xml:space="preserve"> </w:t>
      </w:r>
      <w:r>
        <w:rPr>
          <w:rFonts w:hint="eastAsia"/>
          <w:kern w:val="0"/>
          <w:sz w:val="24"/>
          <w:highlight w:val="none"/>
        </w:rPr>
        <w:t>请按所投产品的实际技术参数，逐条对应招标文件的“</w:t>
      </w:r>
      <w:r>
        <w:rPr>
          <w:rFonts w:hint="eastAsia"/>
          <w:b/>
          <w:kern w:val="0"/>
          <w:sz w:val="24"/>
          <w:highlight w:val="none"/>
        </w:rPr>
        <w:t>采购内容及要求</w:t>
      </w:r>
      <w:r>
        <w:rPr>
          <w:rFonts w:hint="eastAsia"/>
          <w:kern w:val="0"/>
          <w:sz w:val="24"/>
          <w:highlight w:val="none"/>
        </w:rPr>
        <w:t>”中要求的技术规范认真填写该表，该表不能作为所投产品的采购内容及要求。</w:t>
      </w:r>
    </w:p>
    <w:p w14:paraId="5B55E15B">
      <w:pPr>
        <w:pStyle w:val="21"/>
        <w:ind w:firstLine="210" w:firstLineChars="100"/>
        <w:rPr>
          <w:kern w:val="0"/>
          <w:highlight w:val="none"/>
        </w:rPr>
      </w:pPr>
    </w:p>
    <w:p w14:paraId="08B3484A">
      <w:pPr>
        <w:pStyle w:val="21"/>
        <w:rPr>
          <w:b/>
          <w:kern w:val="0"/>
          <w:sz w:val="24"/>
          <w:highlight w:val="none"/>
          <w:u w:val="single"/>
        </w:rPr>
      </w:pPr>
      <w:r>
        <w:rPr>
          <w:rFonts w:hint="eastAsia"/>
          <w:b/>
          <w:kern w:val="0"/>
          <w:sz w:val="24"/>
          <w:highlight w:val="none"/>
        </w:rPr>
        <w:t>项目名称：</w:t>
      </w:r>
      <w:r>
        <w:rPr>
          <w:rFonts w:hint="eastAsia"/>
          <w:b/>
          <w:kern w:val="0"/>
          <w:sz w:val="24"/>
          <w:highlight w:val="none"/>
          <w:u w:val="single"/>
        </w:rPr>
        <w:t xml:space="preserve">          </w:t>
      </w:r>
      <w:r>
        <w:rPr>
          <w:rFonts w:hint="eastAsia"/>
          <w:b/>
          <w:kern w:val="0"/>
          <w:sz w:val="24"/>
          <w:highlight w:val="none"/>
        </w:rPr>
        <w:t xml:space="preserve">          招标编号：</w:t>
      </w:r>
      <w:r>
        <w:rPr>
          <w:rFonts w:hint="eastAsia"/>
          <w:b/>
          <w:kern w:val="0"/>
          <w:sz w:val="24"/>
          <w:highlight w:val="none"/>
          <w:u w:val="single"/>
        </w:rPr>
        <w:t xml:space="preserve">              </w:t>
      </w:r>
      <w:r>
        <w:rPr>
          <w:rFonts w:hint="eastAsia"/>
          <w:b/>
          <w:kern w:val="0"/>
          <w:sz w:val="24"/>
          <w:highlight w:val="none"/>
        </w:rPr>
        <w:t xml:space="preserve">      包号：</w:t>
      </w:r>
      <w:r>
        <w:rPr>
          <w:rFonts w:hint="eastAsia"/>
          <w:b/>
          <w:kern w:val="0"/>
          <w:sz w:val="24"/>
          <w:highlight w:val="none"/>
          <w:u w:val="single"/>
        </w:rPr>
        <w:t xml:space="preserve">                           </w:t>
      </w:r>
      <w:r>
        <w:rPr>
          <w:rFonts w:hint="eastAsia"/>
          <w:b/>
          <w:kern w:val="0"/>
          <w:sz w:val="24"/>
          <w:highlight w:val="none"/>
        </w:rPr>
        <w:t xml:space="preserve">   </w:t>
      </w:r>
    </w:p>
    <w:tbl>
      <w:tblPr>
        <w:tblStyle w:val="41"/>
        <w:tblW w:w="9100"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359"/>
        <w:gridCol w:w="2604"/>
        <w:gridCol w:w="2436"/>
        <w:gridCol w:w="1010"/>
        <w:gridCol w:w="964"/>
      </w:tblGrid>
      <w:tr w14:paraId="75FC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727" w:type="dxa"/>
            <w:vAlign w:val="center"/>
          </w:tcPr>
          <w:p w14:paraId="60E8E565">
            <w:pPr>
              <w:jc w:val="center"/>
              <w:rPr>
                <w:rFonts w:ascii="宋体"/>
                <w:b/>
                <w:kern w:val="0"/>
                <w:sz w:val="24"/>
                <w:highlight w:val="none"/>
              </w:rPr>
            </w:pPr>
            <w:r>
              <w:rPr>
                <w:rFonts w:hint="eastAsia" w:ascii="宋体"/>
                <w:b/>
                <w:kern w:val="0"/>
                <w:sz w:val="24"/>
                <w:highlight w:val="none"/>
              </w:rPr>
              <w:t>序号</w:t>
            </w:r>
          </w:p>
        </w:tc>
        <w:tc>
          <w:tcPr>
            <w:tcW w:w="1359" w:type="dxa"/>
            <w:vAlign w:val="center"/>
          </w:tcPr>
          <w:p w14:paraId="61B53B77">
            <w:pPr>
              <w:jc w:val="center"/>
              <w:rPr>
                <w:rFonts w:ascii="宋体"/>
                <w:b/>
                <w:kern w:val="0"/>
                <w:sz w:val="24"/>
                <w:highlight w:val="none"/>
              </w:rPr>
            </w:pPr>
            <w:r>
              <w:rPr>
                <w:rFonts w:hint="eastAsia" w:ascii="宋体"/>
                <w:b/>
                <w:kern w:val="0"/>
                <w:sz w:val="24"/>
                <w:highlight w:val="none"/>
              </w:rPr>
              <w:t>货物名称</w:t>
            </w:r>
          </w:p>
        </w:tc>
        <w:tc>
          <w:tcPr>
            <w:tcW w:w="2604" w:type="dxa"/>
            <w:vAlign w:val="center"/>
          </w:tcPr>
          <w:p w14:paraId="00B73407">
            <w:pPr>
              <w:jc w:val="center"/>
              <w:rPr>
                <w:rFonts w:ascii="宋体"/>
                <w:b/>
                <w:kern w:val="0"/>
                <w:sz w:val="24"/>
                <w:highlight w:val="none"/>
              </w:rPr>
            </w:pPr>
            <w:r>
              <w:rPr>
                <w:rFonts w:hint="eastAsia" w:ascii="宋体"/>
                <w:b/>
                <w:kern w:val="0"/>
                <w:sz w:val="24"/>
                <w:highlight w:val="none"/>
              </w:rPr>
              <w:t>招标文件技术规范、要求</w:t>
            </w:r>
          </w:p>
        </w:tc>
        <w:tc>
          <w:tcPr>
            <w:tcW w:w="2436" w:type="dxa"/>
            <w:vAlign w:val="center"/>
          </w:tcPr>
          <w:p w14:paraId="0F53A452">
            <w:pPr>
              <w:jc w:val="center"/>
              <w:rPr>
                <w:rFonts w:ascii="宋体"/>
                <w:b/>
                <w:kern w:val="0"/>
                <w:sz w:val="24"/>
                <w:highlight w:val="none"/>
              </w:rPr>
            </w:pPr>
            <w:r>
              <w:rPr>
                <w:rFonts w:hint="eastAsia" w:ascii="宋体"/>
                <w:b/>
                <w:kern w:val="0"/>
                <w:sz w:val="24"/>
                <w:highlight w:val="none"/>
              </w:rPr>
              <w:t>投标文件对应技术参数</w:t>
            </w:r>
          </w:p>
        </w:tc>
        <w:tc>
          <w:tcPr>
            <w:tcW w:w="1010" w:type="dxa"/>
            <w:vAlign w:val="center"/>
          </w:tcPr>
          <w:p w14:paraId="16D3A4FA">
            <w:pPr>
              <w:jc w:val="center"/>
              <w:rPr>
                <w:rFonts w:ascii="宋体"/>
                <w:b/>
                <w:kern w:val="0"/>
                <w:sz w:val="24"/>
                <w:highlight w:val="none"/>
              </w:rPr>
            </w:pPr>
            <w:r>
              <w:rPr>
                <w:rFonts w:hint="eastAsia" w:ascii="宋体"/>
                <w:b/>
                <w:kern w:val="0"/>
                <w:sz w:val="24"/>
                <w:highlight w:val="none"/>
              </w:rPr>
              <w:t>偏离</w:t>
            </w:r>
          </w:p>
        </w:tc>
        <w:tc>
          <w:tcPr>
            <w:tcW w:w="964" w:type="dxa"/>
            <w:vAlign w:val="center"/>
          </w:tcPr>
          <w:p w14:paraId="506CB8DD">
            <w:pPr>
              <w:ind w:right="71" w:rightChars="34"/>
              <w:jc w:val="center"/>
              <w:rPr>
                <w:rFonts w:ascii="宋体"/>
                <w:b/>
                <w:kern w:val="0"/>
                <w:sz w:val="24"/>
                <w:highlight w:val="none"/>
              </w:rPr>
            </w:pPr>
            <w:r>
              <w:rPr>
                <w:rFonts w:hint="eastAsia" w:ascii="宋体"/>
                <w:b/>
                <w:kern w:val="0"/>
                <w:sz w:val="24"/>
                <w:highlight w:val="none"/>
              </w:rPr>
              <w:t>页码索引</w:t>
            </w:r>
          </w:p>
        </w:tc>
      </w:tr>
      <w:tr w14:paraId="03EB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727" w:type="dxa"/>
            <w:vAlign w:val="center"/>
          </w:tcPr>
          <w:p w14:paraId="7F77156E">
            <w:pPr>
              <w:jc w:val="center"/>
              <w:rPr>
                <w:rFonts w:ascii="宋体"/>
                <w:kern w:val="0"/>
                <w:sz w:val="24"/>
                <w:highlight w:val="none"/>
              </w:rPr>
            </w:pPr>
          </w:p>
        </w:tc>
        <w:tc>
          <w:tcPr>
            <w:tcW w:w="1359" w:type="dxa"/>
            <w:vAlign w:val="center"/>
          </w:tcPr>
          <w:p w14:paraId="167E2C74">
            <w:pPr>
              <w:jc w:val="center"/>
              <w:rPr>
                <w:rFonts w:ascii="宋体"/>
                <w:kern w:val="0"/>
                <w:sz w:val="24"/>
                <w:highlight w:val="none"/>
              </w:rPr>
            </w:pPr>
          </w:p>
        </w:tc>
        <w:tc>
          <w:tcPr>
            <w:tcW w:w="2604" w:type="dxa"/>
            <w:vAlign w:val="center"/>
          </w:tcPr>
          <w:p w14:paraId="017C0BA0">
            <w:pPr>
              <w:jc w:val="center"/>
              <w:rPr>
                <w:rFonts w:ascii="宋体"/>
                <w:kern w:val="0"/>
                <w:sz w:val="24"/>
                <w:highlight w:val="none"/>
              </w:rPr>
            </w:pPr>
          </w:p>
        </w:tc>
        <w:tc>
          <w:tcPr>
            <w:tcW w:w="2436" w:type="dxa"/>
            <w:vAlign w:val="center"/>
          </w:tcPr>
          <w:p w14:paraId="0ED6B66B">
            <w:pPr>
              <w:jc w:val="center"/>
              <w:rPr>
                <w:rFonts w:ascii="宋体"/>
                <w:kern w:val="0"/>
                <w:sz w:val="24"/>
                <w:highlight w:val="none"/>
              </w:rPr>
            </w:pPr>
          </w:p>
        </w:tc>
        <w:tc>
          <w:tcPr>
            <w:tcW w:w="1010" w:type="dxa"/>
          </w:tcPr>
          <w:p w14:paraId="5E20F0AD">
            <w:pPr>
              <w:jc w:val="center"/>
              <w:rPr>
                <w:rFonts w:ascii="宋体"/>
                <w:kern w:val="0"/>
                <w:sz w:val="24"/>
                <w:highlight w:val="none"/>
              </w:rPr>
            </w:pPr>
          </w:p>
        </w:tc>
        <w:tc>
          <w:tcPr>
            <w:tcW w:w="964" w:type="dxa"/>
            <w:vAlign w:val="center"/>
          </w:tcPr>
          <w:p w14:paraId="30BDFEF8">
            <w:pPr>
              <w:jc w:val="center"/>
              <w:rPr>
                <w:rFonts w:ascii="宋体"/>
                <w:kern w:val="0"/>
                <w:sz w:val="24"/>
                <w:highlight w:val="none"/>
              </w:rPr>
            </w:pPr>
          </w:p>
        </w:tc>
      </w:tr>
      <w:tr w14:paraId="0F68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727" w:type="dxa"/>
            <w:vAlign w:val="center"/>
          </w:tcPr>
          <w:p w14:paraId="70CE720B">
            <w:pPr>
              <w:jc w:val="center"/>
              <w:rPr>
                <w:rFonts w:ascii="宋体"/>
                <w:kern w:val="0"/>
                <w:sz w:val="24"/>
                <w:highlight w:val="none"/>
              </w:rPr>
            </w:pPr>
          </w:p>
        </w:tc>
        <w:tc>
          <w:tcPr>
            <w:tcW w:w="1359" w:type="dxa"/>
            <w:vAlign w:val="center"/>
          </w:tcPr>
          <w:p w14:paraId="3AF9F680">
            <w:pPr>
              <w:jc w:val="center"/>
              <w:rPr>
                <w:rFonts w:ascii="宋体"/>
                <w:kern w:val="0"/>
                <w:sz w:val="24"/>
                <w:highlight w:val="none"/>
              </w:rPr>
            </w:pPr>
          </w:p>
        </w:tc>
        <w:tc>
          <w:tcPr>
            <w:tcW w:w="2604" w:type="dxa"/>
            <w:vAlign w:val="center"/>
          </w:tcPr>
          <w:p w14:paraId="2272528F">
            <w:pPr>
              <w:jc w:val="center"/>
              <w:rPr>
                <w:rFonts w:ascii="宋体"/>
                <w:kern w:val="0"/>
                <w:sz w:val="24"/>
                <w:highlight w:val="none"/>
              </w:rPr>
            </w:pPr>
          </w:p>
        </w:tc>
        <w:tc>
          <w:tcPr>
            <w:tcW w:w="2436" w:type="dxa"/>
            <w:vAlign w:val="center"/>
          </w:tcPr>
          <w:p w14:paraId="16D60B6C">
            <w:pPr>
              <w:jc w:val="center"/>
              <w:rPr>
                <w:rFonts w:ascii="宋体"/>
                <w:kern w:val="0"/>
                <w:sz w:val="24"/>
                <w:highlight w:val="none"/>
              </w:rPr>
            </w:pPr>
          </w:p>
        </w:tc>
        <w:tc>
          <w:tcPr>
            <w:tcW w:w="1010" w:type="dxa"/>
          </w:tcPr>
          <w:p w14:paraId="2C80EF0D">
            <w:pPr>
              <w:jc w:val="center"/>
              <w:rPr>
                <w:rFonts w:ascii="宋体"/>
                <w:kern w:val="0"/>
                <w:sz w:val="24"/>
                <w:highlight w:val="none"/>
              </w:rPr>
            </w:pPr>
          </w:p>
        </w:tc>
        <w:tc>
          <w:tcPr>
            <w:tcW w:w="964" w:type="dxa"/>
            <w:vAlign w:val="center"/>
          </w:tcPr>
          <w:p w14:paraId="695F7DC4">
            <w:pPr>
              <w:jc w:val="center"/>
              <w:rPr>
                <w:rFonts w:ascii="宋体"/>
                <w:kern w:val="0"/>
                <w:sz w:val="24"/>
                <w:highlight w:val="none"/>
              </w:rPr>
            </w:pPr>
          </w:p>
        </w:tc>
      </w:tr>
      <w:tr w14:paraId="5F36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727" w:type="dxa"/>
            <w:vAlign w:val="center"/>
          </w:tcPr>
          <w:p w14:paraId="4119983F">
            <w:pPr>
              <w:jc w:val="center"/>
              <w:rPr>
                <w:rFonts w:ascii="宋体"/>
                <w:kern w:val="0"/>
                <w:sz w:val="24"/>
                <w:highlight w:val="none"/>
              </w:rPr>
            </w:pPr>
          </w:p>
        </w:tc>
        <w:tc>
          <w:tcPr>
            <w:tcW w:w="1359" w:type="dxa"/>
            <w:vAlign w:val="center"/>
          </w:tcPr>
          <w:p w14:paraId="0DF28DF8">
            <w:pPr>
              <w:jc w:val="center"/>
              <w:rPr>
                <w:rFonts w:ascii="宋体"/>
                <w:kern w:val="0"/>
                <w:sz w:val="24"/>
                <w:highlight w:val="none"/>
              </w:rPr>
            </w:pPr>
          </w:p>
        </w:tc>
        <w:tc>
          <w:tcPr>
            <w:tcW w:w="2604" w:type="dxa"/>
            <w:vAlign w:val="center"/>
          </w:tcPr>
          <w:p w14:paraId="2D3D17D8">
            <w:pPr>
              <w:jc w:val="center"/>
              <w:rPr>
                <w:rFonts w:ascii="宋体"/>
                <w:kern w:val="0"/>
                <w:sz w:val="24"/>
                <w:highlight w:val="none"/>
              </w:rPr>
            </w:pPr>
          </w:p>
        </w:tc>
        <w:tc>
          <w:tcPr>
            <w:tcW w:w="2436" w:type="dxa"/>
            <w:vAlign w:val="center"/>
          </w:tcPr>
          <w:p w14:paraId="1BC88E84">
            <w:pPr>
              <w:jc w:val="center"/>
              <w:rPr>
                <w:rFonts w:ascii="宋体"/>
                <w:kern w:val="0"/>
                <w:sz w:val="24"/>
                <w:highlight w:val="none"/>
              </w:rPr>
            </w:pPr>
          </w:p>
        </w:tc>
        <w:tc>
          <w:tcPr>
            <w:tcW w:w="1010" w:type="dxa"/>
          </w:tcPr>
          <w:p w14:paraId="781017A5">
            <w:pPr>
              <w:jc w:val="center"/>
              <w:rPr>
                <w:rFonts w:ascii="宋体"/>
                <w:kern w:val="0"/>
                <w:sz w:val="24"/>
                <w:highlight w:val="none"/>
              </w:rPr>
            </w:pPr>
          </w:p>
        </w:tc>
        <w:tc>
          <w:tcPr>
            <w:tcW w:w="964" w:type="dxa"/>
            <w:vAlign w:val="center"/>
          </w:tcPr>
          <w:p w14:paraId="1C680FE7">
            <w:pPr>
              <w:jc w:val="center"/>
              <w:rPr>
                <w:rFonts w:ascii="宋体"/>
                <w:kern w:val="0"/>
                <w:sz w:val="24"/>
                <w:highlight w:val="none"/>
              </w:rPr>
            </w:pPr>
          </w:p>
        </w:tc>
      </w:tr>
      <w:tr w14:paraId="13DD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727" w:type="dxa"/>
            <w:vAlign w:val="center"/>
          </w:tcPr>
          <w:p w14:paraId="53866373">
            <w:pPr>
              <w:jc w:val="center"/>
              <w:rPr>
                <w:rFonts w:ascii="宋体"/>
                <w:kern w:val="0"/>
                <w:sz w:val="24"/>
                <w:highlight w:val="none"/>
              </w:rPr>
            </w:pPr>
          </w:p>
        </w:tc>
        <w:tc>
          <w:tcPr>
            <w:tcW w:w="1359" w:type="dxa"/>
            <w:vAlign w:val="center"/>
          </w:tcPr>
          <w:p w14:paraId="65A20905">
            <w:pPr>
              <w:jc w:val="center"/>
              <w:rPr>
                <w:rFonts w:ascii="宋体"/>
                <w:kern w:val="0"/>
                <w:sz w:val="24"/>
                <w:highlight w:val="none"/>
              </w:rPr>
            </w:pPr>
          </w:p>
        </w:tc>
        <w:tc>
          <w:tcPr>
            <w:tcW w:w="2604" w:type="dxa"/>
            <w:vAlign w:val="center"/>
          </w:tcPr>
          <w:p w14:paraId="1440E148">
            <w:pPr>
              <w:jc w:val="center"/>
              <w:rPr>
                <w:rFonts w:ascii="宋体"/>
                <w:kern w:val="0"/>
                <w:sz w:val="24"/>
                <w:highlight w:val="none"/>
              </w:rPr>
            </w:pPr>
          </w:p>
        </w:tc>
        <w:tc>
          <w:tcPr>
            <w:tcW w:w="2436" w:type="dxa"/>
            <w:vAlign w:val="center"/>
          </w:tcPr>
          <w:p w14:paraId="180F402E">
            <w:pPr>
              <w:jc w:val="center"/>
              <w:rPr>
                <w:rFonts w:ascii="宋体"/>
                <w:kern w:val="0"/>
                <w:sz w:val="24"/>
                <w:highlight w:val="none"/>
              </w:rPr>
            </w:pPr>
          </w:p>
        </w:tc>
        <w:tc>
          <w:tcPr>
            <w:tcW w:w="1010" w:type="dxa"/>
          </w:tcPr>
          <w:p w14:paraId="1C1DE0F5">
            <w:pPr>
              <w:jc w:val="center"/>
              <w:rPr>
                <w:rFonts w:ascii="宋体"/>
                <w:kern w:val="0"/>
                <w:sz w:val="24"/>
                <w:highlight w:val="none"/>
              </w:rPr>
            </w:pPr>
          </w:p>
        </w:tc>
        <w:tc>
          <w:tcPr>
            <w:tcW w:w="964" w:type="dxa"/>
            <w:vAlign w:val="center"/>
          </w:tcPr>
          <w:p w14:paraId="414BCBFA">
            <w:pPr>
              <w:jc w:val="center"/>
              <w:rPr>
                <w:rFonts w:ascii="宋体"/>
                <w:kern w:val="0"/>
                <w:sz w:val="24"/>
                <w:highlight w:val="none"/>
              </w:rPr>
            </w:pPr>
          </w:p>
        </w:tc>
      </w:tr>
    </w:tbl>
    <w:p w14:paraId="25189C43">
      <w:pPr>
        <w:pStyle w:val="21"/>
        <w:ind w:firstLine="240" w:firstLineChars="100"/>
        <w:rPr>
          <w:kern w:val="0"/>
          <w:sz w:val="24"/>
          <w:highlight w:val="none"/>
        </w:rPr>
      </w:pPr>
      <w:r>
        <w:rPr>
          <w:rFonts w:hint="eastAsia"/>
          <w:kern w:val="0"/>
          <w:sz w:val="24"/>
          <w:highlight w:val="none"/>
        </w:rPr>
        <w:t>注：“偏离”系指“正偏离”“负偏离”或“无偏离”。</w:t>
      </w:r>
    </w:p>
    <w:p w14:paraId="3C2F8C0F">
      <w:pPr>
        <w:pStyle w:val="21"/>
        <w:ind w:firstLine="240" w:firstLineChars="100"/>
        <w:rPr>
          <w:kern w:val="0"/>
          <w:sz w:val="24"/>
          <w:highlight w:val="none"/>
        </w:rPr>
      </w:pPr>
      <w:r>
        <w:rPr>
          <w:rFonts w:hint="eastAsia"/>
          <w:kern w:val="0"/>
          <w:sz w:val="24"/>
          <w:highlight w:val="none"/>
        </w:rPr>
        <w:t>根据采购内容及要求、评审标准等需提供佐证材料的，应按要求提供。</w:t>
      </w:r>
    </w:p>
    <w:p w14:paraId="071CED80">
      <w:pPr>
        <w:ind w:firstLine="482" w:firstLineChars="200"/>
        <w:rPr>
          <w:rFonts w:ascii="宋体" w:hAnsi="宋体" w:cs="宋体"/>
          <w:b/>
          <w:sz w:val="24"/>
          <w:highlight w:val="none"/>
        </w:rPr>
      </w:pPr>
      <w:r>
        <w:rPr>
          <w:rFonts w:hint="eastAsia"/>
          <w:b/>
          <w:kern w:val="0"/>
          <w:sz w:val="24"/>
          <w:highlight w:val="none"/>
        </w:rPr>
        <w:t>郑重承诺：我公司承诺我们提供的上述技术参数与货物实际参数一致，如有不符，愿意承担相应后果</w:t>
      </w:r>
      <w:r>
        <w:rPr>
          <w:rFonts w:hint="eastAsia" w:ascii="宋体" w:hAnsi="宋体" w:cs="宋体"/>
          <w:b/>
          <w:bCs/>
          <w:sz w:val="24"/>
          <w:highlight w:val="none"/>
        </w:rPr>
        <w:t>。</w:t>
      </w:r>
    </w:p>
    <w:p w14:paraId="7BCFF700">
      <w:pPr>
        <w:ind w:firstLine="465"/>
        <w:jc w:val="left"/>
        <w:rPr>
          <w:rFonts w:ascii="宋体" w:hAnsi="宋体" w:cs="宋体"/>
          <w:sz w:val="24"/>
          <w:highlight w:val="none"/>
        </w:rPr>
      </w:pPr>
      <w:r>
        <w:rPr>
          <w:rFonts w:hint="eastAsia" w:ascii="宋体" w:hAnsi="宋体" w:cs="宋体"/>
          <w:sz w:val="24"/>
          <w:highlight w:val="none"/>
        </w:rPr>
        <w:t>供应商全称：</w:t>
      </w:r>
      <w:r>
        <w:rPr>
          <w:rFonts w:hint="eastAsia" w:ascii="宋体" w:hAnsi="宋体" w:cs="宋体"/>
          <w:sz w:val="24"/>
          <w:highlight w:val="none"/>
          <w:u w:val="single"/>
        </w:rPr>
        <w:t xml:space="preserve">                      （盖单位公章或电子签章）</w:t>
      </w:r>
    </w:p>
    <w:p w14:paraId="7443C158">
      <w:pPr>
        <w:ind w:firstLine="465"/>
        <w:jc w:val="left"/>
        <w:rPr>
          <w:rFonts w:ascii="宋体" w:hAnsi="宋体" w:cs="宋体"/>
          <w:sz w:val="24"/>
          <w:highlight w:val="none"/>
        </w:rPr>
      </w:pPr>
      <w:r>
        <w:rPr>
          <w:rFonts w:hint="eastAsia" w:ascii="宋体" w:hAnsi="宋体" w:cs="宋体"/>
          <w:sz w:val="24"/>
          <w:highlight w:val="none"/>
        </w:rPr>
        <w:t>法定代表人或委托代理人：</w:t>
      </w:r>
      <w:r>
        <w:rPr>
          <w:rFonts w:hint="eastAsia" w:ascii="宋体" w:hAnsi="宋体" w:cs="宋体"/>
          <w:sz w:val="24"/>
          <w:highlight w:val="none"/>
          <w:u w:val="single"/>
        </w:rPr>
        <w:t xml:space="preserve">          （签字或电子签章）</w:t>
      </w:r>
    </w:p>
    <w:p w14:paraId="665D4108">
      <w:pPr>
        <w:pStyle w:val="21"/>
        <w:spacing w:line="460" w:lineRule="exact"/>
        <w:ind w:firstLine="480" w:firstLineChars="200"/>
        <w:jc w:val="left"/>
        <w:rPr>
          <w:rFonts w:hAnsi="宋体" w:cs="宋体"/>
          <w:sz w:val="24"/>
          <w:szCs w:val="24"/>
          <w:highlight w:val="none"/>
        </w:rPr>
      </w:pPr>
      <w:r>
        <w:rPr>
          <w:rFonts w:hint="eastAsia" w:hAnsi="宋体" w:cs="宋体"/>
          <w:sz w:val="24"/>
          <w:szCs w:val="24"/>
          <w:highlight w:val="none"/>
        </w:rPr>
        <w:t>日  期：</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2294B7AF">
      <w:pPr>
        <w:rPr>
          <w:b/>
          <w:bCs/>
          <w:kern w:val="0"/>
          <w:sz w:val="24"/>
          <w:highlight w:val="none"/>
          <w:u w:val="single"/>
        </w:rPr>
      </w:pPr>
      <w:r>
        <w:rPr>
          <w:rFonts w:hint="eastAsia"/>
          <w:b/>
          <w:bCs/>
          <w:kern w:val="0"/>
          <w:sz w:val="24"/>
          <w:highlight w:val="none"/>
          <w:u w:val="single"/>
        </w:rPr>
        <w:t>注：请全面、如实填写表格中产品的技术参数。</w:t>
      </w:r>
    </w:p>
    <w:p w14:paraId="3E577E01">
      <w:pP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br w:type="page"/>
      </w:r>
    </w:p>
    <w:p w14:paraId="3D89C681">
      <w:pPr>
        <w:widowControl/>
        <w:adjustRightInd w:val="0"/>
        <w:snapToGrid w:val="0"/>
        <w:jc w:val="center"/>
        <w:outlineLvl w:val="2"/>
        <w:rPr>
          <w:rFonts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bCs/>
          <w:sz w:val="28"/>
          <w:szCs w:val="28"/>
          <w:highlight w:val="none"/>
        </w:rPr>
        <w:t>（二）</w:t>
      </w: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2023年1月至今承担过的类似业绩（如有）</w:t>
      </w:r>
    </w:p>
    <w:tbl>
      <w:tblPr>
        <w:tblStyle w:val="4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2130"/>
        <w:gridCol w:w="1612"/>
        <w:gridCol w:w="1740"/>
        <w:gridCol w:w="1478"/>
        <w:gridCol w:w="1265"/>
      </w:tblGrid>
      <w:tr w14:paraId="04A6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1" w:type="dxa"/>
            <w:vAlign w:val="center"/>
          </w:tcPr>
          <w:p w14:paraId="69910A0B">
            <w:pPr>
              <w:adjustRightInd w:val="0"/>
              <w:snapToGrid w:val="0"/>
              <w:jc w:val="center"/>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序号</w:t>
            </w:r>
          </w:p>
        </w:tc>
        <w:tc>
          <w:tcPr>
            <w:tcW w:w="2130" w:type="dxa"/>
            <w:vAlign w:val="center"/>
          </w:tcPr>
          <w:p w14:paraId="7C3B3743">
            <w:pPr>
              <w:adjustRightInd w:val="0"/>
              <w:snapToGrid w:val="0"/>
              <w:ind w:firstLine="241" w:firstLineChars="100"/>
              <w:jc w:val="center"/>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项目名称</w:t>
            </w:r>
          </w:p>
        </w:tc>
        <w:tc>
          <w:tcPr>
            <w:tcW w:w="1612" w:type="dxa"/>
            <w:vAlign w:val="center"/>
          </w:tcPr>
          <w:p w14:paraId="06C3FB6E">
            <w:pPr>
              <w:adjustRightInd w:val="0"/>
              <w:snapToGrid w:val="0"/>
              <w:jc w:val="center"/>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采购单位</w:t>
            </w:r>
          </w:p>
        </w:tc>
        <w:tc>
          <w:tcPr>
            <w:tcW w:w="1740" w:type="dxa"/>
            <w:vAlign w:val="center"/>
          </w:tcPr>
          <w:p w14:paraId="279168A1">
            <w:pPr>
              <w:adjustRightInd w:val="0"/>
              <w:snapToGrid w:val="0"/>
              <w:jc w:val="center"/>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合同内容</w:t>
            </w:r>
          </w:p>
        </w:tc>
        <w:tc>
          <w:tcPr>
            <w:tcW w:w="1478" w:type="dxa"/>
            <w:vAlign w:val="center"/>
          </w:tcPr>
          <w:p w14:paraId="1067AEC6">
            <w:pPr>
              <w:adjustRightInd w:val="0"/>
              <w:snapToGrid w:val="0"/>
              <w:jc w:val="center"/>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合同总价</w:t>
            </w:r>
          </w:p>
        </w:tc>
        <w:tc>
          <w:tcPr>
            <w:tcW w:w="1265" w:type="dxa"/>
            <w:vAlign w:val="center"/>
          </w:tcPr>
          <w:p w14:paraId="74A8A3F0">
            <w:pPr>
              <w:adjustRightInd w:val="0"/>
              <w:snapToGrid w:val="0"/>
              <w:rPr>
                <w:rFonts w:asciiTheme="minorEastAsia" w:hAnsiTheme="minorEastAsia" w:eastAsiaTheme="minorEastAsia" w:cstheme="minorEastAsia"/>
                <w:b/>
                <w:bCs/>
                <w:snapToGrid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snapToGrid w:val="0"/>
                <w:color w:val="000000" w:themeColor="text1"/>
                <w:sz w:val="24"/>
                <w:highlight w:val="none"/>
                <w14:textFill>
                  <w14:solidFill>
                    <w14:schemeClr w14:val="tx1"/>
                  </w14:solidFill>
                </w14:textFill>
              </w:rPr>
              <w:t>签约日期</w:t>
            </w:r>
          </w:p>
        </w:tc>
      </w:tr>
      <w:tr w14:paraId="0A40E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3" w:hRule="atLeast"/>
          <w:jc w:val="center"/>
        </w:trPr>
        <w:tc>
          <w:tcPr>
            <w:tcW w:w="591" w:type="dxa"/>
            <w:vAlign w:val="center"/>
          </w:tcPr>
          <w:p w14:paraId="7673E251">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56BE2DF8">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2130" w:type="dxa"/>
            <w:vAlign w:val="center"/>
          </w:tcPr>
          <w:p w14:paraId="58F65656">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612" w:type="dxa"/>
            <w:vAlign w:val="center"/>
          </w:tcPr>
          <w:p w14:paraId="7D5B19E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740" w:type="dxa"/>
            <w:vAlign w:val="center"/>
          </w:tcPr>
          <w:p w14:paraId="2AFC9126">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478" w:type="dxa"/>
            <w:vAlign w:val="center"/>
          </w:tcPr>
          <w:p w14:paraId="3659328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265" w:type="dxa"/>
            <w:vAlign w:val="center"/>
          </w:tcPr>
          <w:p w14:paraId="16F32E39">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r>
      <w:tr w14:paraId="1535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jc w:val="center"/>
        </w:trPr>
        <w:tc>
          <w:tcPr>
            <w:tcW w:w="591" w:type="dxa"/>
            <w:vAlign w:val="center"/>
          </w:tcPr>
          <w:p w14:paraId="77B98E31">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2490F426">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2130" w:type="dxa"/>
            <w:vAlign w:val="center"/>
          </w:tcPr>
          <w:p w14:paraId="67F32381">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612" w:type="dxa"/>
            <w:vAlign w:val="center"/>
          </w:tcPr>
          <w:p w14:paraId="75A5F39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740" w:type="dxa"/>
            <w:vAlign w:val="center"/>
          </w:tcPr>
          <w:p w14:paraId="7A7DC422">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478" w:type="dxa"/>
            <w:vAlign w:val="center"/>
          </w:tcPr>
          <w:p w14:paraId="45DA510D">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265" w:type="dxa"/>
            <w:vAlign w:val="center"/>
          </w:tcPr>
          <w:p w14:paraId="63642D92">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r>
      <w:tr w14:paraId="78EB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jc w:val="center"/>
        </w:trPr>
        <w:tc>
          <w:tcPr>
            <w:tcW w:w="591" w:type="dxa"/>
            <w:vAlign w:val="center"/>
          </w:tcPr>
          <w:p w14:paraId="3472E06E">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3618BAF9">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2130" w:type="dxa"/>
            <w:vAlign w:val="center"/>
          </w:tcPr>
          <w:p w14:paraId="6DC9A238">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612" w:type="dxa"/>
            <w:vAlign w:val="center"/>
          </w:tcPr>
          <w:p w14:paraId="6B612E49">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740" w:type="dxa"/>
            <w:vAlign w:val="center"/>
          </w:tcPr>
          <w:p w14:paraId="0A398EC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478" w:type="dxa"/>
            <w:vAlign w:val="center"/>
          </w:tcPr>
          <w:p w14:paraId="5D260256">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265" w:type="dxa"/>
            <w:vAlign w:val="center"/>
          </w:tcPr>
          <w:p w14:paraId="16348BFD">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r>
      <w:tr w14:paraId="7FBA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jc w:val="center"/>
        </w:trPr>
        <w:tc>
          <w:tcPr>
            <w:tcW w:w="591" w:type="dxa"/>
            <w:vAlign w:val="center"/>
          </w:tcPr>
          <w:p w14:paraId="7158F4DB">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7CB65F94">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2130" w:type="dxa"/>
            <w:vAlign w:val="center"/>
          </w:tcPr>
          <w:p w14:paraId="7B7DB1DD">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612" w:type="dxa"/>
            <w:vAlign w:val="center"/>
          </w:tcPr>
          <w:p w14:paraId="201D6A4A">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740" w:type="dxa"/>
            <w:vAlign w:val="center"/>
          </w:tcPr>
          <w:p w14:paraId="23836E3A">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478" w:type="dxa"/>
            <w:vAlign w:val="center"/>
          </w:tcPr>
          <w:p w14:paraId="04287CA4">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265" w:type="dxa"/>
            <w:vAlign w:val="center"/>
          </w:tcPr>
          <w:p w14:paraId="204263B1">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2DF7350D">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r>
      <w:tr w14:paraId="53AE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jc w:val="center"/>
        </w:trPr>
        <w:tc>
          <w:tcPr>
            <w:tcW w:w="591" w:type="dxa"/>
            <w:vAlign w:val="center"/>
          </w:tcPr>
          <w:p w14:paraId="411357E3">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p w14:paraId="1E1F8332">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2130" w:type="dxa"/>
            <w:vAlign w:val="center"/>
          </w:tcPr>
          <w:p w14:paraId="39F8E5F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612" w:type="dxa"/>
            <w:vAlign w:val="center"/>
          </w:tcPr>
          <w:p w14:paraId="1C99FAB0">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740" w:type="dxa"/>
            <w:vAlign w:val="center"/>
          </w:tcPr>
          <w:p w14:paraId="5A32E4E3">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478" w:type="dxa"/>
            <w:vAlign w:val="center"/>
          </w:tcPr>
          <w:p w14:paraId="6D83C615">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c>
          <w:tcPr>
            <w:tcW w:w="1265" w:type="dxa"/>
            <w:vAlign w:val="center"/>
          </w:tcPr>
          <w:p w14:paraId="735309DD">
            <w:pPr>
              <w:adjustRightInd w:val="0"/>
              <w:snapToGrid w:val="0"/>
              <w:jc w:val="center"/>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p>
        </w:tc>
      </w:tr>
    </w:tbl>
    <w:p w14:paraId="620F1C78">
      <w:pP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（本表可扩展）</w:t>
      </w:r>
    </w:p>
    <w:p w14:paraId="78C40F71">
      <w:pPr>
        <w:widowControl/>
        <w:adjustRightInd w:val="0"/>
        <w:snapToGrid w:val="0"/>
        <w:ind w:firstLine="482" w:firstLineChars="200"/>
        <w:jc w:val="lef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注：须附合同签订日期为2023年1月至今类似业绩中标/成交通知书或合同或协议、合同发票</w:t>
      </w:r>
      <w:r>
        <w:rPr>
          <w:rFonts w:hint="eastAsia" w:asciiTheme="minorEastAsia" w:hAnsiTheme="minorEastAsia" w:eastAsiaTheme="minorEastAsia" w:cstheme="minorEastAsia"/>
          <w:b/>
          <w:bCs/>
          <w:color w:val="000000" w:themeColor="text1"/>
          <w:kern w:val="0"/>
          <w:sz w:val="24"/>
          <w:highlight w:val="none"/>
          <w14:textFill>
            <w14:solidFill>
              <w14:schemeClr w14:val="tx1"/>
            </w14:solidFill>
          </w14:textFill>
        </w:rPr>
        <w:t>材料扫描件；</w:t>
      </w:r>
    </w:p>
    <w:p w14:paraId="149158D1">
      <w:pPr>
        <w:jc w:val="center"/>
        <w:outlineLvl w:val="2"/>
        <w:rPr>
          <w:rFonts w:ascii="宋体" w:hAnsi="宋体" w:cs="宋体"/>
          <w:b/>
          <w:bCs/>
          <w:sz w:val="28"/>
          <w:szCs w:val="28"/>
          <w:highlight w:val="none"/>
        </w:rPr>
      </w:pPr>
      <w:r>
        <w:rPr>
          <w:rFonts w:hint="eastAsia" w:ascii="宋体" w:hAnsi="宋体" w:cs="宋体"/>
          <w:b/>
          <w:bCs/>
          <w:sz w:val="28"/>
          <w:szCs w:val="28"/>
          <w:highlight w:val="none"/>
        </w:rPr>
        <w:br w:type="page"/>
      </w:r>
      <w:r>
        <w:rPr>
          <w:rFonts w:hint="eastAsia" w:ascii="宋体" w:hAnsi="宋体" w:cs="宋体"/>
          <w:b/>
          <w:bCs/>
          <w:sz w:val="28"/>
          <w:szCs w:val="28"/>
          <w:highlight w:val="none"/>
        </w:rPr>
        <w:t>（三）技术文件</w:t>
      </w:r>
    </w:p>
    <w:p w14:paraId="2708F9A8">
      <w:pPr>
        <w:rPr>
          <w:rFonts w:ascii="宋体" w:hAnsi="宋体"/>
          <w:sz w:val="24"/>
          <w:highlight w:val="none"/>
        </w:rPr>
      </w:pPr>
      <w:r>
        <w:rPr>
          <w:rFonts w:hint="eastAsia" w:ascii="宋体" w:hAnsi="宋体" w:cs="宋体"/>
          <w:sz w:val="24"/>
          <w:highlight w:val="none"/>
        </w:rPr>
        <w:t>供应商根据评标办法自拟格式，包括但不限于以下内容：</w:t>
      </w:r>
    </w:p>
    <w:p w14:paraId="1E5E708F">
      <w:pPr>
        <w:pStyle w:val="6"/>
        <w:numPr>
          <w:ilvl w:val="3"/>
          <w:numId w:val="0"/>
        </w:numPr>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1.项目实施方案</w:t>
      </w:r>
    </w:p>
    <w:p w14:paraId="2810DF37">
      <w:pPr>
        <w:pStyle w:val="6"/>
        <w:numPr>
          <w:ilvl w:val="3"/>
          <w:numId w:val="0"/>
        </w:numPr>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2.质量承诺及保障措施</w:t>
      </w:r>
    </w:p>
    <w:p w14:paraId="2A4FFC7A">
      <w:pPr>
        <w:pStyle w:val="6"/>
        <w:numPr>
          <w:ilvl w:val="3"/>
          <w:numId w:val="0"/>
        </w:numPr>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3.售后服务及保障措施</w:t>
      </w:r>
    </w:p>
    <w:p w14:paraId="59959056">
      <w:pPr>
        <w:pStyle w:val="6"/>
        <w:numPr>
          <w:ilvl w:val="3"/>
          <w:numId w:val="0"/>
        </w:numPr>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4.技术培训服务方案</w:t>
      </w:r>
    </w:p>
    <w:p w14:paraId="59CF2009">
      <w:pPr>
        <w:pStyle w:val="6"/>
        <w:numPr>
          <w:ilvl w:val="3"/>
          <w:numId w:val="0"/>
        </w:numPr>
        <w:jc w:val="left"/>
        <w:rPr>
          <w:rFonts w:ascii="宋体" w:hAnsi="宋体" w:cs="宋体"/>
          <w:b/>
          <w:bCs/>
          <w:szCs w:val="28"/>
          <w:highlight w:val="none"/>
        </w:rPr>
      </w:pPr>
      <w:r>
        <w:rPr>
          <w:rFonts w:hint="eastAsia" w:asciiTheme="minorEastAsia" w:hAnsiTheme="minorEastAsia" w:eastAsiaTheme="minorEastAsia" w:cstheme="minorEastAsia"/>
          <w:highlight w:val="none"/>
        </w:rPr>
        <w:t>5.供应商认为技术部分需提供的其他材料。</w:t>
      </w:r>
      <w:r>
        <w:rPr>
          <w:rFonts w:hint="eastAsia" w:ascii="宋体" w:hAnsi="宋体" w:cs="宋体"/>
          <w:b/>
          <w:bCs/>
          <w:szCs w:val="28"/>
          <w:highlight w:val="none"/>
        </w:rPr>
        <w:br w:type="page"/>
      </w:r>
    </w:p>
    <w:p w14:paraId="7A0CEF94">
      <w:pPr>
        <w:pStyle w:val="21"/>
        <w:jc w:val="center"/>
        <w:outlineLvl w:val="1"/>
        <w:rPr>
          <w:rFonts w:hAnsi="宋体" w:cs="宋体"/>
          <w:b/>
          <w:bCs/>
          <w:kern w:val="0"/>
          <w:sz w:val="32"/>
          <w:szCs w:val="32"/>
          <w:highlight w:val="none"/>
        </w:rPr>
      </w:pPr>
      <w:bookmarkStart w:id="193" w:name="_Toc31535"/>
      <w:r>
        <w:rPr>
          <w:rFonts w:hint="eastAsia" w:hAnsi="宋体" w:cs="宋体"/>
          <w:b/>
          <w:bCs/>
          <w:kern w:val="0"/>
          <w:sz w:val="32"/>
          <w:szCs w:val="32"/>
          <w:highlight w:val="none"/>
        </w:rPr>
        <w:t>四、其他内容</w:t>
      </w:r>
      <w:bookmarkEnd w:id="193"/>
    </w:p>
    <w:p w14:paraId="5D4FF9B3">
      <w:pPr>
        <w:spacing w:line="460" w:lineRule="exact"/>
        <w:rPr>
          <w:rFonts w:ascii="宋体" w:hAnsi="宋体" w:cs="宋体"/>
          <w:b/>
          <w:sz w:val="28"/>
          <w:szCs w:val="28"/>
          <w:highlight w:val="none"/>
        </w:rPr>
      </w:pPr>
    </w:p>
    <w:p w14:paraId="602B2875">
      <w:pPr>
        <w:jc w:val="center"/>
        <w:outlineLvl w:val="2"/>
        <w:rPr>
          <w:rFonts w:ascii="宋体" w:hAnsi="宋体" w:cs="宋体"/>
          <w:b/>
          <w:bCs/>
          <w:sz w:val="28"/>
          <w:szCs w:val="28"/>
          <w:highlight w:val="none"/>
        </w:rPr>
      </w:pPr>
      <w:bookmarkStart w:id="194" w:name="_Toc8074"/>
      <w:bookmarkStart w:id="195" w:name="_Toc472411555"/>
      <w:bookmarkStart w:id="196" w:name="_Toc472411465"/>
      <w:bookmarkStart w:id="197" w:name="_Toc31269"/>
      <w:bookmarkStart w:id="198" w:name="_Toc8635"/>
      <w:r>
        <w:rPr>
          <w:rFonts w:hint="eastAsia" w:ascii="宋体" w:hAnsi="宋体" w:cs="宋体"/>
          <w:b/>
          <w:bCs/>
          <w:sz w:val="28"/>
          <w:szCs w:val="28"/>
          <w:highlight w:val="none"/>
        </w:rPr>
        <w:t>（一）</w:t>
      </w:r>
      <w:bookmarkEnd w:id="194"/>
      <w:bookmarkEnd w:id="195"/>
      <w:bookmarkEnd w:id="196"/>
      <w:bookmarkEnd w:id="197"/>
      <w:bookmarkEnd w:id="198"/>
      <w:r>
        <w:rPr>
          <w:rFonts w:hint="eastAsia" w:asciiTheme="minorEastAsia" w:hAnsiTheme="minorEastAsia" w:eastAsiaTheme="minorEastAsia" w:cstheme="minorEastAsia"/>
          <w:b/>
          <w:bCs/>
          <w:sz w:val="28"/>
          <w:szCs w:val="28"/>
          <w:highlight w:val="none"/>
        </w:rPr>
        <w:t>法定代表人（或负责人）身份证明书</w:t>
      </w:r>
    </w:p>
    <w:p w14:paraId="72BC07F0">
      <w:pPr>
        <w:ind w:firstLine="612"/>
        <w:rPr>
          <w:rFonts w:ascii="宋体" w:hAnsi="宋体" w:cs="宋体"/>
          <w:sz w:val="24"/>
          <w:highlight w:val="none"/>
        </w:rPr>
      </w:pPr>
    </w:p>
    <w:p w14:paraId="3289708F">
      <w:pPr>
        <w:ind w:firstLine="612"/>
        <w:rPr>
          <w:rFonts w:ascii="宋体" w:hAnsi="宋体" w:cs="宋体"/>
          <w:sz w:val="24"/>
          <w:highlight w:val="none"/>
        </w:rPr>
      </w:pPr>
      <w:r>
        <w:rPr>
          <w:rFonts w:hint="eastAsia" w:ascii="宋体" w:hAnsi="宋体" w:cs="宋体"/>
          <w:sz w:val="24"/>
          <w:highlight w:val="none"/>
        </w:rPr>
        <w:t>单位名称：</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5DAFE6DA">
      <w:pPr>
        <w:ind w:firstLine="610"/>
        <w:rPr>
          <w:rFonts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40382F48">
      <w:pPr>
        <w:ind w:firstLine="610"/>
        <w:rPr>
          <w:rFonts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467AC12F">
      <w:pPr>
        <w:ind w:firstLine="610"/>
        <w:rPr>
          <w:rFonts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E5214B8">
      <w:pPr>
        <w:ind w:firstLine="610"/>
        <w:rPr>
          <w:rFonts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DF1BF38">
      <w:pPr>
        <w:ind w:firstLine="610"/>
        <w:rPr>
          <w:rFonts w:ascii="宋体" w:hAnsi="宋体" w:cs="宋体"/>
          <w:sz w:val="24"/>
          <w:highlight w:val="none"/>
          <w:u w:val="singl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E41A23C">
      <w:pPr>
        <w:ind w:firstLine="610"/>
        <w:rPr>
          <w:rFonts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（供应商单位名称）         </w:t>
      </w:r>
      <w:r>
        <w:rPr>
          <w:rFonts w:hint="eastAsia" w:ascii="宋体" w:hAnsi="宋体" w:cs="宋体"/>
          <w:sz w:val="24"/>
          <w:highlight w:val="none"/>
        </w:rPr>
        <w:t>的</w:t>
      </w:r>
      <w:r>
        <w:rPr>
          <w:rFonts w:hint="eastAsia" w:asciiTheme="minorEastAsia" w:hAnsiTheme="minorEastAsia" w:eastAsiaTheme="minorEastAsia" w:cstheme="minorEastAsia"/>
          <w:kern w:val="0"/>
          <w:sz w:val="24"/>
          <w:highlight w:val="none"/>
          <w:lang w:bidi="en-US"/>
        </w:rPr>
        <w:t>法定代表人（或负责人）</w:t>
      </w:r>
      <w:r>
        <w:rPr>
          <w:rFonts w:hint="eastAsia" w:ascii="宋体" w:hAnsi="宋体" w:cs="宋体"/>
          <w:sz w:val="24"/>
          <w:highlight w:val="none"/>
        </w:rPr>
        <w:t>。</w:t>
      </w:r>
    </w:p>
    <w:p w14:paraId="56F997EF">
      <w:pPr>
        <w:ind w:firstLine="610"/>
        <w:rPr>
          <w:rFonts w:ascii="宋体" w:hAnsi="宋体" w:cs="宋体"/>
          <w:sz w:val="24"/>
          <w:highlight w:val="none"/>
        </w:rPr>
      </w:pPr>
    </w:p>
    <w:p w14:paraId="4046983F">
      <w:pPr>
        <w:ind w:firstLine="610"/>
        <w:rPr>
          <w:rFonts w:ascii="宋体" w:hAnsi="宋体" w:cs="宋体"/>
          <w:sz w:val="24"/>
          <w:highlight w:val="none"/>
        </w:rPr>
      </w:pPr>
      <w:r>
        <w:rPr>
          <w:rFonts w:hint="eastAsia" w:ascii="宋体" w:hAnsi="宋体" w:cs="宋体"/>
          <w:sz w:val="24"/>
          <w:highlight w:val="none"/>
        </w:rPr>
        <w:t>特此证明。</w:t>
      </w:r>
    </w:p>
    <w:p w14:paraId="6F4B7C5B">
      <w:pPr>
        <w:tabs>
          <w:tab w:val="left" w:pos="720"/>
          <w:tab w:val="left" w:pos="900"/>
        </w:tabs>
        <w:ind w:firstLine="480" w:firstLineChars="200"/>
        <w:rPr>
          <w:rFonts w:ascii="宋体" w:hAnsi="宋体" w:cs="宋体"/>
          <w:sz w:val="24"/>
          <w:highlight w:val="none"/>
        </w:rPr>
      </w:pPr>
    </w:p>
    <w:p w14:paraId="3DEE963C">
      <w:pPr>
        <w:tabs>
          <w:tab w:val="left" w:pos="720"/>
          <w:tab w:val="left" w:pos="900"/>
        </w:tabs>
        <w:ind w:firstLine="480" w:firstLineChars="200"/>
        <w:rPr>
          <w:rFonts w:ascii="宋体" w:hAnsi="宋体" w:cs="宋体"/>
          <w:sz w:val="24"/>
          <w:highlight w:val="none"/>
        </w:rPr>
      </w:pPr>
    </w:p>
    <w:p w14:paraId="05065A49">
      <w:pPr>
        <w:tabs>
          <w:tab w:val="left" w:pos="720"/>
          <w:tab w:val="left" w:pos="900"/>
        </w:tabs>
        <w:ind w:firstLine="480" w:firstLineChars="200"/>
        <w:rPr>
          <w:rFonts w:ascii="宋体" w:hAnsi="宋体" w:cs="宋体"/>
          <w:sz w:val="24"/>
          <w:highlight w:val="none"/>
        </w:rPr>
      </w:pPr>
    </w:p>
    <w:p w14:paraId="5FC257DE">
      <w:pPr>
        <w:ind w:firstLine="2428" w:firstLineChars="1012"/>
        <w:rPr>
          <w:rFonts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（盖单位公章或电子签章）</w:t>
      </w:r>
    </w:p>
    <w:p w14:paraId="3DB1C613">
      <w:pPr>
        <w:ind w:firstLine="2428" w:firstLineChars="1012"/>
        <w:rPr>
          <w:rFonts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808AC5A">
      <w:pPr>
        <w:widowControl/>
        <w:ind w:firstLine="440" w:firstLineChars="200"/>
        <w:jc w:val="left"/>
        <w:rPr>
          <w:rFonts w:ascii="宋体" w:hAnsi="宋体" w:cs="宋体"/>
          <w:kern w:val="0"/>
          <w:sz w:val="22"/>
          <w:szCs w:val="22"/>
          <w:highlight w:val="none"/>
          <w:lang w:bidi="en-US"/>
        </w:rPr>
      </w:pPr>
    </w:p>
    <w:p w14:paraId="2FC8F6A7">
      <w:pPr>
        <w:widowControl/>
        <w:ind w:firstLine="440" w:firstLineChars="200"/>
        <w:jc w:val="left"/>
        <w:rPr>
          <w:rFonts w:ascii="宋体" w:hAnsi="宋体" w:cs="宋体"/>
          <w:kern w:val="0"/>
          <w:sz w:val="22"/>
          <w:szCs w:val="22"/>
          <w:highlight w:val="none"/>
          <w:lang w:bidi="en-US"/>
        </w:rPr>
      </w:pPr>
    </w:p>
    <w:p w14:paraId="4BAB251B">
      <w:pPr>
        <w:widowControl/>
        <w:ind w:firstLine="442" w:firstLineChars="200"/>
        <w:jc w:val="left"/>
        <w:rPr>
          <w:rFonts w:ascii="宋体" w:hAnsi="宋体" w:cs="宋体"/>
          <w:b/>
          <w:bCs/>
          <w:kern w:val="0"/>
          <w:sz w:val="22"/>
          <w:szCs w:val="22"/>
          <w:highlight w:val="none"/>
          <w:lang w:bidi="en-US"/>
        </w:rPr>
      </w:pPr>
      <w:r>
        <w:rPr>
          <w:rFonts w:hint="eastAsia" w:ascii="宋体" w:hAnsi="宋体" w:cs="宋体"/>
          <w:b/>
          <w:bCs/>
          <w:kern w:val="0"/>
          <w:sz w:val="22"/>
          <w:szCs w:val="22"/>
          <w:highlight w:val="none"/>
          <w:lang w:bidi="en-US"/>
        </w:rPr>
        <w:t>注：附法定代表人身份证原件扫描件。</w:t>
      </w:r>
    </w:p>
    <w:p w14:paraId="7FBB5EBC">
      <w:pPr>
        <w:widowControl/>
        <w:ind w:firstLine="442" w:firstLineChars="200"/>
        <w:jc w:val="left"/>
        <w:rPr>
          <w:rFonts w:ascii="宋体" w:hAnsi="宋体" w:cs="宋体"/>
          <w:b/>
          <w:bCs/>
          <w:kern w:val="0"/>
          <w:sz w:val="22"/>
          <w:szCs w:val="22"/>
          <w:highlight w:val="none"/>
          <w:lang w:bidi="en-US"/>
        </w:rPr>
      </w:pPr>
    </w:p>
    <w:p w14:paraId="522E6202">
      <w:pPr>
        <w:widowControl/>
        <w:ind w:firstLine="440" w:firstLineChars="200"/>
        <w:jc w:val="left"/>
        <w:rPr>
          <w:rFonts w:ascii="宋体" w:hAnsi="宋体" w:cs="宋体"/>
          <w:kern w:val="0"/>
          <w:sz w:val="22"/>
          <w:szCs w:val="22"/>
          <w:highlight w:val="none"/>
          <w:lang w:bidi="en-US"/>
        </w:rPr>
      </w:pPr>
      <w:r>
        <w:rPr>
          <w:rFonts w:hint="eastAsia" w:ascii="宋体" w:hAnsi="宋体" w:cs="宋体"/>
          <w:kern w:val="0"/>
          <w:sz w:val="22"/>
          <w:szCs w:val="22"/>
          <w:highlight w:val="none"/>
          <w:lang w:bidi="en-US"/>
        </w:rPr>
        <w:br w:type="page"/>
      </w:r>
    </w:p>
    <w:p w14:paraId="5872CF8D">
      <w:pPr>
        <w:jc w:val="center"/>
        <w:outlineLvl w:val="2"/>
        <w:rPr>
          <w:rFonts w:ascii="宋体" w:hAnsi="宋体" w:cs="宋体"/>
          <w:b/>
          <w:bCs/>
          <w:sz w:val="28"/>
          <w:szCs w:val="28"/>
          <w:highlight w:val="none"/>
        </w:rPr>
      </w:pPr>
      <w:bookmarkStart w:id="199" w:name="_Toc472411466"/>
      <w:bookmarkStart w:id="200" w:name="_Toc472411556"/>
      <w:bookmarkStart w:id="201" w:name="_Toc5167"/>
      <w:bookmarkStart w:id="202" w:name="_Toc214075901"/>
      <w:bookmarkStart w:id="203" w:name="_Toc16585"/>
      <w:bookmarkStart w:id="204" w:name="_Toc27763"/>
      <w:r>
        <w:rPr>
          <w:rFonts w:hint="eastAsia" w:ascii="宋体" w:hAnsi="宋体" w:cs="宋体"/>
          <w:b/>
          <w:bCs/>
          <w:sz w:val="28"/>
          <w:szCs w:val="28"/>
          <w:highlight w:val="none"/>
        </w:rPr>
        <w:t>（二）</w:t>
      </w:r>
      <w:bookmarkEnd w:id="199"/>
      <w:bookmarkEnd w:id="200"/>
      <w:bookmarkEnd w:id="201"/>
      <w:bookmarkEnd w:id="202"/>
      <w:bookmarkEnd w:id="203"/>
      <w:bookmarkEnd w:id="204"/>
      <w:r>
        <w:rPr>
          <w:rFonts w:hint="eastAsia" w:asciiTheme="minorEastAsia" w:hAnsiTheme="minorEastAsia" w:eastAsiaTheme="minorEastAsia" w:cstheme="minorEastAsia"/>
          <w:b/>
          <w:bCs/>
          <w:sz w:val="28"/>
          <w:szCs w:val="28"/>
          <w:highlight w:val="none"/>
        </w:rPr>
        <w:t>法定代表人（或负责人）授权委托书</w:t>
      </w:r>
    </w:p>
    <w:p w14:paraId="4791327B">
      <w:pPr>
        <w:widowControl/>
        <w:ind w:firstLine="420" w:firstLineChars="200"/>
        <w:jc w:val="left"/>
        <w:rPr>
          <w:rFonts w:ascii="宋体" w:hAnsi="宋体" w:cs="宋体"/>
          <w:kern w:val="0"/>
          <w:szCs w:val="21"/>
          <w:highlight w:val="none"/>
          <w:lang w:bidi="en-US"/>
        </w:rPr>
      </w:pPr>
    </w:p>
    <w:p w14:paraId="284A85DB">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本人</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（姓名）系</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（供应商名称）的法定代表人，现委托</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（姓名）为我方代理人。代理人根据授权，以我方名义签署、澄清、说明、补正、递交、撤回、修改</w:t>
      </w:r>
      <w:r>
        <w:rPr>
          <w:rFonts w:hint="eastAsia" w:ascii="宋体" w:hAnsi="宋体" w:cs="宋体"/>
          <w:kern w:val="0"/>
          <w:sz w:val="24"/>
          <w:highlight w:val="none"/>
          <w:u w:val="single"/>
          <w:lang w:bidi="en-US"/>
        </w:rPr>
        <w:t xml:space="preserve">       （项目名称）           </w:t>
      </w:r>
      <w:r>
        <w:rPr>
          <w:rFonts w:hint="eastAsia" w:ascii="宋体" w:hAnsi="宋体" w:cs="宋体"/>
          <w:kern w:val="0"/>
          <w:sz w:val="24"/>
          <w:highlight w:val="none"/>
          <w:lang w:bidi="en-US"/>
        </w:rPr>
        <w:t>投标文件、签订合同和处理有关事宜，其法律后果由我方承担。</w:t>
      </w:r>
    </w:p>
    <w:p w14:paraId="4DFDEEFC">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委托期限：</w:t>
      </w:r>
      <w:r>
        <w:rPr>
          <w:rFonts w:hint="eastAsia" w:ascii="宋体" w:hAnsi="宋体" w:cs="宋体"/>
          <w:kern w:val="0"/>
          <w:sz w:val="24"/>
          <w:highlight w:val="none"/>
          <w:u w:val="single"/>
          <w:lang w:bidi="en-US"/>
        </w:rPr>
        <w:t xml:space="preserve">                                </w:t>
      </w:r>
    </w:p>
    <w:p w14:paraId="21C61DE1">
      <w:pPr>
        <w:widowControl/>
        <w:ind w:firstLine="480" w:firstLineChars="200"/>
        <w:jc w:val="left"/>
        <w:rPr>
          <w:rFonts w:ascii="宋体" w:hAnsi="宋体" w:cs="宋体"/>
          <w:kern w:val="0"/>
          <w:sz w:val="24"/>
          <w:highlight w:val="none"/>
          <w:lang w:bidi="en-US"/>
        </w:rPr>
      </w:pPr>
    </w:p>
    <w:p w14:paraId="4874FC88">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代理人无转委托权。</w:t>
      </w:r>
    </w:p>
    <w:p w14:paraId="4B08C54C">
      <w:pPr>
        <w:widowControl/>
        <w:ind w:firstLine="480" w:firstLineChars="200"/>
        <w:jc w:val="left"/>
        <w:rPr>
          <w:rFonts w:ascii="宋体" w:hAnsi="宋体" w:cs="宋体"/>
          <w:kern w:val="0"/>
          <w:sz w:val="24"/>
          <w:highlight w:val="none"/>
          <w:lang w:bidi="en-US"/>
        </w:rPr>
      </w:pPr>
    </w:p>
    <w:p w14:paraId="2A85D0EC">
      <w:pPr>
        <w:widowControl/>
        <w:ind w:firstLine="480" w:firstLineChars="200"/>
        <w:jc w:val="left"/>
        <w:rPr>
          <w:rFonts w:ascii="宋体" w:hAnsi="宋体" w:cs="宋体"/>
          <w:kern w:val="0"/>
          <w:sz w:val="24"/>
          <w:highlight w:val="none"/>
          <w:lang w:bidi="en-US"/>
        </w:rPr>
      </w:pPr>
    </w:p>
    <w:p w14:paraId="6AACBF2E">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供应商：</w:t>
      </w:r>
      <w:r>
        <w:rPr>
          <w:rFonts w:hint="eastAsia" w:ascii="宋体" w:hAnsi="宋体" w:cs="宋体"/>
          <w:kern w:val="0"/>
          <w:sz w:val="24"/>
          <w:highlight w:val="none"/>
          <w:u w:val="single"/>
          <w:lang w:bidi="en-US"/>
        </w:rPr>
        <w:t xml:space="preserve">                     </w:t>
      </w:r>
      <w:r>
        <w:rPr>
          <w:rFonts w:hint="eastAsia" w:ascii="宋体" w:hAnsi="宋体" w:cs="宋体"/>
          <w:sz w:val="24"/>
          <w:highlight w:val="none"/>
          <w:u w:val="single"/>
        </w:rPr>
        <w:t>（盖单位公章或电子签章</w:t>
      </w:r>
      <w:r>
        <w:rPr>
          <w:rFonts w:hint="eastAsia" w:ascii="宋体" w:hAnsi="宋体" w:cs="宋体"/>
          <w:kern w:val="0"/>
          <w:sz w:val="24"/>
          <w:highlight w:val="none"/>
        </w:rPr>
        <w:t>）</w:t>
      </w:r>
    </w:p>
    <w:p w14:paraId="002F3290">
      <w:pPr>
        <w:widowControl/>
        <w:ind w:firstLine="480" w:firstLineChars="200"/>
        <w:jc w:val="left"/>
        <w:rPr>
          <w:rFonts w:ascii="宋体" w:hAnsi="宋体" w:cs="宋体"/>
          <w:kern w:val="0"/>
          <w:sz w:val="24"/>
          <w:highlight w:val="none"/>
          <w:lang w:bidi="en-US"/>
        </w:rPr>
      </w:pPr>
      <w:r>
        <w:rPr>
          <w:rFonts w:hint="eastAsia" w:asciiTheme="minorEastAsia" w:hAnsiTheme="minorEastAsia" w:eastAsiaTheme="minorEastAsia" w:cstheme="minorEastAsia"/>
          <w:kern w:val="0"/>
          <w:sz w:val="24"/>
          <w:highlight w:val="none"/>
          <w:lang w:bidi="en-US"/>
        </w:rPr>
        <w:t>法定代表人（或负责人）</w:t>
      </w:r>
      <w:r>
        <w:rPr>
          <w:rFonts w:hint="eastAsia" w:ascii="宋体" w:hAnsi="宋体" w:cs="宋体"/>
          <w:kern w:val="0"/>
          <w:sz w:val="24"/>
          <w:highlight w:val="none"/>
          <w:lang w:bidi="en-US"/>
        </w:rPr>
        <w:t>：</w:t>
      </w:r>
      <w:r>
        <w:rPr>
          <w:rFonts w:hint="eastAsia" w:ascii="宋体" w:hAnsi="宋体" w:cs="宋体"/>
          <w:kern w:val="0"/>
          <w:sz w:val="24"/>
          <w:highlight w:val="none"/>
          <w:u w:val="single"/>
          <w:lang w:bidi="en-US"/>
        </w:rPr>
        <w:t xml:space="preserve">                 </w:t>
      </w:r>
      <w:r>
        <w:rPr>
          <w:rFonts w:hint="eastAsia" w:ascii="宋体" w:hAnsi="宋体" w:cs="宋体"/>
          <w:sz w:val="24"/>
          <w:highlight w:val="none"/>
          <w:u w:val="single"/>
        </w:rPr>
        <w:t>（签字或电子签章</w:t>
      </w:r>
      <w:r>
        <w:rPr>
          <w:rFonts w:hint="eastAsia" w:ascii="宋体" w:hAnsi="宋体" w:cs="宋体"/>
          <w:kern w:val="0"/>
          <w:sz w:val="24"/>
          <w:highlight w:val="none"/>
        </w:rPr>
        <w:t>）</w:t>
      </w:r>
    </w:p>
    <w:p w14:paraId="2DB3728A">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身份证号码：</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p>
    <w:p w14:paraId="583DE2C3">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委托代理人：</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 xml:space="preserve">                             </w:t>
      </w:r>
    </w:p>
    <w:p w14:paraId="593137C4">
      <w:pPr>
        <w:widowControl/>
        <w:ind w:firstLine="480" w:firstLineChars="200"/>
        <w:jc w:val="left"/>
        <w:rPr>
          <w:rFonts w:ascii="宋体" w:hAnsi="宋体" w:cs="宋体"/>
          <w:kern w:val="0"/>
          <w:sz w:val="24"/>
          <w:highlight w:val="none"/>
          <w:u w:val="single"/>
          <w:lang w:bidi="en-US"/>
        </w:rPr>
      </w:pPr>
      <w:r>
        <w:rPr>
          <w:rFonts w:hint="eastAsia" w:ascii="宋体" w:hAnsi="宋体" w:cs="宋体"/>
          <w:kern w:val="0"/>
          <w:sz w:val="24"/>
          <w:highlight w:val="none"/>
          <w:lang w:bidi="en-US"/>
        </w:rPr>
        <w:t>身份证号码：</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u w:val="single"/>
          <w:lang w:bidi="en-US"/>
        </w:rPr>
        <w:tab/>
      </w:r>
    </w:p>
    <w:p w14:paraId="50354DBE">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lang w:bidi="en-US"/>
        </w:rPr>
        <w:t>手机号码：</w:t>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r>
        <w:rPr>
          <w:rFonts w:hint="eastAsia" w:ascii="宋体" w:hAnsi="宋体" w:cs="宋体"/>
          <w:kern w:val="0"/>
          <w:sz w:val="24"/>
          <w:highlight w:val="none"/>
          <w:u w:val="single"/>
          <w:lang w:bidi="en-US"/>
        </w:rPr>
        <w:tab/>
      </w:r>
    </w:p>
    <w:p w14:paraId="27F44F50">
      <w:pPr>
        <w:widowControl/>
        <w:ind w:firstLine="480" w:firstLineChars="200"/>
        <w:jc w:val="left"/>
        <w:rPr>
          <w:rFonts w:ascii="宋体" w:hAnsi="宋体" w:cs="宋体"/>
          <w:kern w:val="0"/>
          <w:sz w:val="24"/>
          <w:highlight w:val="none"/>
          <w:lang w:bidi="en-US"/>
        </w:rPr>
      </w:pPr>
    </w:p>
    <w:p w14:paraId="62936902">
      <w:pPr>
        <w:widowControl/>
        <w:ind w:firstLine="480" w:firstLineChars="200"/>
        <w:jc w:val="left"/>
        <w:rPr>
          <w:rFonts w:ascii="宋体" w:hAnsi="宋体" w:cs="宋体"/>
          <w:kern w:val="0"/>
          <w:sz w:val="24"/>
          <w:highlight w:val="none"/>
          <w:lang w:bidi="en-US"/>
        </w:rPr>
      </w:pP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年</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月</w:t>
      </w:r>
      <w:r>
        <w:rPr>
          <w:rFonts w:hint="eastAsia" w:ascii="宋体" w:hAnsi="宋体" w:cs="宋体"/>
          <w:kern w:val="0"/>
          <w:sz w:val="24"/>
          <w:highlight w:val="none"/>
          <w:u w:val="single"/>
          <w:lang w:bidi="en-US"/>
        </w:rPr>
        <w:t xml:space="preserve">    </w:t>
      </w:r>
      <w:r>
        <w:rPr>
          <w:rFonts w:hint="eastAsia" w:ascii="宋体" w:hAnsi="宋体" w:cs="宋体"/>
          <w:kern w:val="0"/>
          <w:sz w:val="24"/>
          <w:highlight w:val="none"/>
          <w:lang w:bidi="en-US"/>
        </w:rPr>
        <w:t>日</w:t>
      </w:r>
    </w:p>
    <w:p w14:paraId="4C304D5D">
      <w:pPr>
        <w:widowControl/>
        <w:ind w:firstLine="480" w:firstLineChars="200"/>
        <w:jc w:val="left"/>
        <w:rPr>
          <w:rFonts w:ascii="宋体" w:hAnsi="宋体" w:cs="宋体"/>
          <w:kern w:val="0"/>
          <w:sz w:val="24"/>
          <w:highlight w:val="none"/>
          <w:lang w:bidi="en-US"/>
        </w:rPr>
      </w:pPr>
    </w:p>
    <w:p w14:paraId="7414C83E">
      <w:pPr>
        <w:widowControl/>
        <w:ind w:firstLine="482" w:firstLineChars="200"/>
        <w:jc w:val="left"/>
        <w:rPr>
          <w:rFonts w:ascii="宋体" w:hAnsi="宋体" w:cs="宋体"/>
          <w:highlight w:val="none"/>
        </w:rPr>
      </w:pPr>
      <w:r>
        <w:rPr>
          <w:rFonts w:hint="eastAsia" w:ascii="宋体" w:hAnsi="宋体" w:cs="宋体"/>
          <w:b/>
          <w:bCs/>
          <w:kern w:val="0"/>
          <w:sz w:val="24"/>
          <w:highlight w:val="none"/>
          <w:lang w:bidi="en-US"/>
        </w:rPr>
        <w:t>注：附受委托人身份证原件扫描件。</w:t>
      </w:r>
    </w:p>
    <w:p w14:paraId="5C52DC19">
      <w:pPr>
        <w:pStyle w:val="21"/>
        <w:spacing w:line="460" w:lineRule="exact"/>
        <w:rPr>
          <w:rFonts w:hAnsi="宋体" w:cs="宋体"/>
          <w:b/>
          <w:sz w:val="28"/>
          <w:szCs w:val="28"/>
          <w:highlight w:val="none"/>
        </w:rPr>
      </w:pPr>
      <w:r>
        <w:rPr>
          <w:rFonts w:hint="eastAsia" w:hAnsi="宋体" w:cs="宋体"/>
          <w:b/>
          <w:sz w:val="28"/>
          <w:szCs w:val="28"/>
          <w:highlight w:val="none"/>
        </w:rPr>
        <w:br w:type="page"/>
      </w:r>
    </w:p>
    <w:p w14:paraId="71D2825F">
      <w:pPr>
        <w:pStyle w:val="5"/>
        <w:widowControl/>
        <w:numPr>
          <w:ilvl w:val="0"/>
          <w:numId w:val="0"/>
        </w:numPr>
        <w:tabs>
          <w:tab w:val="left" w:pos="2518"/>
          <w:tab w:val="clear" w:pos="900"/>
        </w:tabs>
        <w:jc w:val="center"/>
        <w:rPr>
          <w:rFonts w:ascii="宋体" w:hAnsi="宋体" w:eastAsia="宋体" w:cs="宋体"/>
          <w:szCs w:val="24"/>
          <w:highlight w:val="none"/>
          <w:lang w:bidi="en-US"/>
        </w:rPr>
      </w:pPr>
      <w:bookmarkStart w:id="205" w:name="_Toc2381"/>
      <w:r>
        <w:rPr>
          <w:rFonts w:hint="eastAsia" w:ascii="宋体" w:hAnsi="宋体" w:eastAsia="宋体" w:cs="宋体"/>
          <w:bCs/>
          <w:szCs w:val="24"/>
          <w:highlight w:val="none"/>
          <w:lang w:bidi="en-US"/>
        </w:rPr>
        <w:t>（三）供应商认为需提交的其他资料</w:t>
      </w:r>
      <w:bookmarkEnd w:id="205"/>
    </w:p>
    <w:p w14:paraId="33E067CE">
      <w:pPr>
        <w:spacing w:after="318" w:afterLines="100"/>
        <w:jc w:val="left"/>
        <w:outlineLvl w:val="2"/>
        <w:rPr>
          <w:rFonts w:ascii="宋体"/>
          <w:highlight w:val="none"/>
          <w:lang w:val="zh-CN"/>
        </w:rPr>
      </w:pPr>
      <w:r>
        <w:rPr>
          <w:rFonts w:hint="eastAsia"/>
          <w:kern w:val="0"/>
          <w:sz w:val="28"/>
          <w:szCs w:val="28"/>
          <w:highlight w:val="none"/>
          <w:u w:val="single"/>
        </w:rPr>
        <w:br w:type="page"/>
      </w:r>
      <w:r>
        <w:rPr>
          <w:rFonts w:hint="eastAsia" w:ascii="宋体" w:hAnsi="宋体" w:cs="宋体"/>
          <w:b/>
          <w:bCs/>
          <w:sz w:val="32"/>
          <w:szCs w:val="32"/>
          <w:highlight w:val="none"/>
          <w:lang w:val="zh-CN"/>
        </w:rPr>
        <w:t>附件</w:t>
      </w:r>
      <w:r>
        <w:rPr>
          <w:rFonts w:ascii="宋体" w:hAnsi="宋体" w:cs="宋体"/>
          <w:b/>
          <w:bCs/>
          <w:sz w:val="32"/>
          <w:szCs w:val="32"/>
          <w:highlight w:val="none"/>
          <w:lang w:val="zh-CN"/>
        </w:rPr>
        <w:t xml:space="preserve"> </w:t>
      </w:r>
      <w:r>
        <w:rPr>
          <w:rFonts w:ascii="宋体" w:hAnsi="宋体" w:cs="宋体"/>
          <w:b/>
          <w:bCs/>
          <w:sz w:val="32"/>
          <w:szCs w:val="32"/>
          <w:highlight w:val="none"/>
        </w:rPr>
        <w:t>1</w:t>
      </w:r>
      <w:r>
        <w:rPr>
          <w:rFonts w:hint="eastAsia" w:ascii="宋体" w:hAnsi="宋体" w:cs="宋体"/>
          <w:b/>
          <w:bCs/>
          <w:sz w:val="32"/>
          <w:szCs w:val="32"/>
          <w:highlight w:val="none"/>
          <w:lang w:val="zh-CN"/>
        </w:rPr>
        <w:t>：中小企业声明函</w:t>
      </w:r>
    </w:p>
    <w:p w14:paraId="42FB15E3">
      <w:pPr>
        <w:spacing w:after="318" w:afterLines="100"/>
        <w:jc w:val="center"/>
        <w:rPr>
          <w:rFonts w:ascii="宋体"/>
          <w:sz w:val="24"/>
          <w:highlight w:val="none"/>
        </w:rPr>
      </w:pPr>
      <w:r>
        <w:rPr>
          <w:rFonts w:hint="eastAsia" w:ascii="宋体" w:hAnsi="宋体" w:cs="宋体"/>
          <w:b/>
          <w:bCs/>
          <w:sz w:val="32"/>
          <w:szCs w:val="32"/>
          <w:highlight w:val="none"/>
          <w:lang w:val="zh-CN"/>
        </w:rPr>
        <w:t>中小企业声明函（</w:t>
      </w:r>
      <w:r>
        <w:rPr>
          <w:rFonts w:hint="eastAsia" w:ascii="宋体" w:hAnsi="宋体" w:cs="宋体"/>
          <w:b/>
          <w:bCs/>
          <w:sz w:val="32"/>
          <w:szCs w:val="32"/>
          <w:highlight w:val="none"/>
        </w:rPr>
        <w:t>货物</w:t>
      </w:r>
      <w:r>
        <w:rPr>
          <w:rFonts w:hint="eastAsia" w:ascii="宋体" w:hAnsi="宋体" w:cs="宋体"/>
          <w:b/>
          <w:bCs/>
          <w:sz w:val="32"/>
          <w:szCs w:val="32"/>
          <w:highlight w:val="none"/>
          <w:lang w:val="zh-CN"/>
        </w:rPr>
        <w:t>）</w:t>
      </w:r>
    </w:p>
    <w:p w14:paraId="35838D51">
      <w:pPr>
        <w:ind w:firstLine="720" w:firstLineChars="300"/>
        <w:rPr>
          <w:rFonts w:ascii="宋体"/>
          <w:sz w:val="24"/>
          <w:highlight w:val="none"/>
        </w:rPr>
      </w:pPr>
      <w:r>
        <w:rPr>
          <w:rFonts w:hint="eastAsia" w:ascii="宋体" w:hAnsi="宋体" w:cs="宋体"/>
          <w:sz w:val="24"/>
          <w:highlight w:val="none"/>
        </w:rPr>
        <w:t>本公司（联合体）郑重声明，根据《政府采购促进中小企业发展管理办法》（财库﹝2020﹞46 号）及《关于进一步加大政府采购支持中小企业力度的通知》（ 财库〔2022〕19号）的规定，本公司</w:t>
      </w:r>
      <w:r>
        <w:rPr>
          <w:rFonts w:ascii="宋体" w:hAnsi="宋体" w:cs="宋体"/>
          <w:sz w:val="24"/>
          <w:highlight w:val="none"/>
        </w:rPr>
        <w:t xml:space="preserve"> </w:t>
      </w:r>
      <w:r>
        <w:rPr>
          <w:rFonts w:hint="eastAsia" w:ascii="宋体" w:hAnsi="宋体" w:cs="宋体"/>
          <w:sz w:val="24"/>
          <w:highlight w:val="none"/>
        </w:rPr>
        <w:t>（联合体）参加</w:t>
      </w:r>
      <w:r>
        <w:rPr>
          <w:rFonts w:ascii="宋体" w:hAnsi="宋体" w:cs="宋体"/>
          <w:sz w:val="24"/>
          <w:highlight w:val="none"/>
          <w:u w:val="single"/>
        </w:rPr>
        <w:t xml:space="preserve">             </w:t>
      </w:r>
      <w:r>
        <w:rPr>
          <w:rFonts w:hint="eastAsia" w:ascii="宋体" w:hAnsi="宋体" w:cs="宋体"/>
          <w:sz w:val="24"/>
          <w:highlight w:val="none"/>
        </w:rPr>
        <w:t>（单位名称）的</w:t>
      </w:r>
      <w:r>
        <w:rPr>
          <w:rFonts w:ascii="宋体" w:hAnsi="宋体" w:cs="宋体"/>
          <w:sz w:val="24"/>
          <w:highlight w:val="none"/>
          <w:u w:val="single"/>
        </w:rPr>
        <w:t xml:space="preserve">            </w:t>
      </w:r>
      <w:r>
        <w:rPr>
          <w:rFonts w:hint="eastAsia" w:ascii="宋体" w:hAnsi="宋体" w:cs="宋体"/>
          <w:sz w:val="24"/>
          <w:highlight w:val="none"/>
        </w:rPr>
        <w:t>（项目名称）采购活动，提供的货物全部由符合政策要求的中小企业制造。相关企业（含联合体中的中小企业、签订分包意向协议的中小企业）的具体情况如下：</w:t>
      </w:r>
      <w:r>
        <w:rPr>
          <w:rFonts w:ascii="宋体" w:hAnsi="宋体" w:cs="宋体"/>
          <w:sz w:val="24"/>
          <w:highlight w:val="none"/>
        </w:rPr>
        <w:t xml:space="preserve"> </w:t>
      </w:r>
    </w:p>
    <w:p w14:paraId="12D12CD4">
      <w:pPr>
        <w:numPr>
          <w:ilvl w:val="0"/>
          <w:numId w:val="0"/>
        </w:numPr>
        <w:rPr>
          <w:rFonts w:ascii="宋体"/>
          <w:sz w:val="24"/>
          <w:highlight w:val="none"/>
        </w:rPr>
      </w:pPr>
      <w:r>
        <w:rPr>
          <w:rFonts w:ascii="宋体" w:hAnsi="Times New Roman" w:eastAsia="宋体" w:cs="Times New Roman"/>
          <w:kern w:val="2"/>
          <w:sz w:val="24"/>
          <w:szCs w:val="24"/>
          <w:highlight w:val="none"/>
          <w:lang w:val="en-US" w:eastAsia="zh-CN" w:bidi="ar-SA"/>
        </w:rPr>
        <w:t>1.</w:t>
      </w:r>
      <w:r>
        <w:rPr>
          <w:rFonts w:ascii="宋体" w:hAnsi="宋体" w:cs="宋体"/>
          <w:sz w:val="24"/>
          <w:highlight w:val="none"/>
        </w:rPr>
        <w:t xml:space="preserve">  </w:t>
      </w:r>
      <w:r>
        <w:rPr>
          <w:rFonts w:hint="eastAsia" w:ascii="宋体" w:hAnsi="宋体" w:cs="宋体"/>
          <w:sz w:val="24"/>
          <w:highlight w:val="none"/>
          <w:u w:val="single"/>
        </w:rPr>
        <w:t>（标的名称）</w:t>
      </w:r>
      <w:r>
        <w:rPr>
          <w:rFonts w:ascii="宋体" w:hAnsi="宋体" w:cs="宋体"/>
          <w:sz w:val="24"/>
          <w:highlight w:val="none"/>
        </w:rPr>
        <w:t xml:space="preserve"> </w:t>
      </w:r>
      <w:r>
        <w:rPr>
          <w:rFonts w:hint="eastAsia" w:ascii="宋体" w:hAnsi="宋体" w:cs="宋体"/>
          <w:sz w:val="24"/>
          <w:highlight w:val="none"/>
        </w:rPr>
        <w:t>，属于</w:t>
      </w:r>
      <w:r>
        <w:rPr>
          <w:rFonts w:ascii="宋体" w:hAnsi="宋体" w:cs="宋体"/>
          <w:sz w:val="24"/>
          <w:highlight w:val="none"/>
          <w:u w:val="single"/>
        </w:rPr>
        <w:t xml:space="preserve">  </w:t>
      </w:r>
      <w:r>
        <w:rPr>
          <w:rFonts w:hint="eastAsia" w:ascii="宋体" w:hAnsi="宋体" w:cs="宋体"/>
          <w:sz w:val="24"/>
          <w:highlight w:val="none"/>
          <w:u w:val="single"/>
        </w:rPr>
        <w:t>（采购文件中明确的所属行业）行业</w:t>
      </w:r>
      <w:r>
        <w:rPr>
          <w:rFonts w:hint="eastAsia" w:ascii="宋体" w:hAnsi="宋体" w:cs="宋体"/>
          <w:sz w:val="24"/>
          <w:highlight w:val="none"/>
        </w:rPr>
        <w:t>；</w:t>
      </w:r>
      <w:r>
        <w:rPr>
          <w:rFonts w:ascii="宋体" w:hAnsi="宋体" w:cs="宋体"/>
          <w:sz w:val="24"/>
          <w:highlight w:val="none"/>
        </w:rPr>
        <w:t xml:space="preserve"> </w:t>
      </w:r>
      <w:r>
        <w:rPr>
          <w:rFonts w:hint="eastAsia" w:ascii="宋体" w:hAnsi="宋体" w:cs="宋体"/>
          <w:sz w:val="24"/>
          <w:highlight w:val="none"/>
        </w:rPr>
        <w:t>制造商为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7DB170AB">
      <w:pPr>
        <w:numPr>
          <w:ilvl w:val="0"/>
          <w:numId w:val="0"/>
        </w:numPr>
        <w:rPr>
          <w:rFonts w:ascii="宋体"/>
          <w:sz w:val="24"/>
          <w:highlight w:val="none"/>
        </w:rPr>
      </w:pPr>
      <w:r>
        <w:rPr>
          <w:rFonts w:ascii="宋体" w:hAnsi="Times New Roman" w:eastAsia="宋体" w:cs="Times New Roman"/>
          <w:kern w:val="2"/>
          <w:sz w:val="24"/>
          <w:szCs w:val="24"/>
          <w:highlight w:val="none"/>
          <w:lang w:val="en-US" w:eastAsia="zh-CN" w:bidi="ar-SA"/>
        </w:rPr>
        <w:t>2.</w:t>
      </w:r>
      <w:r>
        <w:rPr>
          <w:rFonts w:hint="eastAsia" w:ascii="宋体" w:hAnsi="宋体" w:cs="宋体"/>
          <w:sz w:val="24"/>
          <w:highlight w:val="none"/>
          <w:u w:val="single"/>
        </w:rPr>
        <w:t>（标的名称）</w:t>
      </w:r>
      <w:r>
        <w:rPr>
          <w:rFonts w:ascii="宋体" w:hAnsi="宋体" w:cs="宋体"/>
          <w:sz w:val="24"/>
          <w:highlight w:val="none"/>
          <w:u w:val="single"/>
        </w:rPr>
        <w:t xml:space="preserve"> </w:t>
      </w:r>
      <w:r>
        <w:rPr>
          <w:rFonts w:hint="eastAsia" w:ascii="宋体" w:hAnsi="宋体" w:cs="宋体"/>
          <w:sz w:val="24"/>
          <w:highlight w:val="none"/>
        </w:rPr>
        <w:t>，</w:t>
      </w:r>
      <w:r>
        <w:rPr>
          <w:rFonts w:ascii="宋体" w:hAnsi="宋体" w:cs="宋体"/>
          <w:sz w:val="24"/>
          <w:highlight w:val="none"/>
        </w:rPr>
        <w:t>属于</w:t>
      </w:r>
      <w:r>
        <w:rPr>
          <w:rFonts w:ascii="宋体" w:hAnsi="宋体" w:cs="宋体"/>
          <w:sz w:val="24"/>
          <w:highlight w:val="none"/>
          <w:u w:val="single"/>
        </w:rPr>
        <w:t>（采购文件中明确的所属行业）行业</w:t>
      </w:r>
      <w:r>
        <w:rPr>
          <w:rFonts w:ascii="宋体" w:hAnsi="宋体" w:cs="宋体"/>
          <w:sz w:val="24"/>
          <w:highlight w:val="none"/>
        </w:rPr>
        <w:t>；制造商为</w:t>
      </w:r>
      <w:r>
        <w:rPr>
          <w:rFonts w:ascii="宋体" w:hAnsi="宋体" w:cs="宋体"/>
          <w:sz w:val="24"/>
          <w:highlight w:val="none"/>
          <w:u w:val="single"/>
        </w:rPr>
        <w:t>（企业名称）</w:t>
      </w:r>
      <w:r>
        <w:rPr>
          <w:rFonts w:ascii="宋体" w:hAnsi="宋体" w:cs="宋体"/>
          <w:sz w:val="24"/>
          <w:highlight w:val="none"/>
        </w:rPr>
        <w:t>，从业人员</w:t>
      </w:r>
      <w:r>
        <w:rPr>
          <w:rFonts w:hint="eastAsia" w:ascii="宋体" w:hAnsi="宋体" w:cs="宋体"/>
          <w:sz w:val="24"/>
          <w:highlight w:val="none"/>
          <w:u w:val="single"/>
        </w:rPr>
        <w:t xml:space="preserve">     </w:t>
      </w:r>
      <w:r>
        <w:rPr>
          <w:rFonts w:ascii="宋体" w:hAnsi="宋体" w:cs="宋体"/>
          <w:sz w:val="24"/>
          <w:highlight w:val="none"/>
        </w:rPr>
        <w:t>人，营业收入为</w:t>
      </w:r>
      <w:r>
        <w:rPr>
          <w:rFonts w:hint="eastAsia" w:ascii="宋体" w:hAnsi="宋体" w:cs="宋体"/>
          <w:sz w:val="24"/>
          <w:highlight w:val="none"/>
          <w:u w:val="single"/>
        </w:rPr>
        <w:t xml:space="preserve">     </w:t>
      </w:r>
      <w:r>
        <w:rPr>
          <w:rFonts w:ascii="宋体" w:hAnsi="宋体" w:cs="宋体"/>
          <w:sz w:val="24"/>
          <w:highlight w:val="none"/>
        </w:rPr>
        <w:t>万元，资产总额为 万元，属于</w:t>
      </w:r>
      <w:r>
        <w:rPr>
          <w:rFonts w:ascii="宋体" w:hAnsi="宋体" w:cs="宋体"/>
          <w:sz w:val="24"/>
          <w:highlight w:val="none"/>
          <w:u w:val="single"/>
        </w:rPr>
        <w:t>（中型企业、小型企业、微型企业）</w:t>
      </w:r>
      <w:r>
        <w:rPr>
          <w:rFonts w:ascii="宋体" w:hAnsi="宋体" w:cs="宋体"/>
          <w:sz w:val="24"/>
          <w:highlight w:val="none"/>
        </w:rPr>
        <w:t>；</w:t>
      </w:r>
    </w:p>
    <w:p w14:paraId="1B3C3E0B">
      <w:pPr>
        <w:rPr>
          <w:rFonts w:ascii="宋体"/>
          <w:sz w:val="24"/>
          <w:highlight w:val="none"/>
        </w:rPr>
      </w:pPr>
      <w:r>
        <w:rPr>
          <w:rFonts w:ascii="宋体" w:hAnsi="宋体" w:cs="宋体"/>
          <w:sz w:val="24"/>
          <w:highlight w:val="none"/>
        </w:rPr>
        <w:t xml:space="preserve"> </w:t>
      </w:r>
      <w:r>
        <w:rPr>
          <w:rFonts w:hint="eastAsia" w:ascii="宋体" w:hAnsi="宋体" w:cs="宋体"/>
          <w:sz w:val="24"/>
          <w:highlight w:val="none"/>
        </w:rPr>
        <w:t>……</w:t>
      </w:r>
      <w:r>
        <w:rPr>
          <w:rFonts w:ascii="宋体" w:hAnsi="宋体" w:cs="宋体"/>
          <w:sz w:val="24"/>
          <w:highlight w:val="none"/>
        </w:rPr>
        <w:t xml:space="preserve"> </w:t>
      </w:r>
    </w:p>
    <w:p w14:paraId="7124F174">
      <w:pPr>
        <w:ind w:firstLine="480" w:firstLineChars="200"/>
        <w:rPr>
          <w:rFonts w:ascii="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r>
        <w:rPr>
          <w:rFonts w:ascii="宋体" w:hAnsi="宋体" w:cs="宋体"/>
          <w:sz w:val="24"/>
          <w:highlight w:val="none"/>
        </w:rPr>
        <w:t xml:space="preserve"> </w:t>
      </w:r>
    </w:p>
    <w:p w14:paraId="314FD798">
      <w:pPr>
        <w:ind w:firstLine="480" w:firstLineChars="200"/>
        <w:rPr>
          <w:rFonts w:ascii="宋体"/>
          <w:highlight w:val="none"/>
          <w:lang w:val="zh-CN"/>
        </w:rPr>
      </w:pPr>
      <w:r>
        <w:rPr>
          <w:rFonts w:hint="eastAsia" w:ascii="宋体" w:hAnsi="宋体" w:cs="宋体"/>
          <w:sz w:val="24"/>
          <w:highlight w:val="none"/>
        </w:rPr>
        <w:t>本企业对上述声明内容的真实性负责。如有虚假，将依法承担相应责任。</w:t>
      </w:r>
      <w:r>
        <w:rPr>
          <w:rFonts w:ascii="宋体" w:hAnsi="宋体" w:cs="宋体"/>
          <w:sz w:val="24"/>
          <w:highlight w:val="none"/>
        </w:rPr>
        <w:t xml:space="preserve"> </w:t>
      </w:r>
    </w:p>
    <w:p w14:paraId="5F0E9DC9">
      <w:pPr>
        <w:spacing w:after="318" w:afterLines="100"/>
        <w:jc w:val="right"/>
        <w:rPr>
          <w:rFonts w:ascii="宋体"/>
          <w:sz w:val="24"/>
          <w:highlight w:val="none"/>
          <w:lang w:val="zh-CN"/>
        </w:rPr>
      </w:pPr>
      <w:r>
        <w:rPr>
          <w:rFonts w:ascii="宋体" w:hAnsi="宋体" w:cs="宋体"/>
          <w:sz w:val="24"/>
          <w:highlight w:val="none"/>
        </w:rPr>
        <w:t>企业名称</w:t>
      </w:r>
      <w:r>
        <w:rPr>
          <w:rFonts w:hint="eastAsia" w:ascii="宋体" w:hAnsi="宋体" w:cs="宋体"/>
          <w:sz w:val="24"/>
          <w:highlight w:val="none"/>
          <w:u w:val="single"/>
          <w:lang w:val="zh-CN"/>
        </w:rPr>
        <w:t>：</w:t>
      </w:r>
      <w:r>
        <w:rPr>
          <w:rFonts w:hint="eastAsia" w:ascii="宋体" w:hAnsi="宋体" w:cs="宋体"/>
          <w:sz w:val="24"/>
          <w:highlight w:val="none"/>
          <w:u w:val="single"/>
        </w:rPr>
        <w:t xml:space="preserve">        </w:t>
      </w:r>
      <w:r>
        <w:rPr>
          <w:rFonts w:ascii="宋体"/>
          <w:sz w:val="24"/>
          <w:highlight w:val="none"/>
          <w:u w:val="single"/>
          <w:lang w:val="zh-CN"/>
        </w:rPr>
        <w:tab/>
      </w:r>
      <w:r>
        <w:rPr>
          <w:rFonts w:hint="eastAsia" w:ascii="宋体" w:hAnsi="宋体" w:cs="宋体"/>
          <w:sz w:val="24"/>
          <w:highlight w:val="none"/>
          <w:lang w:val="zh-CN"/>
        </w:rPr>
        <w:t>（加盖供应商电子公章）</w:t>
      </w:r>
    </w:p>
    <w:p w14:paraId="4EC8115E">
      <w:pPr>
        <w:spacing w:after="318" w:afterLines="100"/>
        <w:jc w:val="right"/>
        <w:rPr>
          <w:rFonts w:ascii="宋体"/>
          <w:sz w:val="24"/>
          <w:highlight w:val="none"/>
          <w:lang w:val="zh-CN"/>
        </w:rPr>
      </w:pPr>
      <w:r>
        <w:rPr>
          <w:rFonts w:hint="eastAsia" w:ascii="宋体" w:hAnsi="宋体" w:cs="宋体"/>
          <w:sz w:val="24"/>
          <w:highlight w:val="none"/>
          <w:lang w:val="zh-CN"/>
        </w:rPr>
        <w:t>日</w:t>
      </w:r>
      <w:r>
        <w:rPr>
          <w:rFonts w:ascii="宋体"/>
          <w:sz w:val="24"/>
          <w:highlight w:val="none"/>
          <w:lang w:val="zh-CN"/>
        </w:rPr>
        <w:tab/>
      </w:r>
      <w:r>
        <w:rPr>
          <w:rFonts w:hint="eastAsia" w:ascii="宋体" w:hAnsi="宋体" w:cs="宋体"/>
          <w:sz w:val="24"/>
          <w:highlight w:val="none"/>
          <w:lang w:val="zh-CN"/>
        </w:rPr>
        <w:t>期：</w:t>
      </w:r>
      <w:r>
        <w:rPr>
          <w:rFonts w:ascii="宋体"/>
          <w:sz w:val="24"/>
          <w:highlight w:val="none"/>
          <w:u w:val="single"/>
          <w:lang w:val="zh-CN"/>
        </w:rPr>
        <w:tab/>
      </w:r>
      <w:r>
        <w:rPr>
          <w:rFonts w:hint="eastAsia" w:ascii="宋体" w:hAnsi="宋体" w:cs="宋体"/>
          <w:sz w:val="24"/>
          <w:highlight w:val="none"/>
          <w:lang w:val="zh-CN"/>
        </w:rPr>
        <w:t>年</w:t>
      </w:r>
      <w:r>
        <w:rPr>
          <w:rFonts w:hint="eastAsia" w:ascii="宋体" w:hAnsi="宋体" w:cs="宋体"/>
          <w:sz w:val="24"/>
          <w:highlight w:val="none"/>
        </w:rPr>
        <w:t xml:space="preserve">  </w:t>
      </w:r>
      <w:r>
        <w:rPr>
          <w:rFonts w:ascii="宋体"/>
          <w:sz w:val="24"/>
          <w:highlight w:val="none"/>
          <w:u w:val="single"/>
          <w:lang w:val="zh-CN"/>
        </w:rPr>
        <w:tab/>
      </w:r>
      <w:r>
        <w:rPr>
          <w:rFonts w:hint="eastAsia" w:ascii="宋体" w:hAnsi="宋体" w:cs="宋体"/>
          <w:sz w:val="24"/>
          <w:highlight w:val="none"/>
          <w:lang w:val="zh-CN"/>
        </w:rPr>
        <w:t>月</w:t>
      </w:r>
      <w:r>
        <w:rPr>
          <w:rFonts w:hint="eastAsia" w:ascii="宋体" w:hAnsi="宋体" w:cs="宋体"/>
          <w:sz w:val="24"/>
          <w:highlight w:val="none"/>
        </w:rPr>
        <w:t xml:space="preserve">  </w:t>
      </w:r>
      <w:r>
        <w:rPr>
          <w:rFonts w:ascii="宋体"/>
          <w:sz w:val="24"/>
          <w:highlight w:val="none"/>
          <w:u w:val="single"/>
          <w:lang w:val="zh-CN"/>
        </w:rPr>
        <w:tab/>
      </w:r>
      <w:r>
        <w:rPr>
          <w:rFonts w:hint="eastAsia" w:ascii="宋体" w:hAnsi="宋体" w:cs="宋体"/>
          <w:sz w:val="24"/>
          <w:highlight w:val="none"/>
          <w:lang w:val="zh-CN"/>
        </w:rPr>
        <w:t>日</w:t>
      </w:r>
    </w:p>
    <w:p w14:paraId="6C4F2BD2">
      <w:pPr>
        <w:spacing w:after="318" w:afterLines="100"/>
        <w:jc w:val="center"/>
        <w:rPr>
          <w:rFonts w:ascii="宋体" w:hAnsi="宋体" w:cs="宋体"/>
          <w:b/>
          <w:bCs/>
          <w:sz w:val="32"/>
          <w:szCs w:val="32"/>
          <w:highlight w:val="none"/>
          <w:lang w:val="zh-CN"/>
        </w:rPr>
      </w:pPr>
    </w:p>
    <w:p w14:paraId="34510DFA">
      <w:pPr>
        <w:spacing w:after="318" w:afterLines="100"/>
        <w:jc w:val="center"/>
        <w:rPr>
          <w:rFonts w:ascii="宋体" w:hAnsi="宋体" w:cs="宋体"/>
          <w:b/>
          <w:bCs/>
          <w:sz w:val="32"/>
          <w:szCs w:val="32"/>
          <w:highlight w:val="none"/>
          <w:lang w:val="zh-CN"/>
        </w:rPr>
      </w:pPr>
    </w:p>
    <w:p w14:paraId="2491FEDF">
      <w:pPr>
        <w:spacing w:after="318" w:afterLines="100"/>
        <w:jc w:val="center"/>
        <w:outlineLvl w:val="2"/>
        <w:rPr>
          <w:rFonts w:ascii="宋体"/>
          <w:highlight w:val="none"/>
          <w:lang w:val="zh-CN"/>
        </w:rPr>
      </w:pPr>
      <w:r>
        <w:rPr>
          <w:rFonts w:hint="eastAsia" w:ascii="宋体" w:hAnsi="宋体" w:cs="宋体"/>
          <w:b/>
          <w:bCs/>
          <w:sz w:val="32"/>
          <w:szCs w:val="32"/>
          <w:highlight w:val="none"/>
          <w:lang w:val="zh-CN"/>
        </w:rPr>
        <w:br w:type="page"/>
      </w:r>
      <w:r>
        <w:rPr>
          <w:rFonts w:hint="eastAsia" w:ascii="宋体" w:hAnsi="宋体" w:cs="宋体"/>
          <w:b/>
          <w:bCs/>
          <w:sz w:val="32"/>
          <w:szCs w:val="32"/>
          <w:highlight w:val="none"/>
          <w:lang w:val="zh-CN"/>
        </w:rPr>
        <w:t>附件</w:t>
      </w:r>
      <w:r>
        <w:rPr>
          <w:rFonts w:ascii="宋体" w:hAnsi="宋体" w:cs="宋体"/>
          <w:b/>
          <w:bCs/>
          <w:sz w:val="32"/>
          <w:szCs w:val="32"/>
          <w:highlight w:val="none"/>
        </w:rPr>
        <w:t>2</w:t>
      </w:r>
      <w:r>
        <w:rPr>
          <w:rFonts w:hint="eastAsia" w:ascii="宋体" w:hAnsi="宋体" w:cs="宋体"/>
          <w:b/>
          <w:bCs/>
          <w:sz w:val="32"/>
          <w:szCs w:val="32"/>
          <w:highlight w:val="none"/>
          <w:lang w:val="zh-CN"/>
        </w:rPr>
        <w:t>：残疾人福利性单位声明函（如有）</w:t>
      </w:r>
    </w:p>
    <w:p w14:paraId="0FEB7CB1">
      <w:pPr>
        <w:spacing w:after="318" w:afterLines="100"/>
        <w:jc w:val="center"/>
        <w:rPr>
          <w:rFonts w:ascii="宋体"/>
          <w:highlight w:val="none"/>
          <w:lang w:val="zh-CN"/>
        </w:rPr>
      </w:pPr>
      <w:r>
        <w:rPr>
          <w:rFonts w:hint="eastAsia" w:ascii="宋体" w:hAnsi="宋体" w:cs="宋体"/>
          <w:b/>
          <w:bCs/>
          <w:sz w:val="32"/>
          <w:szCs w:val="32"/>
          <w:highlight w:val="none"/>
          <w:lang w:val="zh-CN"/>
        </w:rPr>
        <w:t>残疾人福利性单位声明函</w:t>
      </w:r>
    </w:p>
    <w:p w14:paraId="581B574F">
      <w:pPr>
        <w:spacing w:after="318" w:afterLines="100"/>
        <w:ind w:firstLine="480" w:firstLineChars="200"/>
        <w:jc w:val="left"/>
        <w:rPr>
          <w:rFonts w:ascii="宋体"/>
          <w:sz w:val="24"/>
          <w:highlight w:val="none"/>
          <w:lang w:val="zh-CN"/>
        </w:rPr>
      </w:pPr>
      <w:r>
        <w:rPr>
          <w:rFonts w:hint="eastAsia" w:ascii="宋体" w:hAnsi="宋体" w:cs="宋体"/>
          <w:sz w:val="24"/>
          <w:highlight w:val="none"/>
          <w:lang w:val="zh-CN"/>
        </w:rPr>
        <w:t>本单位郑重声明，根据《财政部</w:t>
      </w:r>
      <w:r>
        <w:rPr>
          <w:rFonts w:ascii="宋体" w:hAnsi="宋体" w:cs="宋体"/>
          <w:sz w:val="24"/>
          <w:highlight w:val="none"/>
          <w:lang w:val="zh-CN"/>
        </w:rPr>
        <w:t xml:space="preserve"> </w:t>
      </w:r>
      <w:r>
        <w:rPr>
          <w:rFonts w:hint="eastAsia" w:ascii="宋体" w:hAnsi="宋体" w:cs="宋体"/>
          <w:sz w:val="24"/>
          <w:highlight w:val="none"/>
          <w:lang w:val="zh-CN"/>
        </w:rPr>
        <w:t>民政部</w:t>
      </w:r>
      <w:r>
        <w:rPr>
          <w:rFonts w:ascii="宋体" w:hAnsi="宋体" w:cs="宋体"/>
          <w:sz w:val="24"/>
          <w:highlight w:val="none"/>
          <w:lang w:val="zh-CN"/>
        </w:rPr>
        <w:t xml:space="preserve"> </w:t>
      </w:r>
      <w:r>
        <w:rPr>
          <w:rFonts w:hint="eastAsia" w:ascii="宋体" w:hAnsi="宋体" w:cs="宋体"/>
          <w:sz w:val="24"/>
          <w:highlight w:val="none"/>
          <w:lang w:val="zh-CN"/>
        </w:rPr>
        <w:t>中国残疾人联合会关于促进残疾人就业政府采购政策的通知》（财库〔</w:t>
      </w:r>
      <w:r>
        <w:rPr>
          <w:rFonts w:ascii="宋体" w:hAnsi="宋体" w:cs="宋体"/>
          <w:sz w:val="24"/>
          <w:highlight w:val="none"/>
          <w:lang w:val="zh-CN"/>
        </w:rPr>
        <w:t>2017</w:t>
      </w:r>
      <w:r>
        <w:rPr>
          <w:rFonts w:hint="eastAsia" w:ascii="宋体" w:hAnsi="宋体" w:cs="宋体"/>
          <w:sz w:val="24"/>
          <w:highlight w:val="none"/>
          <w:lang w:val="zh-CN"/>
        </w:rPr>
        <w:t>〕</w:t>
      </w:r>
      <w:r>
        <w:rPr>
          <w:rFonts w:ascii="宋体" w:hAnsi="宋体" w:cs="宋体"/>
          <w:sz w:val="24"/>
          <w:highlight w:val="none"/>
          <w:lang w:val="zh-CN"/>
        </w:rPr>
        <w:t xml:space="preserve"> 141 </w:t>
      </w:r>
      <w:r>
        <w:rPr>
          <w:rFonts w:hint="eastAsia" w:ascii="宋体" w:hAnsi="宋体" w:cs="宋体"/>
          <w:sz w:val="24"/>
          <w:highlight w:val="none"/>
          <w:lang w:val="zh-CN"/>
        </w:rPr>
        <w:t>号）的规定，本单位为符合条件的残疾人福利性单位，且本单位参加</w:t>
      </w:r>
      <w:r>
        <w:rPr>
          <w:rFonts w:hint="eastAsia" w:ascii="宋体" w:hAnsi="宋体" w:cs="宋体"/>
          <w:sz w:val="24"/>
          <w:highlight w:val="none"/>
        </w:rPr>
        <w:t xml:space="preserve"> </w:t>
      </w:r>
      <w:r>
        <w:rPr>
          <w:rFonts w:hint="eastAsia" w:ascii="宋体" w:hAnsi="宋体" w:cs="宋体"/>
          <w:sz w:val="24"/>
          <w:highlight w:val="none"/>
          <w:u w:val="single"/>
        </w:rPr>
        <w:t xml:space="preserve"> （采购人名称）</w:t>
      </w:r>
      <w:r>
        <w:rPr>
          <w:rFonts w:ascii="宋体"/>
          <w:sz w:val="24"/>
          <w:highlight w:val="none"/>
          <w:u w:val="single"/>
          <w:lang w:val="zh-CN"/>
        </w:rPr>
        <w:tab/>
      </w:r>
      <w:r>
        <w:rPr>
          <w:rFonts w:hint="eastAsia" w:ascii="宋体" w:hAnsi="宋体" w:cs="宋体"/>
          <w:sz w:val="24"/>
          <w:highlight w:val="none"/>
          <w:lang w:val="zh-CN"/>
        </w:rPr>
        <w:t>单位的</w:t>
      </w:r>
      <w:r>
        <w:rPr>
          <w:rFonts w:hint="eastAsia" w:ascii="宋体" w:hAnsi="宋体" w:cs="宋体"/>
          <w:sz w:val="24"/>
          <w:highlight w:val="none"/>
        </w:rPr>
        <w:t xml:space="preserve">  </w:t>
      </w:r>
      <w:r>
        <w:rPr>
          <w:rFonts w:hint="eastAsia" w:ascii="宋体" w:hAnsi="宋体" w:cs="宋体"/>
          <w:sz w:val="24"/>
          <w:highlight w:val="none"/>
          <w:u w:val="single"/>
          <w:lang w:eastAsia="zh-CN"/>
        </w:rPr>
        <w:t>玉溪职业技术学院（云南省玉溪工业财贸学校）人工智能赋能医药康养专业群建设项目</w:t>
      </w:r>
      <w:r>
        <w:rPr>
          <w:rFonts w:hint="eastAsia" w:ascii="宋体" w:hAnsi="宋体" w:cs="宋体"/>
          <w:sz w:val="24"/>
          <w:highlight w:val="none"/>
          <w:lang w:val="zh-CN"/>
        </w:rPr>
        <w:t>项目采购活动提供本单位制造的货物（由本单位承担项目</w:t>
      </w:r>
      <w:r>
        <w:rPr>
          <w:rFonts w:ascii="宋体" w:hAnsi="宋体" w:cs="宋体"/>
          <w:sz w:val="24"/>
          <w:highlight w:val="none"/>
          <w:lang w:val="zh-CN"/>
        </w:rPr>
        <w:t>/</w:t>
      </w:r>
      <w:r>
        <w:rPr>
          <w:rFonts w:hint="eastAsia" w:ascii="宋体" w:hAnsi="宋体" w:cs="宋体"/>
          <w:sz w:val="24"/>
          <w:highlight w:val="none"/>
          <w:lang w:val="zh-CN"/>
        </w:rPr>
        <w:t>提供服务），或者提供其他残疾人福利性单位制造的货物（不包括使用非残疾人福利性单位注册商标的货物）。</w:t>
      </w:r>
    </w:p>
    <w:p w14:paraId="2BF156B4">
      <w:pPr>
        <w:spacing w:after="318" w:afterLines="100"/>
        <w:jc w:val="center"/>
        <w:rPr>
          <w:rFonts w:ascii="宋体"/>
          <w:sz w:val="24"/>
          <w:highlight w:val="none"/>
          <w:lang w:val="zh-CN"/>
        </w:rPr>
      </w:pPr>
      <w:r>
        <w:rPr>
          <w:rFonts w:hint="eastAsia" w:ascii="宋体" w:hAnsi="宋体" w:cs="宋体"/>
          <w:sz w:val="24"/>
          <w:highlight w:val="none"/>
          <w:lang w:val="zh-CN"/>
        </w:rPr>
        <w:t>本单位对上述声明的真实性负责。如有虚假，将依法承担相应责任。</w:t>
      </w:r>
    </w:p>
    <w:p w14:paraId="64980B88">
      <w:pPr>
        <w:spacing w:after="318" w:afterLines="100"/>
        <w:jc w:val="right"/>
        <w:rPr>
          <w:rFonts w:ascii="宋体"/>
          <w:sz w:val="24"/>
          <w:highlight w:val="none"/>
          <w:lang w:val="zh-CN"/>
        </w:rPr>
      </w:pPr>
    </w:p>
    <w:p w14:paraId="37FF5FEF">
      <w:pPr>
        <w:spacing w:after="318" w:afterLines="100"/>
        <w:jc w:val="right"/>
        <w:rPr>
          <w:rFonts w:ascii="宋体"/>
          <w:sz w:val="24"/>
          <w:highlight w:val="none"/>
          <w:lang w:val="zh-CN"/>
        </w:rPr>
      </w:pPr>
    </w:p>
    <w:p w14:paraId="5B103382">
      <w:pPr>
        <w:spacing w:after="318" w:afterLines="100"/>
        <w:jc w:val="right"/>
        <w:rPr>
          <w:rFonts w:ascii="宋体"/>
          <w:sz w:val="24"/>
          <w:highlight w:val="none"/>
          <w:lang w:val="zh-CN"/>
        </w:rPr>
      </w:pPr>
      <w:r>
        <w:rPr>
          <w:rFonts w:hint="eastAsia" w:ascii="宋体" w:hAnsi="宋体" w:cs="宋体"/>
          <w:sz w:val="24"/>
          <w:highlight w:val="none"/>
          <w:lang w:val="zh-CN"/>
        </w:rPr>
        <w:t>供应商</w:t>
      </w:r>
      <w:r>
        <w:rPr>
          <w:rFonts w:hint="eastAsia" w:ascii="宋体" w:hAnsi="宋体" w:cs="宋体"/>
          <w:sz w:val="24"/>
          <w:highlight w:val="none"/>
          <w:u w:val="single"/>
          <w:lang w:val="zh-CN"/>
        </w:rPr>
        <w:t>：</w:t>
      </w:r>
      <w:r>
        <w:rPr>
          <w:rFonts w:hint="eastAsia" w:ascii="宋体" w:hAnsi="宋体" w:cs="宋体"/>
          <w:sz w:val="24"/>
          <w:highlight w:val="none"/>
          <w:u w:val="single"/>
        </w:rPr>
        <w:t xml:space="preserve">        </w:t>
      </w:r>
      <w:r>
        <w:rPr>
          <w:rFonts w:ascii="宋体"/>
          <w:sz w:val="24"/>
          <w:highlight w:val="none"/>
          <w:u w:val="single"/>
          <w:lang w:val="zh-CN"/>
        </w:rPr>
        <w:tab/>
      </w:r>
      <w:r>
        <w:rPr>
          <w:rFonts w:hint="eastAsia" w:ascii="宋体" w:hAnsi="宋体" w:cs="宋体"/>
          <w:sz w:val="24"/>
          <w:highlight w:val="none"/>
          <w:lang w:val="zh-CN"/>
        </w:rPr>
        <w:t>（加盖供应商电子公章）</w:t>
      </w:r>
    </w:p>
    <w:p w14:paraId="1794DA58">
      <w:pPr>
        <w:spacing w:after="318" w:afterLines="100"/>
        <w:jc w:val="right"/>
        <w:rPr>
          <w:rFonts w:ascii="宋体" w:hAnsi="宋体" w:cs="宋体"/>
          <w:sz w:val="24"/>
          <w:highlight w:val="none"/>
          <w:lang w:val="zh-CN"/>
        </w:rPr>
      </w:pPr>
      <w:r>
        <w:rPr>
          <w:rFonts w:hint="eastAsia" w:ascii="宋体" w:hAnsi="宋体" w:cs="宋体"/>
          <w:sz w:val="24"/>
          <w:highlight w:val="none"/>
          <w:lang w:val="zh-CN"/>
        </w:rPr>
        <w:t>法定代表人</w:t>
      </w:r>
      <w:r>
        <w:rPr>
          <w:rFonts w:hint="eastAsia" w:ascii="宋体" w:hAnsi="宋体" w:cs="宋体"/>
          <w:sz w:val="24"/>
          <w:highlight w:val="none"/>
        </w:rPr>
        <w:t>或</w:t>
      </w:r>
      <w:r>
        <w:rPr>
          <w:rFonts w:hint="eastAsia" w:ascii="宋体" w:hAnsi="宋体" w:cs="宋体"/>
          <w:sz w:val="24"/>
          <w:highlight w:val="none"/>
          <w:lang w:val="zh-CN"/>
        </w:rPr>
        <w:t>其委托代理人</w:t>
      </w:r>
      <w:r>
        <w:rPr>
          <w:rFonts w:hint="eastAsia" w:ascii="宋体" w:hAnsi="宋体" w:cs="宋体"/>
          <w:sz w:val="24"/>
          <w:highlight w:val="none"/>
          <w:u w:val="single"/>
          <w:lang w:val="zh-CN"/>
        </w:rPr>
        <w:t>：</w:t>
      </w:r>
      <w:r>
        <w:rPr>
          <w:rFonts w:hint="eastAsia" w:ascii="宋体" w:hAnsi="宋体" w:cs="宋体"/>
          <w:sz w:val="24"/>
          <w:highlight w:val="none"/>
          <w:u w:val="single"/>
        </w:rPr>
        <w:t xml:space="preserve">       </w:t>
      </w:r>
      <w:r>
        <w:rPr>
          <w:rFonts w:ascii="宋体"/>
          <w:sz w:val="24"/>
          <w:highlight w:val="none"/>
          <w:u w:val="single"/>
          <w:lang w:val="zh-CN"/>
        </w:rPr>
        <w:tab/>
      </w:r>
      <w:r>
        <w:rPr>
          <w:rFonts w:hint="eastAsia" w:ascii="宋体" w:hAnsi="宋体" w:cs="宋体"/>
          <w:sz w:val="24"/>
          <w:highlight w:val="none"/>
          <w:lang w:val="zh-CN"/>
        </w:rPr>
        <w:t>（电子签名或签章）</w:t>
      </w:r>
      <w:r>
        <w:rPr>
          <w:rFonts w:ascii="宋体" w:hAnsi="宋体" w:cs="宋体"/>
          <w:sz w:val="24"/>
          <w:highlight w:val="none"/>
          <w:lang w:val="zh-CN"/>
        </w:rPr>
        <w:t xml:space="preserve"> </w:t>
      </w:r>
    </w:p>
    <w:p w14:paraId="44892CD2">
      <w:pPr>
        <w:spacing w:after="318" w:afterLines="100"/>
        <w:jc w:val="right"/>
        <w:rPr>
          <w:rFonts w:ascii="宋体"/>
          <w:sz w:val="24"/>
          <w:highlight w:val="none"/>
          <w:lang w:val="zh-CN"/>
        </w:rPr>
      </w:pPr>
      <w:r>
        <w:rPr>
          <w:rFonts w:hint="eastAsia" w:ascii="宋体" w:hAnsi="宋体" w:cs="宋体"/>
          <w:sz w:val="24"/>
          <w:highlight w:val="none"/>
          <w:lang w:val="zh-CN"/>
        </w:rPr>
        <w:t>日</w:t>
      </w:r>
      <w:r>
        <w:rPr>
          <w:rFonts w:ascii="宋体"/>
          <w:sz w:val="24"/>
          <w:highlight w:val="none"/>
          <w:lang w:val="zh-CN"/>
        </w:rPr>
        <w:tab/>
      </w:r>
      <w:r>
        <w:rPr>
          <w:rFonts w:hint="eastAsia" w:ascii="宋体" w:hAnsi="宋体" w:cs="宋体"/>
          <w:sz w:val="24"/>
          <w:highlight w:val="none"/>
          <w:lang w:val="zh-CN"/>
        </w:rPr>
        <w:t>期：</w:t>
      </w:r>
      <w:r>
        <w:rPr>
          <w:rFonts w:ascii="宋体"/>
          <w:sz w:val="24"/>
          <w:highlight w:val="none"/>
          <w:u w:val="single"/>
          <w:lang w:val="zh-CN"/>
        </w:rPr>
        <w:tab/>
      </w:r>
      <w:r>
        <w:rPr>
          <w:rFonts w:hint="eastAsia" w:ascii="宋体" w:hAnsi="宋体" w:cs="宋体"/>
          <w:sz w:val="24"/>
          <w:highlight w:val="none"/>
          <w:lang w:val="zh-CN"/>
        </w:rPr>
        <w:t>年</w:t>
      </w:r>
      <w:r>
        <w:rPr>
          <w:rFonts w:hint="eastAsia" w:ascii="宋体" w:hAnsi="宋体" w:cs="宋体"/>
          <w:sz w:val="24"/>
          <w:highlight w:val="none"/>
        </w:rPr>
        <w:t xml:space="preserve">  </w:t>
      </w:r>
      <w:r>
        <w:rPr>
          <w:rFonts w:ascii="宋体"/>
          <w:sz w:val="24"/>
          <w:highlight w:val="none"/>
          <w:u w:val="single"/>
          <w:lang w:val="zh-CN"/>
        </w:rPr>
        <w:tab/>
      </w:r>
      <w:r>
        <w:rPr>
          <w:rFonts w:hint="eastAsia" w:ascii="宋体" w:hAnsi="宋体" w:cs="宋体"/>
          <w:sz w:val="24"/>
          <w:highlight w:val="none"/>
          <w:lang w:val="zh-CN"/>
        </w:rPr>
        <w:t>月</w:t>
      </w:r>
      <w:r>
        <w:rPr>
          <w:rFonts w:hint="eastAsia" w:ascii="宋体" w:hAnsi="宋体" w:cs="宋体"/>
          <w:sz w:val="24"/>
          <w:highlight w:val="none"/>
        </w:rPr>
        <w:t xml:space="preserve">  </w:t>
      </w:r>
      <w:r>
        <w:rPr>
          <w:rFonts w:ascii="宋体"/>
          <w:sz w:val="24"/>
          <w:highlight w:val="none"/>
          <w:u w:val="single"/>
          <w:lang w:val="zh-CN"/>
        </w:rPr>
        <w:tab/>
      </w:r>
      <w:r>
        <w:rPr>
          <w:rFonts w:hint="eastAsia" w:ascii="宋体" w:hAnsi="宋体" w:cs="宋体"/>
          <w:sz w:val="24"/>
          <w:highlight w:val="none"/>
          <w:lang w:val="zh-CN"/>
        </w:rPr>
        <w:t>日</w:t>
      </w:r>
    </w:p>
    <w:p w14:paraId="5D895FBC">
      <w:pPr>
        <w:spacing w:after="318" w:afterLines="100"/>
        <w:jc w:val="center"/>
        <w:rPr>
          <w:rFonts w:ascii="宋体"/>
          <w:highlight w:val="none"/>
          <w:lang w:val="zh-CN"/>
        </w:rPr>
      </w:pPr>
    </w:p>
    <w:p w14:paraId="7A2A9B44">
      <w:pPr>
        <w:spacing w:after="318" w:afterLines="100"/>
        <w:jc w:val="left"/>
        <w:rPr>
          <w:rFonts w:ascii="宋体"/>
          <w:sz w:val="24"/>
          <w:highlight w:val="none"/>
          <w:lang w:val="zh-CN"/>
        </w:rPr>
      </w:pPr>
      <w:r>
        <w:rPr>
          <w:rFonts w:hint="eastAsia" w:ascii="宋体" w:hAnsi="宋体" w:cs="宋体"/>
          <w:sz w:val="24"/>
          <w:highlight w:val="none"/>
          <w:lang w:val="zh-CN"/>
        </w:rPr>
        <w:t>备注：供应商需根据企业实际情况如实提供《残疾人福利性单位声明函》，若成交候选人为残疾人福利性单位，其《残疾人福利性单位声明函》须随成交结果同时公告，接受社会监督。</w:t>
      </w:r>
    </w:p>
    <w:p w14:paraId="4F937617">
      <w:pPr>
        <w:spacing w:after="318" w:afterLines="100"/>
        <w:jc w:val="left"/>
        <w:rPr>
          <w:rFonts w:ascii="宋体"/>
          <w:b/>
          <w:bCs/>
          <w:sz w:val="28"/>
          <w:szCs w:val="28"/>
          <w:highlight w:val="none"/>
          <w:lang w:val="zh-CN"/>
        </w:rPr>
      </w:pPr>
    </w:p>
    <w:p w14:paraId="672629E5">
      <w:pPr>
        <w:jc w:val="center"/>
        <w:rPr>
          <w:rFonts w:ascii="宋体"/>
          <w:b/>
          <w:bCs/>
          <w:sz w:val="28"/>
          <w:szCs w:val="28"/>
          <w:highlight w:val="none"/>
          <w:lang w:val="zh-CN"/>
        </w:rPr>
      </w:pPr>
      <w:r>
        <w:rPr>
          <w:rFonts w:ascii="宋体"/>
          <w:b/>
          <w:bCs/>
          <w:sz w:val="28"/>
          <w:szCs w:val="28"/>
          <w:highlight w:val="none"/>
          <w:lang w:val="zh-CN"/>
        </w:rPr>
        <w:br w:type="page"/>
      </w:r>
      <w:r>
        <w:rPr>
          <w:rFonts w:hint="eastAsia" w:ascii="宋体" w:hAnsi="宋体" w:cs="宋体"/>
          <w:b/>
          <w:bCs/>
          <w:sz w:val="28"/>
          <w:szCs w:val="28"/>
          <w:highlight w:val="none"/>
          <w:lang w:val="zh-CN"/>
        </w:rPr>
        <w:t>附件</w:t>
      </w:r>
      <w:r>
        <w:rPr>
          <w:rFonts w:ascii="宋体" w:hAnsi="宋体" w:cs="宋体"/>
          <w:b/>
          <w:bCs/>
          <w:sz w:val="28"/>
          <w:szCs w:val="28"/>
          <w:highlight w:val="none"/>
        </w:rPr>
        <w:t>3</w:t>
      </w:r>
      <w:r>
        <w:rPr>
          <w:rFonts w:hint="eastAsia" w:ascii="宋体" w:hAnsi="宋体" w:cs="宋体"/>
          <w:b/>
          <w:bCs/>
          <w:sz w:val="28"/>
          <w:szCs w:val="28"/>
          <w:highlight w:val="none"/>
          <w:lang w:val="zh-CN"/>
        </w:rPr>
        <w:t>：省级以上监狱管理局、戒毒管理局（含新疆生产建设兵团）出具的属于监狱企业的证明文件（如有）</w:t>
      </w:r>
    </w:p>
    <w:p w14:paraId="3E22125B">
      <w:pPr>
        <w:spacing w:after="318" w:afterLines="100"/>
        <w:jc w:val="left"/>
        <w:rPr>
          <w:rFonts w:ascii="宋体" w:hAnsi="宋体" w:cs="宋体"/>
          <w:b/>
          <w:bCs/>
          <w:sz w:val="28"/>
          <w:szCs w:val="28"/>
          <w:highlight w:val="none"/>
          <w:lang w:val="zh-CN"/>
        </w:rPr>
      </w:pPr>
    </w:p>
    <w:p w14:paraId="3C26F092">
      <w:pPr>
        <w:spacing w:after="318" w:afterLines="100"/>
        <w:jc w:val="left"/>
        <w:outlineLvl w:val="2"/>
        <w:rPr>
          <w:rFonts w:ascii="宋体" w:hAnsi="宋体" w:cs="宋体"/>
          <w:b/>
          <w:bCs/>
          <w:sz w:val="28"/>
          <w:szCs w:val="28"/>
          <w:highlight w:val="none"/>
          <w:lang w:val="zh-CN"/>
        </w:rPr>
      </w:pPr>
      <w:r>
        <w:rPr>
          <w:rFonts w:hint="eastAsia" w:ascii="宋体" w:hAnsi="宋体" w:cs="宋体"/>
          <w:b/>
          <w:bCs/>
          <w:sz w:val="28"/>
          <w:szCs w:val="28"/>
          <w:highlight w:val="none"/>
          <w:lang w:val="zh-CN"/>
        </w:rPr>
        <w:t>附件</w:t>
      </w:r>
      <w:r>
        <w:rPr>
          <w:rFonts w:hint="eastAsia" w:ascii="宋体" w:hAnsi="宋体" w:cs="宋体"/>
          <w:b/>
          <w:bCs/>
          <w:sz w:val="28"/>
          <w:szCs w:val="28"/>
          <w:highlight w:val="none"/>
        </w:rPr>
        <w:t>4</w:t>
      </w:r>
      <w:r>
        <w:rPr>
          <w:rFonts w:hint="eastAsia" w:ascii="宋体" w:hAnsi="宋体" w:cs="宋体"/>
          <w:b/>
          <w:bCs/>
          <w:sz w:val="28"/>
          <w:szCs w:val="28"/>
          <w:highlight w:val="none"/>
          <w:lang w:val="zh-CN"/>
        </w:rPr>
        <w:t>：投标产品为或其中包含《环境标志产品》的，应提供财政部、环保部颁发的《环境标志产品政府采购清单》复印件（如有）</w:t>
      </w:r>
    </w:p>
    <w:p w14:paraId="3CE7DDC4">
      <w:pPr>
        <w:pStyle w:val="17"/>
        <w:rPr>
          <w:rFonts w:ascii="宋体" w:hAnsi="宋体" w:eastAsia="宋体" w:cs="宋体"/>
          <w:bCs/>
          <w:sz w:val="28"/>
          <w:szCs w:val="28"/>
          <w:highlight w:val="none"/>
          <w:lang w:val="zh-CN"/>
        </w:rPr>
      </w:pPr>
    </w:p>
    <w:p w14:paraId="2633820B">
      <w:pPr>
        <w:pStyle w:val="17"/>
        <w:rPr>
          <w:rFonts w:ascii="宋体" w:hAnsi="宋体" w:eastAsia="宋体" w:cs="宋体"/>
          <w:bCs/>
          <w:sz w:val="28"/>
          <w:szCs w:val="28"/>
          <w:highlight w:val="none"/>
          <w:lang w:val="zh-CN"/>
        </w:rPr>
      </w:pPr>
    </w:p>
    <w:p w14:paraId="2110B1AC">
      <w:pPr>
        <w:pStyle w:val="17"/>
        <w:rPr>
          <w:rFonts w:ascii="宋体" w:hAnsi="宋体" w:eastAsia="宋体" w:cs="宋体"/>
          <w:bCs/>
          <w:sz w:val="28"/>
          <w:szCs w:val="28"/>
          <w:highlight w:val="none"/>
          <w:lang w:val="zh-CN"/>
        </w:rPr>
      </w:pPr>
    </w:p>
    <w:p w14:paraId="187CC683">
      <w:pPr>
        <w:pStyle w:val="5"/>
        <w:numPr>
          <w:ilvl w:val="0"/>
          <w:numId w:val="0"/>
        </w:numPr>
        <w:tabs>
          <w:tab w:val="clear" w:pos="900"/>
        </w:tabs>
        <w:jc w:val="center"/>
        <w:rPr>
          <w:rFonts w:ascii="宋体" w:hAnsi="宋体" w:eastAsia="宋体" w:cs="宋体"/>
          <w:bCs/>
          <w:szCs w:val="28"/>
          <w:highlight w:val="none"/>
          <w:lang w:val="zh-CN"/>
        </w:rPr>
      </w:pPr>
      <w:r>
        <w:rPr>
          <w:rFonts w:hint="eastAsia" w:ascii="宋体" w:hAnsi="宋体" w:eastAsia="宋体" w:cs="宋体"/>
          <w:bCs/>
          <w:szCs w:val="28"/>
          <w:highlight w:val="none"/>
          <w:lang w:val="zh-CN"/>
        </w:rPr>
        <w:t>附件</w:t>
      </w:r>
      <w:r>
        <w:rPr>
          <w:rFonts w:hint="eastAsia" w:ascii="宋体" w:hAnsi="宋体" w:eastAsia="宋体" w:cs="宋体"/>
          <w:bCs/>
          <w:szCs w:val="28"/>
          <w:highlight w:val="none"/>
        </w:rPr>
        <w:t>5</w:t>
      </w:r>
      <w:r>
        <w:rPr>
          <w:rFonts w:hint="eastAsia" w:ascii="宋体" w:hAnsi="宋体" w:eastAsia="宋体" w:cs="宋体"/>
          <w:bCs/>
          <w:szCs w:val="28"/>
          <w:highlight w:val="none"/>
          <w:lang w:val="zh-CN"/>
        </w:rPr>
        <w:t>：投标产品为或其中包含《节能产品》的，应提供财政部、国家发展改革委颁发的《节能产品政府采购清单》复印件（如有）</w:t>
      </w:r>
    </w:p>
    <w:p w14:paraId="05D85DD2">
      <w:pPr>
        <w:rPr>
          <w:highlight w:val="none"/>
          <w:lang w:val="zh-CN"/>
        </w:rPr>
      </w:pPr>
    </w:p>
    <w:p w14:paraId="5893E6AD">
      <w:pPr>
        <w:rPr>
          <w:highlight w:val="none"/>
          <w:lang w:val="zh-CN"/>
        </w:rPr>
      </w:pPr>
    </w:p>
    <w:p w14:paraId="3D056D30">
      <w:pPr>
        <w:rPr>
          <w:highlight w:val="none"/>
          <w:lang w:val="zh-CN"/>
        </w:rPr>
      </w:pPr>
    </w:p>
    <w:p w14:paraId="143AAB53">
      <w:pPr>
        <w:rPr>
          <w:highlight w:val="none"/>
          <w:lang w:val="zh-CN"/>
        </w:rPr>
      </w:pPr>
    </w:p>
    <w:p w14:paraId="29CB3D4F">
      <w:pPr>
        <w:pStyle w:val="35"/>
        <w:shd w:val="clear" w:color="auto" w:fill="FFFFFF"/>
        <w:spacing w:before="20" w:beforeAutospacing="0" w:after="20" w:afterAutospacing="0" w:line="560" w:lineRule="atLeast"/>
        <w:textAlignment w:val="baseline"/>
        <w:rPr>
          <w:highlight w:val="none"/>
          <w:lang w:val="zh-CN"/>
        </w:rPr>
      </w:pPr>
      <w:r>
        <w:rPr>
          <w:rFonts w:hint="eastAsia"/>
          <w:highlight w:val="none"/>
          <w:lang w:val="zh-CN"/>
        </w:rPr>
        <w:tab/>
      </w:r>
    </w:p>
    <w:p w14:paraId="74FBD557">
      <w:pPr>
        <w:rPr>
          <w:highlight w:val="none"/>
          <w:lang w:val="zh-CN"/>
        </w:rPr>
      </w:pPr>
      <w:r>
        <w:rPr>
          <w:rFonts w:hint="eastAsia"/>
          <w:highlight w:val="none"/>
          <w:lang w:val="zh-CN"/>
        </w:rPr>
        <w:br w:type="page"/>
      </w:r>
    </w:p>
    <w:p w14:paraId="7C345C0B">
      <w:pPr>
        <w:pStyle w:val="35"/>
        <w:shd w:val="clear" w:color="auto" w:fill="FFFFFF"/>
        <w:spacing w:before="20" w:beforeAutospacing="0" w:after="20" w:afterAutospacing="0" w:line="560" w:lineRule="atLeast"/>
        <w:textAlignment w:val="baseline"/>
        <w:outlineLvl w:val="2"/>
        <w:rPr>
          <w:rFonts w:asciiTheme="minorEastAsia" w:hAnsiTheme="minorEastAsia" w:eastAsiaTheme="minorEastAsia" w:cstheme="minorEastAsia"/>
          <w:color w:val="000000"/>
          <w:sz w:val="28"/>
          <w:szCs w:val="28"/>
          <w:highlight w:val="none"/>
        </w:rPr>
      </w:pPr>
      <w:r>
        <w:rPr>
          <w:rStyle w:val="44"/>
          <w:rFonts w:hint="eastAsia" w:asciiTheme="minorEastAsia" w:hAnsiTheme="minorEastAsia" w:eastAsiaTheme="minorEastAsia" w:cstheme="minorEastAsia"/>
          <w:color w:val="000000"/>
          <w:sz w:val="28"/>
          <w:szCs w:val="28"/>
          <w:highlight w:val="none"/>
          <w:shd w:val="clear" w:color="auto" w:fill="FFFFFF"/>
        </w:rPr>
        <w:t>附件6</w:t>
      </w:r>
    </w:p>
    <w:p w14:paraId="7FBC127F">
      <w:pPr>
        <w:pStyle w:val="35"/>
        <w:shd w:val="clear" w:color="auto" w:fill="FFFFFF"/>
        <w:spacing w:before="20" w:beforeAutospacing="0" w:after="2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6D1E7FC1">
      <w:pPr>
        <w:pStyle w:val="35"/>
        <w:shd w:val="clear" w:color="auto" w:fill="FFFFFF"/>
        <w:spacing w:before="20" w:beforeAutospacing="0" w:after="20" w:afterAutospacing="0" w:line="560" w:lineRule="atLeast"/>
        <w:jc w:val="center"/>
        <w:textAlignment w:val="baseline"/>
        <w:rPr>
          <w:rFonts w:asciiTheme="minorEastAsia" w:hAnsiTheme="minorEastAsia" w:eastAsiaTheme="minorEastAsia" w:cstheme="minorEastAsia"/>
          <w:color w:val="000000"/>
          <w:sz w:val="28"/>
          <w:szCs w:val="28"/>
          <w:highlight w:val="none"/>
        </w:rPr>
      </w:pPr>
      <w:r>
        <w:rPr>
          <w:rStyle w:val="44"/>
          <w:rFonts w:hint="eastAsia" w:asciiTheme="minorEastAsia" w:hAnsiTheme="minorEastAsia" w:eastAsiaTheme="minorEastAsia" w:cstheme="minorEastAsia"/>
          <w:color w:val="000000"/>
          <w:sz w:val="28"/>
          <w:szCs w:val="28"/>
          <w:highlight w:val="none"/>
          <w:shd w:val="clear" w:color="auto" w:fill="FFFFFF"/>
        </w:rPr>
        <w:t>中国境内生产的组件成本核算基本规则</w:t>
      </w:r>
    </w:p>
    <w:p w14:paraId="4618056D">
      <w:pPr>
        <w:pStyle w:val="35"/>
        <w:shd w:val="clear" w:color="auto" w:fill="FFFFFF"/>
        <w:spacing w:before="20" w:beforeAutospacing="0" w:after="20" w:afterAutospacing="0" w:line="560" w:lineRule="atLeast"/>
        <w:textAlignment w:val="baseline"/>
        <w:rPr>
          <w:rFonts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shd w:val="clear" w:color="auto" w:fill="FFFFFF"/>
        </w:rPr>
        <w:t> </w:t>
      </w:r>
    </w:p>
    <w:p w14:paraId="2294F93F">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82AA6C6">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一、产品的一级组件是指直接组成产品的组件。产品的二级组件是指直接组成产品一级组件的组件。一级组件不可分解的，视同二级组件。</w:t>
      </w:r>
    </w:p>
    <w:p w14:paraId="274CDF4F">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二、二级组件在中国境内生产的，其全部成本计入中国境内生产的组件成本；二级组件不在中国境内生产的，其成本不计入中国境内生产的组件成本。</w:t>
      </w:r>
    </w:p>
    <w:p w14:paraId="4B1FAA52">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三、产品总成本和组件成本以相关会计核算数据、采购合同、进货记录等为基础进行计算。</w:t>
      </w:r>
    </w:p>
    <w:p w14:paraId="18D5F6B7">
      <w:pPr>
        <w:pStyle w:val="35"/>
        <w:shd w:val="clear" w:color="auto" w:fill="FFFFFF"/>
        <w:spacing w:before="20" w:beforeAutospacing="0" w:after="20" w:afterAutospacing="0" w:line="560" w:lineRule="atLeast"/>
        <w:ind w:firstLine="420"/>
        <w:textAlignment w:val="baseline"/>
        <w:rPr>
          <w:rFonts w:ascii="仿宋" w:hAnsi="仿宋" w:eastAsia="仿宋" w:cs="仿宋"/>
          <w:color w:val="000000"/>
          <w:sz w:val="28"/>
          <w:szCs w:val="28"/>
          <w:highlight w:val="none"/>
        </w:rPr>
      </w:pPr>
      <w:r>
        <w:rPr>
          <w:rFonts w:hint="eastAsia" w:asciiTheme="minorEastAsia" w:hAnsiTheme="minorEastAsia" w:eastAsiaTheme="minorEastAsia" w:cstheme="minorEastAsia"/>
          <w:color w:val="000000"/>
          <w:highlight w:val="none"/>
          <w:shd w:val="clear" w:color="auto" w:fill="FFFFFF"/>
        </w:rPr>
        <w:t>四、需要对成本核算规则予以进一步明确的其他有关事项，由财政部会同有关部门另行规定。</w:t>
      </w:r>
    </w:p>
    <w:p w14:paraId="636685AC">
      <w:pPr>
        <w:pStyle w:val="35"/>
        <w:shd w:val="clear" w:color="auto" w:fill="FFFFFF"/>
        <w:spacing w:before="20" w:beforeAutospacing="0" w:after="2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6F23045A">
      <w:pPr>
        <w:pStyle w:val="35"/>
        <w:shd w:val="clear" w:color="auto" w:fill="FFFFFF"/>
        <w:spacing w:before="20" w:beforeAutospacing="0" w:after="2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D6AEDFA">
      <w:pPr>
        <w:rPr>
          <w:rStyle w:val="44"/>
          <w:rFonts w:ascii="仿宋" w:hAnsi="仿宋" w:eastAsia="仿宋" w:cs="仿宋"/>
          <w:color w:val="000000"/>
          <w:sz w:val="28"/>
          <w:szCs w:val="28"/>
          <w:highlight w:val="none"/>
          <w:shd w:val="clear" w:color="auto" w:fill="FFFFFF"/>
        </w:rPr>
      </w:pPr>
      <w:r>
        <w:rPr>
          <w:rStyle w:val="44"/>
          <w:rFonts w:hint="eastAsia" w:ascii="仿宋" w:hAnsi="仿宋" w:eastAsia="仿宋" w:cs="仿宋"/>
          <w:color w:val="000000"/>
          <w:sz w:val="28"/>
          <w:szCs w:val="28"/>
          <w:highlight w:val="none"/>
          <w:shd w:val="clear" w:color="auto" w:fill="FFFFFF"/>
        </w:rPr>
        <w:br w:type="page"/>
      </w:r>
    </w:p>
    <w:p w14:paraId="7A385E44">
      <w:pPr>
        <w:pStyle w:val="35"/>
        <w:shd w:val="clear" w:color="auto" w:fill="FFFFFF"/>
        <w:spacing w:before="20" w:beforeAutospacing="0" w:after="20" w:afterAutospacing="0" w:line="560" w:lineRule="atLeast"/>
        <w:textAlignment w:val="baseline"/>
        <w:outlineLvl w:val="2"/>
        <w:rPr>
          <w:rFonts w:asciiTheme="minorEastAsia" w:hAnsiTheme="minorEastAsia" w:eastAsiaTheme="minorEastAsia" w:cstheme="minorEastAsia"/>
          <w:color w:val="000000"/>
          <w:sz w:val="28"/>
          <w:szCs w:val="28"/>
          <w:highlight w:val="none"/>
        </w:rPr>
      </w:pPr>
      <w:r>
        <w:rPr>
          <w:rStyle w:val="44"/>
          <w:rFonts w:hint="eastAsia" w:asciiTheme="minorEastAsia" w:hAnsiTheme="minorEastAsia" w:eastAsiaTheme="minorEastAsia" w:cstheme="minorEastAsia"/>
          <w:color w:val="000000"/>
          <w:sz w:val="28"/>
          <w:szCs w:val="28"/>
          <w:highlight w:val="none"/>
          <w:shd w:val="clear" w:color="auto" w:fill="FFFFFF"/>
        </w:rPr>
        <w:t>附件7</w:t>
      </w:r>
    </w:p>
    <w:p w14:paraId="5F855DB9">
      <w:pPr>
        <w:pStyle w:val="35"/>
        <w:shd w:val="clear" w:color="auto" w:fill="FFFFFF"/>
        <w:spacing w:before="20" w:beforeAutospacing="0" w:after="2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1A696856">
      <w:pPr>
        <w:pStyle w:val="35"/>
        <w:shd w:val="clear" w:color="auto" w:fill="FFFFFF"/>
        <w:spacing w:before="20" w:beforeAutospacing="0" w:after="20" w:afterAutospacing="0" w:line="560" w:lineRule="atLeast"/>
        <w:jc w:val="center"/>
        <w:textAlignment w:val="baseline"/>
        <w:rPr>
          <w:rFonts w:asciiTheme="minorEastAsia" w:hAnsiTheme="minorEastAsia" w:eastAsiaTheme="minorEastAsia" w:cstheme="minorEastAsia"/>
          <w:color w:val="000000"/>
          <w:highlight w:val="none"/>
        </w:rPr>
      </w:pPr>
      <w:r>
        <w:rPr>
          <w:rStyle w:val="44"/>
          <w:rFonts w:hint="eastAsia" w:asciiTheme="minorEastAsia" w:hAnsiTheme="minorEastAsia" w:eastAsiaTheme="minorEastAsia" w:cstheme="minorEastAsia"/>
          <w:color w:val="000000"/>
          <w:highlight w:val="none"/>
          <w:shd w:val="clear" w:color="auto" w:fill="FFFFFF"/>
        </w:rPr>
        <w:t>关于符合本国产品标准的声明函</w:t>
      </w:r>
    </w:p>
    <w:p w14:paraId="58D474D2">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 </w:t>
      </w:r>
    </w:p>
    <w:p w14:paraId="6992845D">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4ECC917">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1.</w:t>
      </w:r>
      <w:r>
        <w:rPr>
          <w:rStyle w:val="47"/>
          <w:rFonts w:hint="eastAsia" w:asciiTheme="minorEastAsia" w:hAnsiTheme="minorEastAsia" w:eastAsiaTheme="minorEastAsia" w:cstheme="minorEastAsia"/>
          <w:i w:val="0"/>
          <w:color w:val="000000"/>
          <w:highlight w:val="none"/>
          <w:u w:val="single"/>
          <w:shd w:val="clear" w:color="auto" w:fill="FFFFFF"/>
        </w:rPr>
        <w:t>（产品名称1）</w:t>
      </w:r>
      <w:r>
        <w:rPr>
          <w:rStyle w:val="47"/>
          <w:rFonts w:hint="eastAsia" w:asciiTheme="minorEastAsia" w:hAnsiTheme="minorEastAsia" w:eastAsiaTheme="minorEastAsia" w:cstheme="minorEastAsia"/>
          <w:i w:val="0"/>
          <w:color w:val="000000"/>
          <w:highlight w:val="none"/>
          <w:shd w:val="clear" w:color="auto" w:fill="FFFFFF"/>
        </w:rPr>
        <w:t>1</w:t>
      </w:r>
      <w:r>
        <w:rPr>
          <w:rFonts w:hint="eastAsia" w:asciiTheme="minorEastAsia" w:hAnsiTheme="minorEastAsia" w:eastAsiaTheme="minorEastAsia" w:cstheme="minorEastAsia"/>
          <w:color w:val="000000"/>
          <w:highlight w:val="none"/>
          <w:shd w:val="clear" w:color="auto" w:fill="FFFFFF"/>
        </w:rPr>
        <w:t>，生产厂为</w:t>
      </w:r>
      <w:r>
        <w:rPr>
          <w:rStyle w:val="47"/>
          <w:rFonts w:hint="eastAsia" w:asciiTheme="minorEastAsia" w:hAnsiTheme="minorEastAsia" w:eastAsiaTheme="minorEastAsia" w:cstheme="minorEastAsia"/>
          <w:i w:val="0"/>
          <w:color w:val="000000"/>
          <w:highlight w:val="none"/>
          <w:u w:val="single"/>
          <w:shd w:val="clear" w:color="auto" w:fill="FFFFFF"/>
        </w:rPr>
        <w:t>（厂名）</w:t>
      </w:r>
      <w:r>
        <w:rPr>
          <w:rStyle w:val="47"/>
          <w:rFonts w:hint="eastAsia" w:asciiTheme="minorEastAsia" w:hAnsiTheme="minorEastAsia" w:eastAsiaTheme="minorEastAsia" w:cstheme="minorEastAsia"/>
          <w:i w:val="0"/>
          <w:color w:val="000000"/>
          <w:highlight w:val="none"/>
          <w:shd w:val="clear" w:color="auto" w:fill="FFFFFF"/>
        </w:rPr>
        <w:t>2</w:t>
      </w:r>
      <w:r>
        <w:rPr>
          <w:rFonts w:hint="eastAsia" w:asciiTheme="minorEastAsia" w:hAnsiTheme="minorEastAsia" w:eastAsiaTheme="minorEastAsia" w:cstheme="minorEastAsia"/>
          <w:color w:val="000000"/>
          <w:highlight w:val="none"/>
          <w:shd w:val="clear" w:color="auto" w:fill="FFFFFF"/>
        </w:rPr>
        <w:t>，厂址为</w:t>
      </w:r>
      <w:r>
        <w:rPr>
          <w:rStyle w:val="47"/>
          <w:rFonts w:hint="eastAsia" w:asciiTheme="minorEastAsia" w:hAnsiTheme="minorEastAsia" w:eastAsiaTheme="minorEastAsia" w:cstheme="minorEastAsia"/>
          <w:i w:val="0"/>
          <w:color w:val="000000"/>
          <w:highlight w:val="none"/>
          <w:u w:val="single"/>
          <w:shd w:val="clear" w:color="auto" w:fill="FFFFFF"/>
        </w:rPr>
        <w:t>（生产厂址）</w:t>
      </w:r>
      <w:r>
        <w:rPr>
          <w:rFonts w:hint="eastAsia" w:asciiTheme="minorEastAsia" w:hAnsiTheme="minorEastAsia" w:eastAsiaTheme="minorEastAsia" w:cstheme="minorEastAsia"/>
          <w:color w:val="000000"/>
          <w:highlight w:val="none"/>
          <w:shd w:val="clear" w:color="auto" w:fill="FFFFFF"/>
        </w:rPr>
        <w:t>。</w:t>
      </w:r>
      <w:r>
        <w:rPr>
          <w:rStyle w:val="47"/>
          <w:rFonts w:hint="eastAsia" w:asciiTheme="minorEastAsia" w:hAnsiTheme="minorEastAsia" w:eastAsiaTheme="minorEastAsia" w:cstheme="minorEastAsia"/>
          <w:i w:val="0"/>
          <w:color w:val="000000"/>
          <w:highlight w:val="none"/>
          <w:u w:val="single"/>
          <w:shd w:val="clear" w:color="auto" w:fill="FFFFFF"/>
        </w:rPr>
        <w:t>（产品名称1）</w:t>
      </w:r>
      <w:r>
        <w:rPr>
          <w:rFonts w:hint="eastAsia" w:asciiTheme="minorEastAsia" w:hAnsiTheme="minorEastAsia" w:eastAsiaTheme="minorEastAsia" w:cstheme="minorEastAsia"/>
          <w:color w:val="000000"/>
          <w:highlight w:val="none"/>
          <w:shd w:val="clear" w:color="auto" w:fill="FFFFFF"/>
        </w:rPr>
        <w:t>的中国境内生产的组件成本占比≥</w:t>
      </w:r>
      <w:r>
        <w:rPr>
          <w:rStyle w:val="47"/>
          <w:rFonts w:hint="eastAsia" w:asciiTheme="minorEastAsia" w:hAnsiTheme="minorEastAsia" w:eastAsiaTheme="minorEastAsia" w:cstheme="minorEastAsia"/>
          <w:i w:val="0"/>
          <w:color w:val="000000"/>
          <w:highlight w:val="none"/>
          <w:u w:val="single"/>
          <w:shd w:val="clear" w:color="auto" w:fill="FFFFFF"/>
        </w:rPr>
        <w:t>（规定比例）</w:t>
      </w:r>
      <w:r>
        <w:rPr>
          <w:rStyle w:val="47"/>
          <w:rFonts w:hint="eastAsia" w:asciiTheme="minorEastAsia" w:hAnsiTheme="minorEastAsia" w:eastAsiaTheme="minorEastAsia" w:cstheme="minorEastAsia"/>
          <w:i w:val="0"/>
          <w:color w:val="000000"/>
          <w:highlight w:val="none"/>
          <w:shd w:val="clear" w:color="auto" w:fill="FFFFFF"/>
        </w:rPr>
        <w:t>3</w:t>
      </w:r>
      <w:r>
        <w:rPr>
          <w:rFonts w:hint="eastAsia" w:asciiTheme="minorEastAsia" w:hAnsiTheme="minorEastAsia" w:eastAsiaTheme="minorEastAsia" w:cstheme="minorEastAsia"/>
          <w:color w:val="000000"/>
          <w:highlight w:val="none"/>
          <w:shd w:val="clear" w:color="auto" w:fill="FFFFFF"/>
        </w:rPr>
        <w:t>。</w:t>
      </w:r>
      <w:r>
        <w:rPr>
          <w:rStyle w:val="47"/>
          <w:rFonts w:hint="eastAsia" w:asciiTheme="minorEastAsia" w:hAnsiTheme="minorEastAsia" w:eastAsiaTheme="minorEastAsia" w:cstheme="minorEastAsia"/>
          <w:i w:val="0"/>
          <w:color w:val="000000"/>
          <w:highlight w:val="none"/>
          <w:u w:val="single"/>
          <w:shd w:val="clear" w:color="auto" w:fill="FFFFFF"/>
        </w:rPr>
        <w:t>（产品名称1）</w:t>
      </w:r>
      <w:r>
        <w:rPr>
          <w:rFonts w:hint="eastAsia" w:asciiTheme="minorEastAsia" w:hAnsiTheme="minorEastAsia" w:eastAsiaTheme="minorEastAsia" w:cstheme="minorEastAsia"/>
          <w:color w:val="000000"/>
          <w:highlight w:val="none"/>
          <w:shd w:val="clear" w:color="auto" w:fill="FFFFFF"/>
        </w:rPr>
        <w:t>的</w:t>
      </w:r>
      <w:r>
        <w:rPr>
          <w:rStyle w:val="47"/>
          <w:rFonts w:hint="eastAsia" w:asciiTheme="minorEastAsia" w:hAnsiTheme="minorEastAsia" w:eastAsiaTheme="minorEastAsia" w:cstheme="minorEastAsia"/>
          <w:i w:val="0"/>
          <w:color w:val="000000"/>
          <w:highlight w:val="none"/>
          <w:u w:val="single"/>
          <w:shd w:val="clear" w:color="auto" w:fill="FFFFFF"/>
        </w:rPr>
        <w:t>（关键组件）</w:t>
      </w:r>
      <w:r>
        <w:rPr>
          <w:rStyle w:val="47"/>
          <w:rFonts w:hint="eastAsia" w:asciiTheme="minorEastAsia" w:hAnsiTheme="minorEastAsia" w:eastAsiaTheme="minorEastAsia" w:cstheme="minorEastAsia"/>
          <w:i w:val="0"/>
          <w:color w:val="000000"/>
          <w:highlight w:val="none"/>
          <w:shd w:val="clear" w:color="auto" w:fill="FFFFFF"/>
        </w:rPr>
        <w:t>4</w:t>
      </w:r>
      <w:r>
        <w:rPr>
          <w:rFonts w:hint="eastAsia" w:asciiTheme="minorEastAsia" w:hAnsiTheme="minorEastAsia" w:eastAsiaTheme="minorEastAsia" w:cstheme="minorEastAsia"/>
          <w:color w:val="000000"/>
          <w:highlight w:val="none"/>
          <w:shd w:val="clear" w:color="auto" w:fill="FFFFFF"/>
        </w:rPr>
        <w:t>在中国境内生产。</w:t>
      </w:r>
      <w:r>
        <w:rPr>
          <w:rStyle w:val="47"/>
          <w:rFonts w:hint="eastAsia" w:asciiTheme="minorEastAsia" w:hAnsiTheme="minorEastAsia" w:eastAsiaTheme="minorEastAsia" w:cstheme="minorEastAsia"/>
          <w:i w:val="0"/>
          <w:color w:val="000000"/>
          <w:highlight w:val="none"/>
          <w:u w:val="single"/>
          <w:shd w:val="clear" w:color="auto" w:fill="FFFFFF"/>
        </w:rPr>
        <w:t>（产品名称1）</w:t>
      </w:r>
      <w:r>
        <w:rPr>
          <w:rFonts w:hint="eastAsia" w:asciiTheme="minorEastAsia" w:hAnsiTheme="minorEastAsia" w:eastAsiaTheme="minorEastAsia" w:cstheme="minorEastAsia"/>
          <w:color w:val="000000"/>
          <w:highlight w:val="none"/>
          <w:shd w:val="clear" w:color="auto" w:fill="FFFFFF"/>
        </w:rPr>
        <w:t>的</w:t>
      </w:r>
      <w:r>
        <w:rPr>
          <w:rStyle w:val="47"/>
          <w:rFonts w:hint="eastAsia" w:asciiTheme="minorEastAsia" w:hAnsiTheme="minorEastAsia" w:eastAsiaTheme="minorEastAsia" w:cstheme="minorEastAsia"/>
          <w:i w:val="0"/>
          <w:color w:val="000000"/>
          <w:highlight w:val="none"/>
          <w:u w:val="single"/>
          <w:shd w:val="clear" w:color="auto" w:fill="FFFFFF"/>
        </w:rPr>
        <w:t>（关键工序）</w:t>
      </w:r>
      <w:r>
        <w:rPr>
          <w:rStyle w:val="47"/>
          <w:rFonts w:hint="eastAsia" w:asciiTheme="minorEastAsia" w:hAnsiTheme="minorEastAsia" w:eastAsiaTheme="minorEastAsia" w:cstheme="minorEastAsia"/>
          <w:i w:val="0"/>
          <w:color w:val="000000"/>
          <w:highlight w:val="none"/>
          <w:shd w:val="clear" w:color="auto" w:fill="FFFFFF"/>
        </w:rPr>
        <w:t>5</w:t>
      </w:r>
      <w:r>
        <w:rPr>
          <w:rFonts w:hint="eastAsia" w:asciiTheme="minorEastAsia" w:hAnsiTheme="minorEastAsia" w:eastAsiaTheme="minorEastAsia" w:cstheme="minorEastAsia"/>
          <w:color w:val="000000"/>
          <w:highlight w:val="none"/>
          <w:shd w:val="clear" w:color="auto" w:fill="FFFFFF"/>
        </w:rPr>
        <w:t>在中国境内完成。</w:t>
      </w:r>
    </w:p>
    <w:p w14:paraId="7AEB4102">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2.</w:t>
      </w:r>
      <w:r>
        <w:rPr>
          <w:rStyle w:val="47"/>
          <w:rFonts w:hint="eastAsia" w:asciiTheme="minorEastAsia" w:hAnsiTheme="minorEastAsia" w:eastAsiaTheme="minorEastAsia" w:cstheme="minorEastAsia"/>
          <w:i w:val="0"/>
          <w:color w:val="000000"/>
          <w:highlight w:val="none"/>
          <w:u w:val="single"/>
          <w:shd w:val="clear" w:color="auto" w:fill="FFFFFF"/>
        </w:rPr>
        <w:t>（产品名称2）</w:t>
      </w:r>
      <w:r>
        <w:rPr>
          <w:rFonts w:hint="eastAsia" w:asciiTheme="minorEastAsia" w:hAnsiTheme="minorEastAsia" w:eastAsiaTheme="minorEastAsia" w:cstheme="minorEastAsia"/>
          <w:color w:val="000000"/>
          <w:highlight w:val="none"/>
          <w:shd w:val="clear" w:color="auto" w:fill="FFFFFF"/>
        </w:rPr>
        <w:t>，生产厂为</w:t>
      </w:r>
      <w:r>
        <w:rPr>
          <w:rStyle w:val="47"/>
          <w:rFonts w:hint="eastAsia" w:asciiTheme="minorEastAsia" w:hAnsiTheme="minorEastAsia" w:eastAsiaTheme="minorEastAsia" w:cstheme="minorEastAsia"/>
          <w:i w:val="0"/>
          <w:color w:val="000000"/>
          <w:highlight w:val="none"/>
          <w:u w:val="single"/>
          <w:shd w:val="clear" w:color="auto" w:fill="FFFFFF"/>
        </w:rPr>
        <w:t>（厂名）</w:t>
      </w:r>
      <w:r>
        <w:rPr>
          <w:rFonts w:hint="eastAsia" w:asciiTheme="minorEastAsia" w:hAnsiTheme="minorEastAsia" w:eastAsiaTheme="minorEastAsia" w:cstheme="minorEastAsia"/>
          <w:color w:val="000000"/>
          <w:highlight w:val="none"/>
          <w:shd w:val="clear" w:color="auto" w:fill="FFFFFF"/>
        </w:rPr>
        <w:t>，厂址为</w:t>
      </w:r>
      <w:r>
        <w:rPr>
          <w:rStyle w:val="47"/>
          <w:rFonts w:hint="eastAsia" w:asciiTheme="minorEastAsia" w:hAnsiTheme="minorEastAsia" w:eastAsiaTheme="minorEastAsia" w:cstheme="minorEastAsia"/>
          <w:i w:val="0"/>
          <w:color w:val="000000"/>
          <w:highlight w:val="none"/>
          <w:u w:val="single"/>
          <w:shd w:val="clear" w:color="auto" w:fill="FFFFFF"/>
        </w:rPr>
        <w:t>（生产厂址）</w:t>
      </w:r>
      <w:r>
        <w:rPr>
          <w:rFonts w:hint="eastAsia" w:asciiTheme="minorEastAsia" w:hAnsiTheme="minorEastAsia" w:eastAsiaTheme="minorEastAsia" w:cstheme="minorEastAsia"/>
          <w:color w:val="000000"/>
          <w:highlight w:val="none"/>
          <w:shd w:val="clear" w:color="auto" w:fill="FFFFFF"/>
        </w:rPr>
        <w:t>。</w:t>
      </w:r>
      <w:r>
        <w:rPr>
          <w:rStyle w:val="47"/>
          <w:rFonts w:hint="eastAsia" w:asciiTheme="minorEastAsia" w:hAnsiTheme="minorEastAsia" w:eastAsiaTheme="minorEastAsia" w:cstheme="minorEastAsia"/>
          <w:i w:val="0"/>
          <w:color w:val="000000"/>
          <w:highlight w:val="none"/>
          <w:u w:val="single"/>
          <w:shd w:val="clear" w:color="auto" w:fill="FFFFFF"/>
        </w:rPr>
        <w:t>（产品名称2）</w:t>
      </w:r>
      <w:r>
        <w:rPr>
          <w:rFonts w:hint="eastAsia" w:asciiTheme="minorEastAsia" w:hAnsiTheme="minorEastAsia" w:eastAsiaTheme="minorEastAsia" w:cstheme="minorEastAsia"/>
          <w:color w:val="000000"/>
          <w:highlight w:val="none"/>
          <w:shd w:val="clear" w:color="auto" w:fill="FFFFFF"/>
        </w:rPr>
        <w:t>的中国境内生产的组件成本占比≥</w:t>
      </w:r>
      <w:r>
        <w:rPr>
          <w:rStyle w:val="47"/>
          <w:rFonts w:hint="eastAsia" w:asciiTheme="minorEastAsia" w:hAnsiTheme="minorEastAsia" w:eastAsiaTheme="minorEastAsia" w:cstheme="minorEastAsia"/>
          <w:i w:val="0"/>
          <w:color w:val="000000"/>
          <w:highlight w:val="none"/>
          <w:u w:val="single"/>
          <w:shd w:val="clear" w:color="auto" w:fill="FFFFFF"/>
        </w:rPr>
        <w:t>（规定比例）</w:t>
      </w:r>
      <w:r>
        <w:rPr>
          <w:rFonts w:hint="eastAsia" w:asciiTheme="minorEastAsia" w:hAnsiTheme="minorEastAsia" w:eastAsiaTheme="minorEastAsia" w:cstheme="minorEastAsia"/>
          <w:color w:val="000000"/>
          <w:highlight w:val="none"/>
          <w:shd w:val="clear" w:color="auto" w:fill="FFFFFF"/>
        </w:rPr>
        <w:t>。</w:t>
      </w:r>
      <w:r>
        <w:rPr>
          <w:rStyle w:val="47"/>
          <w:rFonts w:hint="eastAsia" w:asciiTheme="minorEastAsia" w:hAnsiTheme="minorEastAsia" w:eastAsiaTheme="minorEastAsia" w:cstheme="minorEastAsia"/>
          <w:i w:val="0"/>
          <w:color w:val="000000"/>
          <w:highlight w:val="none"/>
          <w:u w:val="single"/>
          <w:shd w:val="clear" w:color="auto" w:fill="FFFFFF"/>
        </w:rPr>
        <w:t>（产品名称2）</w:t>
      </w:r>
      <w:r>
        <w:rPr>
          <w:rFonts w:hint="eastAsia" w:asciiTheme="minorEastAsia" w:hAnsiTheme="minorEastAsia" w:eastAsiaTheme="minorEastAsia" w:cstheme="minorEastAsia"/>
          <w:color w:val="000000"/>
          <w:highlight w:val="none"/>
          <w:shd w:val="clear" w:color="auto" w:fill="FFFFFF"/>
        </w:rPr>
        <w:t>的</w:t>
      </w:r>
      <w:r>
        <w:rPr>
          <w:rStyle w:val="47"/>
          <w:rFonts w:hint="eastAsia" w:asciiTheme="minorEastAsia" w:hAnsiTheme="minorEastAsia" w:eastAsiaTheme="minorEastAsia" w:cstheme="minorEastAsia"/>
          <w:i w:val="0"/>
          <w:color w:val="000000"/>
          <w:highlight w:val="none"/>
          <w:u w:val="single"/>
          <w:shd w:val="clear" w:color="auto" w:fill="FFFFFF"/>
        </w:rPr>
        <w:t>（关键组件）</w:t>
      </w:r>
      <w:r>
        <w:rPr>
          <w:rFonts w:hint="eastAsia" w:asciiTheme="minorEastAsia" w:hAnsiTheme="minorEastAsia" w:eastAsiaTheme="minorEastAsia" w:cstheme="minorEastAsia"/>
          <w:color w:val="000000"/>
          <w:highlight w:val="none"/>
          <w:shd w:val="clear" w:color="auto" w:fill="FFFFFF"/>
        </w:rPr>
        <w:t>在中国境内生产。</w:t>
      </w:r>
      <w:r>
        <w:rPr>
          <w:rStyle w:val="47"/>
          <w:rFonts w:hint="eastAsia" w:asciiTheme="minorEastAsia" w:hAnsiTheme="minorEastAsia" w:eastAsiaTheme="minorEastAsia" w:cstheme="minorEastAsia"/>
          <w:i w:val="0"/>
          <w:color w:val="000000"/>
          <w:highlight w:val="none"/>
          <w:u w:val="single"/>
          <w:shd w:val="clear" w:color="auto" w:fill="FFFFFF"/>
        </w:rPr>
        <w:t>（产品名称2）</w:t>
      </w:r>
      <w:r>
        <w:rPr>
          <w:rFonts w:hint="eastAsia" w:asciiTheme="minorEastAsia" w:hAnsiTheme="minorEastAsia" w:eastAsiaTheme="minorEastAsia" w:cstheme="minorEastAsia"/>
          <w:color w:val="000000"/>
          <w:highlight w:val="none"/>
          <w:shd w:val="clear" w:color="auto" w:fill="FFFFFF"/>
        </w:rPr>
        <w:t>的</w:t>
      </w:r>
      <w:r>
        <w:rPr>
          <w:rStyle w:val="47"/>
          <w:rFonts w:hint="eastAsia" w:asciiTheme="minorEastAsia" w:hAnsiTheme="minorEastAsia" w:eastAsiaTheme="minorEastAsia" w:cstheme="minorEastAsia"/>
          <w:i w:val="0"/>
          <w:color w:val="000000"/>
          <w:highlight w:val="none"/>
          <w:u w:val="single"/>
          <w:shd w:val="clear" w:color="auto" w:fill="FFFFFF"/>
        </w:rPr>
        <w:t>（关键工序）</w:t>
      </w:r>
      <w:r>
        <w:rPr>
          <w:rFonts w:hint="eastAsia" w:asciiTheme="minorEastAsia" w:hAnsiTheme="minorEastAsia" w:eastAsiaTheme="minorEastAsia" w:cstheme="minorEastAsia"/>
          <w:color w:val="000000"/>
          <w:highlight w:val="none"/>
          <w:shd w:val="clear" w:color="auto" w:fill="FFFFFF"/>
        </w:rPr>
        <w:t>在中国境内完成。</w:t>
      </w:r>
    </w:p>
    <w:p w14:paraId="2E29D8C6">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w:t>
      </w:r>
    </w:p>
    <w:p w14:paraId="166DDEE7">
      <w:pPr>
        <w:pStyle w:val="35"/>
        <w:shd w:val="clear" w:color="auto" w:fill="FFFFFF"/>
        <w:spacing w:before="20" w:beforeAutospacing="0" w:after="20" w:afterAutospacing="0" w:line="560" w:lineRule="atLeast"/>
        <w:ind w:firstLine="420"/>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本公司（单位）对上述声明内容的真实性负责。如有虚假，愿承担相应法律责任。</w:t>
      </w:r>
    </w:p>
    <w:p w14:paraId="100CF586">
      <w:pPr>
        <w:pStyle w:val="35"/>
        <w:shd w:val="clear" w:color="auto" w:fill="FFFFFF"/>
        <w:spacing w:before="20" w:beforeAutospacing="0" w:after="20" w:afterAutospacing="0" w:line="560" w:lineRule="atLeast"/>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 </w:t>
      </w:r>
    </w:p>
    <w:p w14:paraId="5C33D298">
      <w:pPr>
        <w:pStyle w:val="35"/>
        <w:shd w:val="clear" w:color="auto" w:fill="FFFFFF"/>
        <w:spacing w:before="20" w:beforeAutospacing="0" w:after="20" w:afterAutospacing="0" w:line="560" w:lineRule="atLeast"/>
        <w:jc w:val="right"/>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公司（单位）名称（盖章）：　        </w:t>
      </w:r>
    </w:p>
    <w:p w14:paraId="4B2304E8">
      <w:pPr>
        <w:pStyle w:val="35"/>
        <w:shd w:val="clear" w:color="auto" w:fill="FFFFFF"/>
        <w:spacing w:before="20" w:beforeAutospacing="0" w:after="20" w:afterAutospacing="0" w:line="560" w:lineRule="atLeast"/>
        <w:jc w:val="right"/>
        <w:textAlignment w:val="baseline"/>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shd w:val="clear" w:color="auto" w:fill="FFFFFF"/>
        </w:rPr>
        <w:t>日期：　     年　  月　  日</w:t>
      </w:r>
    </w:p>
    <w:p w14:paraId="19802382">
      <w:pPr>
        <w:pStyle w:val="35"/>
        <w:shd w:val="clear" w:color="auto" w:fill="FFFFFF"/>
        <w:spacing w:before="20" w:beforeAutospacing="0" w:after="20" w:afterAutospacing="0" w:line="560" w:lineRule="atLeast"/>
        <w:jc w:val="right"/>
        <w:textAlignment w:val="baseline"/>
        <w:rPr>
          <w:rFonts w:ascii="仿宋" w:hAnsi="仿宋" w:eastAsia="仿宋" w:cs="仿宋"/>
          <w:color w:val="000000"/>
          <w:sz w:val="28"/>
          <w:szCs w:val="28"/>
          <w:highlight w:val="none"/>
        </w:rPr>
      </w:pPr>
    </w:p>
    <w:p w14:paraId="63DEE2EE">
      <w:pPr>
        <w:tabs>
          <w:tab w:val="left" w:pos="1156"/>
        </w:tabs>
        <w:jc w:val="left"/>
        <w:rPr>
          <w:highlight w:val="none"/>
          <w:lang w:val="zh-CN"/>
        </w:rPr>
        <w:sectPr>
          <w:footerReference r:id="rId13" w:type="default"/>
          <w:pgSz w:w="11906" w:h="16838"/>
          <w:pgMar w:top="1361" w:right="1361" w:bottom="1361" w:left="1361" w:header="935" w:footer="935" w:gutter="0"/>
          <w:pgBorders>
            <w:top w:val="none" w:sz="0" w:space="0"/>
            <w:left w:val="none" w:sz="0" w:space="0"/>
            <w:bottom w:val="none" w:sz="0" w:space="0"/>
            <w:right w:val="none" w:sz="0" w:space="0"/>
          </w:pgBorders>
          <w:cols w:space="0" w:num="1"/>
          <w:titlePg/>
          <w:rtlGutter w:val="0"/>
          <w:docGrid w:type="lines" w:linePitch="318" w:charSpace="0"/>
        </w:sectPr>
      </w:pPr>
    </w:p>
    <w:p w14:paraId="78B4A0D8">
      <w:pPr>
        <w:pStyle w:val="3"/>
        <w:numPr>
          <w:ilvl w:val="0"/>
          <w:numId w:val="0"/>
        </w:numPr>
        <w:jc w:val="center"/>
        <w:rPr>
          <w:rFonts w:eastAsia="宋体"/>
          <w:bCs/>
          <w:kern w:val="0"/>
          <w:sz w:val="36"/>
          <w:highlight w:val="none"/>
        </w:rPr>
      </w:pPr>
      <w:bookmarkStart w:id="206" w:name="_Toc17207"/>
      <w:bookmarkStart w:id="207" w:name="_Toc19750"/>
      <w:bookmarkStart w:id="208" w:name="_Toc29903"/>
      <w:bookmarkStart w:id="209" w:name="_Toc18111"/>
      <w:bookmarkStart w:id="210" w:name="_Toc30794"/>
      <w:bookmarkStart w:id="211" w:name="_Toc13407"/>
      <w:r>
        <w:rPr>
          <w:rFonts w:hint="eastAsia" w:eastAsia="宋体"/>
          <w:bCs/>
          <w:kern w:val="0"/>
          <w:sz w:val="36"/>
          <w:highlight w:val="none"/>
        </w:rPr>
        <w:t xml:space="preserve">第五章 </w:t>
      </w:r>
      <w:bookmarkEnd w:id="206"/>
      <w:bookmarkEnd w:id="207"/>
      <w:bookmarkEnd w:id="208"/>
      <w:bookmarkEnd w:id="209"/>
      <w:r>
        <w:rPr>
          <w:rFonts w:hint="eastAsia" w:eastAsia="宋体"/>
          <w:bCs/>
          <w:kern w:val="0"/>
          <w:sz w:val="36"/>
          <w:highlight w:val="none"/>
        </w:rPr>
        <w:t>采购内容及要求</w:t>
      </w:r>
      <w:bookmarkEnd w:id="210"/>
      <w:bookmarkEnd w:id="211"/>
    </w:p>
    <w:p w14:paraId="448B7D3F">
      <w:pPr>
        <w:keepNext/>
        <w:widowControl/>
        <w:jc w:val="left"/>
        <w:outlineLvl w:val="1"/>
        <w:rPr>
          <w:rFonts w:ascii="宋体" w:hAnsi="宋体" w:cs="宋体"/>
          <w:b/>
          <w:bCs/>
          <w:iCs/>
          <w:kern w:val="0"/>
          <w:sz w:val="28"/>
          <w:szCs w:val="28"/>
          <w:highlight w:val="none"/>
          <w:lang w:bidi="en-US"/>
        </w:rPr>
      </w:pPr>
      <w:bookmarkStart w:id="212" w:name="_Toc22553"/>
      <w:bookmarkStart w:id="213" w:name="_Toc18163"/>
      <w:bookmarkStart w:id="214" w:name="_Toc30937"/>
      <w:r>
        <w:rPr>
          <w:rFonts w:hint="eastAsia" w:ascii="宋体" w:hAnsi="宋体" w:cs="宋体"/>
          <w:b/>
          <w:bCs/>
          <w:iCs/>
          <w:kern w:val="0"/>
          <w:sz w:val="28"/>
          <w:szCs w:val="28"/>
          <w:highlight w:val="none"/>
          <w:lang w:bidi="en-US"/>
        </w:rPr>
        <w:t>一、采购清单及参数要求</w:t>
      </w:r>
      <w:bookmarkEnd w:id="212"/>
      <w:bookmarkEnd w:id="213"/>
    </w:p>
    <w:bookmarkEnd w:id="214"/>
    <w:p w14:paraId="50CD7F58">
      <w:pPr>
        <w:ind w:firstLine="482" w:firstLineChars="200"/>
        <w:jc w:val="left"/>
        <w:outlineLvl w:val="2"/>
        <w:rPr>
          <w:rFonts w:ascii="宋体" w:hAnsi="宋体" w:cs="宋体"/>
          <w:b/>
          <w:bCs/>
          <w:sz w:val="24"/>
          <w:highlight w:val="none"/>
        </w:rPr>
      </w:pPr>
      <w:r>
        <w:rPr>
          <w:rFonts w:hint="eastAsia" w:ascii="宋体" w:hAnsi="宋体" w:cs="宋体"/>
          <w:b/>
          <w:bCs/>
          <w:sz w:val="24"/>
          <w:highlight w:val="none"/>
          <w:lang w:val="en-US" w:eastAsia="zh-CN"/>
        </w:rPr>
        <w:t>1包：智能（数智）生物医药特色虚拟仿真实训室</w:t>
      </w:r>
    </w:p>
    <w:tbl>
      <w:tblPr>
        <w:tblStyle w:val="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2"/>
        <w:gridCol w:w="694"/>
        <w:gridCol w:w="728"/>
        <w:gridCol w:w="1260"/>
        <w:gridCol w:w="3132"/>
        <w:gridCol w:w="702"/>
        <w:gridCol w:w="524"/>
        <w:gridCol w:w="534"/>
        <w:gridCol w:w="705"/>
        <w:gridCol w:w="668"/>
      </w:tblGrid>
      <w:tr w14:paraId="57C27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01D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EF3B6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设备名称</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1B0A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详细参数</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D5B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70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0E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16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总价</w:t>
            </w:r>
          </w:p>
        </w:tc>
      </w:tr>
      <w:tr w14:paraId="148B2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EC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D0C4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扩声系统</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6E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线性音柱</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DFC92E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只4.5英寸国内订制优质中低单元搭配1只号角负载驱动器体现高频的穿透力与清晰度，人声甜美细腻饱满；箱体采用多层复合夹板,金钢砂喷涂制作，高质量单元配置，多种吊挂点及支撑，操作简易快捷，用于语言会议系统、小型演出、多功能厅、高级酒店会所等扩声场所                                                                                              •中音喇叭 : 6×4.5" (90磁Φ25mm)进口组件                                                                     •高音喇叭 : 1×1.34" (Φ34mm)高效能钛膜号角高音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•频响 (±3dB) : 100Hz-20kHz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•阻抗：6欧                                                                                                   •额定/峰值功率：350W/700W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•灵敏度 :≥ 97dB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•最大声压级(连续/峰值): 122dB/125db                                                                                  •覆蓋角度（H×V）80°×50°高密度多层夹板+坚固耐磨金钢砂油漆                                                                         •产品尺寸（W*D*H）:146*150*870 MM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分频模式：内/外置分频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安装：壁挂/506吊挂/支撑/专用吊架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表面处理：黑色多孔钢网和透声的音箱网布   连接器：1×4针WP4音箱座，1个凤凰座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连接方式：±1…MHF</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★提供产品检测报告。</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FA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A62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564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D41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19200.00 </w:t>
            </w:r>
          </w:p>
        </w:tc>
      </w:tr>
      <w:tr w14:paraId="281F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8AB0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B1708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519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专业音箱功放</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328E0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1、输出功率（单声道测试）≥（EIA 1KHz,1%THD) 8Ω 650W 4Ω 950W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2、Class AB/H阻尼系数（8Ω，100Hz) ≥400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3、频率响应  20Hz-20KHz(±0.5dB,1Vrms输入信号，1%输出功率）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4、输入阻抗  20KΩ（平衡输入，立体声模式）/100KΩ（平衡输入，并联模式）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5、输入灵敏度 ≥44dB  0.56V 41dB  0.8V 38dB   1.13V 35dB   1.59V 32dB   2.25V 29dB   3.17V 26dB   4.47V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6、信噪比（A计权）≥100dB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7、总谐波失真（THD+N） ≤0.06%(8Ω，1KHz,1%输出功率)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8、互调失真（IMD） ≤0.05%(8Ω，1%输出功率)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9、转换速率（8Ω，10KHz)  ≥20V/μs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10、通道隔离  ≥80dB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11、输入共模抑制比（CMR） ≥70dB(20Hz-1KHz)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12、保护系统  开机交流软启动：抑制启动电流，不影响其它设备工作，保护内部线路免受冲击；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开机延时接载：保护扬声器免受冲击，无声开机；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直流输出断载保护：中点漂移和有直流输出时，防止扬声器受冲击而损坏；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输出限流软保护：当负载阻抗过低和输入信号过激时，对功放和扬声器保护；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削波压缩保护：当输入信号过大功放削峰时，保护系统自动检测并压缩信号，保护扬声器；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负载短路保护：当输出短路时，自动切断输出，保护功放；当短路解除后自动恢复工作；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过热保护：当功放温度过高时，自动切断负载；温度降低后功放自动恢复工作；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关机保护：关机时先切断负载，实现无声关机，保护扬声器避免受冲击；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13、输入/输出接口  输入接口：信号输入接口×2个通道（三针XLR，平衡式，每个通道有两个并联输入接口，一公一母）；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14、输出接口：扬声器输出接口×2个通道（SPEAKON）；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15、控制方式  电平控制：旋钮式电平控制器×2个（前面板）；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16、电源：前面板开关，ON为开机状态；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17、整机增益可根据输入信号选择：26dB/29dB/32dB/35dB/38dB/41dB/44dB(只限部分机型）；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18、工作模式调节：立体声模式/并联模式（只限部分机型）；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19、指示灯 电源指示灯（ON）：蓝色，指示功放处于开机状态；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并联指示灯（B/P）：黄色，指示功放当前输入信号的模式；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信号指示灯（SIGNAL）：绿色，指示当前信号正常；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压限指示（LIMIT）：黄色，指示当前输入功放的信号已经过大；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保护指示（PROTECT）：红色，指示功放处于保护状态；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20、电源电压和频率  ～220V（±10%），50Hz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★提供权威检测机构出具的检测报告，报告内含有设备实物图片并佐证设备参数，提供检测报告证书复印件。</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8B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1B6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7A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30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13800.00 </w:t>
            </w:r>
          </w:p>
        </w:tc>
      </w:tr>
      <w:tr w14:paraId="7EB0F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58D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555F9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81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数字音箱管理器</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4794E2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1.音箱管理器支持多路模拟信号输入输出，用于多扬声器场景信号分配管理；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2.内置高性能DSP处理芯片，24bit,48kHz处理能力，高性能A/D及D/A转换器；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★3.自带TFT交互液晶屏，快捷调参嵌入式GUI界面；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★4.具有稳定性和线性相位的512阶自定义FIR滤波器；支持导入第三方软件生成的FIR参数，支持图形化界面显示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5.输入通道包含：:静音、增益、延迟器(0-180ms)、31段图示均衡器、扩展器、压缩器、音器、增益功能；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★6.输出通道包含：延时器(0-60ms)、分频器(巴特沃斯/贝塞尔/林克威治滤波器类型12dB/24dB/36dB/48dB滤波器斜率、FIR滤波器)、15段参量均衡器、增益、限幅器功能；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7.专业PC端控制软件，通过USB或RJ45线进行连接，实现PC软件控制设置；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8.软件可添加、路由管理多台在线设备；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★9.支持输入输出通道复制功能；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★10.支持输入输出通道相互绑定功能；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★11.支持多组场景保存、调用及导入、导出功能；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12.面板配置旋转编码器选择菜单的开关，操作便捷。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13.配置双向RS232接口、标准以太网控制接口，开放相关协议文档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1)模拟接口：2路平衡输入+6路平衡输出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2)频率响应：20 - 20KHz，±0.2 dBu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3)最大输入电平：+20 dBu，平衡输入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4)最大输出电平：+20 dBu，平衡输出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5)THD+N：&lt;0.002% @ 4 dBu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6)通道隔离度：105 dB @ 1 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7)采样率：≥48KHz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8)量化位数：24bit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9)本底噪声：≤-90dBu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10)输入阻抗：≥20 KΩ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11)输出阻抗：≥100 Ω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12)尺寸：≥440x208x44mm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13)工作温度：-10-50℃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14)净重：1.9kg （±5%）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★提供权威检测机构出具的检测报告，报告内含有设备实物图片并佐证设备参数，提供检测报告证书复印件。</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85E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E00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D1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5B3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8900.00 </w:t>
            </w:r>
          </w:p>
        </w:tc>
      </w:tr>
      <w:tr w14:paraId="33C19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1D3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AD953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44E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动态移频反馈抑制器</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089570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1、19寸标准机柜安装，1U高度。 （±5%）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2、面板具备上LCD显示器，功能键、旋钮供系统调节或设定之用。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★3、2路音频信号输入，可设置为麦克风输入或者线路输入，麦克风输入时支持48V幻像供电，提供设备接口图片及软件功能界面截图佐证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★4、输入信号处理：前级放大、信号发生器、10段参量均衡、高低通滤波器，AGC自动增益控制，4级AFS反馈抑制，提供软件功能界面截图佐证，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ANS噪声抑制，可探测出背景固定频率的杂音并消除背景噪音，减少会议过程中通过话筒采集到的各种背景噪声，如：会议发言时因为移动话筒或触碰咪杆及外壳导致的异响声，塑料的摩擦声，鞋跟与地面的碰撞声，风燥声，雨水声，鼓掌声，呈现出与会者清晰的声音。（提供该软件的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6、支持通道拷贝、粘贴、联控功能。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7、USB口免驱连接电脑专用控制软件进行精细化设置。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★提供权威检测机构出具的检测报告，报告内含有设备实物图片并佐证设备参数，提供检测报告证书复印件以及官网查询截图</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C8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A3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8B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34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6900.00 </w:t>
            </w:r>
          </w:p>
        </w:tc>
      </w:tr>
      <w:tr w14:paraId="200D0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FFF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D96B4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9DE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机架式调音台</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3B7A26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1.12路单声8路立体声带效果带4编组带MP3调音台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2.★左声道不小于7段均衡调节，右声道不小于7段均衡调节，互不干扰（提供界面截图佐证）。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3.内置I/O双轨声卡；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4.带有HI/Z阻抗切换功能；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5.★每个功能按键旋钮带中英文注释；（提供界面截图佐证）。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6.★提供USB接口可连接电脑联调（提供界面截图佐证）。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7.易于机柜安装，附带机柜安装支架；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8.附带100种模式数字效果器；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9.推杆带有防尘网；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10.单声道具备高功效的3段EQ；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11.具备电平控制的2个立体AUX回送，并可将讯号送至AUX1-2；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12.具备分离开关的录音机输入/输出，将信号配送到控制室和输出；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13.附高通滤波器（低切），截止点75Hz-18dB/Oct；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14.电平指示：不小于10位LED灯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★提供权威检测机构出具的检测报告，提供检测报告证书复印件。</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91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0C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482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EE3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5800.00 </w:t>
            </w:r>
          </w:p>
        </w:tc>
      </w:tr>
      <w:tr w14:paraId="36DE2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57F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94796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863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一拖二无线手持话筒</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71E43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1.采用世界先进的DPLL数字锁相环多信道频率合成技术及杂讯自动控制技术(带导频)；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2.使用UHF660MHz～690MHz频段，避免干扰频率；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3.全新节能模式设置，自动/手动EQ控制功能，自动校正音色全自动开关机模式自动红外线对频系统，全自动扫描；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4.双话筒设计，可两人同时演唱手持麦克风隐形天线,采用最新型的高频声表面滤波器，最大限度地滤除带外干扰信号；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5.采用二次变频的高频电路设计，具有极高的灵敏度；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6.2路独立平衡输出（三位凤凰座）、1路非平衡混合输出，方便连接各种设备（提供产品接口界面图）；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7.本系统内任何一支话筒与任何一台接收机都可对上频，彻底解决了固定频率麦克风不通用的缺点，适合多套产品在同一场合使用；高保真音色,独特的干扰噪音静噪功能；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8.采用音频压缩扩展技术，噪音大大减小，动态范围加大；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9.1U半机架设计，小巧、灵活，可通过附件单台或两台安装于19寸标准机柜；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★10.支持RS-485协议（提供产品接口界面图）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11.可检测话筒是否打开，话筒电池电量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★12.每支话筒带15段EQ（提供操作界面图做为佐证）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★13.要求提供第三方检验检测机构出具的此内容的检测报告。 </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4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931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4F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00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3800.00 </w:t>
            </w:r>
          </w:p>
        </w:tc>
      </w:tr>
      <w:tr w14:paraId="1D061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E7E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43677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5E1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磁吸领夹麦克风/AI版接收器</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7792CF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1.工作频率:UHF。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2.支持一发多收 ，同一话筒可以配对任意接收机使用。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3.传输距离无障碍大于 50 米。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4.内置5档可调 AGC 电路，满足 5-40CM拾音距离要求，自动调节音量，保护学生听力。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5.内置 NFC 读写器，可读取或写入 NFC 卡对频信息。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★6.对频方式:支持手动对频及主动式NFC接近式对频，可设置对频记忆打卡或关闭（提供检测机构针对此参数出具的检测报告复印件）。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7.内置锂电池容量不小于 600mAH;电池续航时间不低于5 小时。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8.采用 0LED 低功耗显示屏进行功能显示，包括电池电量、频道信息、PPT 翻页功能、功能设置菜单等。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★9、提供工程模式菜单，可设置 AGC 模式、反馈抑制开关、PPT 功能开关、对频记忆模式手动对频功能开关等;（提供内置软件功能截图）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10.信噪比:89dB;动态范围:85dB;采样频率:48KHz。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11.采用数字调制方式，支持一发多收模式，一个话筒可以对应多个接收机工作。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★12.话筒自带背夹，支持领夹式工作，也可手持使用或外接头戴麦克风，支持挂绳悬挂于胸前使用:支持磁吸背夹，通过磁吸配件佩戴在服装表面（提供检测机构针对此参数出具的检测报告复印件）。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★13.具有人声还原度处理功能及主动动态反馈抑制功能,最大限度还原人声及有效防止啸叫。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14.支持 3.5mm 音频输入，可连接头戴麦克风输入，预置 Type-C充电接口及镀金外置充电触点，支持两种方式充电。</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F81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B5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45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C9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r>
      <w:tr w14:paraId="62C0A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A8BD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FC811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5F1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电源时序器</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42128A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1、工作电压：AC90V-260V；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2、受控插座额定输出电流：30A（单路输出额定电流12A）；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3、直通插座额定输出电流：10-16A；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4、每路开关间隔时间：1S；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5、★1路直通电源插座，8路可控磷铜电源插座，时间可设(1-999s)，默认 1s，4英寸电阻屏、分辨率 480*800。 支持屏幕亮度调节。具有工作电压、支持过压、过流、欠压设置；支持定时开关机设置，支持中英文语言切换，支持 RS485 中控控制，波特率可设。（提供满足该参数的第三方权威机构检测报告，提供相关证明材料）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6、★定时控制（服务器控制）：定时可自定义添加删除，开机关机和每个通道的开关最多支持100个定时任务；提供APP软件控制功能界面截图佐证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7、Wifi传输距离：30m无阻挡；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8、★电流和用电功率并与手机软件界面同步;云平台App管理界面、一台手机可控制多台时序器。（提供满足该参数的第三方权威机构检测报告，提供相关证明材料）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9、可控电源：8路，面板直通2路；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10、通道开关机延时设置：每路可单独设置开关机延时；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11、★内置功率计：屏幕显示即时工作电压，电流，功率，功率因数、并且实时上传手机远程监控；提供APP软件控制功能界面截图佐证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12、过流保护：过压保护：欠压保护：电压保护：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13、单通道2000W 总功率6000W；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14、顺序开启逆序关闭；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15、COM口接入中控控制（代码指令控制）、同时自带安卓软件通过互联网控制；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16、每个通道面板独立控制自由控制开启关闭；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有复位功能； </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D2BD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FA2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B5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81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2800.00 </w:t>
            </w:r>
          </w:p>
        </w:tc>
      </w:tr>
      <w:tr w14:paraId="5DFCA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80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4C2D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常态化录播</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DDB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录播主机（核心产品）</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D8ACF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1.为保证系统整体编解码性能及使用稳定性，主机需采用ARM架构处理器，具备8核CPU，主机系统内存≥8GB，存储容量不低于1TB。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2.为保证不影响授课，主机无风扇设计，主机噪声小于20dB（A）。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3.内置蓝牙无线物联模块，主机无需线缆就可以实现对同品牌音箱的音量控制，也可通过同品牌讲台实现对主机开关机控制。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4.支持标准USB音视频信号输出，通过主机TypeC接口可以实现图像和声音同步输出，支持不小于4K图像输出，输出音频可通过主机控制软件实现混音，兼容主流视频会议软件。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5.主机采用高度集成化设计，能够独立完成视频采集、音频采集、音频编码、视频编码、音频处理、视频处理、直播、录制、互动、远程运维参数设置功能。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6.内置音频接收模块。无需外接无线音频接收模块，即可完成无线音频采集，支持同时≥2个无线麦克风接入，且同时支持≥2种对频模式。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7.支持断电扩声，在主机完全断电的情况下，从主机线性音频通道上输入的音频可以从主机输出通道输出，且≥2个音频输入通道可以支持该功能，满足全场景的教学使用需求。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支持≥2个HDMI高清采集接口，支持分辨率包含：3840×2160p@30Hz、1920×1080p@60Hz、1920×1080p@30Hz、1680×1050p@30Hz、1600×900p@30Hz、1400×1050p@30fps、1280×1024p@30Hz、1280×1024p@60Hz、1280×960p@30Hz、1280×800p@30Hz、1280×720p@60Hz、1280×720p@30Hz、720×480p@60Hz、640×480p@30Hz 。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9.支持≥4路高清视频输出，视频输出可同一时间输出不同视频源，且输出分辨率不小于4K，其中HDMI信号输出≥3路且UVC视频输出≥1路。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10.支持≥5个RJ45接口，其中≥3个支持POE，支持≥5个USB类型接口，其中USB-A接口≥3个，Type-C接口≥2个。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11.支持≥1个阵列麦克风输入接口，可在不接入音频处理器的情况下，通过网线就可以完成阵列麦克风接入主机，通过网线可以实现麦克风的供电、音频信号传输、音频参数设置，支持数字音频传输。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12.支持通过主机屏幕实现画面预监，可同时预监≥6路画面，并且支持多通道同时录制，支持生成标准 MP4 格式视频文件，支持≥ 7 路 MP4 文件同时录制。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13.支持 H.264(BP/MP/HP)视频编码与解码，可扩展支持H.265 编码/解码，支持≥16 路 1080p@30fps 编/解码。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14.支持≥2种录制视频自动分段模式：支持按照文件大小分段，可选择500MB，1GB，2GB进行分段录制；支持按照录制时长分段，可选择30分钟、60分钟。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15.支持网络监测功能，无需安装第三方软件，在触控屏幕上显示教室网络状态，包括：服务联通性、网络稳定性、上下行速度、网络追踪性、网卡信息。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16.支持主机一体化触控屏实现开启/关闭直播，可选择开启录制时是否同步开启直播，直播视频清晰度可设置，支持 1080p@60fps，可选择1080p、720p、VGA、QVGA；支持帧率设定，可选择 25fps/30fps/60fps；支持多种画质选择，可选择极佳、好、一般、流畅四个不同等级。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17.主机内置扬声器，支持音频检测，通过主机内置扬声器可以播放测试音频，通过主机一体化屏幕进行视频预览时能够同步播放音频，且可控制播放音频音量大小。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18.支持单个文件、文件夹拷贝；多个文件、多个文件夹批量拷贝；支持动态显示拷贝进度，完成时自动提醒；当有多个 U 盘插入时，可在互动录播电脑主机一体化触控屏进行 U 盘选择，支持使用 FAT32 格式的U盘进行文件拷贝，拷贝进度可动态显示。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19.主机采用15.6英寸触控电容屏，屏幕色域≥72% NTSC，表面硬度≥7H，屏幕分辨率≥1920*1080。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20.屏幕需满足无蓝光危害，符合IEC 62471:2006要求， LB限制范围≤0.3。</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7CB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AF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86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27500.00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10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27500.00 </w:t>
            </w:r>
          </w:p>
        </w:tc>
      </w:tr>
      <w:tr w14:paraId="61DFE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5555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3C2C8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C2D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教师摄像机</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49D595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1.采用全景特写双镜头，全景镜头水平视场角≥40°，特写镜头水平视场角≥20°，传感器尺寸 CMOS ≥ 1/2.8英寸，全景图像传感器有效像素≥400万，特写图像传感器有效像素≥800万。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2.摄像机采用一体化集成设计，支持4K超高清，可提供3840×2160图像分辨率，同时兼容1920×1080和1280×720分辨率。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3.内置图像识别跟踪算法，搭配隐藏式云台，保证清晰度的同时，也减小对课堂的干扰。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4.为保证拍摄画面效果，采用低畸变设计，全景畸变≤±1%，特写畸变≤±1%，减少畸变校正造成的图像质量损失。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5.主码流分辨率：3840x2160, 1920x1080, 1280x720, 1024x576, 720x480, 640x360, 480x272, 320x240, 320x180。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6.辅码流分辨率：2880x1620, 1920x1080, 1280x720, 1024x576, 960x540, 640x480, 640x360, 320x240, 320x180。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7.支持标准USB音视频信号输出，可以同时支持UVC和UAC协议，通过主机TypeC接口可以实现图像和声音同步输出，最大支持最大支持4K@30fps输出，兼容主流视频会议软件。</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0F7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3D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11A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80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8800.00 </w:t>
            </w:r>
          </w:p>
        </w:tc>
      </w:tr>
      <w:tr w14:paraId="3E28F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EFC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51C60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B0C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学生摄像机</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651FE6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1.采用全景特写双镜头，全景镜头水平视场角≥110°，特写镜头水平视场角≥40°，传感器尺寸 CMOS ≥ 1/2.8英寸，全景图像传感器有效像素≥400万，特写图像传感器有效像素≥800万。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2.摄像机采用一体化集成设计，支持4K超高清，可提供3840×2160图像分辨率，同时兼容1920×1080和1280×720分辨率。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3.内置图像识别跟踪算法，搭配隐藏式云台，保证清晰度的同时，也减小对课堂的干扰。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4.为保证拍摄画面效果，采用低畸变设计，全景畸变≤±2.5%，特写畸变≤±1%，减少畸变校正造成的图像质量损失。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5.主码流分辨率：3840x2160, 1920x1080, 1280x720, 1024x576, 720x480, 640x360, 480x272, 320x240, 320x180。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6.辅码流分辨率：2880x1620, 1920x1080, 1280x720, 1024x576, 960x540, 640x480, 640x360, 320x240, 320x180。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7.支持标准USB音视频信号输出，可以同时支持UVC和UAC协议，通过主机TypeC接口可以实现图像和声音同步输出，最大支持最大支持4K@30fps输出，兼容主流视频会议软件。</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C0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E4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C1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0F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8800.00 </w:t>
            </w:r>
          </w:p>
        </w:tc>
      </w:tr>
      <w:tr w14:paraId="7AB31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48B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F7957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A81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全向麦克风</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07C3B8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1.麦克风频率响应范围不低于50Hz~16KHz。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2.麦克风拾音半径≥8m，信噪比≥68dB。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3.麦克风声压级≥130dBSPL，10%THD@1 KHz。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4.麦克风支持降噪、回声抵消、混响抑制、自动增益控制、多麦融合多种音频算法。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5.麦克风具备≥1个状态指示灯，可显示麦克风工作状态，蓝灯表示工作状态正常，红灯表示无法正常拾音。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6.麦克风支持数字音频传输。</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7D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FAA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3F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024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6900.00 </w:t>
            </w:r>
          </w:p>
        </w:tc>
      </w:tr>
      <w:tr w14:paraId="72E95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50DA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1726D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717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无线麦克风</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CD5318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1.麦克风支持≥1个三合一按键，可控制麦克风的开关机、静音和配对。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2.麦克风支持≥2个音量控制按钮，可通过音量“+”“-”按钮控制麦克风输出音量。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3.麦克风单体重量≤30g。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4.麦克风支持≥4种佩戴方式。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5.麦克风支持通过音量调节按钮调节输出音量；音量调节过程中通过麦克风一体化屏幕动态提示当前音量等级。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6.麦克风信噪比≥95dB，音频采样率≥48kHz，采样精度≥16bit。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7.支持在空旷环境下，有效传输距离≥100m。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8.支持室内使用场景下，穿墙后有效传输距离≥20m。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9.支持红外和无线同时配对。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10.麦克风具备彩色显示屏，支持显示显示麦克风电池电量、麦克风配对状态、麦克风所连接的设备、显示当前麦克风接收声音强度、无线连接信号强度。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11.麦克风电池容量≥180mAh，采用可充电式锂电池，非待机情况下续航时间≥7h。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12.充电仓电池容量≥1500mAh。充电仓可将两个麦克风同时从0%～100%充满电≥2次。</w:t>
            </w:r>
          </w:p>
        </w:tc>
        <w:tc>
          <w:tcPr>
            <w:tcW w:w="2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F5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BA5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84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5390.00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CBE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5390.00 </w:t>
            </w:r>
          </w:p>
        </w:tc>
      </w:tr>
      <w:tr w14:paraId="205C1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restart"/>
            <w:tcBorders>
              <w:top w:val="nil"/>
              <w:left w:val="single" w:color="000000" w:sz="4" w:space="0"/>
              <w:bottom w:val="single" w:color="000000" w:sz="4" w:space="0"/>
              <w:right w:val="single" w:color="000000" w:sz="4" w:space="0"/>
            </w:tcBorders>
            <w:shd w:val="clear" w:color="auto" w:fill="FFFFFF"/>
            <w:noWrap/>
            <w:vAlign w:val="center"/>
          </w:tcPr>
          <w:p w14:paraId="64B660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69" w:type="pct"/>
            <w:vMerge w:val="restart"/>
            <w:tcBorders>
              <w:top w:val="nil"/>
              <w:left w:val="single" w:color="000000" w:sz="4" w:space="0"/>
              <w:bottom w:val="single" w:color="000000" w:sz="4" w:space="0"/>
              <w:right w:val="single" w:color="000000" w:sz="4" w:space="0"/>
            </w:tcBorders>
            <w:shd w:val="clear" w:color="auto" w:fill="FFFFFF"/>
            <w:vAlign w:val="center"/>
          </w:tcPr>
          <w:p w14:paraId="34C34F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实训室管理终端控制软件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6172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多功能实训操作台(现场定制)</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FC460F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现代实用（多功能区）可根据学校教学要求变换方向，不同教学场景都可以满足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  · 造型：外八字或梯形斜腿，下方空间大，方便放腿或储物。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  · 质感：表面做防污处理好打理。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  · 选材：不锈钢+岩板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现场定制的核心提示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 运输安装：实心桌极重。务必确认电梯（每边至少多留10cm）。若进不去，只能选分体组合式。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 地面保护：石材或实木都怕硬磕，底部需贴防滑垫或微调脚垫。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互动确认：建议现场用美纹纸贴出1：1轮廓，人实际坐进去试试腿和身体的活动空间</w:t>
            </w:r>
          </w:p>
        </w:tc>
        <w:tc>
          <w:tcPr>
            <w:tcW w:w="2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5A4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593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批</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493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39750.00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46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39750.00 </w:t>
            </w:r>
          </w:p>
        </w:tc>
      </w:tr>
      <w:tr w14:paraId="4BBE9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vMerge w:val="continue"/>
            <w:tcBorders>
              <w:top w:val="nil"/>
              <w:left w:val="single" w:color="000000" w:sz="4" w:space="0"/>
              <w:bottom w:val="single" w:color="000000" w:sz="4" w:space="0"/>
              <w:right w:val="single" w:color="000000" w:sz="4" w:space="0"/>
            </w:tcBorders>
            <w:shd w:val="clear" w:color="auto" w:fill="FFFFFF"/>
            <w:noWrap/>
            <w:vAlign w:val="center"/>
          </w:tcPr>
          <w:p w14:paraId="0C888A0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69" w:type="pct"/>
            <w:vMerge w:val="continue"/>
            <w:tcBorders>
              <w:top w:val="nil"/>
              <w:left w:val="single" w:color="000000" w:sz="4" w:space="0"/>
              <w:bottom w:val="single" w:color="000000" w:sz="4" w:space="0"/>
              <w:right w:val="single" w:color="000000" w:sz="4" w:space="0"/>
            </w:tcBorders>
            <w:shd w:val="clear" w:color="auto" w:fill="FFFFFF"/>
            <w:vAlign w:val="center"/>
          </w:tcPr>
          <w:p w14:paraId="6F2C44B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E2E2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实训控制软件</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BEA0C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1、★支持开机Logo自定义，开机界面更改为学校logo，减弱教育商业化。（投标时提供此功能截图）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需支持用户桌面在需要帮助的时候，云桌面管理平台可以直接向需要帮助的用户桌面发起帮助，进行这一项操作时不需要借助第三方软件。管理软件内置网站黑名单功能，支持自定义添加禁止访问的网址，通过浏览器无法打开，确保网络环境安全稳定。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为满足多种使用需求，管理软件需支持多种主流国产化操作系统的一键快速切换。支持对主流操作系统的还原属性进行设置，可分别为系统盘与数据盘配置不同的还原策略，包括每次还原、每日还原、每周还原、每月还原及不还原。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4、★为提供更加良好的桌面使用环境，需提供广告弹窗拦截功能，开启后系统自动拦截用户设备桌面弹窗广告，净化桌面环境。(投标时提供此功能截图)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提供环境监测功能，针对用户正在使用的桌面系统环境进行巡检，监测内容以列表形式呈现内容包含但不限于电脑名称、系统版本、IP、内存、硬盘等状态。如出现网络连接中断、USB未连接、未知盘符，均会进行告警。(投标时提供此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支持静默更新功能，要求不影响用户设备日常使用的情况下对用户支持进行更新操作，服务端发送过来的更新镜像文件用户设备后台可进行静默接收，且桌面会有弹窗提示，待用户空闲时间重启即可自动更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7、★为了便于管理员排查网络故障，管理软件支持对操作系统提供网络修复功能，可自动检测网络服务状态并对异常问题进行修复。(投标时提供此功能截图)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8、云桌面软件支持无服务器部署，任意一台学生机均可成为管理端，对于所有设备进行统一管理维护。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9、★管理软件支持在考试结束后，提供文件加密功能，可对指定文件进行密码保护，并完整记录加密操作日志。（投标时提供此功能截图）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10、支持添加数据盘功能，对于有数据保存需求的用户，可以添加数据盘进行保存数据，在系统还原模式下，仍然可以保留个人相关数据。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11、支持屏幕广播，具有网络影院、语音教学、分组管理、文件分发、视频直播、黑屏肃静、多频道教学、电子点名、学生演示、屏幕监控、黑屏和解除黑屏等功能。                                                                                                              12、考试模式：支持开启考试模式，开启后学生将自动切换到指定考试操作系统，为保障考试稳定安全，考试期间所有数据不会清空，直至关闭考试模式，关闭考试模式后学生桌面数据将自动清空，并自动进入教学系统，无需对考试系统进行维护。考试环境巡查：提供云终端检测功能，可对操作系统环境进行批量巡检，检测结果以列表形式展示，并对USB键鼠未连接、未知盘符等异常状态进行告警提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★根据单位实际情况支持通过1台或N台中继器实现跨网段管理，中继器必须满足以下配置要求：CPU≥ARM 四核 1.8GHz，RAM≥1GB ，DOM≥8GB SSD ，USB口≥6个（其中至少包含1个3.0接口），千兆网卡 ，1个HDMI接口或1个VGA接口，1个MicIN接口，1个HPOUT接口，1个TF卡接口，至少5个状态指示灯。为了便于管理员对中继器的维护，需支持终端恢复，当中继器系统故障时可通过Micro-SD卡快速恢复系统。</w:t>
            </w:r>
          </w:p>
        </w:tc>
        <w:tc>
          <w:tcPr>
            <w:tcW w:w="2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F4A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2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C99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点</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FCAE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91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45750.00 </w:t>
            </w:r>
          </w:p>
        </w:tc>
      </w:tr>
      <w:tr w14:paraId="2C581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B7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B664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VR虚拟仿真头盔（pico）</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3D713A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存储配置：12GB LPDDR5 运行内存 + 256GB UFS 3.1 机身存储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二、处理器性能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主控芯片：高通骁龙 XR2 Gen 2（第二代 XR 平台）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CPU：八核 Kryo 架构，相较初代 XR2 性能提升 20%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GPU：Adreno 740，相较初代 XR2 性能提升 250%（2.5 倍）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系统：Pico 企业定制系统（基于 Android），无消费级应用商店，支持企业私有化部署、自定义应用安装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三、显示与光学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屏幕：双2.56 英寸 LCD 显示屏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单眼分辨率：2160×2160，双眼总分辨率 4320×2160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像素密度：≥1200 PPI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原生渲染分辨率：单眼 ≥1920×1920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刷新率：90Hz （±10%）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光学镜片：Pancake 超短焦镜片，机身更轻薄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视场角（FoV）：≥105°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像素密度（PPD）：≥平均 20.6 PPD，中心区域 22.5 PPD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瞳距调节（IPD）：58mm~72mm 无级电动自动调节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四、MR 混合现实 &amp; 空间追踪（企业核心感知）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定位方案：Inside-Out 6DoF 全自由度头手追踪，无需外置基站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透视摄像头：双 3200 万像素彩色透视摄像头（高清 MR 实景透视）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深度传感：1 颗 iToF 红外深度感知摄像头（空间建模、距离测量）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环境追踪摄像头：4 颗全景环境追踪摄像头（场景 SLAM、空间定位、边界识别）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附加能力：大空间全域定位、多人空间地图共享、手部精细追踪、支持 Pico 全身动捕追踪器拓展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五、手柄控制器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配置：一对 6DoF 无线体感手柄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协议：2.4GHz 私有无线传输，低延迟、抗干扰，兼容 Pico 企业全系设备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功能：按键、扳机、震动反馈、空间位姿精准追踪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六、音频系统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外放：机身双立体声定向扬声器，环绕声场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麦克风：四阵列麦克风，降噪清晰，支持空间音频录制、远程会议通话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七、电池与充电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额定容量：≥5700mAh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典型容量：≥5770mAh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充电协议：支持 QC4 + 快充、Type-C 通用充电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续航：企业场景连续使用约 2.5~3 小时</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77B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0A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DC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2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26700.00 </w:t>
            </w:r>
          </w:p>
        </w:tc>
      </w:tr>
      <w:tr w14:paraId="7332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8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22A1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疫苗生产智慧桌面工厂亚克力定制展示柜</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524020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亚克力PMMA材质 全新浇筑材料 久不发黄 材料透性好 高清透明 </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478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B9F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348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97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2500.00 </w:t>
            </w:r>
          </w:p>
        </w:tc>
      </w:tr>
      <w:tr w14:paraId="07023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80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B9A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无线IP</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BECC3E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1、采用金属外壳；要求设备配置固化10/100/1000M电接口≥5个，最大支持的WAN口数量≥2个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2、支持基本IPv6，出口带宽≥1000M；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3、最大可管理AP数量≥64个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4、▲支持应用/URL 识别与控制，支持ACL 访问控制，支持针对内容过滤，如关键字、邮件、文件类型等，支持应用审计、攻击防护（单包攻击、FlOOD攻击、URPF攻击等常规攻击手段检测）、IPv4/IPV6攻击黑名单；支持接口流量过滤，接口带宽限制（提供产品官网功能介绍截图和链接证证明或提供产品功能界面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5、▲支持主备AC模式,支持多WAN上行，支持多WAN负载均衡、互联网线路检测、一线多拨，支持IPsec VPN。（提供产品官网功能介绍截图和链接证明）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6、▲用户认证，支持WPA PSK、WPA2 PSK认证，支持内置和外置portal认证，支持智能自动漫游技术无需终端重新认证，支持用户免认证，认证支持外置Radius认证，支持短信认证，可直接对接第三方短信平台，AP有线接口支持802.1X或portal认证以及端口禁用，内置portal支持页面定制以及可选择免密wifi。（提供产品官网功能介绍截图和链接证明或提供产品功能界面截图）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7、支持Web、Telnet、SSH，支持云平台管理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8、提供原厂边缘路由器产品的入网许可证和检测报告。</w:t>
            </w:r>
          </w:p>
        </w:tc>
        <w:tc>
          <w:tcPr>
            <w:tcW w:w="2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133C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846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2D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8C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560.00 </w:t>
            </w:r>
          </w:p>
        </w:tc>
      </w:tr>
      <w:tr w14:paraId="28879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FC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7B80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48口交换机</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D57EA3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1、★设备千兆电口≥48个，千兆SFP光口≥4个，1个RJ45配置接口，固化双电源；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2、★交换容量≥792Gbps/7.92Tbps，包转发率≥288Mpps；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3、支持4K个VLAN，Super vlan，支持STP/RSTP/MSTP，支持IGMP、IGMP Snooping；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4、支持DHCP SERVER,支持静态路由、RIPV1/V2、OSPF动态路由；支持IGMP、IGMP Snooping；支持PIM-SM等三层组播协议；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5、▲支持CPU保护功能，如ICMP Flood拦截、SYN Flood攻击拦截等，CPU根据不同协议进行限速保护，支持MSTP协议国密算法加密，RIP、OSPF协议支持国密认证算法，支持配置文件国密算法加密，防护设备配置环境信息泄漏，（提供产品官网功能介绍截图和链接证明）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6、▲支持≥8台横向虚拟化功能，实现多个物理设备虚拟为一个逻辑设备进行管理的虚拟化功能，同时支持纵向虚拟化功能，接入交换机作为核心交换机的端口扩展板卡进行配置统一管理, 支持≥128台设备虚拟成一台设备。（提供产品官网网站说明截图和链接）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7、▲支持终端扫描功能，能针对接入终端进行扫描，支持包括终端类型、终端IP、终端MAC、终端操作系统等内容；（提供产品官网功能介绍截图和链接证明）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8、支持SDN功能，需要支持Netconf协议，支持SDN控制器的统一管理；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9、支持环网G.8032协议，支持U盘开局,可实现零配置，零IP开局；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10、支持Console口登录管理、HTTP、Telnet（VTY）远程管理、WEB管理、SSH管理、SNMP V1/V2/V3、RMON 1/2/3/9；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11、提供工信部要求的电信设备进网许可证</w:t>
            </w:r>
          </w:p>
        </w:tc>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3CEB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DBA8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A7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6E8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26700.00 </w:t>
            </w:r>
          </w:p>
        </w:tc>
      </w:tr>
      <w:tr w14:paraId="7051D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6D2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3B4A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系统集成(综合布线)</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2314B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稳压器20KVA 网线  电源线机柜  布线 线管 胶布等材料及施工</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181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F1C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99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88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40000.00 </w:t>
            </w:r>
          </w:p>
        </w:tc>
      </w:tr>
      <w:tr w14:paraId="4AE74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D13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48C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疫苗生产智慧桌面工厂</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84D44C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一、硬件系统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疫苗生产智慧桌面工厂是一款集流程模拟技术、物联网与微缩模型于一体的微型仿真工厂产品，它具有直观工艺原理认知、实时互动操作、可自由拆装搭建的特点。通过高精度工艺动态模拟技术，将工厂装置和数值模拟联动，通过仪表和阀门等显示设备实时展示工艺参数的动态变化。从而在桌面上生动还原出真实工厂的生产过程，让专业知识变得触手可及，充满乐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（一）、功能要求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设备可以自由搭接，培养学生对工艺设计能力，强化学生对所学知识的理解和掌握；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2.整体占地面积小，拼装完成后占地大小≤2m²，可放置于实验桌（建议桌子参考尺寸长宽高1.2×1×0.8m）或讲台台面；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3.设备包含灭活罐、生物反应器、收获罐/储罐、离心泵、碟式离心机、凝胶过滤器、离子交换器、超滤系统、仪表、阀门、液位计、启停开关等多种典型常见的工艺设备。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稳态流程模拟系统，系统可查看≥2000种化学物质的基础物性，基础物性包括：分子量、熔点、沸点、临界温度、临界压力、临界体积、临界压缩因子、偏心因子、偶极矩、25℃标准生成焓、25℃标准生成自由能、溶解参数、OMRGAPrime、折光率、回转半径、Rackett参数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4.智慧桌面工厂提供多种类型的设备，可根据工艺需要，灵活搭建出所需工艺。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5.设备模型重现典型化工设备外形细节，主要设备如灭活罐、生物反应器、收获罐/储罐等选用不锈钢材质，外形符合相关标准，美观；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6.阀门开度可调节，手动调节开度值可以将数据传送至数值模拟服务器；离心泵带有启停开关及状态指示灯；仪表内置工艺数据通讯功能，可传递、显示实时的工艺模拟参数值；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7.桌面工厂与电脑仿真平台无线互联互通，桌面工厂的操作数据上传动态模拟平台进行计算，仿真平台端也可实现对桌面工厂阀门仪表的自动控制；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8、设备、仪表、阀门等相关设备参数可以通过移动端扫码进行设置。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（二）、对硬件设备的要求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1.管道：要求提供直管、90度弯管、三通连接管3种，接口和长度规格一致、模块化，管道外径≤16mm； 1）要求磁吸方式实现管道间的连接；2）要求各类型管道拼接后符合横平竖直原则； 3）能够灵活拆装组合；4）管道总数根据工艺模型，满足各种可连接工艺需求。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工艺设备：要求提供多种典型化工工艺桌面工厂装置，如罐、阀门、泵等，实物装置外形美观，能够再现真实工厂装置外形细节，内置工艺数据通讯功能，可传递、显示实时的工艺参数值，如阀门可进行手动阀实物操作、液晶屏参数显示，泵带有启停开关及运行指示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设备尺寸参数及材质如下：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灭活罐：直径160±5mm，高635±5mm，不锈钢材质；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生物反应器：直径160±5mm，高635±5mm，不锈钢材质；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收获罐/储罐：直径160±5mm，高480±5mm，不锈钢材质；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离心泵：长190±5mm，直径70±5mm，高110±5mm，金属材质；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碟式离心机：长245±5mm，宽245±5mm，高260±5mm，金属材质；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凝胶过滤器：长130±5mm，宽130±5mm，高410±5mm，不锈钢材质；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离子交换器：长130±5mm，宽130±5mm，高410±5mm，不锈钢材质；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超滤系统：长430±5mm，宽130±5mm，高410±5mm，不锈钢材质；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仪表：直径50±5mm，高75±5mm，塑料材质；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阀门：长80±5mm，宽35±5mm，高125±5mm，塑料材质；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液位计：长40±5mm，宽25±5mm，高100±5mm，塑料材质；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启停开关：长45±5mm，宽45±5mm，高50±5mm，塑料材质。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过滤流程模拟设计素材资源：（1）提供不少于15种设备或仪表供用户选择，至少包含以下设备或仪表：过滤器、离心泵、三通（分支）、弯管、三通（混合）、水槽、计量槽、分支、混合、PID控制器、开关、原料、产品、不同量程的压力表（压力表A、压力表B）、阀门，记录过滤时间和滤液量，计算过滤常数、当量滤液量、物料常数、压缩性指数。（2）用户可根据不同实验任务自主选择过滤压力和过滤面积。（3）软件可判定流程搭建过程中的设备或仪表连接安装的位置准确性。流程图搭建成功后，可运行项目，动态模拟恒压过滤实验的开停车操作。软件可通过搭建模块、参数设置的变化进行动态精确计算，并为所有计算结果绘制出趋势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二、DCS控制系统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软件需采用分布式控制系统界面，能与桌面智慧工厂形成联动控制。整个软件需采用动态过程仿真运行平台作为运算支撑，对输入的工艺参数、阀门、开关等变量进行实时计算，将数据同步显示到控制界面及桌面智慧工厂对应仪表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PID绘制规范培训视频素材，依据该工艺对PID绘制的各类规范进行培训说明，使学生掌握化工方向PID图纸的绘制规范与常见设备的结构、工作原理。需演示以下内容：（1）点击设备可查看各种不同类型的设备讲解视频。（2）管线绘制规范。（3）设备位号命名规范，可查看设备位号的命名规则。（4）管线标注规范。（5）图层锁定功能：锁定当前图层后，则只能点击当前图层的相关内容进行学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2.仿真工艺需包括：细胞培养、收获离心、浓缩灭活、层析纯化四部分。每部分有单独控制界面。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视频演示软件控制联动功能：包括至少两款PLC编程软件通过软件中间件直接与虚拟仿真软件进行数据通讯，软件通过虚拟I/O点位配置与协议转换实现软件与虚拟PLC信号通讯，进而控制虚拟场景内的对象，同时支持PLC编程软件在线实时监控后台数据相关控制数据的变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3.主要仿真设备需有：500L生物反应器、收获罐、离心泵、碟片离心机、上清储罐、超滤系统、灭活罐、层析储罐、离子交换柱、凝胶过滤柱等。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视频演示生物反应器放大计算：3D仿真场景中，系统自动在100-500L之间随机产生一个生物反应器体积，学生根据自己所掌握的放大计算原则、公式计算随机体积生物反应器的反应器直径、反应器高、搅拌桨直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细胞培养部分需包括：空气、二氧化碳、氧气、碳酸氢钠、M199培养基、Vero细胞、病毒、营养浓缩液供给。界面可实时监测生物反应器的温度、转速、溶氧、二氧化碳、压力、液位、pH、葡萄糖等工艺指标。需有工艺流体分类标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5.收获离心界面需包括：水温控制，离心机转速控制，排渣周期控制。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离心泵性能测定视频素材：（1）提供不少于27种设备或仪表供用户选择，至少包含以下设备或仪表：闪蒸罐、水槽、三通（分支）、弯管、三通（混合）、分支、混合、PID控制器、开关、原料、产品、不同型号的离心泵（至少包含8种，IH60-60-180型号离心泵A、IH20-20-125型号离心泵B、IH20-20-100型号离心泵C、IH32-32-140型号离心泵D、IH32-32-125型号离心泵E、IH60-60-160型号离心泵F、65Y60B型号离心泵G、50Y60B型号离心泵H）、不同量程的压力表（压力表A、压力表B）、不同扬程的流量表（流量表A、流量表B）、不同扬程的温度表（温度表A、温度表B）、不同量程的功率表（功率表A、功率表B）、换热器、阀门、记录离心泵进口压力、出口压力、电机功率、体积流量、两压力表高差，计算离心泵压头、轴功率、效率。（2）用户可根据不同实验任务自主选择不同型号的设备进行离心泵流程搭建，可以添加选择不同物质进行分离，可查看不少于5500种化学物质的基础物性。（3）软件可判定流程搭建过程中的设备或仪表连接安装的位置准确性。流程图搭建成功后，可运行项目，动态模拟离心泵实验的开停车操作。软件可通过搭建模块、参数设置的变化进行动态精确计算，并为所有计算结果绘制出趋势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6.浓缩灭活界面需包括：水温控制、截留分子量、核酸酶、β-丙内酯等指标显示控制。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7.层析纯化界面需包括：上样流速、平衡液流速等工艺参数显示控制。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8.软件配有评分系统，与控制界面的四大系统及各步操作一一对应。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配套药品类专业教师教学能力提升网络培训视频，视频内容主要包括药品生产质量管理规范、制剂工程设计、固体制剂、无菌制剂、中药生产等5个课程模块，各模块都应有详细介绍讲解相应虚拟仿真教学系统应用，药品行业、知名企业资深实务专家、教育领域教学名师授课，视频风格统一、画面清晰。辅助提升教师的教研能力和信息化教育能力，更好的服务于教育教学的高质量发展。视频数量不少于70个，单个时长不少于15分钟。</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E1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EAB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71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167000.00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B42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167000.00 </w:t>
            </w:r>
          </w:p>
        </w:tc>
      </w:tr>
      <w:tr w14:paraId="3B869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065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CF6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生物制药虚拟仿真教学软件（疫苗生产制备工艺）</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5C8CDF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1.工艺流程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狂犬病疫苗生产制备工艺为：Vero细胞种子复苏→有血清细胞转瓶扩增培养→有血清细胞生物反应器扩增培养→接种病毒并洗换为无血清培养基→无血清灌注培养收集病毒液→细胞浓缩灭活→去除Vero细胞DNA→纯化生产原液→半成品配制→液体成冻干制剂→成品灌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▲配套提供GMP知识素材库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GMP知识点包含分类篇、实施篇、质量管理篇、自学课堂、实习与文书读写五大类别，授课功能，将特定知识点文件导入自定义授课列表并保存，3000个知识点。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A、分类篇：包含GMP基础知识、口服固体制剂、无菌制剂、空气净化系统、制药用水系统、高压气体、质量保证的要素、原料药、公共设备机械基础、中药制药共10个模块。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此部分包含90个MG动画知识点。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B、实施篇：包含质量控制实验室、自检、厂房与设施、机构与人员、设备、生产管理、委托生产和委托检验、文件管理、物料与产品、验证与确认、药品发运与召回共11个模块。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C、质量管理篇：包含六西格玛管理和标准化质量管理文件（制药工厂全套质量管理体系文件）。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D、自学课堂：包含固体制剂、注射剂、辅助设备设施、验证四个模块。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此部分应含有不少于120个素材，全部为二维或3D动画视频，总时长不少于120分钟，并包含50个3D设备原理动画展示，总时长不少于40分钟。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E、实习与文书读写。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2.软件内容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2.1疫苗厂区漫游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厂区漫游岗位应提供两种模式：自由游览与讲解指引。在自由游览模式下，用户可自主控制角色在厂区内自由漫游，观察并了解厂区的建筑布局。而在讲解指引模式中，软件应具备文字任务指引和箭头标识指引，引导用户顺利地完成厂区参观流程，并在每个参观环节中提供相关的建筑布局知识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2.2生产车间展示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岗位包含车间漫游学习和设备拆分两大部分，其中设备拆分包含层析柱、碟片离心机、配液罐和生物反应器四大设备。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车间漫游岗位应提供两种模式：自由游览与讲解指引。在自由游览模式下，用户可自主点击车间中的任意房间按钮跳转到指定房间，学习房间相关知识。而在讲解指引模式中，软件应具备文字任务指引和箭头标识指引，引导用户顺利地完成车间参观流程，并在每个参观环节中提供相关的房间布局知识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设备拆分部分应包括设备的运行展示、结构学习和设备拆分三个模块。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2.3进入洁净区（更衣）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应遵循进入洁净区的标准操作流程，应确保完成以下步骤：更换一般区拖鞋和工作服、洗手消毒、更换洁净鞋、再次洗手消毒、检查穿戴是否合格、使用消毒器对手部消毒、查看设备相关信息。此外，流程中应包含压差表查看和进出登记表填写等关键步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2.4 AB级人员更衣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应遵循AB级洁净区人员更衣的标准操作流程，应确保完成以下步骤：手部清洗、穿戴中脚套、二次手部消毒、穿戴无菌手套、穿戴连体无菌服、三次手部消毒、穿戴第二层无菌手套、穿戴完毕全方位消毒、全身全方位风淋。此外，流程中应包含进行压差检查和记录填写等关键步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2.5动物细胞培养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岗位需要包含生产前检查、细胞复苏接种和培养、PBS清洗、细胞消化和扩大培养、生产后清场。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填写生产前检查列表、领取生产许可证；水浴加热液氮罐中的冻存管、培养基恒温培养细胞并观察细胞生长情况；使用PBS缓冲液清洗刚刚培养完细胞的培养瓶，清洗完成将PBS液倒入废液杯中；依次往培养瓶中加入胰蛋白酶消化液和胰蛋白酶抑制剂，再向转瓶中加入细胞培养基然后进行定温培养并观察；填写生产记录，抽样送检样品，清理房间，填写清场合格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2.6病毒接种与培养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岗位需要包含生产前检查、空消、动物细胞培养、病毒接种。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填写生产前检查列表、领取生产许可证；通入蒸汽对生物反应器消毒；向生物反应器中加入一定量培养基并设置适宜参数进行动物细胞培养；领取病毒株放入接种瓶中，将病毒液全部压入生物反应器进行接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2.7病毒收获与灭活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岗位需要包含生产前检查、病毒收获、病毒灭活、生产后清场。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是否在有效期内、填写生产前检查列表、领取生产许可证；通过超滤间超滤装置收获合格的超滤浓缩病毒液，料液全部排出后清洗生物反应器；加2%的β-丙内酯至病毒液中，至终浓度为0.05%，充分混匀，送到冷库储存24h，灭活病毒；更改设备状态标识、出具清场合格证正本、打印清场合格证副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2.8病毒纯化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岗位需要包含生产前检查、病毒纯化、生产后清场。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是否在有效期内、填写生产前检查列表、领取生产许可证；对灭活病毒液使用连续流离心机离心后，通过纯化装置，用PBS平衡层析柱对病毒进行纯化操作；更改设备状态标识、出具清场合格证正本、打印清场合格证副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2.9半成品制备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岗位需要包含生产前检查、半成品制备、生产后清场。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是否在有效期内、填写生产前检查列表、领取生产许可证；对配液罐进行水洗、碱洗和纯化水冲洗，加入原液、PBS、蔗糖和人血白蛋白混合均匀，将半成品排入灌装间后使用CIP工作站控制系统对配液罐进行清洗灭菌；填写生产记录、更改设备状态标识、出具清场合格证正本、打印清场合格证副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▲为丰富教学资源，软件应配套提供生物制药相关素材库：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（1）辅助系统设备原理。包括：空压系统、净化空调系统、纯化水系统、注射水系统等。视频总时长不少于7分钟。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固体制剂生产设备原理。有电子天平、万能粉碎机、旋振筛、V型混合机、摇摆式颗粒机、高效湿法制粒机、沸腾干燥机、流化床制粒系统、固定式提升整粒机、料斗提升式混合机、全自动颗粒包装机、硬胶囊填充机、胶囊抛光机、高速旋转压片机、包衣机、自动三路清洗系统、水分测定仪、硬度仪、脆碎度检测仪、溶出度仪、软胶囊化胶设备、软胶囊压丸机、铝塑包装机、全自动多功能装盒机等。视频总时长不少于34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（3）小容量注射剂生产设备原理。包括：安瓿瓶清洗灭菌设备、浓配稀配系统、安瓿瓶灌装封口设备、安瓿瓶灭菌检漏设备等。视频总时长不少于8分钟。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2.10成品灌装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岗位需要包含生产前检查、环境监测、灌装操作、生产后清场。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括检查清场合格证副本、填写生产前检查列表、领取生产许可证、现场检查；检测沉降菌和浮游菌；灌装机开机并登录，安装灌装设备，检查灌装原料是否合格，进行灌装操作，灌装结束停机并清理原料；填写灌装生产记录、更改设备状态标识、出具清场合格证正本、打印清场合格证副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2.11退出洁净区（更衣）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岗位应遵循退出洁净区的标准操作流程，应确保完成以下步骤：使用消毒器对手部消毒、脱去洁净服、洗手消毒、更换一般区拖鞋和一般工作服、再次洗手消毒、换工作鞋退出车间。此外，流程中应包含查看退出时间等关键步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仿真客户端可对本机所安装的虚拟仿真软件进行综合管理的以下七点功能：(1)在仿真客户端中可设置“学员姓名”、“学员站号”、“教师站IP”；(2)可选择软件启动模式：“练习”或“考核”；(3)在流程列表中对软件进行分类，培训项目列表显示所选软件包含的全部培训项目；(4)选中软件后，仿真客户端可显示对应的软件安装路径；(5)点击“启动”按钮可启动所选中的培训项目；(6)点击“退出”按钮可关闭仿真客户端；(7)对模型可进行冻结、解冻、运行、停止等操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3.软件功能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3.1模拟设备操作系统：各设备相应的控制柜上具有的操作界面需能点击放大操作，搅拌开关、阀门开关、泵的开关、培养基的加入量、参数值等可在该界面进行设置，同时将数据传输到现场设备。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3.2角色切换：车间漫游进入三维场景后需在界面直接切换角色进行不同洁净区的漫游操作。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3.3俯瞰讲解视频：厂区和车间漫游需能俯瞰整个厂区和车间，同时配有厂区和车间的人流、物流视频讲解。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3.4设备数量应不少于15个（感应洗手器、手部烘干机、风淋设备、感应消毒器、配液罐、层析柱、生物反应器、转瓶机、显微镜、水浴锅、离心机等设施）。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3.5房间数量应不少于15个（C/D级更衣间、A/B级更衣间、细胞库、反应器间、超滤间、纯化间、配液间、灌装间、冻干间、外包间、灯检间、贴标间等）。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3.6知识点数量应不少于19个（生产规章制度、设备操作规程、岗位SOP、各岗位房间介绍等），可独立于仿真操作之外任意点击进行学习。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须提供生产相关设备操作真人讲解视频，内容涉及：空气压缩机与储气罐，电加热蒸汽锅炉，恒温摇床，超净工作台，种子罐，种子罐控制柜，种子罐放料口，种子罐转种，酸、碱、泡敌补加，电极，夹套，搅拌转速设定，补料插头安装拆卸等，视频总时长不少于45分钟，便于虚实结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4.培训系统功能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4.1数学模型：软件基于实时数据库，建立遵循传热、传质、动量传递和化学反应动力学、化工热力学和自动控制等基本原理的数学机理模型。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4.2仿DCS系统：模仿相关工艺真实DCS控制系统的主要界面：包括各流程图画面、各种操作仪表及阀门；DCS系统中的数据如阀门开度、温度、压力等都与现场数据保持一致。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4.3全景地图：在三维场景中可以调出全景地图，在地图中可查看对应的房间名称及所在位置，同时还具有俯瞰整个厂区及车间的功能。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现场操作3D虚拟仿真软件演示模拟生产线搭建：（1）狂犬疫苗车间先进行不少于16个工段的工艺搭建，以及不少于16个房间的指引性搭建及不限次数的非指引性自由搭建，不少于35个设备设施的搭建，设备可从2D图片中拖到场景出现3D设备，并且关键设备考核不少于22个思考题，搭建完成后，关键设备未搭建不可运行。（2）车间搭建中均含有布局图功能，布局图可放大缩小，且放大后不失真，放大后可自由拖动位置，在布局图上可随意跳转到该车间中任意一个房间，在布局图中可实时更新搭建的设备，在布局图右侧可实时显示搭建设备的顺序，名称，规格，数量，并可在桌面生产实验报告，实验报告应包含相应场景名称，场景搭建布局图及搭建设备列表图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4.4评分系统：对虚拟现实场景中的操作和工艺参数进行实时评定，可导出成绩。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演示学员能力测评系统：（1）管理员可自由定义评分维度及评分标准，实现评分维度与评分标准的绑定、编辑；（2）系统可通过AI智能算法，对学员成绩进行分析，计算出学员真实能力值及题目难易度；（3）通过雷达图展示学员各维度的掌握程度，为教学管理、教材更新等提供数据支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4.5提示类功能：包括操作文字性步骤提示；光圈步骤提示；全部任务步骤一览。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5.教学管理（账号数量不少于1个，使用期限不少于12个月）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5.1用户端（PC&amp;小程序）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5.1.1.登录：支持账号密码登录，支持数字安全验证功能，支持微信登录；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5.1.2.个人中心：支持课程开课、考试通知等消息推送；支持学生自行完善个人信息；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5.1.5.学习中心：支持平台所有学习内容，包含已分配给该学员的题库练习、考试、培训、课程学习、仿真练习(仅PC端)等内容。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5.2管理员端(PC)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5.2.1.组织架构管理：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5.2.1.1组织及角色管理：支持修改学校基本信息，支持创建无限级组织节点(院系/班级)；支持用户自定义创建角色，为角色进行授权；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5.2.1.2人员管理：包括用户信息的添加、删除、编辑、查询、excel批量导入导出、修改密码；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5.2.2.考试管理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5.2.2.1题库管理：支持题库设置多级分类；支持单个添加、编辑、预览、删除题目；支持批量导入题库题目，批量导入题目实现题目查重功能；题目类型支持单选、多选、判断、填空、简答题，题目属性包括所属知识点、难度系数，便于用户对题目进行分类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5.2.2.3试卷管理：用户可以创建试卷，填写试卷设置、内容设置信息；配置各类题型数量、分数、占比等；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5.2.2.4考试管理：用户可以根据需要创建、编辑理论考试，考试信息包含：基本信息、试卷、考试时间、考试次数、得分规则、防作弊(人脸识别、定时抓拍、防切屏)、成绩发放规则、阅卷人、参与人等；支持对客观题进行自动评分；支持成绩发放及成绩导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5.2.2.5考试分析：完成率、应考人员、参考人员、最高分、平均分、最低分、成绩分段人员统计、成绩分段人员占比、题型占比、题型正确率统计、成绩排名、参考时间统计、考试时长统计、错题统计TOP5、缺考统计、平台统计、操作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5.2.3.课程管理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5.2.3.1课程资源：可根据不同资源进行分类管理；可批量上传/下载/删除资源；可编辑资源基础信息以及预览资源。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5.2.3.2课程制作：用户可以根据需要创建、编辑课程，课程信息包含：基本信息、课程介绍、章节内容(知识点、理论题库、测验、仿真考试、仿真练习等内容)、课程学时、总分、合格分数等；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5.2.3.3开课管理:可将课程进行开课：输入开课名称、选择开课开始和结束日期，合格方式、成绩发放方式、是否开启人脸验证、是否开启定时抓拍、选择对应班级或者组织范围；开课完成后可在开课列表查看开课设置页面以及开课详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5.2.3.4开课详情：开课详情默认显示开课列表及对应课程学习人员情况列表；学习人员详情列表包含学员信息、是否参与课程、参与时长、完成度、学时、自动抓拍、分数、课程状态、课程证书等，可进行姓名、学号、参与课程状态筛选，点击查看详情可进行对应人员学习记录明细查询，成绩列表可导出；课程学习过程中可针对学习情况自动统计分析(每日0点)，统计分析内容包含：参与统计情况、参与时长统计、完成度、参与人员趋势、课程分数统计、各组织参课及合格情况统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5.2.3.5配套制药设备3D视频素材库学习账号（账号数量不少于1个，使用期限不少于12个月）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需对真实设备进行3D建模，并通过视频的形式进行三维展示，利用动画、特效等形式展示设备的内外部各个结构以及工作原理，清晰明了学习设备。用户可通过移动端设备扫码查看所有设备知识点，也可以通过PC版客户端进行学习使用，包含但不限于阀门、换热器、泵、塔、压缩机、分离设备、测量仪表等类型常见设备不少于90个，阀门包含但不限于闸阀、自力式调节阀、电磁阀、升降式止回阀、气动薄膜三通调节阀、气动活塞式球阀、旋塞阀等；换热器包含但不限于螺旋绕管式换热器、热虹吸式换热器、蒸发式冷凝器、釜式换热器、填料函式换热器、板翅式换热器等；分离设备包含但不限于沉降槽、静电除尘器、丝网分离式气液分离器、压滤机、填料分离式气液分离器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5.2.3.6配套装置安全资源学习账号（账号数量不少于1个，使用期限不少于12个月）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内容包含但不限于职业危害与防护、HSE基础知识、个体防护、火灾与消防类、电气安全知识等不少于30个视频资源，视频风格统一，都带有同一个标志性人物进行引导介绍。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5.2.4.培训管理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5.2.4.1培训计划制定：培训计划设置包含基本设置(名称、编号、类型等)、培训计划设置(可根据不同阶段设置不同培训内容：题库、测验、仿真、课程、线下培训、考试等)、添加培训人员、上传附件资料等；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5.2.4.2培训管理：进行中的培训可进行培训过程管理；培训过程中可随时发起课堂测验、问卷调查；可新增培训附件、培训人员以及综合素质评价表等内容；线下培训可发起签到、课堂测验、问卷调查、评价、作业等功能，也可将培训过程中的一些影像资料全部上传至平台进行统一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5.2.4.3培训结果查看：已结束的培训可查看进行培训结果，内容包含培训计划整体信息，学员成绩(学员培训详情)，奖惩信息以及本次培训结果数据统计，数据统计包含线下培训基础数据、考勤统计、签到情况统计、奖惩占比、奖惩统计、各课程合格人员统计及各课程成绩分段统计等多维度数据分析；线上统计包含人员统计、培训时长统计、成绩分段统计等；支持对应全部模块学习完毕并考核合格后，获得对应的荣誉证书，推动用户学习的积极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5.2.5.仿真管理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5.2.5.1仿真练习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学员可以在线练习仿真软件，系统会实时收集练习成绩，管理员可以从后台查询、统计学员的练习成绩。支持批量导出练习结果，并导出表格。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5.2.5.2仿真考试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5.2.5.2.1试卷管理：用户可以创建仿真试卷，将多个软件作为多个题目组合成一个试卷，支持固定题目仿真试卷和随机题目仿真试卷两种试卷类型；可以设置每个题目的分数权重，可以设置用户交卷后是否允许查看成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5.2.5.2.2创建仿真考试：根据已创建的仿真试卷资源，进行仿真考试的创建，可将试卷分配给对应的组织，并可设置考试名称、所属分类、考试试卷、考试有效时间、考试总分、合格成绩、答题顺序、是否允许查看分数、允许查看考试次数、是否开启人脸验证、考试负责老师及考试参与范围等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5.2.5.3仿真成绩：默认展示所有仿真考试列表，支持查询仿真练习成绩、仿真考试成绩，支持根据考试名称查询成绩列表及导出；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5.2.6.档案管理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5.2.6.1个人档案：包含学校内部人员档案列表、列表支持通过学员姓名、账号、学校、身份证等信息进行筛选；档案内容包含学员基础信息，培训记录、培训考核记录、工伤事故记录、安全奖惩记录取得证书情况等。支持个人档案导出，可导出Word或PDF两种文件格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5.2.6.2学校档案：包含该学校下所有培训计划列表，可通过学校名称、培训计划名称、培训时间等信息查询；培训计划包含培训计划内容、学员名单、参训率、合格率、学员档案查看等信息。同时支持学校档案导出，可导出Word或PDF两种文件格式；</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0E0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CD0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AE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86000.00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A5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86000.00 </w:t>
            </w:r>
          </w:p>
        </w:tc>
      </w:tr>
      <w:tr w14:paraId="7D0C1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18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7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8FB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环境改造</w:t>
            </w:r>
          </w:p>
        </w:tc>
        <w:tc>
          <w:tcPr>
            <w:tcW w:w="270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55BCAE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场地适应性处理：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投标人需承担为保障设备安装与使用所必需的最低限度场地改造任务，包括但不限于以下内容：根据设备部署方案及现场环境，开展必要的勘察与深化设计工作。实施与设备安装直接相关的局部环境改造，具体可能涉及：(1)拆除原教室隔墙(240mm厚墙体)、拆除原墙墙面墙裙瓷砖、铲除墙面原腻子粉，恢复至墙面毛坯：(2)使用天棚矿棉板进行局部吊顶施工，吊杠吊装，龙骨条固定；(3)地面处理：采用抗静电地板完成相应区域地面铺设；（4）墙面处理：对相关墙面进行腻子粉及乳胶漆粉刷，确保整体环境协调；（5)管线敷设：根据设备布局，完成必要的墙面开孔、地面线槽或暗槽敷设，使用桥架或者PVC线管铺设，电线使用阻燃电线；(6)标识安装：按要求安装设备标识、操作指引等相关标牌，负责施工过程中产生的垃圾清运及场地清理，确保交付环境整洁、完好。(7)投标人应在投标前进行现场勘查，并在投标方案中详细说明其改造实施计划，最终方案须经招标人书面确认后执行。(8)文化布置：实训室内制作制度牌、展板、宣传牌、安全牌等文化墙，符合学校教学理念，无侵权图文资料。</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627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B10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53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163750.00 </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85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163750.00 </w:t>
            </w:r>
          </w:p>
        </w:tc>
      </w:tr>
      <w:tr w14:paraId="7B864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166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45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合计(含税)</w:t>
            </w:r>
          </w:p>
        </w:tc>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BC2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1"/>
                <w:szCs w:val="21"/>
                <w:highlight w:val="none"/>
                <w:u w:val="none"/>
              </w:rPr>
            </w:pPr>
          </w:p>
        </w:tc>
        <w:tc>
          <w:tcPr>
            <w:tcW w:w="166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A85A">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722200.00 </w:t>
            </w:r>
          </w:p>
        </w:tc>
      </w:tr>
    </w:tbl>
    <w:p w14:paraId="407D1C3F">
      <w:pPr>
        <w:rPr>
          <w:rFonts w:hint="eastAsia" w:ascii="宋体" w:hAnsi="宋体" w:cs="宋体"/>
          <w:sz w:val="24"/>
          <w:highlight w:val="none"/>
          <w:lang w:val="en-US" w:eastAsia="zh-CN"/>
        </w:rPr>
      </w:pPr>
      <w:r>
        <w:rPr>
          <w:rFonts w:hint="eastAsia" w:ascii="宋体" w:hAnsi="宋体" w:cs="宋体"/>
          <w:sz w:val="24"/>
          <w:highlight w:val="none"/>
          <w:lang w:val="en-US" w:eastAsia="zh-CN"/>
        </w:rPr>
        <w:br w:type="page"/>
      </w:r>
    </w:p>
    <w:p w14:paraId="30E0806A">
      <w:pPr>
        <w:numPr>
          <w:ilvl w:val="0"/>
          <w:numId w:val="0"/>
        </w:numPr>
        <w:ind w:left="0" w:leftChars="0" w:firstLine="0" w:firstLineChars="0"/>
        <w:outlineLvl w:val="2"/>
        <w:rPr>
          <w:rFonts w:hint="eastAsia" w:ascii="宋体" w:hAnsi="宋体" w:cs="宋体"/>
          <w:b/>
          <w:bCs/>
          <w:sz w:val="24"/>
          <w:highlight w:val="none"/>
          <w:lang w:val="en-US" w:eastAsia="zh-CN"/>
        </w:rPr>
      </w:pPr>
      <w:r>
        <w:rPr>
          <w:rFonts w:hint="eastAsia" w:ascii="宋体" w:hAnsi="宋体" w:cs="宋体"/>
          <w:b/>
          <w:bCs/>
          <w:kern w:val="2"/>
          <w:sz w:val="24"/>
          <w:szCs w:val="24"/>
          <w:highlight w:val="none"/>
          <w:lang w:val="en-US" w:eastAsia="zh-CN" w:bidi="ar-SA"/>
        </w:rPr>
        <w:t>2包：</w:t>
      </w:r>
      <w:r>
        <w:rPr>
          <w:rFonts w:hint="eastAsia" w:ascii="宋体" w:hAnsi="宋体" w:cs="宋体"/>
          <w:b/>
          <w:bCs/>
          <w:sz w:val="24"/>
          <w:highlight w:val="none"/>
          <w:lang w:val="en-US" w:eastAsia="zh-CN"/>
        </w:rPr>
        <w:t>生物制药理化检测实验室</w:t>
      </w:r>
    </w:p>
    <w:tbl>
      <w:tblPr>
        <w:tblStyle w:val="41"/>
        <w:tblW w:w="930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0"/>
        <w:gridCol w:w="648"/>
        <w:gridCol w:w="648"/>
        <w:gridCol w:w="4560"/>
        <w:gridCol w:w="576"/>
        <w:gridCol w:w="492"/>
        <w:gridCol w:w="762"/>
        <w:gridCol w:w="1058"/>
      </w:tblGrid>
      <w:tr w14:paraId="26520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CD18E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序号</w:t>
            </w:r>
          </w:p>
        </w:tc>
        <w:tc>
          <w:tcPr>
            <w:tcW w:w="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0E51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功能区域</w:t>
            </w:r>
          </w:p>
        </w:tc>
        <w:tc>
          <w:tcPr>
            <w:tcW w:w="648" w:type="dxa"/>
            <w:tcBorders>
              <w:top w:val="single" w:color="000000" w:sz="8" w:space="0"/>
              <w:left w:val="single" w:color="000000" w:sz="8" w:space="0"/>
              <w:bottom w:val="nil"/>
              <w:right w:val="single" w:color="000000" w:sz="8" w:space="0"/>
            </w:tcBorders>
            <w:shd w:val="clear" w:color="auto" w:fill="auto"/>
            <w:vAlign w:val="center"/>
          </w:tcPr>
          <w:p w14:paraId="6DC143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货物名称</w:t>
            </w:r>
          </w:p>
        </w:tc>
        <w:tc>
          <w:tcPr>
            <w:tcW w:w="4560" w:type="dxa"/>
            <w:tcBorders>
              <w:top w:val="single" w:color="000000" w:sz="8" w:space="0"/>
              <w:left w:val="single" w:color="000000" w:sz="8" w:space="0"/>
              <w:bottom w:val="nil"/>
              <w:right w:val="single" w:color="000000" w:sz="8" w:space="0"/>
            </w:tcBorders>
            <w:shd w:val="clear" w:color="auto" w:fill="auto"/>
            <w:vAlign w:val="center"/>
          </w:tcPr>
          <w:p w14:paraId="6FE463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技术参数要求</w:t>
            </w:r>
          </w:p>
        </w:tc>
        <w:tc>
          <w:tcPr>
            <w:tcW w:w="576" w:type="dxa"/>
            <w:tcBorders>
              <w:top w:val="single" w:color="000000" w:sz="8" w:space="0"/>
              <w:left w:val="single" w:color="000000" w:sz="8" w:space="0"/>
              <w:bottom w:val="nil"/>
              <w:right w:val="single" w:color="000000" w:sz="8" w:space="0"/>
            </w:tcBorders>
            <w:shd w:val="clear" w:color="auto" w:fill="auto"/>
            <w:vAlign w:val="center"/>
          </w:tcPr>
          <w:p w14:paraId="4D3186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单位</w:t>
            </w:r>
          </w:p>
        </w:tc>
        <w:tc>
          <w:tcPr>
            <w:tcW w:w="49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D50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数量</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1EDE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单价（元）</w:t>
            </w:r>
          </w:p>
        </w:tc>
        <w:tc>
          <w:tcPr>
            <w:tcW w:w="105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F90B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金额（元）</w:t>
            </w:r>
          </w:p>
        </w:tc>
      </w:tr>
      <w:tr w14:paraId="5B25F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3D552F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48" w:type="dxa"/>
            <w:vMerge w:val="restart"/>
            <w:tcBorders>
              <w:top w:val="nil"/>
              <w:left w:val="single" w:color="000000" w:sz="8" w:space="0"/>
              <w:bottom w:val="single" w:color="000000" w:sz="8" w:space="0"/>
              <w:right w:val="single" w:color="000000" w:sz="8" w:space="0"/>
            </w:tcBorders>
            <w:shd w:val="clear" w:color="auto" w:fill="auto"/>
            <w:vAlign w:val="center"/>
          </w:tcPr>
          <w:p w14:paraId="65C85E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设备类</w:t>
            </w:r>
          </w:p>
        </w:tc>
        <w:tc>
          <w:tcPr>
            <w:tcW w:w="648" w:type="dxa"/>
            <w:tcBorders>
              <w:top w:val="single" w:color="000000" w:sz="8" w:space="0"/>
              <w:left w:val="single" w:color="000000" w:sz="8" w:space="0"/>
              <w:bottom w:val="single" w:color="000000" w:sz="8" w:space="0"/>
              <w:right w:val="nil"/>
            </w:tcBorders>
            <w:shd w:val="clear" w:color="auto" w:fill="auto"/>
            <w:vAlign w:val="center"/>
          </w:tcPr>
          <w:p w14:paraId="5A5174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pH计</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F87CE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1.采用6.5英寸LED屏，参数显示齐全，直观，界面操作人性化设计，方便用户操作使用。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2.采用欧姆龙长寿命轻触按键式，方便耐用，可达10万次以上。</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3.符合国际规范的GLP要求，具有自动校准、自动温度补偿、数据储存、USB输出、时钟显示、无线打印、功能设置和自诊断信息等智能化功能。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4.内置大容量存储可储存2000套测量数据，数据可以通过U盘存储转移数据，存储数据可用通用办公软件打开，极大的方便客户编辑。</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5.自动识别pH标准缓冲溶液，有三个系列的标准缓冲溶液可以选择：欧美系列、NIST系列和中国系列。</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6.仪器可选配蓝牙模块，支持无线蓝牙打印，方便用户操作。</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7.可智能判断电极状态，确保客户准确适用。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8.符合IP54防尘防溅等级设计。</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9.显示屏：6.5英寸LED屏。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10.显示参数：pH, mV、温度、时间。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11.pH测量范围：-2.00至19.99 pH。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12.pH分辨率：0.1/0.01pH。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13.pH相对精度：±0.02pH。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14.稳定性：±0.01pH/3h。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15.输入电流：≤2×10-12 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16.输入阻抗：≥1×1012 Ω。</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17.mV测量范围：-1999～1999 mV。</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18.mV分辨率：1mV。</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19.mV相对精度：±0.1%FS。</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20.温度测量范围：0-100℃。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21.温度分辨率：0.1℃。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22.温度相对精度：±0.5℃。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23.温度补偿：手动/自动（0～100）℃。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24.校准：自动（3点校准）。</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25.GLP标准：符合。</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26.缓冲液：欧/美/NIST.   Erope/USA/NIST。</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27.数据存储：≥2000组。</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28.通讯接口：USB2.0，USB微型接口，蓝牙无线（选配）。</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29.工作条件：温度：5-40度，湿度：5%—85%。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30.电源：≥12V1A。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31.尺寸和重量：约（215×175×35）mm570g。</w:t>
            </w:r>
          </w:p>
        </w:tc>
        <w:tc>
          <w:tcPr>
            <w:tcW w:w="576" w:type="dxa"/>
            <w:tcBorders>
              <w:top w:val="single" w:color="000000" w:sz="8" w:space="0"/>
              <w:left w:val="nil"/>
              <w:bottom w:val="single" w:color="000000" w:sz="8" w:space="0"/>
              <w:right w:val="single" w:color="000000" w:sz="8" w:space="0"/>
            </w:tcBorders>
            <w:shd w:val="clear" w:color="auto" w:fill="auto"/>
            <w:noWrap/>
            <w:vAlign w:val="center"/>
          </w:tcPr>
          <w:p w14:paraId="50C201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6E0224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4</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48ECF0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2400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760F20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9600</w:t>
            </w:r>
          </w:p>
        </w:tc>
      </w:tr>
      <w:tr w14:paraId="43303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0BBDFD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5298A74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3E4A34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磁力搅拌器</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E5E8A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1.数字控温，最高温度≥280℃。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2.数控调速，最大转速≥1500rpm。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3.不锈钢陶瓷涂层工作盘极耐化学腐蚀。</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4.可外接温度传感器PT1000，精确控制样品温度，控温精度达±0.2℃。</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5.LED显示屏同时显示温度和转速。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6.余热警告功能：当盘面温度超过50℃时，显示屏“HOT”闪烁，提示高温，提升操作者安全性。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7.独立的安全回路控制系统，超过安全温度320℃自动停止加热，提高用户使用安全性。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8.最大搅拌量[水]：≥3L。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9.工作盘尺寸：Ø135mm（5英寸）。</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10.盘面材质：陶瓷涂层不锈钢盘面。</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11.转速范围：200-1500rpm。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12.加热温度范围：室温-280℃。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13.加热液体控温精度：±1(&lt;100°C)±1%(&gt;100°C）。</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14.温度显示精度：±1℃。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15.外置温度传感器精度：PT1000（精度±0.2°C）。</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16.余热警告功能：≥50°C。</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17.过热保护：320℃。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18.电机类型：直流无刷电机。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19.搅拌点位数量：≥1。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20.搅拌子最大尺寸长度：≥50mm。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21.外壳防护等级：≥IP42。</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22.电机输入功率：≤5W。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23.电机输出功率：≤3W。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24.功率：≤515W。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25.热输出功率：≥500W。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26.电源：100-120V/200-240V，50/60Hz。</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27.尺寸[长x宽x高]：约150×260×100mm。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28.重量：约1.8kg。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29.允许环境温度：5-40℃。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30.允许相对湿度：≥80%RH。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31.配置：主机、温度探头、支架各一个。</w:t>
            </w:r>
          </w:p>
        </w:tc>
        <w:tc>
          <w:tcPr>
            <w:tcW w:w="576" w:type="dxa"/>
            <w:tcBorders>
              <w:top w:val="nil"/>
              <w:left w:val="nil"/>
              <w:bottom w:val="single" w:color="000000" w:sz="8" w:space="0"/>
              <w:right w:val="single" w:color="000000" w:sz="8" w:space="0"/>
            </w:tcBorders>
            <w:shd w:val="clear" w:color="auto" w:fill="auto"/>
            <w:noWrap/>
            <w:vAlign w:val="center"/>
          </w:tcPr>
          <w:p w14:paraId="0501D2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37B02A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4</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5054A9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2800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3DC921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11200</w:t>
            </w:r>
          </w:p>
        </w:tc>
      </w:tr>
      <w:tr w14:paraId="66504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0DF3A6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D357A3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2B0067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高速台式冷冻离心机</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CED55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1.结构设计紧凑，占地面积小，节省实验室空间。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2.PID自动温控系统，全程监测离心腔温度变化，异常自动警报。</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3.RFID转子智能识别技术，能静态识别转子各种信息，也能对转子的使用寿命进行精准管理。同时转子数量不受限制，即使非标定制转子，系统也能快速识别。</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4.采用三轴陀螺仪实时监测设备在运行中的振动状态，若设备异常振动，机器立即停机并发出警报。</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5.采用免维护变频电机驱动，LCD触摸屏，操作简便。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6.316不锈钢内腔，采用特氟龙涂层，耐腐蚀性更强，更易清洁。</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7.可存储多达1000个程序组，十万条使用记录，可导出为PDF电子文档。</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8.具有多级权限分配功能，可根据需求自由设置管理权限，方便用户管理；用户可通过密码使用设备。</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9.具有门盖，超速，超温、过流、过压、过热等多重保护功能，声音文字同时提示并显示解决方案，更加稳定可靠。</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10.离心机底部有冷凝水抽拉式接水盘，可收集运行过程中产生的冷凝水、样品溢液，防止液体渗入机身内部损坏电路或部件，避免水流侵蚀桌面。</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11.可设置7段阶梯离心，满足多元化实验要求。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12.具有曲线显示功能，运行参数以曲线形式直观的显示在屏幕上，用以监测各参数的变化过程和稳定性。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13.具有点动/连续离心功能。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14.40级升降速可调，转速在600rpm~0时采用曲线缓降，防止样品回荡。</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15.所有转子盖顺时针转约45度锁紧。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16.转速/离心力自动换算、同屏显示。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17.自带电子说明书，永不遗失，方便使用。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18.所有转子、转子盖均可高温高压灭菌。</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19.内腔底部设有专用排水系统、防止冷凝水聚积。</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20.最高转速：≥16500 r/min。</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21.最大离心力：≥24814 ×g。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22.最大容量：≥6×100ml（9000rpm）。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23.转速精度：±10 r/min。</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24.温控精度：±1℃。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25.温度控制范围：-20℃～40℃。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26.定时范围：1s~99H59 min59s。</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27.噪声：≤56dB（A）。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28.电源：AC 220V 50HZ 15A。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29.功率：≤1.2KW。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30.外形尺寸：约420×520×360 (L×W×H)mm。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31.重量：约56 kg。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32.配置：主机1台、6×50ml尖底角转子（最高转速12000rpm，最大相对离心力15712×g）1个。</w:t>
            </w:r>
          </w:p>
        </w:tc>
        <w:tc>
          <w:tcPr>
            <w:tcW w:w="576" w:type="dxa"/>
            <w:tcBorders>
              <w:top w:val="nil"/>
              <w:left w:val="nil"/>
              <w:bottom w:val="single" w:color="000000" w:sz="8" w:space="0"/>
              <w:right w:val="single" w:color="000000" w:sz="8" w:space="0"/>
            </w:tcBorders>
            <w:shd w:val="clear" w:color="auto" w:fill="auto"/>
            <w:noWrap/>
            <w:vAlign w:val="center"/>
          </w:tcPr>
          <w:p w14:paraId="385E66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41AE6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4972D6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36000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695DD7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36000</w:t>
            </w:r>
          </w:p>
        </w:tc>
      </w:tr>
      <w:tr w14:paraId="4A14F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4139AC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4</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CF7476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63668D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超声波清洗器</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10D1E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1.内槽长·宽·高： 500*300*150(mm)L/W/H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2.容量：≥22.5L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3.频率：≥40KHz</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4.超声功率：≥720W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5.加热功率：≥1000W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6.温度可调：室温-80℃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7.时间可调：1-999min</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8.网架：有</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9.降音盖：有</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10.排水：有</w:t>
            </w:r>
          </w:p>
        </w:tc>
        <w:tc>
          <w:tcPr>
            <w:tcW w:w="576" w:type="dxa"/>
            <w:tcBorders>
              <w:top w:val="nil"/>
              <w:left w:val="nil"/>
              <w:bottom w:val="single" w:color="000000" w:sz="8" w:space="0"/>
              <w:right w:val="single" w:color="000000" w:sz="8" w:space="0"/>
            </w:tcBorders>
            <w:shd w:val="clear" w:color="auto" w:fill="auto"/>
            <w:noWrap/>
            <w:vAlign w:val="center"/>
          </w:tcPr>
          <w:p w14:paraId="3885EF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090D73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55066A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9600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69D7DE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9600</w:t>
            </w:r>
          </w:p>
        </w:tc>
      </w:tr>
      <w:tr w14:paraId="43E94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34E0F1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5</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3B7D5F9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0F817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自动电位滴定仪</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B2716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1.仪器采用紧凑型一体化设计，可以整体搬运安放到客户需要的位置。分析主机，滴定模块，搅拌器，试剂瓶等均集中在一体机上。</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2.10寸彩色触摸电容屏，导航式操作，实时显示测试方法、滴定曲线和测量结果。</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3.滴定模式有动态滴定，终点滴定，等量滴定和手动滴定。支持电位滴定法测定，酸碱滴定，氧化还原滴定，络合滴定，沉淀滴定，非水滴定，恒电位（恒Ph）滴定和ph测量。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4.内置高精度滴定管，输出液体流速稳定，移液量精准，抗干扰能力强，浓度直读，测试结果精准，使不同操作者的操作误差降到最低。</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5.可进行多重自检功能，具备pH 电极校准、滴定管校准功能。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6.操作简单，高效快捷，检测过程无需人为干预，操作者的健康和环境得到了最大保障，同时节省了实验员用于测试的时间成本，能够快速完成滴定分析，减少实验时间，提高实验效率。</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自动清洗与补液：自动清洗功能简化了实验步骤，减轻工作负担；自动补液可实现连续滴定。所有管路采用自动清洗及多次润洗方式，液接部分无溶液残留并且可兼容绝大多数强酸碱及有机溶剂，有效减少样品交叉污染，确保了数据的准确可靠。</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8.终点自动判断，有效消除人为误差，确保实验结果的准确性。滴定结果及数据能自动存贮、自动打印，并提供完整的滴定数据供分析研究。</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9.数据管理方便：具有数据自动记录和存储功能，便于实验人员追溯和分析，保证实验数据的真实性和可靠性，也减少了分析者原始记录数据处理的工作量和运算差错。</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10.环保性好：采用缜密的滴定技术，能减少滴定液的使用量，降低实验成本，配备的试剂瓶，试剂瓶密封盖，可填充有效隔离吸附材料，保证试剂不会被空气污染或向外挥发气味。</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11.采用高品质的材料和零部件，经过严格测试和检验，稳定性好，可放心使用，，整个仪器及内部管路均采用防酸碱材质。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12.测量范围：mV：-2000.0mV～+2000.0mV，pH：-2.00pH～+16.00pH，温度：-5～120℃。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13.测量分辨率：mV值：0.1mV，pH值：0.01pH，温度：0.1℃。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14.基本误差：mV值：±0.1mV±0.03%FS，pH值：±0.01pH，温度：±0.1℃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15.滴定分析重复性：≤0.2%。</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16.电子单元重复性误差：≤0.2mV。</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17.电子单元稳定性：±0.3mV/3h。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18.滴定管规格：≥10mL。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19.滴定管分辨率：1/96000。</w:t>
            </w:r>
          </w:p>
        </w:tc>
        <w:tc>
          <w:tcPr>
            <w:tcW w:w="576" w:type="dxa"/>
            <w:tcBorders>
              <w:top w:val="nil"/>
              <w:left w:val="nil"/>
              <w:bottom w:val="single" w:color="000000" w:sz="8" w:space="0"/>
              <w:right w:val="single" w:color="000000" w:sz="8" w:space="0"/>
            </w:tcBorders>
            <w:shd w:val="clear" w:color="auto" w:fill="auto"/>
            <w:noWrap/>
            <w:vAlign w:val="center"/>
          </w:tcPr>
          <w:p w14:paraId="0F8A96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269B78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1B3AD5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34000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0F0F82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34000</w:t>
            </w:r>
          </w:p>
        </w:tc>
      </w:tr>
      <w:tr w14:paraId="2817A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542698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6</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440EF13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117B07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凯氏定氮仪（半自动）</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9DCEC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1.采用微电脑进行过程控制，自动蒸馏手动蒸馏随意切换</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2.自动模式下：一次完成加硼酸，加碱，蒸馏和氨气吸收整个过程，加硼酸和加碱的体积以及蒸馏和吸收过程的时间都可以自行设定。</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3.手动模式下：加硼酸，加碱和蒸馏吸收三个过程可以单独人工操作，体积，时间自行控制，满足专业用户需要。</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4.大屏幕点阵式液晶显示，全中文菜单，触摸式按钮，操作简捷方便。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5.自动式蒸馏控制、自动加水、自动水位控制、自动停水和水压过低报警。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6.各种安全保护：消化管安全门装置，蒸汽发生器缺水报警。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7.最大可存储操作程序数量250个。</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8.仪器外壳采用特制喷塑钢板，工作区域采用ABS防腐板及不锈钢底板。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9.防化学试剂腐蚀和机械损坏表面，耐酸耐碱。</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10.水位检测、低水位报警，自动断电。</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11.配置4孔消化炉1台。</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12.测定品种：粮食、食品、乳制品、饮料、饲料、土壤、水、药物、沉淀物和化学品等。</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13.工作方式：自动（不含滴定）。</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14.进水方式：自来水、蒸馏水两种进水方式，使用区域广泛。</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15.样品量：固体0.20g-2.00g；半固定2.00g-5.00g，液体10.00ml-25.00ml。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16.测定范围：0.1mgN～200mgN（毫克氮）（含氮量0.02% ～ 95%）。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17.回收率：≥99%（相对误差，包括消化过程）。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18.蒸馏速度：5-15分钟/样品（按样品量而定）。</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19.冷却水消耗：≥3L/分钟。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20.重复率：相对标准偏差&lt;±1% 。</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21.供电：AC 220V/50Hz。</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22.功率：≥1000W。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23.供水：水温小于20度。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24.外形尺寸：约430*360*670mm。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25.重量：约25kg。</w:t>
            </w:r>
          </w:p>
        </w:tc>
        <w:tc>
          <w:tcPr>
            <w:tcW w:w="576" w:type="dxa"/>
            <w:tcBorders>
              <w:top w:val="nil"/>
              <w:left w:val="nil"/>
              <w:bottom w:val="single" w:color="000000" w:sz="8" w:space="0"/>
              <w:right w:val="single" w:color="000000" w:sz="8" w:space="0"/>
            </w:tcBorders>
            <w:shd w:val="clear" w:color="auto" w:fill="auto"/>
            <w:noWrap/>
            <w:vAlign w:val="center"/>
          </w:tcPr>
          <w:p w14:paraId="5F8691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1AC0E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4D25F1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19500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38A1A0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19500</w:t>
            </w:r>
          </w:p>
        </w:tc>
      </w:tr>
      <w:tr w14:paraId="71C85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4241E0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7</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5F3F8FE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77B86B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脂肪测定仪（快速）</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E481D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1.体积小巧，水浴加热升温快，加热均匀。</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2.仪器全部采用玻璃磨口接合，避免乙醚泄漏问题。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3.数显控温，控温准，操作简单方便。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4.测定范围：含油量在0.5℅-60℅范围内的粮食、饲料、油料及各种脂肪制品。</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5.测定样品数量：同时6个及以上。</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6.电源：220V，50HZ。</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7.功率：≥1000W。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8升温时间：10分钟内。</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9.回收系统：自动，包括浸泡和抽提过程。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10.溶剂回收率：≥80%。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12.控温范围 ：室温-100℃。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13.外形尺寸：约670*250*600mm。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14.重量：约23KG。</w:t>
            </w:r>
          </w:p>
        </w:tc>
        <w:tc>
          <w:tcPr>
            <w:tcW w:w="576" w:type="dxa"/>
            <w:tcBorders>
              <w:top w:val="nil"/>
              <w:left w:val="nil"/>
              <w:bottom w:val="single" w:color="000000" w:sz="8" w:space="0"/>
              <w:right w:val="single" w:color="000000" w:sz="8" w:space="0"/>
            </w:tcBorders>
            <w:shd w:val="clear" w:color="auto" w:fill="auto"/>
            <w:noWrap/>
            <w:vAlign w:val="center"/>
          </w:tcPr>
          <w:p w14:paraId="5CC932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3AE7F4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7D501C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9500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22621B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9500</w:t>
            </w:r>
          </w:p>
        </w:tc>
      </w:tr>
      <w:tr w14:paraId="0176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1CD544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A073F1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63DC96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马弗炉</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8478F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1.独特的炉门设计，使开门操作安全简便，确保炉内高温热气不外漏。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2、控制器安装在炉门下方可以节省空间，能满足各种快速烧结要求。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3、微电脑PID控制器，操作简便，控温精确、可靠、安全。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4、耐腐蚀轻质炉膛，确保经久耐用。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5、极好的门密封使得热量损失最小，增加了炉膛内温度的均匀性。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6、微电脑程序控制温度，时间及升温速度快慢等程序，以极快的速度进行各种烧结试验。</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7、多段可编程控制器，可预设7组63步，每组9步，每组设置时间0～5999分。</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8、采用微处理P.I.D控制方式，多段可编程控制，真正实现自动控制和运行。</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9、安全功能：操作时只需开启炉门，炉门安全开关会自动断开加热电源，确保操作者安全；设有过流、过压、过热等多种安全保护措施，确保电炉安全使用。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10、选用陶瓷纤维板作为隔热保温材料，具有隔热效果好，箱壳表面温度低等特点。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11、耐火砖炉膛，选用传统耐火材料，应用范围广、寿命长，性价比高等特点。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12、最高温度（℃）：≥1000。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13、控温精度：±1℃。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14、温度均匀度：5℃（垂直方向）。</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15、容积（L）：≥7L。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16、炉膛尺寸W×D×H（mm）：约200×300×120。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17、外形尺寸W×D×H（mm）：约520×650×660。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18、输入功率（KW）：≥4KW。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19、加热原件：镍铬丝。</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20、电源：220V</w:t>
            </w:r>
          </w:p>
        </w:tc>
        <w:tc>
          <w:tcPr>
            <w:tcW w:w="576" w:type="dxa"/>
            <w:tcBorders>
              <w:top w:val="nil"/>
              <w:left w:val="nil"/>
              <w:bottom w:val="single" w:color="000000" w:sz="8" w:space="0"/>
              <w:right w:val="single" w:color="000000" w:sz="8" w:space="0"/>
            </w:tcBorders>
            <w:shd w:val="clear" w:color="auto" w:fill="auto"/>
            <w:noWrap/>
            <w:vAlign w:val="center"/>
          </w:tcPr>
          <w:p w14:paraId="55E58A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628CC6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196538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10500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19BB44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21000</w:t>
            </w:r>
          </w:p>
        </w:tc>
      </w:tr>
      <w:tr w14:paraId="16252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62FCE0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1881A11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6C9F2A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水分仪</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58788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1.液晶显示屏：4.3英寸大屏幕更加清晰明亮，并提供丰富的测定信息。</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2.触摸按键，一键测试，操作简单。</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3.运用隔热式称重传感器技术，防止加温过程对称量准确度造成影响。</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4.标配USB接口，方便连打印机、电脑和其它外围设备。</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5.卤素加热：加热迅速，大大减小了测试所需时间。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6.实时曲线显示，（水分，重量和时间）方便了解测试进度。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7.多重干燥模式：标准、快速加热模式自由选择。</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8.最大称量值：100g。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9.可读性：1mg。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10.重复性：0.30%。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11.最小样品量：≤0.5g。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12.建议样品量：3 – 10g。</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13.周围环境温度：10-30℃。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14.周围环境湿度：≤75%。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15.调节水平方式：前后四角调节柱。</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16.开机预热时间：≤30分钟。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17.校准方式：称量（外部砝码校准），温度（专用温度设备，出厂已校准）。</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18.加热时间：1-99分钟间隔为1秒。</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19.加热温度：50-160℃间隔为1℃。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20.干燥模式：标准/快速。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21.关闭方法：自动/定时。</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22.实时曲线：水分/重量/时间。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23.屏幕显示内容：水分比/干重比/重量/温度/时间/干燥模式/实时曲线/时间日期。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24.显示器：LCD液晶显示器。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25.通讯：USB接口连接打印接、电脑。</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26.秤盘安尺寸：约80mm。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27.加热源：卤素灯。</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28.外形尺寸：约340mm*210mm*180mm。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29.净重：约3.0kg，总重：约4.2kg。</w:t>
            </w:r>
          </w:p>
        </w:tc>
        <w:tc>
          <w:tcPr>
            <w:tcW w:w="576" w:type="dxa"/>
            <w:tcBorders>
              <w:top w:val="nil"/>
              <w:left w:val="nil"/>
              <w:bottom w:val="single" w:color="000000" w:sz="8" w:space="0"/>
              <w:right w:val="single" w:color="000000" w:sz="8" w:space="0"/>
            </w:tcBorders>
            <w:shd w:val="clear" w:color="auto" w:fill="auto"/>
            <w:noWrap/>
            <w:vAlign w:val="center"/>
          </w:tcPr>
          <w:p w14:paraId="35D1FD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331416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6D7B3A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9300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570C9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9300</w:t>
            </w:r>
          </w:p>
        </w:tc>
      </w:tr>
      <w:tr w14:paraId="6C1EF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33EAB6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10</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7534EB5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1C4849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酶联免疫分析仪</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FAD2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1.显示：7英寸高分辨电容触摸屏，操作便捷，无需连接电脑、键盘等。</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2.强大的软件功能：内置多种数据处理方式，包括标准曲线拟合、定性分析、定量分析、质控分析。</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3.参比检测通道：内设参比通道，数据更加准确、稳定。</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4.ReaderIt-I软件：可搭配PC软件，操作方式任意选择。</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5.可连接打印机，方便数据实时输出。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6.光源：6V10W卤素灯，寿命可达2000h。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7.波长范围：340nm~750nm，覆盖整个可见光波长。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8.滤光片：标配405，450，492，630nm4片滤光片，最多可装载8片滤光片。</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9.读数范围：0~4.000Abs。</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10.分辨率：0.001Abs。</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11.吸光度准确度（450nm）：[0-2)≤±0.005A；[2.0-3)≤±1%；[3.0-4)≤±1.5%。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12.吸光度重复性（450nm）：[0-3)CV≤0.3%；[3-4)CV≤1%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13.测量速度：6s（96孔板快速测量模式），单波长&lt;15s，双波长&lt;28s（96孔板精确测量模式）。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14.内存：可储存1000个测量程序和结果。</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15.接口：3个USB接口，连接电脑、打印机和U盘。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16.电源：AC100-240V，50-60Hz，2A。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17.外形尺寸：约440×295×225mm（长×宽×高）。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18.标准配置：酶联免疫分析仪主机1台；触摸笔1支；鼠标1个；分析软件1套；热敏打印机1套。</w:t>
            </w:r>
          </w:p>
        </w:tc>
        <w:tc>
          <w:tcPr>
            <w:tcW w:w="576" w:type="dxa"/>
            <w:tcBorders>
              <w:top w:val="nil"/>
              <w:left w:val="nil"/>
              <w:bottom w:val="single" w:color="000000" w:sz="8" w:space="0"/>
              <w:right w:val="single" w:color="000000" w:sz="8" w:space="0"/>
            </w:tcBorders>
            <w:shd w:val="clear" w:color="auto" w:fill="auto"/>
            <w:noWrap/>
            <w:vAlign w:val="center"/>
          </w:tcPr>
          <w:p w14:paraId="663292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7509D9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vAlign w:val="center"/>
          </w:tcPr>
          <w:p w14:paraId="5B4364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36000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1DB5A1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36000</w:t>
            </w:r>
          </w:p>
        </w:tc>
      </w:tr>
      <w:tr w14:paraId="43A63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052FA1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11</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430468F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356CD2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质构系统</w:t>
            </w:r>
            <w:r>
              <w:rPr>
                <w:rFonts w:hint="eastAsia" w:ascii="宋体" w:hAnsi="宋体" w:eastAsia="宋体" w:cs="宋体"/>
                <w:b/>
                <w:bCs/>
                <w:i w:val="0"/>
                <w:iCs w:val="0"/>
                <w:color w:val="auto"/>
                <w:kern w:val="0"/>
                <w:sz w:val="21"/>
                <w:szCs w:val="21"/>
                <w:highlight w:val="none"/>
                <w:u w:val="none"/>
                <w:lang w:val="en-US" w:eastAsia="zh-CN"/>
              </w:rPr>
              <w:t>（核心产品）</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D53B5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 xml:space="preserve">1.感应元精度：0.01%，测试结果显示精度：≤0.01g  </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 xml:space="preserve">2.位移精度：≤0.01mm  </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3.测试臂移动距离：≥100mm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4.检测速度：0~20 mm/s，精度优于1%，速度区间可调。</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5.数据采集率：不低于300组/秒，每组4个通道同时读取。</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测试方法：软件内包含单次测试和全质构测试，设置界面同时显示实验类型，单次测试、全质构测试，恒压测试，循环测试，保持测试。同时测试类型、目标模式、目标数值、间隔时间、测试速度、触发点类型、数值、样品接触面积、探头接触面积，方法加载和另存显示在同一界面；（以上提供软件功能截图）；</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7.结果分析：自动进行曲线的结果分析，结果可一键选择并导出。具有一键导出图片、结果、原始数据、实验报告等功能。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软件技术支持功能：测试指标包含8个指标，单次测试不少于18个指标，自定义结果包含范围内最大力、范围内最小力、范围内正面积、范围内负面积、范围内平均力、两点间斜率、两点间位移、第N个峰值，带有国标算法。（以上提供软件功能界面截图） ；</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9.仪器操作：所有实验过程通过连接电脑，进行仪器各种操作。具有用户管理、实验方法录入、实验控制管理、结果分析、硬件设置等功能。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测试设置：至少包含端口设置、传感器校准、重置高度、单位设置、通道设置、曲线设置、实时数据显示等；带有测试结果统计功能，可以统计平均值、最大值、最小值、标准差、CV值等。（以上功能提供软件</w:t>
            </w:r>
            <w:r>
              <w:rPr>
                <w:rFonts w:hint="eastAsia" w:ascii="宋体" w:hAnsi="宋体" w:cs="宋体"/>
                <w:i w:val="0"/>
                <w:iCs w:val="0"/>
                <w:color w:val="auto"/>
                <w:kern w:val="0"/>
                <w:sz w:val="21"/>
                <w:szCs w:val="21"/>
                <w:highlight w:val="none"/>
                <w:u w:val="none"/>
                <w:lang w:val="en-US" w:eastAsia="zh-CN"/>
              </w:rPr>
              <w:t>功能</w:t>
            </w:r>
            <w:r>
              <w:rPr>
                <w:rFonts w:hint="eastAsia" w:ascii="宋体" w:hAnsi="宋体" w:eastAsia="宋体" w:cs="宋体"/>
                <w:i w:val="0"/>
                <w:iCs w:val="0"/>
                <w:color w:val="auto"/>
                <w:kern w:val="0"/>
                <w:sz w:val="21"/>
                <w:szCs w:val="21"/>
                <w:highlight w:val="none"/>
                <w:u w:val="none"/>
                <w:lang w:val="en-US" w:eastAsia="zh-CN"/>
              </w:rPr>
              <w:t>截图）</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▲11、测试曲线颜色显示和数据显示可以根据需要进行选择。软件内带食品物性、流变、热力学、电学等知识库，软件内随时检索物性相关知识解析； （以上功能提供软件功能截图）</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12.显示终端：≥27英寸，CPU：i5 12400F；内存：8G DDR4 3200内存条；固态：256G NVME M.2固态硬盘。</w:t>
            </w:r>
          </w:p>
        </w:tc>
        <w:tc>
          <w:tcPr>
            <w:tcW w:w="576" w:type="dxa"/>
            <w:tcBorders>
              <w:top w:val="nil"/>
              <w:left w:val="nil"/>
              <w:bottom w:val="single" w:color="000000" w:sz="8" w:space="0"/>
              <w:right w:val="single" w:color="000000" w:sz="8" w:space="0"/>
            </w:tcBorders>
            <w:shd w:val="clear" w:color="auto" w:fill="auto"/>
            <w:noWrap/>
            <w:vAlign w:val="center"/>
          </w:tcPr>
          <w:p w14:paraId="0E729B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7EEF75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586D8C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rPr>
              <w:t>75000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1B39F0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75000</w:t>
            </w:r>
          </w:p>
        </w:tc>
      </w:tr>
      <w:tr w14:paraId="5F0F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7CCAA5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12</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447E37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67E198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糖度仪</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28D8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量程：0-35%，精度：±0.2%，分辨率：0.1%brix，屏幕：单色屏，使用温度：10-40℃；测量时间：≤3秒；</w:t>
            </w:r>
          </w:p>
        </w:tc>
        <w:tc>
          <w:tcPr>
            <w:tcW w:w="576" w:type="dxa"/>
            <w:tcBorders>
              <w:top w:val="nil"/>
              <w:left w:val="nil"/>
              <w:bottom w:val="single" w:color="000000" w:sz="8" w:space="0"/>
              <w:right w:val="single" w:color="000000" w:sz="8" w:space="0"/>
            </w:tcBorders>
            <w:shd w:val="clear" w:color="auto" w:fill="auto"/>
            <w:noWrap/>
            <w:vAlign w:val="center"/>
          </w:tcPr>
          <w:p w14:paraId="77F6F2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0A0E7E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23FC03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rPr>
              <w:t>890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217F47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890</w:t>
            </w:r>
          </w:p>
        </w:tc>
      </w:tr>
      <w:tr w14:paraId="3E9FD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2F31D5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13</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87F894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763240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水分活度仪</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DFBDD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1.仪器经过由中国计量科学研究院检定可作为传递标准的基准设备标定。（提供权威机构出具的基准设备的检定证书佐证）</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2.符合国际上最新有关于水分活度的标准（ISO18787:2017 Foodstuff-Determination of water activity）（该标准已替换ISO 21807:2004）。</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3.新型进口传感器的应用，保证稳定、准确的测量。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4.全新数据处理模型，保证仪器全量程准确测量，且具有极高的测量数据稳定性。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5.测量时间可实现自动、定时、手动、预约的功能，操作方式极其灵活、方便。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6.可根据样品名称或测量时间随时查询历史数据。</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7.被测物无限制，固体、液体，块状物、粉末均可测量。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8.测量时间最快只要2到3分钟。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技术指标：</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1.工作环境：温度-10℃～50℃  湿度0～95%RH。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2.测量范围：温度-10～50℃水分活度 0～1.0000aw。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3.测量精度：温度±0.30℃水分活度±0.0100aw(@23℃±5℃）。</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4.活度重复性：≤0.0050aw。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5.分辨率：活度：0.0001aw 温度：0.01℃。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6.显示方式：7英寸高清显示屏 分辨率：1280*840像素。</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7.操控方式：安卓（Android）系统智能屏。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8.终点控制方式：自动、定时、手动（可根据测量曲线判定）。</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9.测量时间：①自动判定结束时间②定时：5～60分钟。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10.预约测量：可设置3个时间对样品进行自动测量。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11.数据处理：①测量界面可显示测量数据、曲线（可显示测量数据0.0001aw变化），并保存数据；②测量时自动根据设定品名保存结果数据；③可根据样品名称或测量时间查询数据并以Excel文件存储。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12.数据传输方式：Wi-Fi、U盘。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13.测量数据可以无限量存储。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14.校正方式：多点联合校正、单点校正。</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15.测量点数：1点。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16.供电电压：100～230V AC 50Hz/60Hz。</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17.外形尺寸：约240mm×210mm×118mm。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18.功率：≤15w。</w:t>
            </w:r>
          </w:p>
        </w:tc>
        <w:tc>
          <w:tcPr>
            <w:tcW w:w="576" w:type="dxa"/>
            <w:tcBorders>
              <w:top w:val="nil"/>
              <w:left w:val="nil"/>
              <w:bottom w:val="single" w:color="000000" w:sz="8" w:space="0"/>
              <w:right w:val="single" w:color="000000" w:sz="8" w:space="0"/>
            </w:tcBorders>
            <w:shd w:val="clear" w:color="auto" w:fill="auto"/>
            <w:noWrap/>
            <w:vAlign w:val="center"/>
          </w:tcPr>
          <w:p w14:paraId="4E8AF3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733168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2AF403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rPr>
              <w:t>23000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2DBF85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23000</w:t>
            </w:r>
          </w:p>
        </w:tc>
      </w:tr>
      <w:tr w14:paraId="38D79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3F9B1F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14</w:t>
            </w:r>
          </w:p>
        </w:tc>
        <w:tc>
          <w:tcPr>
            <w:tcW w:w="648" w:type="dxa"/>
            <w:vMerge w:val="restart"/>
            <w:tcBorders>
              <w:top w:val="nil"/>
              <w:left w:val="single" w:color="000000" w:sz="8" w:space="0"/>
              <w:bottom w:val="single" w:color="000000" w:sz="8" w:space="0"/>
              <w:right w:val="nil"/>
            </w:tcBorders>
            <w:shd w:val="clear" w:color="auto" w:fill="auto"/>
            <w:vAlign w:val="center"/>
          </w:tcPr>
          <w:p w14:paraId="191FC2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样品准备区</w:t>
            </w:r>
          </w:p>
        </w:tc>
        <w:tc>
          <w:tcPr>
            <w:tcW w:w="648" w:type="dxa"/>
            <w:tcBorders>
              <w:top w:val="nil"/>
              <w:left w:val="single" w:color="000000" w:sz="8" w:space="0"/>
              <w:bottom w:val="single" w:color="000000" w:sz="8" w:space="0"/>
              <w:right w:val="nil"/>
            </w:tcBorders>
            <w:shd w:val="clear" w:color="auto" w:fill="auto"/>
            <w:vAlign w:val="center"/>
          </w:tcPr>
          <w:p w14:paraId="1BB3BC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定制实验操作平台，含悬挂单元</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C6642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定制实验操作平台：</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1.符合《高等学校实验室工作规程》要求，兼顾安全性、实用性与人体工学设计，避免气味吸附、反光干扰等影响品评结果的问题。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2.核心材质采用食品级三聚氰胺板，确保无味、抗菌、易清洁，无重金属迁移风险，符合GB4806.7食品安全标准及实验室环保要求。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3.柜体框架：实木颗粒基材三聚氰胺板，厚度18mm，双面覆膜，表面耐磨转数≥4000转，无气味释放，防火等级达到B1级。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4.台面材质：304不锈钢（亚光处理），抗菌率≥99%，不吸附异味，耐酸碱腐蚀，边缘做R5圆角处理防划伤。</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5.柜门板材：同柜体框架材质，颜色选用乳白色（避免色彩干扰样品观察），表面无反光、无明显纹理，平整度误差≤0.5mm/m。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6.封边工艺：所有板材边缘采用2mm厚PVC封边条，激光无缝封边，防水防潮，无甲醛释放，与板材贴合紧密无翘边。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7.五金配件：304不锈钢合页、导轨，防锈耐腐蚀，开关顺畅无噪音，承重≥30kg/抽屉；连接件采用三合一偏心件，安装牢固无松动。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定制实验悬挂单元：</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1.柜体框架：同地柜三聚氰胺板材质，厚度18mm，双面覆膜，确保悬挂稳固性。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2.柜门板材：与地柜一致的乳白色三聚氰胺板，表面无反光、无异味，平整度符合要求。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3.层板材质：三聚氰胺贴面板，厚度18mm，承重≥20kg/层，边缘PVC封边+圆角处理，防止划伤。</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4.悬挂配件：采用膨胀螺栓+冷轧钢加固支架安装，支架承重≥50kg/组，适配实心墙体（空心墙需提前加固）；柜体背部加装加强筋，增强悬挂稳定性。</w:t>
            </w:r>
          </w:p>
        </w:tc>
        <w:tc>
          <w:tcPr>
            <w:tcW w:w="576" w:type="dxa"/>
            <w:tcBorders>
              <w:top w:val="nil"/>
              <w:left w:val="nil"/>
              <w:bottom w:val="single" w:color="000000" w:sz="8" w:space="0"/>
              <w:right w:val="single" w:color="000000" w:sz="8" w:space="0"/>
            </w:tcBorders>
            <w:shd w:val="clear" w:color="auto" w:fill="auto"/>
            <w:noWrap/>
            <w:vAlign w:val="center"/>
          </w:tcPr>
          <w:p w14:paraId="3D04A4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6996B3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77E7FA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rPr>
              <w:t>32000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29EC03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32000</w:t>
            </w:r>
          </w:p>
        </w:tc>
      </w:tr>
      <w:tr w14:paraId="59593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1C8534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15</w:t>
            </w:r>
          </w:p>
        </w:tc>
        <w:tc>
          <w:tcPr>
            <w:tcW w:w="648" w:type="dxa"/>
            <w:vMerge w:val="continue"/>
            <w:tcBorders>
              <w:top w:val="nil"/>
              <w:left w:val="single" w:color="000000" w:sz="8" w:space="0"/>
              <w:bottom w:val="single" w:color="000000" w:sz="8" w:space="0"/>
              <w:right w:val="nil"/>
            </w:tcBorders>
            <w:shd w:val="clear" w:color="auto" w:fill="auto"/>
            <w:vAlign w:val="center"/>
          </w:tcPr>
          <w:p w14:paraId="5E1FC1E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6136B4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样品存储单元</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773D9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1.总容积：约528L（冷藏室约340L+冷冻室约188L），满足多批次品评样品分类存储需求。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2.能效等级：二级能效，符合国家能效标准，日均耗电量≤1.2kW</w:t>
            </w:r>
            <w:r>
              <w:rPr>
                <w:rFonts w:ascii="MS Gothic" w:hAnsi="MS Gothic" w:eastAsia="MS Gothic" w:cs="MS Gothic"/>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val="en-US" w:eastAsia="zh-CN"/>
              </w:rPr>
              <w:t>h/24h。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3.存储方式：风冷无霜设计，避免结霜影响制冷效率，箱内温度均匀性 ±1℃。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4.放置方式：独立式（立式），底部带可调节脚轮与固定地脚，便于移动与定位。</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5.运行模式：全变频（变频压缩机+变频风机）控温精度更高，运行噪音更低，节能性更优。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6.门款式：双门对开，独立门锁设计，可分别控制冷藏/冷冻室开关。</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7.控温方式：电脑控温双LED数码显示屏，分别显示两室温度，控温精度0.1℃。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8.存储循环：双循环（独立冷藏+独立冷冻），两室温度互不干扰，避免串味，制冷速度提升 30%。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9.额定电压/频率：220V/50Hz，宽电压适配（187-242V），适应实验室电压波动。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10.外形尺寸适配实验室空间布局，预留左右≥10cm、背部≥5cm散热空间。</w:t>
            </w:r>
          </w:p>
        </w:tc>
        <w:tc>
          <w:tcPr>
            <w:tcW w:w="576" w:type="dxa"/>
            <w:tcBorders>
              <w:top w:val="nil"/>
              <w:left w:val="nil"/>
              <w:bottom w:val="single" w:color="000000" w:sz="8" w:space="0"/>
              <w:right w:val="single" w:color="000000" w:sz="8" w:space="0"/>
            </w:tcBorders>
            <w:shd w:val="clear" w:color="auto" w:fill="auto"/>
            <w:noWrap/>
            <w:vAlign w:val="center"/>
          </w:tcPr>
          <w:p w14:paraId="67A1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7989C1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1FDCA0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6500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5B3016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6500</w:t>
            </w:r>
          </w:p>
        </w:tc>
      </w:tr>
      <w:tr w14:paraId="4BD68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76AC45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16</w:t>
            </w:r>
          </w:p>
        </w:tc>
        <w:tc>
          <w:tcPr>
            <w:tcW w:w="648" w:type="dxa"/>
            <w:vMerge w:val="continue"/>
            <w:tcBorders>
              <w:top w:val="nil"/>
              <w:left w:val="single" w:color="000000" w:sz="8" w:space="0"/>
              <w:bottom w:val="single" w:color="000000" w:sz="8" w:space="0"/>
              <w:right w:val="nil"/>
            </w:tcBorders>
            <w:shd w:val="clear" w:color="auto" w:fill="auto"/>
            <w:vAlign w:val="center"/>
          </w:tcPr>
          <w:p w14:paraId="0908965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079519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空气循环系统</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0AD48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1.系统类型：多联式冷暖型系统，独立控制各区域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2.能效等级：二级能效</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3.运行模式：全直流变频15%-100% 无级能量调节，适配实验室动态负荷变化</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4.额定制冷量：室外机≤14kW，室内机分别为3.6kW、3.6kW、3.2kW、3.6kW总制冷量匹配实验室总面积（建议≤120㎡）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5.额定制热量：室外机≤16kW，室内机分别为4.0kW、4.0kW、3.6kW、4.0kW低温环境下制热稳定，-15℃制热衰减≤20%</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6.室内机类型：超薄嵌入式风管机（四面出风）机身厚度≤220mm，适配实验室高度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7.室外机尺寸：约（宽×深×高）1000mm×450mm×1700mm 建议安装于室外设备平台，预留左右≥30cm、背部≥50cm 散热空间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8.室内机尺寸：约（宽×深×高）800mm×800mm×220mm（单台）嵌入式安装，不占用实验操作空间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9.额定电压/频率：220V/50Hz宽电压适配（187-242V），适应实验室电压波动。</w:t>
            </w:r>
          </w:p>
        </w:tc>
        <w:tc>
          <w:tcPr>
            <w:tcW w:w="576" w:type="dxa"/>
            <w:tcBorders>
              <w:top w:val="nil"/>
              <w:left w:val="nil"/>
              <w:bottom w:val="single" w:color="000000" w:sz="8" w:space="0"/>
              <w:right w:val="single" w:color="000000" w:sz="8" w:space="0"/>
            </w:tcBorders>
            <w:shd w:val="clear" w:color="auto" w:fill="auto"/>
            <w:noWrap/>
            <w:vAlign w:val="center"/>
          </w:tcPr>
          <w:p w14:paraId="6B89EB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3A61E5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14CF65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59000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0CA33F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59000</w:t>
            </w:r>
          </w:p>
        </w:tc>
      </w:tr>
      <w:tr w14:paraId="635AF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460BE0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17</w:t>
            </w:r>
          </w:p>
        </w:tc>
        <w:tc>
          <w:tcPr>
            <w:tcW w:w="648" w:type="dxa"/>
            <w:vMerge w:val="continue"/>
            <w:tcBorders>
              <w:top w:val="nil"/>
              <w:left w:val="single" w:color="000000" w:sz="8" w:space="0"/>
              <w:bottom w:val="single" w:color="000000" w:sz="8" w:space="0"/>
              <w:right w:val="nil"/>
            </w:tcBorders>
            <w:shd w:val="clear" w:color="auto" w:fill="auto"/>
            <w:vAlign w:val="center"/>
          </w:tcPr>
          <w:p w14:paraId="7B051BF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vAlign w:val="center"/>
          </w:tcPr>
          <w:p w14:paraId="11AFC6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定制水池</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6DBB8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1.尺寸：约550mm×450mm×300mm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2.水槽边沿平整，能够与柜体契合台面。水槽需自带溢水功能，可防</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止在实验过程中无人看管时水漫过台面的情况</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3.材质：采用高密度PP新料注塑成型，耐腐蚀耐酸碱；稳定性强，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并具弹性韧性，不易老化耐划</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4.厚度：根据强度要求设计厚度约为5mm~8mm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5.附件：含阻水盖、PP提笼，下水口与普通的下水管契合</w:t>
            </w:r>
          </w:p>
        </w:tc>
        <w:tc>
          <w:tcPr>
            <w:tcW w:w="576" w:type="dxa"/>
            <w:tcBorders>
              <w:top w:val="nil"/>
              <w:left w:val="nil"/>
              <w:bottom w:val="single" w:color="000000" w:sz="8" w:space="0"/>
              <w:right w:val="single" w:color="000000" w:sz="8" w:space="0"/>
            </w:tcBorders>
            <w:shd w:val="clear" w:color="auto" w:fill="auto"/>
            <w:noWrap/>
            <w:vAlign w:val="center"/>
          </w:tcPr>
          <w:p w14:paraId="147018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0DD8E5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3C81D4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28700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145FCD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28700</w:t>
            </w:r>
          </w:p>
        </w:tc>
      </w:tr>
      <w:tr w14:paraId="49B8A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42E59B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18</w:t>
            </w:r>
          </w:p>
        </w:tc>
        <w:tc>
          <w:tcPr>
            <w:tcW w:w="648" w:type="dxa"/>
            <w:vMerge w:val="restart"/>
            <w:tcBorders>
              <w:top w:val="nil"/>
              <w:left w:val="single" w:color="000000" w:sz="8" w:space="0"/>
              <w:bottom w:val="single" w:color="000000" w:sz="8" w:space="0"/>
              <w:right w:val="single" w:color="000000" w:sz="8" w:space="0"/>
            </w:tcBorders>
            <w:shd w:val="clear" w:color="auto" w:fill="auto"/>
            <w:vAlign w:val="center"/>
          </w:tcPr>
          <w:p w14:paraId="188B10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理化检测区</w:t>
            </w:r>
          </w:p>
        </w:tc>
        <w:tc>
          <w:tcPr>
            <w:tcW w:w="648" w:type="dxa"/>
            <w:tcBorders>
              <w:top w:val="nil"/>
              <w:left w:val="single" w:color="000000" w:sz="8" w:space="0"/>
              <w:bottom w:val="single" w:color="000000" w:sz="8" w:space="0"/>
              <w:right w:val="nil"/>
            </w:tcBorders>
            <w:shd w:val="clear" w:color="auto" w:fill="auto"/>
            <w:vAlign w:val="center"/>
          </w:tcPr>
          <w:p w14:paraId="2280B4F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定制实验室配套通排风</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FBF1F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一、室内系统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1.PP通风柜：</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1.1外壳：采用约8.0mmPP聚丙烯板焊接制作，经过雕刻一次折弯处理后形成整柜，具有极强的抗酸碱，耐腐蚀性。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1.2内壳：采用全新约8.0mmPP聚丙烯板焊接制作，具有极强的抗酸碱、耐腐蚀性，内侧板可固定供水考克，可加配供气考克，背板可固定导流板，顶板设照明以及集气装置。</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1.3操作台面：采用约12.7mm理化板台面，设置有挡水边，防止液体外溢，台面具有良好的防水、防酸碱性能。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 1.4导流板：采用全新约8mmPP聚丙烯板焊接制作，具有极强的抗酸碱、耐腐蚀性，装置于工作空间后方以及上方处，由至少三块板组成，使得工作空间与排气管路的连接处之间形成一个气室，将污染气体均匀地排出。导流板使用导流夹将其与柜体结合，可重复拆装。</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1.5集气风罩：采用PP材质，具有极强的耐腐蚀性，底部入口为长方形开口，顶部出口为圆形开口。</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1.6照明：采用30W三防灯1支，能防水、防腐、防氧化。</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1.7控制面板：采用液晶控制面板，设置有电源、开关、照明、风机以及运转指示灯等按钮，液晶显示屏能清晰地显示通风柜的运行情况。</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1.8插座：每台通风柜配置四只220V单口万用式插座。（可根据客户实际使用需求，加配其他型号插座）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1.9下柜体：采用全新约8.0mmPP聚丙烯板焊接制作，经过雕刻一次折弯处理后形成整柜，具有极强的抗酸碱，耐腐蚀性。门板一律采对折边构造，敦实牢固，不易变形，且整体美观大方。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1.10把手：采用实验室专用PP把手，耐腐蚀性强。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1.11铰链：采用实验室专用PP铰链，耐腐蚀性强。。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操作显示面板：5寸触摸屏或1.8寸液晶显示（全屏可切换界面）明装，用户及系统参数设置密码保护，显示实时面风速、视窗高度、阀门开度、排补风量、温度、运行状态颜色切换显示，独立设置紧急排风、自动视窗、静音、电源、照明、设置等按键。</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3.面风速传感器：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多种安装方式对极低风速有灵敏的响应，接近0m/s空气速率的准确测量。0-10V标准信号，输出信号与风速为线性关系陶瓷测量片，良好抗振和抗污染能力。可以很方便的将探头固定在被测气流位置。精度高，一致性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4.视窗位移传感器：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包塑不锈钢拉绳，内置精度电阻制造而成，测量精度士0.2%，测量范围0-1M或0-2M，响应时间&lt;1ms，模拟输出0-5VDC信号，军工塑制材料，而温绝缘、抗干扰性强。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5.斜流风机：</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外壳材质PP阻燃、叶轮材质PP+GF，⌀250mm，风量范围：0-1800m³/h，风压范围：0-400pa，170W/220V。</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6.万向抽气罩：6.1实验室专用优质产品，高密度PP材质。6.2气流调节阀：手动调节外部阀门旋钮，控制进入之气流量。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7.排风罩：304不锈钢材质，可调整高度。</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8.通风柜连接管道及配件：通风柜所需要的管道及风阀等管道配件，施工工艺为满焊室内吊装。</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9.万向抽气罩及排风罩风阀、连接管道及配件：万向抽气罩与排风罩排风所需要的管道及风阀等管道配件，施工工艺为满焊室内吊装。</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10.管道风机：优质防腐斜流管道风机，变频可调速，带遥控。</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二、外排系统</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1.确保通风柜对实验中有害物质的安全防护的面风速控制，控制面，风速0.4~0.6m/s。响应速度≤1s，风速偏差≤±20％，噪声≤55dB。</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2.确保实验室房间内整体换气次数：≥6次/h。</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3.为实验室提供安全的工作环境，在满足安全性和舒适度的同时，最大限度节约能耗。</w:t>
            </w:r>
          </w:p>
        </w:tc>
        <w:tc>
          <w:tcPr>
            <w:tcW w:w="576" w:type="dxa"/>
            <w:tcBorders>
              <w:top w:val="nil"/>
              <w:left w:val="nil"/>
              <w:bottom w:val="single" w:color="000000" w:sz="8" w:space="0"/>
              <w:right w:val="single" w:color="000000" w:sz="8" w:space="0"/>
            </w:tcBorders>
            <w:shd w:val="clear" w:color="auto" w:fill="auto"/>
            <w:noWrap/>
            <w:vAlign w:val="center"/>
          </w:tcPr>
          <w:p w14:paraId="553EFB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33322C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3AAE55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170000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39FE39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170000</w:t>
            </w:r>
          </w:p>
        </w:tc>
      </w:tr>
      <w:tr w14:paraId="294A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6C282B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19</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008038A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noWrap/>
            <w:vAlign w:val="center"/>
          </w:tcPr>
          <w:p w14:paraId="3CD391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工位</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B7F46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1.主体材质：镀铬碳钢，主色调黑色。</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2.坐垫材质：高档PU+塑胶。</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3.配备防爆气杆，PP滑轮。</w:t>
            </w:r>
          </w:p>
        </w:tc>
        <w:tc>
          <w:tcPr>
            <w:tcW w:w="576" w:type="dxa"/>
            <w:tcBorders>
              <w:top w:val="nil"/>
              <w:left w:val="nil"/>
              <w:bottom w:val="single" w:color="000000" w:sz="8" w:space="0"/>
              <w:right w:val="single" w:color="000000" w:sz="8" w:space="0"/>
            </w:tcBorders>
            <w:shd w:val="clear" w:color="auto" w:fill="auto"/>
            <w:noWrap/>
            <w:vAlign w:val="center"/>
          </w:tcPr>
          <w:p w14:paraId="6BEF7F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1D8505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60</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16B19B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768881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4800</w:t>
            </w:r>
          </w:p>
        </w:tc>
      </w:tr>
      <w:tr w14:paraId="2A63F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7ADFDD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20</w:t>
            </w:r>
          </w:p>
        </w:tc>
        <w:tc>
          <w:tcPr>
            <w:tcW w:w="648" w:type="dxa"/>
            <w:vMerge w:val="continue"/>
            <w:tcBorders>
              <w:top w:val="nil"/>
              <w:left w:val="single" w:color="000000" w:sz="8" w:space="0"/>
              <w:bottom w:val="single" w:color="000000" w:sz="8" w:space="0"/>
              <w:right w:val="single" w:color="000000" w:sz="8" w:space="0"/>
            </w:tcBorders>
            <w:shd w:val="clear" w:color="auto" w:fill="auto"/>
            <w:vAlign w:val="center"/>
          </w:tcPr>
          <w:p w14:paraId="1AE7FE1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648" w:type="dxa"/>
            <w:tcBorders>
              <w:top w:val="nil"/>
              <w:left w:val="single" w:color="000000" w:sz="8" w:space="0"/>
              <w:bottom w:val="single" w:color="000000" w:sz="8" w:space="0"/>
              <w:right w:val="nil"/>
            </w:tcBorders>
            <w:shd w:val="clear" w:color="auto" w:fill="auto"/>
            <w:noWrap/>
            <w:vAlign w:val="center"/>
          </w:tcPr>
          <w:p w14:paraId="442AC13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定制操作平台</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E5419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1.边平台（靠墙单面）。尺寸：约L×750×850mm（长×宽×高）</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长度：约1.2m/1.5m/2m/3m（拼接）；台面：约12.7mm实芯理化板，边缘加厚约25.4mm；框架：约40×60×1.2mm冷轧钢，环氧树脂喷涂；主体：约16–18mmE1级三聚氰胺板，PVC封边；承重：约300–400kg/m²。</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2.中央平台（双面操作）。尺寸：约L×1500×850mm（长×宽×高）；长度：约2m/3m/4m（拼接）</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台面/框架/主体：同边平台；标配：试剂架、水槽、三联水龙头、沥水架。</w:t>
            </w:r>
          </w:p>
        </w:tc>
        <w:tc>
          <w:tcPr>
            <w:tcW w:w="576" w:type="dxa"/>
            <w:tcBorders>
              <w:top w:val="nil"/>
              <w:left w:val="nil"/>
              <w:bottom w:val="single" w:color="000000" w:sz="8" w:space="0"/>
              <w:right w:val="single" w:color="000000" w:sz="8" w:space="0"/>
            </w:tcBorders>
            <w:shd w:val="clear" w:color="auto" w:fill="auto"/>
            <w:noWrap/>
            <w:vAlign w:val="center"/>
          </w:tcPr>
          <w:p w14:paraId="732AE2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组</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6DBECF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652AED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117000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207957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117000</w:t>
            </w:r>
          </w:p>
        </w:tc>
      </w:tr>
      <w:tr w14:paraId="4D80D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37D82B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21</w:t>
            </w:r>
          </w:p>
        </w:tc>
        <w:tc>
          <w:tcPr>
            <w:tcW w:w="648" w:type="dxa"/>
            <w:tcBorders>
              <w:top w:val="nil"/>
              <w:left w:val="single" w:color="000000" w:sz="8" w:space="0"/>
              <w:bottom w:val="single" w:color="000000" w:sz="8" w:space="0"/>
              <w:right w:val="single" w:color="000000" w:sz="8" w:space="0"/>
            </w:tcBorders>
            <w:shd w:val="clear" w:color="auto" w:fill="auto"/>
            <w:vAlign w:val="center"/>
          </w:tcPr>
          <w:p w14:paraId="276DD4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实训室环境优化</w:t>
            </w:r>
          </w:p>
        </w:tc>
        <w:tc>
          <w:tcPr>
            <w:tcW w:w="648" w:type="dxa"/>
            <w:tcBorders>
              <w:top w:val="nil"/>
              <w:left w:val="single" w:color="000000" w:sz="8" w:space="0"/>
              <w:bottom w:val="single" w:color="000000" w:sz="8" w:space="0"/>
              <w:right w:val="nil"/>
            </w:tcBorders>
            <w:shd w:val="clear" w:color="auto" w:fill="auto"/>
            <w:noWrap/>
            <w:vAlign w:val="center"/>
          </w:tcPr>
          <w:p w14:paraId="36B30AC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定制</w:t>
            </w:r>
          </w:p>
        </w:tc>
        <w:tc>
          <w:tcPr>
            <w:tcW w:w="4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79929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总体要求。本次优化范围为理化实训室整体室内环境优化，涵盖拆除、装饰及配套安装。所有材料必须符合国家环保标准，要求无毒、无味、不吸附气味，表面处理为哑光材质，避免产生眩光或反光干扰评价。改造风格以中性、简洁、专业为主，营造无干扰的评判环境。</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墙面。材质要求：采用环保型哑光乳胶漆或无异味抗菌墙板，颜色为中性浅灰色（亮度因子接近N7.5），避免色彩对样评判产生干扰。施工要求：基层处理平整，阴阳角顺直。墙面与顶面交界处应平顺无死角，便于日常清洁。脚线：安装同色系暗藏式或不锈钢脚线，避免积灰。</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顶面。形式：采用轻钢龙骨防水石膏板吊顶，表面哑光白色，整体平整，接缝处需做防裂处理。功能集成：需预留照明灯具（白光、红光、黄光）、空调风口、消防喷淋及烟感探头的安装检修口，布局须整齐对称，避免出现偏位。</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地面。材质要求：采用同质透心或复合型PVC塑胶地板，或环氧彩砂自流平，颜色为深灰色（耐脏）。性能要求：防滑等级不低于R9，耐磨、抗压、静音，行走时无回声干扰。整体无缝或焊缝处理，避免藏污纳垢。要求：基层干燥平整，铺设后无空鼓、无翘边，与墙面脚线结合紧密。</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5.照明。白光照明：安装高显色性LED灯板，色温6500K±200K，工作台面照度1000-1500lx，显色指数Ra≥90，照度均匀度≥0.7，统一眩光值UGR&lt;16。</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6.给排水。给水：公共清洗区预留DN15纯净水管路，安装恒温混水龙头，水质符合生活饮用水标准。排水：水槽下方预留DN50排水管，带存水弯防臭，排水管须做隔音处理，避免流水声干扰品评环境。</w:t>
            </w:r>
          </w:p>
        </w:tc>
        <w:tc>
          <w:tcPr>
            <w:tcW w:w="576" w:type="dxa"/>
            <w:tcBorders>
              <w:top w:val="nil"/>
              <w:left w:val="nil"/>
              <w:bottom w:val="single" w:color="000000" w:sz="8" w:space="0"/>
              <w:right w:val="single" w:color="000000" w:sz="8" w:space="0"/>
            </w:tcBorders>
            <w:shd w:val="clear" w:color="auto" w:fill="auto"/>
            <w:noWrap/>
            <w:vAlign w:val="center"/>
          </w:tcPr>
          <w:p w14:paraId="1E928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项</w:t>
            </w: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57A7C6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0457F9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87410</w:t>
            </w: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1BFA7E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87410</w:t>
            </w:r>
          </w:p>
        </w:tc>
      </w:tr>
      <w:tr w14:paraId="41DD3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560" w:type="dxa"/>
            <w:tcBorders>
              <w:top w:val="nil"/>
              <w:left w:val="single" w:color="000000" w:sz="8" w:space="0"/>
              <w:bottom w:val="single" w:color="000000" w:sz="8" w:space="0"/>
              <w:right w:val="single" w:color="000000" w:sz="8" w:space="0"/>
            </w:tcBorders>
            <w:shd w:val="clear" w:color="auto" w:fill="auto"/>
            <w:noWrap/>
            <w:vAlign w:val="center"/>
          </w:tcPr>
          <w:p w14:paraId="2E46AB52">
            <w:pPr>
              <w:keepNext w:val="0"/>
              <w:keepLines w:val="0"/>
              <w:pageBreakBefore w:val="0"/>
              <w:kinsoku/>
              <w:wordWrap/>
              <w:overflowPunct/>
              <w:topLinePunct w:val="0"/>
              <w:autoSpaceDE/>
              <w:autoSpaceDN/>
              <w:bidi w:val="0"/>
              <w:adjustRightInd/>
              <w:snapToGrid/>
              <w:spacing w:line="240" w:lineRule="auto"/>
              <w:jc w:val="both"/>
              <w:rPr>
                <w:rFonts w:hint="eastAsia" w:ascii="宋体" w:hAnsi="宋体" w:eastAsia="宋体" w:cs="宋体"/>
                <w:i w:val="0"/>
                <w:iCs w:val="0"/>
                <w:color w:val="auto"/>
                <w:sz w:val="21"/>
                <w:szCs w:val="21"/>
                <w:highlight w:val="none"/>
                <w:u w:val="none"/>
              </w:rPr>
            </w:pPr>
          </w:p>
        </w:tc>
        <w:tc>
          <w:tcPr>
            <w:tcW w:w="5856" w:type="dxa"/>
            <w:gridSpan w:val="3"/>
            <w:tcBorders>
              <w:top w:val="nil"/>
              <w:left w:val="single" w:color="000000" w:sz="8" w:space="0"/>
              <w:bottom w:val="single" w:color="000000" w:sz="8" w:space="0"/>
              <w:right w:val="single" w:color="000000" w:sz="8" w:space="0"/>
            </w:tcBorders>
            <w:shd w:val="clear" w:color="auto" w:fill="auto"/>
            <w:noWrap/>
            <w:vAlign w:val="center"/>
          </w:tcPr>
          <w:p w14:paraId="5A18E7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合计</w:t>
            </w:r>
          </w:p>
        </w:tc>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DB3CE2E">
            <w:pPr>
              <w:keepNext w:val="0"/>
              <w:keepLines w:val="0"/>
              <w:pageBreakBefore w:val="0"/>
              <w:kinsoku/>
              <w:wordWrap/>
              <w:overflowPunct/>
              <w:topLinePunct w:val="0"/>
              <w:autoSpaceDE/>
              <w:autoSpaceDN/>
              <w:bidi w:val="0"/>
              <w:adjustRightInd/>
              <w:snapToGrid/>
              <w:spacing w:line="240" w:lineRule="auto"/>
              <w:jc w:val="both"/>
              <w:rPr>
                <w:rFonts w:hint="eastAsia" w:ascii="宋体" w:hAnsi="宋体" w:eastAsia="宋体" w:cs="宋体"/>
                <w:i w:val="0"/>
                <w:iCs w:val="0"/>
                <w:color w:val="auto"/>
                <w:sz w:val="21"/>
                <w:szCs w:val="21"/>
                <w:highlight w:val="none"/>
                <w:u w:val="none"/>
              </w:rPr>
            </w:pPr>
          </w:p>
        </w:tc>
        <w:tc>
          <w:tcPr>
            <w:tcW w:w="492" w:type="dxa"/>
            <w:tcBorders>
              <w:top w:val="nil"/>
              <w:left w:val="single" w:color="000000" w:sz="8" w:space="0"/>
              <w:bottom w:val="single" w:color="000000" w:sz="8" w:space="0"/>
              <w:right w:val="single" w:color="000000" w:sz="8" w:space="0"/>
            </w:tcBorders>
            <w:shd w:val="clear" w:color="auto" w:fill="auto"/>
            <w:noWrap/>
            <w:vAlign w:val="center"/>
          </w:tcPr>
          <w:p w14:paraId="7001AC94">
            <w:pPr>
              <w:keepNext w:val="0"/>
              <w:keepLines w:val="0"/>
              <w:pageBreakBefore w:val="0"/>
              <w:kinsoku/>
              <w:wordWrap/>
              <w:overflowPunct/>
              <w:topLinePunct w:val="0"/>
              <w:autoSpaceDE/>
              <w:autoSpaceDN/>
              <w:bidi w:val="0"/>
              <w:adjustRightInd/>
              <w:snapToGrid/>
              <w:spacing w:line="240" w:lineRule="auto"/>
              <w:jc w:val="both"/>
              <w:rPr>
                <w:rFonts w:hint="eastAsia" w:ascii="宋体" w:hAnsi="宋体" w:eastAsia="宋体" w:cs="宋体"/>
                <w:i w:val="0"/>
                <w:iCs w:val="0"/>
                <w:color w:val="auto"/>
                <w:sz w:val="21"/>
                <w:szCs w:val="21"/>
                <w:highlight w:val="none"/>
                <w:u w:val="none"/>
              </w:rPr>
            </w:pPr>
          </w:p>
        </w:tc>
        <w:tc>
          <w:tcPr>
            <w:tcW w:w="762" w:type="dxa"/>
            <w:tcBorders>
              <w:top w:val="nil"/>
              <w:left w:val="single" w:color="000000" w:sz="8" w:space="0"/>
              <w:bottom w:val="single" w:color="000000" w:sz="8" w:space="0"/>
              <w:right w:val="single" w:color="000000" w:sz="8" w:space="0"/>
            </w:tcBorders>
            <w:shd w:val="clear" w:color="auto" w:fill="auto"/>
            <w:noWrap/>
            <w:vAlign w:val="center"/>
          </w:tcPr>
          <w:p w14:paraId="0EFB542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1"/>
                <w:szCs w:val="21"/>
                <w:highlight w:val="none"/>
                <w:u w:val="none"/>
              </w:rPr>
            </w:pPr>
          </w:p>
        </w:tc>
        <w:tc>
          <w:tcPr>
            <w:tcW w:w="1058" w:type="dxa"/>
            <w:tcBorders>
              <w:top w:val="nil"/>
              <w:left w:val="single" w:color="000000" w:sz="8" w:space="0"/>
              <w:bottom w:val="single" w:color="000000" w:sz="8" w:space="0"/>
              <w:right w:val="single" w:color="000000" w:sz="8" w:space="0"/>
            </w:tcBorders>
            <w:shd w:val="clear" w:color="auto" w:fill="auto"/>
            <w:noWrap/>
            <w:vAlign w:val="center"/>
          </w:tcPr>
          <w:p w14:paraId="0135A4D2">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800000</w:t>
            </w:r>
          </w:p>
        </w:tc>
      </w:tr>
      <w:tr w14:paraId="189F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9304" w:type="dxa"/>
            <w:gridSpan w:val="8"/>
            <w:tcBorders>
              <w:top w:val="nil"/>
              <w:left w:val="single" w:color="000000" w:sz="8" w:space="0"/>
              <w:bottom w:val="single" w:color="000000" w:sz="8" w:space="0"/>
              <w:right w:val="single" w:color="000000" w:sz="8" w:space="0"/>
            </w:tcBorders>
            <w:shd w:val="clear" w:color="auto" w:fill="auto"/>
            <w:noWrap/>
            <w:vAlign w:val="center"/>
          </w:tcPr>
          <w:p w14:paraId="0210973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 xml:space="preserve">1. </w:t>
            </w:r>
            <w:r>
              <w:rPr>
                <w:rFonts w:hint="eastAsia" w:ascii="宋体" w:hAnsi="宋体" w:eastAsia="宋体" w:cs="宋体"/>
                <w:i w:val="0"/>
                <w:iCs w:val="0"/>
                <w:color w:val="auto"/>
                <w:kern w:val="0"/>
                <w:sz w:val="21"/>
                <w:szCs w:val="21"/>
                <w:highlight w:val="none"/>
                <w:u w:val="none"/>
                <w:lang w:val="en-US" w:eastAsia="zh-CN"/>
              </w:rPr>
              <w:t>备注：项目竣工后，由成交供应商负责完成计量校准、实验室安全检测、环保达标检测，并提供完整有效的合格报告；学校组织纪委监委及相关职能部门对项目进行综合竣工验收，所有验收合格并完成交付手续后，项目方可正式投入运行，确保实训教学安全、规范、可持续开展。</w:t>
            </w:r>
          </w:p>
        </w:tc>
      </w:tr>
    </w:tbl>
    <w:p w14:paraId="1FF832FC">
      <w:pPr>
        <w:rPr>
          <w:rFonts w:hint="eastAsia" w:ascii="宋体" w:hAnsi="宋体" w:cs="宋体"/>
          <w:b/>
          <w:sz w:val="24"/>
          <w:highlight w:val="none"/>
          <w:lang w:val="en-US" w:eastAsia="zh-CN"/>
        </w:rPr>
      </w:pPr>
      <w:r>
        <w:rPr>
          <w:rFonts w:hint="eastAsia" w:ascii="宋体" w:hAnsi="宋体" w:cs="宋体"/>
          <w:b/>
          <w:sz w:val="24"/>
          <w:highlight w:val="none"/>
          <w:lang w:val="en-US" w:eastAsia="zh-CN"/>
        </w:rPr>
        <w:br w:type="page"/>
      </w:r>
    </w:p>
    <w:p w14:paraId="433C981A">
      <w:pPr>
        <w:numPr>
          <w:ilvl w:val="0"/>
          <w:numId w:val="0"/>
        </w:numPr>
        <w:ind w:left="0" w:leftChars="0" w:firstLine="0" w:firstLineChars="0"/>
        <w:outlineLvl w:val="2"/>
        <w:rPr>
          <w:rFonts w:hint="eastAsia" w:ascii="宋体" w:hAnsi="宋体" w:cs="宋体"/>
          <w:b/>
          <w:sz w:val="24"/>
          <w:highlight w:val="none"/>
          <w:lang w:val="en-US" w:eastAsia="zh-CN"/>
        </w:rPr>
      </w:pPr>
      <w:r>
        <w:rPr>
          <w:rFonts w:hint="eastAsia" w:ascii="宋体" w:hAnsi="宋体" w:cs="宋体"/>
          <w:b/>
          <w:sz w:val="24"/>
          <w:highlight w:val="none"/>
          <w:lang w:val="en-US" w:eastAsia="zh-CN"/>
        </w:rPr>
        <w:t>3包：文旅综合基础实训室建设项目</w:t>
      </w:r>
    </w:p>
    <w:tbl>
      <w:tblPr>
        <w:tblStyle w:val="41"/>
        <w:tblW w:w="9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80"/>
        <w:gridCol w:w="720"/>
        <w:gridCol w:w="5400"/>
        <w:gridCol w:w="480"/>
        <w:gridCol w:w="960"/>
        <w:gridCol w:w="480"/>
        <w:gridCol w:w="1087"/>
      </w:tblGrid>
      <w:tr w14:paraId="2BF7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CFCEBCB">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i w:val="0"/>
                <w:iCs w:val="0"/>
                <w:color w:val="000000"/>
                <w:kern w:val="0"/>
                <w:sz w:val="21"/>
                <w:szCs w:val="21"/>
                <w:highlight w:val="none"/>
                <w:u w:val="none"/>
                <w:lang w:val="en-US" w:eastAsia="zh-CN" w:bidi="ar"/>
              </w:rPr>
            </w:pPr>
            <w:bookmarkStart w:id="215" w:name="OLE_LINK2"/>
            <w:r>
              <w:rPr>
                <w:rFonts w:hint="eastAsia" w:ascii="宋体" w:hAnsi="宋体" w:eastAsia="宋体" w:cs="宋体"/>
                <w:i w:val="0"/>
                <w:iCs w:val="0"/>
                <w:color w:val="000000"/>
                <w:kern w:val="0"/>
                <w:sz w:val="21"/>
                <w:szCs w:val="21"/>
                <w:highlight w:val="none"/>
                <w:u w:val="none"/>
                <w:lang w:val="en-US" w:eastAsia="zh-CN" w:bidi="ar"/>
              </w:rPr>
              <w:t>序号</w:t>
            </w:r>
          </w:p>
        </w:tc>
        <w:tc>
          <w:tcPr>
            <w:tcW w:w="720" w:type="dxa"/>
            <w:noWrap w:val="0"/>
            <w:tcMar>
              <w:top w:w="60" w:type="dxa"/>
              <w:left w:w="120" w:type="dxa"/>
              <w:bottom w:w="30" w:type="dxa"/>
              <w:right w:w="120" w:type="dxa"/>
            </w:tcMar>
            <w:vAlign w:val="center"/>
          </w:tcPr>
          <w:p w14:paraId="1376A982">
            <w:pPr>
              <w:keepNext w:val="0"/>
              <w:keepLines w:val="0"/>
              <w:pageBreakBefore w:val="0"/>
              <w:widowControl/>
              <w:suppressLineNumbers w:val="0"/>
              <w:kinsoku/>
              <w:wordWrap/>
              <w:overflowPunct/>
              <w:topLinePunct w:val="0"/>
              <w:autoSpaceDE/>
              <w:autoSpaceDN/>
              <w:bidi w:val="0"/>
              <w:adjustRightIn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设备名称／支出项目</w:t>
            </w:r>
          </w:p>
        </w:tc>
        <w:tc>
          <w:tcPr>
            <w:tcW w:w="5400" w:type="dxa"/>
            <w:noWrap w:val="0"/>
            <w:tcMar>
              <w:top w:w="60" w:type="dxa"/>
              <w:left w:w="120" w:type="dxa"/>
              <w:bottom w:w="30" w:type="dxa"/>
              <w:right w:w="120" w:type="dxa"/>
            </w:tcMar>
            <w:vAlign w:val="center"/>
          </w:tcPr>
          <w:p w14:paraId="31E62B01">
            <w:pPr>
              <w:keepNext w:val="0"/>
              <w:keepLines w:val="0"/>
              <w:pageBreakBefore w:val="0"/>
              <w:widowControl/>
              <w:suppressLineNumbers w:val="0"/>
              <w:kinsoku/>
              <w:wordWrap/>
              <w:overflowPunct/>
              <w:topLinePunct w:val="0"/>
              <w:autoSpaceDE/>
              <w:autoSpaceDN/>
              <w:bidi w:val="0"/>
              <w:adjustRightIn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型号规格／支出用途概述</w:t>
            </w:r>
          </w:p>
        </w:tc>
        <w:tc>
          <w:tcPr>
            <w:tcW w:w="480" w:type="dxa"/>
            <w:noWrap w:val="0"/>
            <w:tcMar>
              <w:top w:w="60" w:type="dxa"/>
              <w:left w:w="120" w:type="dxa"/>
              <w:bottom w:w="30" w:type="dxa"/>
              <w:right w:w="120" w:type="dxa"/>
            </w:tcMar>
            <w:vAlign w:val="center"/>
          </w:tcPr>
          <w:p w14:paraId="1AA34F2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单位</w:t>
            </w:r>
          </w:p>
        </w:tc>
        <w:tc>
          <w:tcPr>
            <w:tcW w:w="960" w:type="dxa"/>
            <w:noWrap w:val="0"/>
            <w:tcMar>
              <w:top w:w="60" w:type="dxa"/>
              <w:left w:w="120" w:type="dxa"/>
              <w:bottom w:w="30" w:type="dxa"/>
              <w:right w:w="120" w:type="dxa"/>
            </w:tcMar>
            <w:vAlign w:val="center"/>
          </w:tcPr>
          <w:p w14:paraId="0869295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单价（元）</w:t>
            </w:r>
          </w:p>
        </w:tc>
        <w:tc>
          <w:tcPr>
            <w:tcW w:w="480" w:type="dxa"/>
            <w:noWrap w:val="0"/>
            <w:tcMar>
              <w:top w:w="60" w:type="dxa"/>
              <w:left w:w="120" w:type="dxa"/>
              <w:bottom w:w="30" w:type="dxa"/>
              <w:right w:w="120" w:type="dxa"/>
            </w:tcMar>
            <w:vAlign w:val="center"/>
          </w:tcPr>
          <w:p w14:paraId="6B6B79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数量</w:t>
            </w:r>
          </w:p>
        </w:tc>
        <w:tc>
          <w:tcPr>
            <w:tcW w:w="1087" w:type="dxa"/>
            <w:noWrap w:val="0"/>
            <w:tcMar>
              <w:top w:w="60" w:type="dxa"/>
              <w:left w:w="120" w:type="dxa"/>
              <w:bottom w:w="30" w:type="dxa"/>
              <w:right w:w="120" w:type="dxa"/>
            </w:tcMar>
            <w:vAlign w:val="center"/>
          </w:tcPr>
          <w:p w14:paraId="63C927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合计金额（元）</w:t>
            </w:r>
          </w:p>
        </w:tc>
      </w:tr>
      <w:tr w14:paraId="7469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6D828D3">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w:t>
            </w:r>
          </w:p>
        </w:tc>
        <w:tc>
          <w:tcPr>
            <w:tcW w:w="720" w:type="dxa"/>
            <w:noWrap w:val="0"/>
            <w:tcMar>
              <w:top w:w="60" w:type="dxa"/>
              <w:left w:w="120" w:type="dxa"/>
              <w:bottom w:w="30" w:type="dxa"/>
              <w:right w:w="120" w:type="dxa"/>
            </w:tcMar>
            <w:vAlign w:val="center"/>
          </w:tcPr>
          <w:p w14:paraId="0CDB037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智慧演讲台</w:t>
            </w:r>
          </w:p>
        </w:tc>
        <w:tc>
          <w:tcPr>
            <w:tcW w:w="5400" w:type="dxa"/>
            <w:noWrap w:val="0"/>
            <w:tcMar>
              <w:top w:w="60" w:type="dxa"/>
              <w:left w:w="120" w:type="dxa"/>
              <w:bottom w:w="30" w:type="dxa"/>
              <w:right w:w="120" w:type="dxa"/>
            </w:tcMar>
            <w:vAlign w:val="center"/>
          </w:tcPr>
          <w:p w14:paraId="708EF81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1、输入端口：USB3.0≥2，MIC IN（6.5mm）≥1，RJ45≥1，内置无线WiFi；输出端口：HDMI2.0≥1，AUDIO OUT（3.5mm）≥1；支持6.5mm有线降噪话筒以及2.4G无线话筒输入；</w:t>
            </w:r>
          </w:p>
          <w:p w14:paraId="15F8BB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2、触控延时≤10ms，触摸精度≤2.5mm，支持多点触控；屏幕分辨率≥1920*1080，亮度(Typ)≥250 cd/㎡，可视角度≥178°，对比度（Typ）≥1000:1，显示比例为16:9；</w:t>
            </w:r>
          </w:p>
          <w:p w14:paraId="2326036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3、集成可插拔高品质鹅颈电容麦克风1支、可插拔鹅颈LED暖光灯1支；内置2*10W音响模块，附有低音振膜，声音靓丽；</w:t>
            </w:r>
          </w:p>
          <w:p w14:paraId="543DA9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4、配送移动电子教鞭，支持PPT翻页、超链接等功能，可实现100m超远距离控制，激光教鞭提示醒目；</w:t>
            </w:r>
          </w:p>
          <w:p w14:paraId="3E11918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5、台面上设有置放槽；左右采用不锈钢扶手设计；搭载4个医用万向福马轮，移动方便，支持刹车；</w:t>
            </w:r>
          </w:p>
          <w:p w14:paraId="25DA0AC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6、集成锂电续航功能，续航时间≥5小时，支持液晶显示剩余电量，支持断电自动切换，无需重新开机;（选配项）。</w:t>
            </w:r>
          </w:p>
          <w:p w14:paraId="25A544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7、讲台集成智慧互动软件：</w:t>
            </w:r>
          </w:p>
          <w:p w14:paraId="5A6728E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 软件无缝衔接讲台、一体机、互动黑板、平板、手机等，可无线同屏连接1个平板/手机，可无线同屏、切换屏和自由触控批注、保存；将传统的PPT、WORD、EXCEL、Visio、Project、PDF、高清图片、高清视频、网页等9大数多媒体转化为可互动的多媒体。</w:t>
            </w:r>
          </w:p>
          <w:p w14:paraId="1793659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②. 软件具有录播功能、电子白板、画笔功能、演示飞屏功能、记时功能、截屏功能、一键退出软件并关闭电脑功能、主功能区可缩小拖放功能。</w:t>
            </w:r>
          </w:p>
        </w:tc>
        <w:tc>
          <w:tcPr>
            <w:tcW w:w="480" w:type="dxa"/>
            <w:noWrap w:val="0"/>
            <w:tcMar>
              <w:top w:w="60" w:type="dxa"/>
              <w:left w:w="120" w:type="dxa"/>
              <w:bottom w:w="30" w:type="dxa"/>
              <w:right w:w="120" w:type="dxa"/>
            </w:tcMar>
            <w:vAlign w:val="center"/>
          </w:tcPr>
          <w:p w14:paraId="59CFD3E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68DE72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32000</w:t>
            </w:r>
          </w:p>
        </w:tc>
        <w:tc>
          <w:tcPr>
            <w:tcW w:w="480" w:type="dxa"/>
            <w:noWrap w:val="0"/>
            <w:tcMar>
              <w:top w:w="60" w:type="dxa"/>
              <w:left w:w="120" w:type="dxa"/>
              <w:bottom w:w="30" w:type="dxa"/>
              <w:right w:w="120" w:type="dxa"/>
            </w:tcMar>
            <w:vAlign w:val="center"/>
          </w:tcPr>
          <w:p w14:paraId="381AAE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0E458B5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32000</w:t>
            </w:r>
          </w:p>
        </w:tc>
      </w:tr>
      <w:tr w14:paraId="3A6C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D58B3AB">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20" w:type="dxa"/>
            <w:noWrap w:val="0"/>
            <w:tcMar>
              <w:top w:w="60" w:type="dxa"/>
              <w:left w:w="120" w:type="dxa"/>
              <w:bottom w:w="30" w:type="dxa"/>
              <w:right w:w="120" w:type="dxa"/>
            </w:tcMar>
            <w:vAlign w:val="center"/>
          </w:tcPr>
          <w:p w14:paraId="4FD1227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24口交换机</w:t>
            </w:r>
          </w:p>
        </w:tc>
        <w:tc>
          <w:tcPr>
            <w:tcW w:w="5400" w:type="dxa"/>
            <w:noWrap w:val="0"/>
            <w:tcMar>
              <w:top w:w="60" w:type="dxa"/>
              <w:left w:w="120" w:type="dxa"/>
              <w:bottom w:w="30" w:type="dxa"/>
              <w:right w:w="120" w:type="dxa"/>
            </w:tcMar>
            <w:vAlign w:val="center"/>
          </w:tcPr>
          <w:p w14:paraId="500D8F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1、≥24个10/100/1000M电口（支持POE供电），≥4个千兆光电复用口，≥1个Console口</w:t>
            </w:r>
          </w:p>
          <w:p w14:paraId="15B4F04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2、交换容量≥336Gbps，包转发率126Mpps；</w:t>
            </w:r>
          </w:p>
          <w:p w14:paraId="38D0A13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3、MAC表容量≥8k；</w:t>
            </w:r>
          </w:p>
          <w:p w14:paraId="64016EF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4、POE输出最大功率≥370W</w:t>
            </w:r>
          </w:p>
          <w:p w14:paraId="62B852C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5、要求支持工作温度，低温≤-20℃，高温≥65℃（提供由第三方检测报告复印件）</w:t>
            </w:r>
          </w:p>
          <w:p w14:paraId="5BE839F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6、支持 IEEE 802.1Q标准VLAN；</w:t>
            </w:r>
          </w:p>
          <w:p w14:paraId="688C7DE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7、支持IEEE802.3af/at供电标准；</w:t>
            </w:r>
          </w:p>
          <w:p w14:paraId="44AFB29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8、支持STP/RSTP</w:t>
            </w:r>
          </w:p>
          <w:p w14:paraId="075C30A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9、支持 IGMP Snooping v1/v2</w:t>
            </w:r>
          </w:p>
          <w:p w14:paraId="1850706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支持端口聚合</w:t>
            </w:r>
          </w:p>
          <w:p w14:paraId="0EACB25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支持端口限速</w:t>
            </w:r>
          </w:p>
          <w:p w14:paraId="517807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10、为快速解决终端故障，降低维护成本，应支持端口智能重启设置选项，即当开启该功能后，对获取不到流量信息的端口自动重启（</w:t>
            </w:r>
            <w:r>
              <w:rPr>
                <w:rFonts w:hint="eastAsia" w:ascii="宋体" w:hAnsi="宋体" w:eastAsia="宋体" w:cs="宋体"/>
                <w:sz w:val="21"/>
                <w:szCs w:val="21"/>
                <w:highlight w:val="none"/>
                <w:lang w:eastAsia="zh-CN"/>
              </w:rPr>
              <w:t>要求供应商提供功能截图或其他证明文件</w:t>
            </w:r>
            <w:r>
              <w:rPr>
                <w:rFonts w:hint="eastAsia" w:ascii="宋体" w:hAnsi="宋体" w:eastAsia="宋体" w:cs="宋体"/>
                <w:sz w:val="21"/>
                <w:szCs w:val="21"/>
                <w:highlight w:val="none"/>
              </w:rPr>
              <w:t>）</w:t>
            </w:r>
          </w:p>
          <w:p w14:paraId="6D80AE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11、支持环路的蜂鸣声告警，在出现环路时，交换机应发出蜂鸣告警声，环路消除时会停止蜂鸣告警（提供第三方检测报告复印件）</w:t>
            </w:r>
          </w:p>
          <w:p w14:paraId="47C3DC3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12、支持POE端口定时供电</w:t>
            </w:r>
          </w:p>
          <w:p w14:paraId="179D99D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支持查看POE交换机端口电压、电流、功率信息；</w:t>
            </w:r>
          </w:p>
          <w:p w14:paraId="066766E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13、支持端口隔离</w:t>
            </w:r>
          </w:p>
          <w:p w14:paraId="7F7C1C0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14、支持DHCP Snooping</w:t>
            </w:r>
          </w:p>
          <w:p w14:paraId="7914F7D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15、支持未知单播、组播、广播的风暴抑制</w:t>
            </w:r>
          </w:p>
          <w:p w14:paraId="671669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16、支持WEB、CLI、Telnet管理；</w:t>
            </w:r>
          </w:p>
          <w:p w14:paraId="41BCBF4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17、要求交换机预留对接网管平台协议接口，可配合上端管理平台直观展示交换机端口面板图，可显示端口的状态及端口所连接设备的类型（</w:t>
            </w:r>
            <w:r>
              <w:rPr>
                <w:rFonts w:hint="eastAsia" w:ascii="宋体" w:hAnsi="宋体" w:eastAsia="宋体" w:cs="宋体"/>
                <w:sz w:val="21"/>
                <w:szCs w:val="21"/>
                <w:highlight w:val="none"/>
                <w:lang w:eastAsia="zh-CN"/>
              </w:rPr>
              <w:t>提供第三方检测报告复印件</w:t>
            </w:r>
            <w:r>
              <w:rPr>
                <w:rFonts w:hint="eastAsia" w:ascii="宋体" w:hAnsi="宋体" w:eastAsia="宋体" w:cs="宋体"/>
                <w:sz w:val="21"/>
                <w:szCs w:val="21"/>
                <w:highlight w:val="none"/>
              </w:rPr>
              <w:t>）；</w:t>
            </w:r>
          </w:p>
          <w:p w14:paraId="525298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要求交换机预留对接网管平台协议接口，可配合上端管理平台自动识别安防终端、办公终端的功能，当IPC、门禁、对讲、报警、道闸、NVR、电脑、AP、打印机、考勤机、IP电话接入到交换机上，可自动识别到这些类型，并能查看这些类型设备的IP、MAC、品牌、型号、端口位置、流量信息，针对IPC可识别其通道名称信息（</w:t>
            </w:r>
            <w:r>
              <w:rPr>
                <w:rFonts w:hint="eastAsia" w:ascii="宋体" w:hAnsi="宋体" w:eastAsia="宋体" w:cs="宋体"/>
                <w:sz w:val="21"/>
                <w:szCs w:val="21"/>
                <w:highlight w:val="none"/>
                <w:lang w:eastAsia="zh-CN"/>
              </w:rPr>
              <w:t>提供第三方检测报告复印件</w:t>
            </w:r>
            <w:r>
              <w:rPr>
                <w:rFonts w:hint="eastAsia" w:ascii="宋体" w:hAnsi="宋体" w:eastAsia="宋体" w:cs="宋体"/>
                <w:sz w:val="21"/>
                <w:szCs w:val="21"/>
                <w:highlight w:val="none"/>
              </w:rPr>
              <w:t>）；</w:t>
            </w:r>
          </w:p>
          <w:p w14:paraId="51FADE1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19、为保障业务快速上线及后期管理维护，要求交换机预留对接网管平台协议接口，应支持被手机扫描特定二维码被添加到管理平台的功能，被手机下发IP、VLAN的功能（</w:t>
            </w:r>
            <w:r>
              <w:rPr>
                <w:rFonts w:hint="eastAsia" w:ascii="宋体" w:hAnsi="宋体" w:eastAsia="宋体" w:cs="宋体"/>
                <w:sz w:val="21"/>
                <w:szCs w:val="21"/>
                <w:highlight w:val="none"/>
                <w:lang w:eastAsia="zh-CN"/>
              </w:rPr>
              <w:t>提供第三方检测报告复印件</w:t>
            </w:r>
            <w:r>
              <w:rPr>
                <w:rFonts w:hint="eastAsia" w:ascii="宋体" w:hAnsi="宋体" w:eastAsia="宋体" w:cs="宋体"/>
                <w:sz w:val="21"/>
                <w:szCs w:val="21"/>
                <w:highlight w:val="none"/>
              </w:rPr>
              <w:t>）；</w:t>
            </w:r>
          </w:p>
          <w:p w14:paraId="58F0132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20、支持云端管理；</w:t>
            </w:r>
          </w:p>
        </w:tc>
        <w:tc>
          <w:tcPr>
            <w:tcW w:w="480" w:type="dxa"/>
            <w:noWrap w:val="0"/>
            <w:tcMar>
              <w:top w:w="60" w:type="dxa"/>
              <w:left w:w="120" w:type="dxa"/>
              <w:bottom w:w="30" w:type="dxa"/>
              <w:right w:w="120" w:type="dxa"/>
            </w:tcMar>
            <w:vAlign w:val="center"/>
          </w:tcPr>
          <w:p w14:paraId="6CA6472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1F412D4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4200</w:t>
            </w:r>
          </w:p>
        </w:tc>
        <w:tc>
          <w:tcPr>
            <w:tcW w:w="480" w:type="dxa"/>
            <w:noWrap w:val="0"/>
            <w:tcMar>
              <w:top w:w="60" w:type="dxa"/>
              <w:left w:w="120" w:type="dxa"/>
              <w:bottom w:w="30" w:type="dxa"/>
              <w:right w:w="120" w:type="dxa"/>
            </w:tcMar>
            <w:vAlign w:val="center"/>
          </w:tcPr>
          <w:p w14:paraId="029A29B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35CB8C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8400</w:t>
            </w:r>
          </w:p>
        </w:tc>
      </w:tr>
      <w:tr w14:paraId="206B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E027EE2">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20" w:type="dxa"/>
            <w:noWrap w:val="0"/>
            <w:tcMar>
              <w:top w:w="60" w:type="dxa"/>
              <w:left w:w="120" w:type="dxa"/>
              <w:bottom w:w="30" w:type="dxa"/>
              <w:right w:w="120" w:type="dxa"/>
            </w:tcMar>
            <w:vAlign w:val="center"/>
          </w:tcPr>
          <w:p w14:paraId="7BFBB8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电子教室</w:t>
            </w:r>
          </w:p>
        </w:tc>
        <w:tc>
          <w:tcPr>
            <w:tcW w:w="5400" w:type="dxa"/>
            <w:noWrap w:val="0"/>
            <w:tcMar>
              <w:top w:w="60" w:type="dxa"/>
              <w:left w:w="120" w:type="dxa"/>
              <w:bottom w:w="30" w:type="dxa"/>
              <w:right w:w="120" w:type="dxa"/>
            </w:tcMar>
            <w:vAlign w:val="center"/>
          </w:tcPr>
          <w:p w14:paraId="7055B4E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面向电脑网络教学和培训任务提供一系列完善和实用的功能：</w:t>
            </w:r>
          </w:p>
          <w:p w14:paraId="3EEE1C2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 教师演示：将「教师机」的屏幕图象内容同步广播到网络上的「学生机」上；</w:t>
            </w:r>
          </w:p>
          <w:p w14:paraId="08406B8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2、学生示范：随时点播学生机进入「教师机」角色，向其他学生进行示范操作；</w:t>
            </w:r>
          </w:p>
          <w:p w14:paraId="4350298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3、黑屏肃静：可以将指定或全部电脑的鼠标和键盘锁定，使学生集中精神听讲；</w:t>
            </w:r>
          </w:p>
          <w:p w14:paraId="505657B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4、网络影院：网络上同步播放多媒体视频节目；</w:t>
            </w:r>
          </w:p>
          <w:p w14:paraId="6239CB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 屏幕监视：对教室里的任何学生机进行屏幕图象监视，并可以同屏监视、循环监视；</w:t>
            </w:r>
          </w:p>
          <w:p w14:paraId="0FE7001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6、遥控辅导：直接操作学生机进行远程控制，可以用于管理，也可以进行手把手教学；</w:t>
            </w:r>
          </w:p>
          <w:p w14:paraId="15FD75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7、提交作业：配合教师机的文件传输功能，实现了学生作业的网上分发与提交；</w:t>
            </w:r>
          </w:p>
          <w:p w14:paraId="5BE08B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 电子抢答：帮助学生在趣味竞赛中学习，并协助教师及时检验学习效果，发现问题；</w:t>
            </w:r>
          </w:p>
          <w:p w14:paraId="376739D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9、上线情况：上线、未上线、网络掉线等各种学生上线情况；</w:t>
            </w:r>
          </w:p>
          <w:p w14:paraId="3B44AB6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10、文件传输：同步传输文件到远端学生机上，并且能在传完后直接打开或运行；</w:t>
            </w:r>
          </w:p>
          <w:p w14:paraId="48BA15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远程命令：直接启动学生机的记事本、WORD之类的应用程序；</w:t>
            </w:r>
          </w:p>
          <w:p w14:paraId="71D1F1C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其他工具：远程开关机和重启、电子举手等多种辅助功能；</w:t>
            </w:r>
          </w:p>
        </w:tc>
        <w:tc>
          <w:tcPr>
            <w:tcW w:w="480" w:type="dxa"/>
            <w:noWrap w:val="0"/>
            <w:tcMar>
              <w:top w:w="60" w:type="dxa"/>
              <w:left w:w="120" w:type="dxa"/>
              <w:bottom w:w="30" w:type="dxa"/>
              <w:right w:w="120" w:type="dxa"/>
            </w:tcMar>
            <w:vAlign w:val="center"/>
          </w:tcPr>
          <w:p w14:paraId="5F76A3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428ED33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12000</w:t>
            </w:r>
          </w:p>
        </w:tc>
        <w:tc>
          <w:tcPr>
            <w:tcW w:w="480" w:type="dxa"/>
            <w:noWrap w:val="0"/>
            <w:tcMar>
              <w:top w:w="60" w:type="dxa"/>
              <w:left w:w="120" w:type="dxa"/>
              <w:bottom w:w="30" w:type="dxa"/>
              <w:right w:w="120" w:type="dxa"/>
            </w:tcMar>
            <w:vAlign w:val="center"/>
          </w:tcPr>
          <w:p w14:paraId="598A46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0CE696E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12000</w:t>
            </w:r>
          </w:p>
        </w:tc>
      </w:tr>
      <w:tr w14:paraId="2D86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1007C974">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20" w:type="dxa"/>
            <w:noWrap w:val="0"/>
            <w:tcMar>
              <w:top w:w="60" w:type="dxa"/>
              <w:left w:w="120" w:type="dxa"/>
              <w:bottom w:w="30" w:type="dxa"/>
              <w:right w:w="120" w:type="dxa"/>
            </w:tcMar>
            <w:vAlign w:val="center"/>
          </w:tcPr>
          <w:p w14:paraId="69A7D69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工位摄像头</w:t>
            </w:r>
          </w:p>
        </w:tc>
        <w:tc>
          <w:tcPr>
            <w:tcW w:w="5400" w:type="dxa"/>
            <w:noWrap w:val="0"/>
            <w:tcMar>
              <w:top w:w="60" w:type="dxa"/>
              <w:left w:w="120" w:type="dxa"/>
              <w:bottom w:w="30" w:type="dxa"/>
              <w:right w:w="120" w:type="dxa"/>
            </w:tcMar>
            <w:vAlign w:val="center"/>
          </w:tcPr>
          <w:p w14:paraId="45C63A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对焦方式：手动对焦</w:t>
            </w:r>
          </w:p>
          <w:p w14:paraId="7583860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麦 克 风 ：内置收音麦克风</w:t>
            </w:r>
          </w:p>
          <w:p w14:paraId="705E82D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可视角度： 70°（±5%）</w:t>
            </w:r>
          </w:p>
          <w:p w14:paraId="59B1F20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帧数 ：30帧</w:t>
            </w:r>
          </w:p>
          <w:p w14:paraId="491DC9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工作电流： 400MA</w:t>
            </w:r>
          </w:p>
          <w:p w14:paraId="007ACF5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兼容系统： win7/win8/win10/Linux/MacOS</w:t>
            </w:r>
          </w:p>
        </w:tc>
        <w:tc>
          <w:tcPr>
            <w:tcW w:w="480" w:type="dxa"/>
            <w:noWrap w:val="0"/>
            <w:tcMar>
              <w:top w:w="60" w:type="dxa"/>
              <w:left w:w="120" w:type="dxa"/>
              <w:bottom w:w="30" w:type="dxa"/>
              <w:right w:w="120" w:type="dxa"/>
            </w:tcMar>
            <w:vAlign w:val="center"/>
          </w:tcPr>
          <w:p w14:paraId="60889F2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1C902E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220</w:t>
            </w:r>
          </w:p>
        </w:tc>
        <w:tc>
          <w:tcPr>
            <w:tcW w:w="480" w:type="dxa"/>
            <w:noWrap w:val="0"/>
            <w:tcMar>
              <w:top w:w="60" w:type="dxa"/>
              <w:left w:w="120" w:type="dxa"/>
              <w:bottom w:w="30" w:type="dxa"/>
              <w:right w:w="120" w:type="dxa"/>
            </w:tcMar>
            <w:vAlign w:val="center"/>
          </w:tcPr>
          <w:p w14:paraId="7D6F086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36</w:t>
            </w:r>
          </w:p>
        </w:tc>
        <w:tc>
          <w:tcPr>
            <w:tcW w:w="1087" w:type="dxa"/>
            <w:noWrap w:val="0"/>
            <w:tcMar>
              <w:top w:w="60" w:type="dxa"/>
              <w:left w:w="120" w:type="dxa"/>
              <w:bottom w:w="30" w:type="dxa"/>
              <w:right w:w="120" w:type="dxa"/>
            </w:tcMar>
            <w:vAlign w:val="center"/>
          </w:tcPr>
          <w:p w14:paraId="5C85E7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7920</w:t>
            </w:r>
          </w:p>
        </w:tc>
      </w:tr>
      <w:tr w14:paraId="4BD30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E1B38E6">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720" w:type="dxa"/>
            <w:noWrap w:val="0"/>
            <w:tcMar>
              <w:top w:w="60" w:type="dxa"/>
              <w:left w:w="120" w:type="dxa"/>
              <w:bottom w:w="30" w:type="dxa"/>
              <w:right w:w="120" w:type="dxa"/>
            </w:tcMar>
            <w:vAlign w:val="center"/>
          </w:tcPr>
          <w:p w14:paraId="3B2966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MR智能导游综合实训教学平台</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核心产品</w:t>
            </w:r>
            <w:r>
              <w:rPr>
                <w:rFonts w:hint="eastAsia" w:ascii="宋体" w:hAnsi="宋体" w:eastAsia="宋体" w:cs="宋体"/>
                <w:b/>
                <w:bCs/>
                <w:sz w:val="21"/>
                <w:szCs w:val="21"/>
                <w:highlight w:val="none"/>
                <w:lang w:eastAsia="zh-CN"/>
              </w:rPr>
              <w:t>）</w:t>
            </w:r>
          </w:p>
        </w:tc>
        <w:tc>
          <w:tcPr>
            <w:tcW w:w="5400" w:type="dxa"/>
            <w:noWrap w:val="0"/>
            <w:tcMar>
              <w:top w:w="60" w:type="dxa"/>
              <w:left w:w="120" w:type="dxa"/>
              <w:bottom w:w="30" w:type="dxa"/>
              <w:right w:w="120" w:type="dxa"/>
            </w:tcMar>
            <w:vAlign w:val="center"/>
          </w:tcPr>
          <w:p w14:paraId="4440DCF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系统将学生以游客为第一视角，结合系统自主漫游功能，通过鼠标可以方便灵活的实现景区画面放大、缩小、左转、右转、仰视、俯视等一系列视点操作，将景点或景区的概貌真实展现出来</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使学生能身临其境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从而更方便开展教学;并且可以根据教学需要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对景区的布局、成熟导游线路游览、自由观赏、重要知识点等进行设置；</w:t>
            </w:r>
          </w:p>
          <w:p w14:paraId="645D33D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1.系统包括导游教学与竞赛过程中的模拟导游自主练习模式、竞赛模式、学习资源、优秀作品、实训任务、我的景点、我的作品等模块。</w:t>
            </w:r>
          </w:p>
          <w:p w14:paraId="4E8E6A3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2.系统支持自主实训与教师布置任务两种模式，两种模式均基于学校所在地现场面试景区，及其他著名景区或研学基地教学资源，及国内具有代表性景区的VR教学资源。</w:t>
            </w:r>
          </w:p>
          <w:p w14:paraId="3D191F4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3.景区720度实景必须是一个以景区为单位的完整清晰的漫游全景文件，学生可通过热点或者游览线路指示箭头直接进入下一个景点目标场景。</w:t>
            </w:r>
          </w:p>
          <w:p w14:paraId="18C9772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练习模式下，分为省份区域导航和主题分类导航两种模式，学生可通过滑动导航进入对应的VR教学资源，选择景区进行全面的学习与了解。学生可关闭系统标准导游词讲解语音或背景音乐进行模拟讲解，支持切换到VR模式进行浏览，支持视角切换功能，包括正常模式、小行星模式、水晶球模式、鱼眼模式。可对现场导游词进行创作，同时可对自己的模拟导游讲解过程进行录音录像，最终生成完整的讲解视频。</w:t>
            </w:r>
          </w:p>
          <w:p w14:paraId="2B3418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5.练习模式下，支持推荐景点进行展示，可一键快速的切换推荐景点进行景区的场景展示、导游词创作、录像保存。</w:t>
            </w:r>
          </w:p>
          <w:p w14:paraId="33ED602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6.学生可针对景区概况及讲解点，进行导游词录入，录入之后在模拟讲解时显示在三分屏上。协助学生进行模拟导游讲解。</w:t>
            </w:r>
          </w:p>
          <w:p w14:paraId="618021D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7.学生模拟导游进行录制时，可将作品通过保存上传、删除、存草稿三种状态进行存储。对于不满意的作品可进行反复训练和修正，直至练习满意后，提交老师。</w:t>
            </w:r>
          </w:p>
          <w:p w14:paraId="3E7CC2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学生可将存草稿的作品进行播放、删除及上传操作。播放模式下支持随时暂停操作，支持将保存本地的视频进行上传，同时选择作品类型，选择景点（包含搜索景点名称）进行选择，同时输入视频标题及视频描述进行提交上传。</w:t>
            </w:r>
          </w:p>
          <w:p w14:paraId="1419CCC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竞赛考证分为竞赛模式和考证模式两种，竞赛模式以全国职业院校技能大赛导游服务赛项为背景，分为自选景点讲解，导游词创作及英语口语测试三个模块，考证模式以导游证考试为背景，分为抽取景点及导游知识问答两个模块。</w:t>
            </w:r>
          </w:p>
          <w:p w14:paraId="11A2601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10.自选景点讲解模块，学生可从本地读取ppt文件上传到系统进行播放，学生可根据ppt内容进行讲解录制，录制完成后可将作品通过保存上传、删除、存草稿三种状态进行存储。</w:t>
            </w:r>
          </w:p>
          <w:p w14:paraId="55CA89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导游模拟词创作分为随机模式及自选模式，随机模式内含50种旅游文化元素与5个团型进行组合抽取。同时系统具备抽取记录，可针对以往抽取记录进行重组导游词。学生针对抽取到的文化元素和团型进行现场创作导游词，根据创作的导游词进行现场展示讲解，学生创作导游词后，可查看个人创作记录，并可根据导游词进行讲解，同时副屏显示导游词。学生也可将讲解过程进行录制，录制完成后可将作品通过保存上传、删除、存草稿三种状态进行存储。自选模式支持自有选择文化元素及团型进行现场创作，进行编写导游词，进行现场展示及录制保存。</w:t>
            </w:r>
          </w:p>
          <w:p w14:paraId="3721834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12.系统具备旅游英语口语测试实训功能，每年依据全国及云南省职业院校技能大赛导游服务赛项更新旅游英语口语测试题库，提供旅游英语口语实训场景，实训方式为人机跟读和情景对话。</w:t>
            </w:r>
          </w:p>
          <w:p w14:paraId="1FDC66A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考证模式分为抽取景点及导游知识问答两个模块，支持抽取景点进行现场讲解，根据景点题库进行赛选，在当前目录下随机抽取的景点进行播放讲解，考试讲解的内容支持分屏展示并支持全过程录音录像，最终生成完整的讲解视频。录制完成后可将作品通过保存上传、删除、存草稿三种状态进行存储。支持根据科目一、科目二、科目三、科目四进行理论测试，对理论支持进行现场作答，支持调用计算器，支持答题卡快速选择，答题完毕后进行试卷提交。</w:t>
            </w:r>
          </w:p>
          <w:p w14:paraId="10583B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个人设置模块分为我的资料、我的考试、消息中心、我的上传及退出，支持对个人密码就行修改操作，支持查看个人信息。我的考试模块展示每次考试的时间及时长和最终得分，支持查看答题的详细试卷，展示自选答案、参考答案及答案解析，难题答案解析需标注本题对应课本的详细页数及重要度。我的上传模块展示上传至教师端的作品。</w:t>
            </w:r>
          </w:p>
          <w:p w14:paraId="0289102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学习资源主要针对系统自带和教师上传的教学资源给到学生进行学习，包含导考大纲解读视频、三轮复习法讲解视频、面试考试流程讲解视频、速成法讲解视频、导游词撰写讲解视频、面试考试流程讲解视频、科目一讲解视频（科目一讲解视频为政策法规18章讲解视频，讲解的视频需根据章节分为小节进行讲解，总讲解视频不低于60个）、科目二讲解视频（科目二讲解视频为导游业务18章讲解视频，讲解的视频需根据章节分为小节进行讲解，总讲解视频不低于35个）、科目三讲解视频（科目三讲解视频为全国导游基础11章讲解视频，讲解的视频需根据章节分为小节进行讲解，总讲解视频不低于30个）、科目四讲解视频（科目四讲解视频为地方导游基础8章讲解视频，讲解的视频需根据章节分为小节进行讲解，总讲解视频不低于30个）。</w:t>
            </w:r>
          </w:p>
          <w:p w14:paraId="425ACF3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16.优秀作品模块由教师选择后显示在优秀作品模块，针对作品的类型进行了细分类：景点作品、导游词创作、自选作品三类。学生可以观看优秀的作品，同时可以发表看法。</w:t>
            </w:r>
          </w:p>
          <w:p w14:paraId="15F0806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实训任务模块教师通过教师端发布实训任务内容包括（景点、相关附件、文字介绍）推送至学生端，学生在实训任务模块下根据要求完成相关作品的上传，等待教师的批阅，教师收到学生的回答后，可进行批阅，等级评价，评论回复。</w:t>
            </w:r>
          </w:p>
          <w:p w14:paraId="25AE20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18.我的景点模块主要针对学生在景点练习时对需要经常练习的景点进行收藏，方便下次登录系统时，第一时间快速找到相应景点并进行现场景点展示、导游词创作及录屏保存功能。</w:t>
            </w:r>
          </w:p>
          <w:p w14:paraId="57F5321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19.我的作品模块展示学生创作的景点作品、导游词创作作品、现场模拟作品，草稿箱保存暂未发布的作品，删除的作品保存在回收站，短期内可以恢复。</w:t>
            </w:r>
          </w:p>
          <w:p w14:paraId="2C654FE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20.系统用户按用户权限分为教师和学生，各用户可在同一局域网且同一网关下实现远程访问；支持对系统参数进行设定，支持对管理部门进行设定，支持新增及管理教师账户，支持新增及管理学生账户。</w:t>
            </w:r>
          </w:p>
          <w:p w14:paraId="22CC3B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21.作品管理模块分为景点作品、导游词创作、自选景点，教师可查看所带班级学生相关作品，进行打分，设置优秀作品。教师可查看学生上传的作品，对学生作品进行评分、设置成优秀作品并填写相关评语。</w:t>
            </w:r>
          </w:p>
          <w:p w14:paraId="0413D6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实训管理模块分为实训安排及实训统计，支持选择景点，时间，部门进行新增实训任务。实训统计可对教师发布的实训任务进行统计展示，并查阅学生完成情况、查看作品视频、实训得分，批改状态，批改作品。</w:t>
            </w:r>
          </w:p>
          <w:p w14:paraId="5633E5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23.可对学生端的学习资源进行管理，对资源进行分类，上传学习资源，完善资源的授课章节及授课内容。</w:t>
            </w:r>
          </w:p>
          <w:p w14:paraId="24F835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可对导游题库进行管理，支持新增题库目录，支持批量导入试题，支持根据题库类别、题型、编号及关键词进行赛选题目进行查看，需包含题目、选项、答案及解析，解析需精准体现本题所在书本页数。可查看所有学生的考试情况，并自动统计考试得分，支持查看学生考试作答详细情况。</w:t>
            </w:r>
          </w:p>
          <w:p w14:paraId="77DB84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英语口语管理分为英语题库、英语口语、英语问答三个模块，可对题库进行新增，支持新增口语及问答，问答设置上传答案关键词，学生进行英语口语跟读，英语口语测试，英语问答训练时，系统自动给出评分。</w:t>
            </w:r>
          </w:p>
          <w:p w14:paraId="06D4561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26.全国导游技能大赛导游词创作比赛环节赛导游词创作：80个旅游文化元素及10个团型的不同组合创作不同风格的导游词范例800篇</w:t>
            </w:r>
          </w:p>
          <w:p w14:paraId="25E3818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27.导游专业课程视频教学资源库：</w:t>
            </w:r>
          </w:p>
          <w:p w14:paraId="32188ED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1.导游业务：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45分钟视频/个）</w:t>
            </w:r>
          </w:p>
          <w:p w14:paraId="43D3D8F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（1）导游服务</w:t>
            </w:r>
          </w:p>
          <w:p w14:paraId="4660BC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（2）导游</w:t>
            </w:r>
          </w:p>
          <w:p w14:paraId="3B446FE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（3）导游礼仪</w:t>
            </w:r>
          </w:p>
          <w:p w14:paraId="15A42F9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（4）地方导游服务程序与服务质量</w:t>
            </w:r>
          </w:p>
          <w:p w14:paraId="05B1D4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（5）全程导游服务程序与服务质量</w:t>
            </w:r>
          </w:p>
          <w:p w14:paraId="3A6F93C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（6）景区导游服务程序与服务质量</w:t>
            </w:r>
          </w:p>
          <w:p w14:paraId="20FAA1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（7）散客导游服务程序与服务质量</w:t>
            </w:r>
          </w:p>
          <w:p w14:paraId="3617E4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（8）导游领队引导文明旅游规范</w:t>
            </w:r>
          </w:p>
          <w:p w14:paraId="36E6181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（9）导游的语言技能</w:t>
            </w:r>
          </w:p>
          <w:p w14:paraId="0C44C3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（10）导游的带团技能</w:t>
            </w:r>
          </w:p>
          <w:p w14:paraId="18E4D25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（11）导游的讲解技能</w:t>
            </w:r>
          </w:p>
          <w:p w14:paraId="23DEF16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（12）游客个别要求的处理</w:t>
            </w:r>
          </w:p>
          <w:p w14:paraId="3620524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（13）问题与事故的处理</w:t>
            </w:r>
          </w:p>
          <w:p w14:paraId="20DD389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（14）自然灾害避险与新型冠状病毒肺炎疫情常态化</w:t>
            </w:r>
          </w:p>
          <w:p w14:paraId="7ED68A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（15）旅行社饭店景区知识</w:t>
            </w:r>
          </w:p>
          <w:p w14:paraId="1E1236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（16）入出境知识</w:t>
            </w:r>
          </w:p>
          <w:p w14:paraId="1F1AA7C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（17）交通知识</w:t>
            </w:r>
          </w:p>
          <w:p w14:paraId="14B27C8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（18）其他相关知识</w:t>
            </w:r>
          </w:p>
          <w:p w14:paraId="71EEA0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2.地方导游基础知识：（45分钟视频/个）</w:t>
            </w:r>
          </w:p>
          <w:p w14:paraId="3A5C77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（1）华北地区各省市自治区导游基础知识</w:t>
            </w:r>
          </w:p>
          <w:p w14:paraId="3A4FC43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（2）东北地区各省导游基础知识</w:t>
            </w:r>
          </w:p>
          <w:p w14:paraId="152FC16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（3）华东地区各省市导游基础知识</w:t>
            </w:r>
          </w:p>
          <w:p w14:paraId="4CFC22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（4）华中地区各省导游基础知识</w:t>
            </w:r>
          </w:p>
          <w:p w14:paraId="336C20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（5）华南地区各省自治区导游基础知识</w:t>
            </w:r>
          </w:p>
          <w:p w14:paraId="3C0A006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（6）西南地区各省市自治区导游基础知识</w:t>
            </w:r>
          </w:p>
          <w:p w14:paraId="690D23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（7）西北地区各省自治区导游基础知识</w:t>
            </w:r>
          </w:p>
          <w:p w14:paraId="44AAB46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（8）港澳台地区导游基础知识</w:t>
            </w:r>
          </w:p>
          <w:p w14:paraId="25561EE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3.全国导游基础知识：（45分钟视频/个）</w:t>
            </w:r>
          </w:p>
          <w:p w14:paraId="1A83970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（1）中国共产党成立百年来领导中国人民和中国革命取得的伟大成就</w:t>
            </w:r>
          </w:p>
          <w:p w14:paraId="4DDFE55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（2）中国旅游业发展概况</w:t>
            </w:r>
          </w:p>
          <w:p w14:paraId="038257F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（3）中国历史文化知识</w:t>
            </w:r>
          </w:p>
          <w:p w14:paraId="457D9FB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（4）中国文学知识</w:t>
            </w:r>
          </w:p>
          <w:p w14:paraId="3B4E4D5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（5）中国建筑艺术</w:t>
            </w:r>
          </w:p>
          <w:p w14:paraId="5E2E129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（6）中国园林艺术</w:t>
            </w:r>
          </w:p>
          <w:p w14:paraId="6C910FB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（7）中国饮食文化</w:t>
            </w:r>
          </w:p>
          <w:p w14:paraId="5F53DA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（8）中国传统工艺美术</w:t>
            </w:r>
          </w:p>
          <w:p w14:paraId="2C677F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（9）中国民族知识与宗教知识</w:t>
            </w:r>
          </w:p>
          <w:p w14:paraId="64A7056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（10）中国旅游景观</w:t>
            </w:r>
          </w:p>
          <w:p w14:paraId="0AD50B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（11）中国主要客源国概况</w:t>
            </w:r>
          </w:p>
          <w:p w14:paraId="2AD2EBB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4.旅游政策法律法规：45分钟视频/个</w:t>
            </w:r>
          </w:p>
          <w:p w14:paraId="5BBE46C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（1）全面推进法治中国建设</w:t>
            </w:r>
          </w:p>
          <w:p w14:paraId="532B440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（2）宪法基本知识</w:t>
            </w:r>
          </w:p>
          <w:p w14:paraId="5C8DF33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（3）夺取新时代中国特色社会主义伟大胜利</w:t>
            </w:r>
          </w:p>
          <w:p w14:paraId="0E7E103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（4）十四五规划和2035年远景目标纲要</w:t>
            </w:r>
          </w:p>
          <w:p w14:paraId="67BD04F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（5）旅游方针政策</w:t>
            </w:r>
          </w:p>
          <w:p w14:paraId="7065068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（6）文化和旅游部关于新型冠状病毒肺炎疫情防控指南</w:t>
            </w:r>
          </w:p>
          <w:p w14:paraId="352CBD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（7）维护国家安全法律制度 </w:t>
            </w:r>
          </w:p>
          <w:p w14:paraId="2846B79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（8）民法的基本知识 </w:t>
            </w:r>
          </w:p>
          <w:p w14:paraId="0ED6A8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（9）旅游法的基本知识 </w:t>
            </w:r>
          </w:p>
          <w:p w14:paraId="4AEF4FF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（10）合同与旅游服务合同法律制度</w:t>
            </w:r>
          </w:p>
          <w:p w14:paraId="5D1143C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（11）侵权责任法律制度 </w:t>
            </w:r>
          </w:p>
          <w:p w14:paraId="5DD63D4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（12）旅行社法律制度 </w:t>
            </w:r>
          </w:p>
          <w:p w14:paraId="445095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（13）导游管理法律制度 </w:t>
            </w:r>
          </w:p>
          <w:p w14:paraId="1591157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（14）旅游安全管理与责任保险法律制度 </w:t>
            </w:r>
          </w:p>
          <w:p w14:paraId="1E13394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（15）出入境与交通法律制度 </w:t>
            </w:r>
          </w:p>
          <w:p w14:paraId="6B2AE5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（16）食品安全、住宿与娱乐法律制度</w:t>
            </w:r>
          </w:p>
          <w:p w14:paraId="140B489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(17)旅游资源保护法律制度</w:t>
            </w:r>
          </w:p>
          <w:p w14:paraId="61F0344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(18)解决旅游纠纷的法律制度</w:t>
            </w:r>
          </w:p>
          <w:p w14:paraId="084E344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5.导游基础知识动漫教学资源：动漫33个</w:t>
            </w:r>
          </w:p>
          <w:p w14:paraId="75A3548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（1）第一节中国旅游业发展历程上</w:t>
            </w:r>
          </w:p>
          <w:p w14:paraId="083267F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（2）中国旅游业发展历程下</w:t>
            </w:r>
          </w:p>
          <w:p w14:paraId="6C8B2E4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（3）中国传统节日—春节</w:t>
            </w:r>
          </w:p>
          <w:p w14:paraId="627F97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（4）中国传统节日—端午节</w:t>
            </w:r>
          </w:p>
          <w:p w14:paraId="418645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（5）中国传统节日—元宵节</w:t>
            </w:r>
          </w:p>
          <w:p w14:paraId="7C27EC6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（6）四大菜系—鲁菜</w:t>
            </w:r>
          </w:p>
          <w:p w14:paraId="4DD183E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（7）四大菜系—粤菜</w:t>
            </w:r>
          </w:p>
          <w:p w14:paraId="77B8E8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（8）四大菜系—苏菜</w:t>
            </w:r>
          </w:p>
          <w:p w14:paraId="0ACB05C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（9）四大菜系—川菜</w:t>
            </w:r>
          </w:p>
          <w:p w14:paraId="4482AB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（10）中国茶文化—青茶</w:t>
            </w:r>
          </w:p>
          <w:p w14:paraId="289AD9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（11）中国茶文化—白茶</w:t>
            </w:r>
          </w:p>
          <w:p w14:paraId="6DC78DA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（12）中国茶文化—绿茶</w:t>
            </w:r>
          </w:p>
          <w:p w14:paraId="74332B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（13）中国茶文化—黄茶</w:t>
            </w:r>
          </w:p>
          <w:p w14:paraId="6BB7180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（14）中国茶文化—黑茶</w:t>
            </w:r>
          </w:p>
          <w:p w14:paraId="263A94C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（15）中国茶文化—红茶</w:t>
            </w:r>
          </w:p>
          <w:p w14:paraId="7748139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（16）中国传统工艺—风筝</w:t>
            </w:r>
          </w:p>
          <w:p w14:paraId="013FA6C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（17）中国四大发明—火药、造纸术、印刷术、指南针</w:t>
            </w:r>
          </w:p>
          <w:p w14:paraId="402EEFD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（18）中国餐饮文化之豆腐</w:t>
            </w:r>
          </w:p>
          <w:p w14:paraId="6E2D89D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（19）中国主食文化之饺子</w:t>
            </w:r>
          </w:p>
          <w:p w14:paraId="527189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（20）中国游记文化-徐霞客</w:t>
            </w:r>
          </w:p>
          <w:p w14:paraId="6F91BE5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（21）少数民族怎样过中秋一</w:t>
            </w:r>
          </w:p>
          <w:p w14:paraId="4D17DB5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（22）少数民族怎样过中秋二</w:t>
            </w:r>
          </w:p>
          <w:p w14:paraId="795E40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（23）少数民族怎样过中秋三</w:t>
            </w:r>
          </w:p>
          <w:p w14:paraId="4053855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（24）中国菜肴文化—火锅</w:t>
            </w:r>
          </w:p>
          <w:p w14:paraId="41F577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（25）中国菜肴文化—鱼</w:t>
            </w:r>
          </w:p>
          <w:p w14:paraId="385CED7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（26）中国游记文化-陶渊明</w:t>
            </w:r>
          </w:p>
          <w:p w14:paraId="4651C8C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（27）中国游记文化-水经注</w:t>
            </w:r>
          </w:p>
          <w:p w14:paraId="3252980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（28）中国葬式文化-悬棺</w:t>
            </w:r>
          </w:p>
          <w:p w14:paraId="16B19C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（29）中国山水文化-京杭大运河</w:t>
            </w:r>
          </w:p>
          <w:p w14:paraId="5B5F0F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（30）中国建筑文化-古塔</w:t>
            </w:r>
          </w:p>
          <w:p w14:paraId="4955804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（31）中国山水文化-五岳</w:t>
            </w:r>
          </w:p>
          <w:p w14:paraId="0B8ADB1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（32）中国少数民族文化-回回帽</w:t>
            </w:r>
          </w:p>
          <w:p w14:paraId="26DCBA0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（33）中国古典园林的要素</w:t>
            </w:r>
          </w:p>
          <w:p w14:paraId="3F1B6F8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6.导游业务知识动漫教学资源：动漫（15个）</w:t>
            </w:r>
          </w:p>
          <w:p w14:paraId="786974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（1）认识导游人员</w:t>
            </w:r>
          </w:p>
          <w:p w14:paraId="64B9F3C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（2）导游人员的从业素质</w:t>
            </w:r>
          </w:p>
          <w:p w14:paraId="1A9977A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（3）导游人员的职责</w:t>
            </w:r>
          </w:p>
          <w:p w14:paraId="41038C3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（4）导游人员的服务</w:t>
            </w:r>
          </w:p>
          <w:p w14:paraId="7F5A82D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（5）导游接团前服务准备</w:t>
            </w:r>
          </w:p>
          <w:p w14:paraId="7EDB468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（6）导游服务的准备上</w:t>
            </w:r>
          </w:p>
          <w:p w14:paraId="1E684F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（7）导游服务的准备下</w:t>
            </w:r>
          </w:p>
          <w:p w14:paraId="05CC950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（8）赴饭店途中服务</w:t>
            </w:r>
          </w:p>
          <w:p w14:paraId="3F3AEBC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（9）入住服务</w:t>
            </w:r>
          </w:p>
          <w:p w14:paraId="66DD9F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（10）核对商定日程</w:t>
            </w:r>
          </w:p>
          <w:p w14:paraId="14FCEE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（11）参观游览服务上</w:t>
            </w:r>
          </w:p>
          <w:p w14:paraId="0AF35C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（12）参观游览服务下</w:t>
            </w:r>
          </w:p>
          <w:p w14:paraId="07CF642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（13）食购娱服务</w:t>
            </w:r>
          </w:p>
          <w:p w14:paraId="77518D8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（14）送站服务上</w:t>
            </w:r>
          </w:p>
          <w:p w14:paraId="38EF15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（15）送站服务下。</w:t>
            </w:r>
          </w:p>
          <w:p w14:paraId="2F6D8AA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7.一带一路沿线国家导游基础知识动画课件资源：40个</w:t>
            </w:r>
          </w:p>
          <w:p w14:paraId="014552D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（1）贵州茅台</w:t>
            </w:r>
          </w:p>
          <w:p w14:paraId="0DA20B6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（2）吐鲁番葡萄</w:t>
            </w:r>
          </w:p>
          <w:p w14:paraId="4DEDB9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（3）印尼弗洛雷斯巴贾瓦咖啡</w:t>
            </w:r>
          </w:p>
          <w:p w14:paraId="16C561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（4）埃及莲花香精</w:t>
            </w:r>
          </w:p>
          <w:p w14:paraId="26A2DFC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（5）几内亚马森塔咖啡</w:t>
            </w:r>
          </w:p>
          <w:p w14:paraId="61AC27F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（6）喀麦隆Kilichi干辣牛 肉</w:t>
            </w:r>
          </w:p>
          <w:p w14:paraId="3F342E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（7）肯尼亚蒙内铁路</w:t>
            </w:r>
          </w:p>
          <w:p w14:paraId="470E471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（8）泰国茉莉香米</w:t>
            </w:r>
          </w:p>
          <w:p w14:paraId="38456B7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（9）马来西亚砂拉越黑胡椒</w:t>
            </w:r>
          </w:p>
          <w:p w14:paraId="72263FC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（10）临潼石榴</w:t>
            </w:r>
          </w:p>
          <w:p w14:paraId="0DF0915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（11）南汇水蜜桃</w:t>
            </w:r>
          </w:p>
          <w:p w14:paraId="79C0BEF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（12）四川会理石榴</w:t>
            </w:r>
          </w:p>
          <w:p w14:paraId="2F6A36E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（13）四川蜀绣</w:t>
            </w:r>
          </w:p>
          <w:p w14:paraId="62BB016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（14）四川郫县豆瓣酱</w:t>
            </w:r>
          </w:p>
          <w:p w14:paraId="5005699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（15）四川宜宾五粮液</w:t>
            </w:r>
          </w:p>
          <w:p w14:paraId="69FBD51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（16）延川红枣</w:t>
            </w:r>
          </w:p>
          <w:p w14:paraId="0DA479D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（17）越南鱼露</w:t>
            </w:r>
          </w:p>
          <w:p w14:paraId="7DF1305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（18）宗明老毛蟹</w:t>
            </w:r>
          </w:p>
          <w:p w14:paraId="7530A9E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（19）蓝田玉</w:t>
            </w:r>
          </w:p>
          <w:p w14:paraId="332B7E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（20）汉中仙毫</w:t>
            </w:r>
          </w:p>
          <w:p w14:paraId="5EB3082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（21）宗明老白酒。</w:t>
            </w:r>
          </w:p>
          <w:p w14:paraId="6986C28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（22）德国慕尼黑啤酒</w:t>
            </w:r>
          </w:p>
          <w:p w14:paraId="38E1CBC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（23）安溪铁观音</w:t>
            </w:r>
          </w:p>
          <w:p w14:paraId="4ED97D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（24）灵武长枣</w:t>
            </w:r>
          </w:p>
          <w:p w14:paraId="64D2091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（25）武夷岩茶</w:t>
            </w:r>
          </w:p>
          <w:p w14:paraId="4807FD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（26）英德红茶</w:t>
            </w:r>
          </w:p>
          <w:p w14:paraId="4D4B860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（27）酒泉夜光杯</w:t>
            </w:r>
          </w:p>
          <w:p w14:paraId="36B632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（28）库尔勒香梨</w:t>
            </w:r>
          </w:p>
          <w:p w14:paraId="6FC3A5E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（29）昆仑玉</w:t>
            </w:r>
          </w:p>
          <w:p w14:paraId="18F8E28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（30）临泽小枣</w:t>
            </w:r>
          </w:p>
          <w:p w14:paraId="1AC27C7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（31）宁夏枸杞</w:t>
            </w:r>
          </w:p>
          <w:p w14:paraId="43E359F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（32）青海茶卡盐</w:t>
            </w:r>
          </w:p>
          <w:p w14:paraId="3BB5D4E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（33）青海冬虫夏草</w:t>
            </w:r>
          </w:p>
          <w:p w14:paraId="5142B68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（34）庆阳苹果</w:t>
            </w:r>
          </w:p>
          <w:p w14:paraId="0420718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（35）文县纹党</w:t>
            </w:r>
          </w:p>
          <w:p w14:paraId="22910D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（36）香山亚砂西瓜</w:t>
            </w:r>
          </w:p>
          <w:p w14:paraId="4A2A1C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（37）新疆哈密瓜</w:t>
            </w:r>
          </w:p>
          <w:p w14:paraId="2BCEBAF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（38）重庆涪陵榨菜</w:t>
            </w:r>
          </w:p>
          <w:p w14:paraId="292B2E0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（39）重庆万州红桔</w:t>
            </w:r>
          </w:p>
          <w:p w14:paraId="72D76E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（40）重庆永州豆豉</w:t>
            </w:r>
          </w:p>
          <w:p w14:paraId="1C1CD2E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8.导游带团业务案例动漫教学资源：（30个）</w:t>
            </w:r>
          </w:p>
          <w:p w14:paraId="52A871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（1）地陪送团没有自始至</w:t>
            </w:r>
            <w:r>
              <w:rPr>
                <w:rFonts w:hint="eastAsia" w:ascii="宋体" w:hAnsi="宋体" w:eastAsia="宋体" w:cs="宋体"/>
                <w:sz w:val="21"/>
                <w:szCs w:val="21"/>
                <w:highlight w:val="none"/>
                <w:lang w:eastAsia="zh-CN"/>
              </w:rPr>
              <w:t>终</w:t>
            </w:r>
            <w:r>
              <w:rPr>
                <w:rFonts w:hint="eastAsia" w:ascii="宋体" w:hAnsi="宋体" w:eastAsia="宋体" w:cs="宋体"/>
                <w:sz w:val="21"/>
                <w:szCs w:val="21"/>
                <w:highlight w:val="none"/>
              </w:rPr>
              <w:t>改</w:t>
            </w:r>
          </w:p>
          <w:p w14:paraId="1C6311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（2）导游人员如何帮助旅游者购买中国古玩字画改</w:t>
            </w:r>
          </w:p>
          <w:p w14:paraId="2D9A0C7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（3）改正确预防和处理中暑现象</w:t>
            </w:r>
          </w:p>
          <w:p w14:paraId="55B92B4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（4）当地没有会讲德语的地陪</w:t>
            </w:r>
          </w:p>
          <w:p w14:paraId="58C35D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（5）导游人员不了解旅游者的需求</w:t>
            </w:r>
          </w:p>
          <w:p w14:paraId="16F5805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（6）导游人员没有坚持正确的意见</w:t>
            </w:r>
          </w:p>
          <w:p w14:paraId="09E218C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（7）导游人员如何消除怯场心理</w:t>
            </w:r>
          </w:p>
          <w:p w14:paraId="38AC4A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（8）导游人员要正确对待投诉</w:t>
            </w:r>
          </w:p>
          <w:p w14:paraId="36374C6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（9）导游员带团队到不熟悉的地方</w:t>
            </w:r>
          </w:p>
          <w:p w14:paraId="61797D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（10）导游员回答不了客人提出的问题</w:t>
            </w:r>
          </w:p>
          <w:p w14:paraId="78B2746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（11）导游员如何接待小朋友旅游团</w:t>
            </w:r>
          </w:p>
          <w:p w14:paraId="27A550A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（12）好心耽误了乘机时间</w:t>
            </w:r>
          </w:p>
          <w:p w14:paraId="5DE33C0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（13）客房中遗失了某件物品</w:t>
            </w:r>
          </w:p>
          <w:p w14:paraId="4DD968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（14）客人不听导游人员的讲解</w:t>
            </w:r>
          </w:p>
          <w:p w14:paraId="1D8608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（15）客人希望朋友随团活动</w:t>
            </w:r>
          </w:p>
          <w:p w14:paraId="50F87F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（16）客人要求换房</w:t>
            </w:r>
          </w:p>
          <w:p w14:paraId="271DE48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（17）旅游团突遇山洪</w:t>
            </w:r>
          </w:p>
          <w:p w14:paraId="2B66C6C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（18）旅游者出现食物中毒现象</w:t>
            </w:r>
          </w:p>
          <w:p w14:paraId="240E0CD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（19）旅游者突然发病意外死亡</w:t>
            </w:r>
          </w:p>
          <w:p w14:paraId="64BAB99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（20）旅游者希望多买点中药带出国境</w:t>
            </w:r>
          </w:p>
          <w:p w14:paraId="2CCA36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（21）旅游者要求参加计划外的娱乐项目</w:t>
            </w:r>
          </w:p>
          <w:p w14:paraId="00D0696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（22）旅游者要求先回宾馆再用餐</w:t>
            </w:r>
          </w:p>
          <w:p w14:paraId="71ECF7F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（23）游客丢失</w:t>
            </w:r>
          </w:p>
          <w:p w14:paraId="371197A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（24）游客请求导游人员转递物品</w:t>
            </w:r>
          </w:p>
          <w:p w14:paraId="7D0F506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（25）漏接事件</w:t>
            </w:r>
          </w:p>
          <w:p w14:paraId="1C047B6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（26）公共场合不能随便散发宗教宣传品</w:t>
            </w:r>
          </w:p>
          <w:p w14:paraId="6304B8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（27）地陪送团没有自始至终（二）</w:t>
            </w:r>
          </w:p>
          <w:p w14:paraId="2D55A46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（28）旅游者希望延长逗留时间</w:t>
            </w:r>
          </w:p>
          <w:p w14:paraId="0B4ED01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（29）正确处理火灾事故</w:t>
            </w:r>
          </w:p>
          <w:p w14:paraId="1F63ABE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（30）游客在用餐时因醉酒摔倒</w:t>
            </w:r>
          </w:p>
          <w:p w14:paraId="6DE9F2A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9.导游业务突发事件应急处理教学动漫资源：25个</w:t>
            </w:r>
          </w:p>
          <w:p w14:paraId="638D513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（1）华侨护照丢失现象</w:t>
            </w:r>
          </w:p>
          <w:p w14:paraId="54F2C4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（2）旅游者走失现象</w:t>
            </w:r>
          </w:p>
          <w:p w14:paraId="4C48D66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（3）公幵场合散发宗教宣传品</w:t>
            </w:r>
          </w:p>
          <w:p w14:paraId="1002E0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（4）导游员漏接事故</w:t>
            </w:r>
          </w:p>
          <w:p w14:paraId="47C9CC1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（5）不幸错过上山缆车</w:t>
            </w:r>
          </w:p>
          <w:p w14:paraId="27DEF46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（6）旅游者出现食物中毒现象</w:t>
            </w:r>
          </w:p>
          <w:p w14:paraId="2D76AD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（7）导游人员如何帮助旅游者购买中国古玩字画</w:t>
            </w:r>
          </w:p>
          <w:p w14:paraId="7F57FE8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（8）正确预防和处理中暑现象</w:t>
            </w:r>
          </w:p>
          <w:p w14:paraId="199C44E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（9）正确处理火灾事故</w:t>
            </w:r>
          </w:p>
          <w:p w14:paraId="0A42517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（10）正确处理途中交通堵塞现象</w:t>
            </w:r>
          </w:p>
          <w:p w14:paraId="10664E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（11）客房中遗失了某件物品</w:t>
            </w:r>
          </w:p>
          <w:p w14:paraId="68BD4C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（12）旅游者不想进商店购物</w:t>
            </w:r>
          </w:p>
          <w:p w14:paraId="5CF6B7D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（13）导游员如何接待小朋友旅游团</w:t>
            </w:r>
          </w:p>
          <w:p w14:paraId="2BFA3F9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（14）旅游者希望多买点中药带出国境</w:t>
            </w:r>
          </w:p>
          <w:p w14:paraId="18E1434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（15）全陪和领队之间有矛盾</w:t>
            </w:r>
          </w:p>
          <w:p w14:paraId="2C33B63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（16）游客燃香进入佛殿现象</w:t>
            </w:r>
          </w:p>
          <w:p w14:paraId="061CD71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（17）客人丢失钱物的处理</w:t>
            </w:r>
          </w:p>
          <w:p w14:paraId="23CE68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（18）旅游者溺水现象</w:t>
            </w:r>
          </w:p>
          <w:p w14:paraId="4D1A928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（19）旅游过程中发生地震</w:t>
            </w:r>
          </w:p>
          <w:p w14:paraId="69E203E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（20）导游人员要正确对待投诉</w:t>
            </w:r>
          </w:p>
          <w:p w14:paraId="5523004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（21）错接事故处理</w:t>
            </w:r>
          </w:p>
          <w:p w14:paraId="4DE390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（22）替游客转交东西事件</w:t>
            </w:r>
          </w:p>
          <w:p w14:paraId="01C91C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（23）导游员回答不了客人提出的问题</w:t>
            </w:r>
          </w:p>
          <w:p w14:paraId="55F0DF6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（24）旅游团回程买不到卧铺票</w:t>
            </w:r>
          </w:p>
          <w:p w14:paraId="75EEDA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（25）旅游者深夜在下榻的宾馆吵闹</w:t>
            </w:r>
          </w:p>
          <w:p w14:paraId="4FC2888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27、课外拓展知识（非遗活动课程PPT：）</w:t>
            </w:r>
          </w:p>
          <w:p w14:paraId="7669DBC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(1)古法扎染</w:t>
            </w:r>
          </w:p>
          <w:p w14:paraId="797338D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(2)传统风筝</w:t>
            </w:r>
          </w:p>
          <w:p w14:paraId="410F9EA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(3)京剧脸谱</w:t>
            </w:r>
          </w:p>
          <w:p w14:paraId="25F1A4A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(4)掐丝珐琅</w:t>
            </w:r>
          </w:p>
          <w:p w14:paraId="17CE028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(5)传统剪纸</w:t>
            </w:r>
          </w:p>
          <w:p w14:paraId="21C8C82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(6)古建牌楼</w:t>
            </w:r>
          </w:p>
          <w:p w14:paraId="2853C7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(7)北京兔儿爷</w:t>
            </w:r>
          </w:p>
          <w:p w14:paraId="2328F95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(8)手绘团扇/宫扇</w:t>
            </w:r>
          </w:p>
          <w:p w14:paraId="191D19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(9)油纸伞</w:t>
            </w:r>
          </w:p>
          <w:p w14:paraId="54E811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(10)非遗水拓画</w:t>
            </w:r>
          </w:p>
          <w:p w14:paraId="7976BF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(11)北京小绢人</w:t>
            </w:r>
          </w:p>
          <w:p w14:paraId="15F8DD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(12)皮影戏</w:t>
            </w:r>
          </w:p>
          <w:p w14:paraId="5FF8CC2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(13)北京宫灯</w:t>
            </w:r>
          </w:p>
          <w:p w14:paraId="6E55A17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(14)北京绒花</w:t>
            </w:r>
          </w:p>
          <w:p w14:paraId="0420465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(15)非遗鱼灯</w:t>
            </w:r>
            <w:r>
              <w:rPr>
                <w:rFonts w:hint="eastAsia" w:ascii="宋体" w:hAnsi="宋体" w:eastAsia="宋体" w:cs="宋体"/>
                <w:sz w:val="21"/>
                <w:szCs w:val="21"/>
                <w:highlight w:val="none"/>
                <w:lang w:eastAsia="zh-CN"/>
              </w:rPr>
              <w:t>（</w:t>
            </w:r>
          </w:p>
          <w:p w14:paraId="7709CA2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16)植物拓染</w:t>
            </w:r>
          </w:p>
          <w:p w14:paraId="39B4E14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(17)纸浆画</w:t>
            </w:r>
          </w:p>
          <w:p w14:paraId="72062CA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(18)五谷粮食画</w:t>
            </w:r>
          </w:p>
          <w:p w14:paraId="6E64E79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(19)非遗竹编</w:t>
            </w:r>
          </w:p>
          <w:p w14:paraId="5D1B4E6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(20)麦秆画</w:t>
            </w:r>
          </w:p>
          <w:p w14:paraId="6BCB246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(21)北京毛猴</w:t>
            </w:r>
          </w:p>
          <w:p w14:paraId="6885CD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(22)中国篆刻</w:t>
            </w:r>
          </w:p>
          <w:p w14:paraId="486E658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(23)汉砖拓印</w:t>
            </w:r>
          </w:p>
          <w:p w14:paraId="105EE93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(24)古法造纸</w:t>
            </w:r>
          </w:p>
          <w:p w14:paraId="6EF6651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(25)活字印刷术</w:t>
            </w:r>
          </w:p>
          <w:p w14:paraId="1BCCD9B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(26)中国结</w:t>
            </w:r>
          </w:p>
          <w:p w14:paraId="03E14E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(27)非遗缠花</w:t>
            </w:r>
          </w:p>
          <w:p w14:paraId="7ECAA9C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(28)太平绣球</w:t>
            </w:r>
          </w:p>
          <w:p w14:paraId="1EF46FF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(29)毛笔制作</w:t>
            </w:r>
          </w:p>
          <w:p w14:paraId="3B390F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(30)非遗纸雕灯</w:t>
            </w:r>
          </w:p>
          <w:p w14:paraId="7FF528A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(31)中式插花</w:t>
            </w:r>
          </w:p>
          <w:p w14:paraId="2692DC6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(32)手编绳</w:t>
            </w:r>
          </w:p>
          <w:p w14:paraId="5A7E1E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(33)口金包</w:t>
            </w:r>
          </w:p>
          <w:p w14:paraId="0F4F5A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(34)丝网印刷</w:t>
            </w:r>
          </w:p>
          <w:p w14:paraId="64D572D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(35)香篆</w:t>
            </w:r>
          </w:p>
          <w:p w14:paraId="33ADD1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(36)马勺脸谱</w:t>
            </w:r>
          </w:p>
          <w:p w14:paraId="4E7FD55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(37)香包</w:t>
            </w:r>
          </w:p>
          <w:p w14:paraId="2A98A05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(38)印泥制作</w:t>
            </w:r>
          </w:p>
          <w:p w14:paraId="7C5B3A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(39)金陵折扇</w:t>
            </w:r>
          </w:p>
          <w:p w14:paraId="03B8DFE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(40)蓝布印花</w:t>
            </w:r>
          </w:p>
          <w:p w14:paraId="519536F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(41)蜡染</w:t>
            </w:r>
          </w:p>
          <w:p w14:paraId="38266FE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(42)手鞠球</w:t>
            </w:r>
          </w:p>
          <w:p w14:paraId="7E87BAE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(43)华牟技艺</w:t>
            </w:r>
          </w:p>
          <w:p w14:paraId="733B78A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(44)古法</w:t>
            </w:r>
          </w:p>
          <w:p w14:paraId="1B3C64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(48)漆艺大漆</w:t>
            </w:r>
          </w:p>
          <w:p w14:paraId="689F03F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(49)古法香珠</w:t>
            </w:r>
          </w:p>
          <w:p w14:paraId="214F688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(50)非遗花草灯</w:t>
            </w:r>
          </w:p>
          <w:p w14:paraId="7ED1484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北京市：故宫博物院、故宫博物院、天坛公园、颐和园、北京八达岭－慕田峪长城旅游区、北京市明十三陵景区、恭王府景区、北京市奥林匹克公园、北京市海淀区圆明园景区、天坛公园、颐和园、北京八达岭－慕田峪长城旅游区、北京市明十三陵景区、恭王府景区、北京市奥林匹克公园、北京市海淀区圆明园景区</w:t>
            </w:r>
          </w:p>
          <w:p w14:paraId="5E3678F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江苏省：苏州园林（拙政园、虎丘山、留园）、苏州市周庄古镇景区</w:t>
            </w:r>
          </w:p>
          <w:p w14:paraId="552753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浙江省：杭州市西湖风景名胜区、温州市雁荡山风景名胜区、舟山市普陀山风景名胜区、杭州市千岛湖风景名胜区、嘉兴市桐乡乌镇古镇旅游区、宁波市奉化溪口-滕头旅游景区、金华市东阳横店影视城景区、浙江省嘉兴市南湖旅游区、浙江省杭州西溪湿地旅游区、浙江省绍兴市鲁迅故里沈园景区、衢州市开化根宫佛国文化旅游景区、湖州市南浔古镇景区、台州市天台山景区、台州市神仙居景区、浙江省嘉兴市西塘古镇旅游景区、浙江省衢州市江郎山·廿八都景区、浙江省宁波市天一阁·月湖景区、浙江省丽水市缙云仙都景区、浙江省温州市刘伯温故里景区、浙江省台州市台州府城文化旅游区</w:t>
            </w:r>
          </w:p>
          <w:p w14:paraId="2143331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福建省：厦门市鼓浪屿风景名胜区、南平市武夷山风景名胜区、福建省三明市泰宁风景旅游区、福建省土楼（永定·南靖）旅游、宁德市白水洋-鸳鸯溪旅游区、宁德市福鼎太姥山旅游区、福州市三坊七巷景区、福建省莆田市湄洲岛妈祖文化旅游区</w:t>
            </w:r>
          </w:p>
          <w:p w14:paraId="3673B9C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山东省：泰安市泰山景区、烟台市蓬莱阁旅游区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三仙山-八仙过海</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济宁市曲阜明故城（三孔）旅游区、山东青岛崂山景区、山东威海刘公岛景区、山东烟台龙口南山景区、枣庄市台儿庄古城景区、济南市天下第一泉景区、山东省沂蒙山旅游区、山东省潍坊市青州古城旅游区、山东省威海市华夏城旅游景区、山东省东营市黄河口生态旅游区、山东省临沂市萤火虫水洞·地下大峡谷旅游区、山东省济宁市微山湖旅游区</w:t>
            </w:r>
          </w:p>
          <w:p w14:paraId="3E6ED54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河南省：登封市嵩山少林景区、洛阳市龙门石窟景区、焦作市云台山－神农山·青天河景区、河南安阳殷墟景区、河南洛阳白云山景区、河南开封清明上河园、河南省平顶山市尧山-中原大佛景区、河南省洛阳栾川老君山·鸡冠洞旅游区、驻马店市嵖岈山旅游景区、河南省红旗渠·太行大峡谷、河南省永城市芒砀山旅游景区、河南省新乡市八里沟景区、河南省信阳市鸡公山景区</w:t>
            </w:r>
          </w:p>
          <w:p w14:paraId="77A3A3B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云南省：昆明市石林风景区、云南民族村、大理古城景区、大理市崇圣寺三塔文化旅游区、丽江市丽江古城景区、丽江市玉龙雪山景区、德钦县梅里雪山景区、文山州普者黑旅游景区、红河哈尼梯田文化景观、中国科学院西双版纳热带植物园、澄江化石地自然博物馆、保山市腾冲火山热海旅游区、腾冲市和顺古镇景区。</w:t>
            </w:r>
          </w:p>
          <w:p w14:paraId="2D2686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系统通过算法模型，结合景区管理、景点景色、门票物价、卫生环境、公共设施、服务质量、客流状况、旅游交通八大维度占比，结合热度等数据模型，计算景区口碑指数，客观反映景区口碑状况，提供功能演示和截图。</w:t>
            </w:r>
          </w:p>
          <w:p w14:paraId="5E10FA2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综合看板展示选定月度或季度口碑指数和具体排名情况，以及近12个月的月度、季度综合口碑指数。展示景区口碑总数、好评总数及好评率、差评总数及差评率，并提供上月相关数据作为对照。展示本省的景区口碑热度及满意度在各OTA的分布情况。展示近12个月本省及各地市的评论分布。展示本省景区在景区管理、景点景色、门票物价、卫生环境、公共设施、服务质量、客流状况、旅游交通八个维度的好评率和行业平均值，以及好评总量Top5和差评总量Top5景区的好、差评总量和比例，提供功能演示和清晰截图。</w:t>
            </w:r>
          </w:p>
          <w:p w14:paraId="5FEFCEB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系统根据热度、好评率、差评率、满意度对区域内各景区排名，其中好评率和差评率排名中分布包括总评论数量和好、差评数量。综合看板中还提供各区域的排名、指数、热度、好评率和满意度情况的横向对比，提供功能演示和清晰截图。</w:t>
            </w:r>
          </w:p>
          <w:p w14:paraId="1F34CDF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32、系统展示区域内全部或选定景区在指定时间段内，在全部或指定OTA上的满意度、总评价和好、差评数量，并可按照八个关注要素筛选相应评价详情，，提供功能演示和清晰截图。</w:t>
            </w:r>
          </w:p>
          <w:p w14:paraId="5A6B98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33、视频抠像功能：通过识别和去除特定颜色（如蓝色或绿色背景），实现人物或物体的提取；可以从绿幕背景中抠取人物并置于全景资源中</w:t>
            </w:r>
          </w:p>
          <w:p w14:paraId="07F29D6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供应商需承诺在中标后或者签合同后去采购人指定地点进行软件原型动态演示，如不满足参数要求，按照虚假响应处理，中标人需承诺由此产生的一切后果。</w:t>
            </w:r>
          </w:p>
        </w:tc>
        <w:tc>
          <w:tcPr>
            <w:tcW w:w="480" w:type="dxa"/>
            <w:noWrap w:val="0"/>
            <w:tcMar>
              <w:top w:w="60" w:type="dxa"/>
              <w:left w:w="120" w:type="dxa"/>
              <w:bottom w:w="30" w:type="dxa"/>
              <w:right w:w="120" w:type="dxa"/>
            </w:tcMar>
            <w:vAlign w:val="center"/>
          </w:tcPr>
          <w:p w14:paraId="7E3A97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0C39880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254400</w:t>
            </w:r>
          </w:p>
        </w:tc>
        <w:tc>
          <w:tcPr>
            <w:tcW w:w="480" w:type="dxa"/>
            <w:noWrap w:val="0"/>
            <w:tcMar>
              <w:top w:w="60" w:type="dxa"/>
              <w:left w:w="120" w:type="dxa"/>
              <w:bottom w:w="30" w:type="dxa"/>
              <w:right w:w="120" w:type="dxa"/>
            </w:tcMar>
            <w:vAlign w:val="center"/>
          </w:tcPr>
          <w:p w14:paraId="19A3CBC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504B2B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254400</w:t>
            </w:r>
          </w:p>
        </w:tc>
      </w:tr>
      <w:tr w14:paraId="2EA1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F560D36">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720" w:type="dxa"/>
            <w:noWrap w:val="0"/>
            <w:tcMar>
              <w:top w:w="60" w:type="dxa"/>
              <w:left w:w="120" w:type="dxa"/>
              <w:bottom w:w="30" w:type="dxa"/>
              <w:right w:w="120" w:type="dxa"/>
            </w:tcMar>
            <w:vAlign w:val="center"/>
          </w:tcPr>
          <w:p w14:paraId="2F514C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旅游数字化营销系统</w:t>
            </w:r>
          </w:p>
        </w:tc>
        <w:tc>
          <w:tcPr>
            <w:tcW w:w="5400" w:type="dxa"/>
            <w:noWrap w:val="0"/>
            <w:tcMar>
              <w:top w:w="60" w:type="dxa"/>
              <w:left w:w="120" w:type="dxa"/>
              <w:bottom w:w="30" w:type="dxa"/>
              <w:right w:w="120" w:type="dxa"/>
            </w:tcMar>
            <w:vAlign w:val="center"/>
          </w:tcPr>
          <w:p w14:paraId="50063A1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系统支持用户数据中心管理模块，包含B端/C端及员工数据的管理，支持对B端市场客户的管理，对用户的类型、客户来源、婚姻、消费、收入、兴趣、消费特征、词云等方面的信息进行管理；同时记录客户的最近登录时间及客户状态管理。</w:t>
            </w:r>
          </w:p>
          <w:p w14:paraId="7ED5DEB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当前客户群体全国分布的统计及展示，在地图上展示每个省份客户的数量，并支持根据数量变化颜色，同时统计客户数量排名，支持将客户的基础信息进行刷新。客户列表展示用户的地区及客户画像标签。（提供功能演示和清晰截图）</w:t>
            </w:r>
          </w:p>
          <w:p w14:paraId="1C423AF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支持学生组别的管理，每个组别拥有独立的门户网站系统，老师可以直接进入学生设计的网站；可以给每个组别新增不同的学生账户，支持单个新增及批量添加学生账户，支持编辑学生的账户信息。（提供功能演示和清晰截图）</w:t>
            </w:r>
          </w:p>
          <w:p w14:paraId="5FDC801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▲4.系统拥有资源库管理的功能，可以将系统需要使用的资源进行上传，支持选择多个文件并编辑文件名进行一次性上传，自动判断文件的大小，支持在线预览及下载功能。（提供功能演示和清晰截图）</w:t>
            </w:r>
          </w:p>
          <w:p w14:paraId="6D42131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5.支持对系统的企业背景进行完善；系统支持便签功能，便签中的内容会存储在本地，关闭再打开系统，依然会读取到上一次的记录；系统支持切换不同的模板，支持10种上的模板。</w:t>
            </w:r>
          </w:p>
          <w:p w14:paraId="54AB76C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6.支持标签体系的分组管理，支持自定义标签的信息，单个标签组支持添加多个标签，每个标签支持通过RGB颜色进行区分，支持选择标签组更新的方式，支持点击标签进行标签的规则设定。</w:t>
            </w:r>
          </w:p>
          <w:p w14:paraId="1810361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支持标签组标签规则的设定，每个标签单独进行设定规则，每个标签规则按照更新方式更新数据；标签规则支持用户属性规则及用户行为规则，用户属性规则支持满足年龄/会员等级/出生年份/性别/手机/邮箱/生日/用户ID/用户名/省份/城市/最近下单时间/注册时间/最近30天消费次数/累计消费次数/最近7天消费次数/累计消费金额/最近30天消费金额/最近7天消费金额/累计活跃天数/累计分享次数/近7天分享次数及活跃天数/页面停留次数及停留时间等；满足条件包含等于/不等于/大于/小于/包含/不包含/为空等；支持添加多条用户属性满足条件；用户行为条件包含在某个时间段内做过/未做过-浏览/视窗停留/点击动作，并支持添加筛选条件并满足什么条件下总次数或天数的满足条件；支持添加多条用户行为满足的条件；当用户发生或者满足相关条件时，系统会自动为用户打上对应的标签。（提供功能演示和清晰截图）</w:t>
            </w:r>
          </w:p>
          <w:p w14:paraId="43932ED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8.支持查看每个标签组内的用户信息，每个用户信息以列表的形式进行展示，包含用户的姓名、被打上的标签等信息。</w:t>
            </w:r>
          </w:p>
          <w:p w14:paraId="31EC49C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9.支持下载全国省份城市名录及用户等级参考等信息。</w:t>
            </w:r>
          </w:p>
          <w:p w14:paraId="3B9E31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10.系统内的二级页面支持以窗口的形式进行展示，二级窗口进行自由的拖拉，支持最小化窗口，支持还原到活动窗口，支持最大化窗口。</w:t>
            </w:r>
          </w:p>
          <w:p w14:paraId="2169E1C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支持用户评价体系的管理，支持新增评价系统，评价系统类型包含百分比和分数，支持给体系添加多个体系规则，体系的规则选择不同标签体系对应的标签规则；支持查看当前评价体系包含的用户信息，自动按照评价体系规则给每个用户进行打分并自动计算对应的价值分，并按照由高到低进行排序，现场提供清晰的功能演示。</w:t>
            </w:r>
          </w:p>
          <w:p w14:paraId="4AA1A9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12.系统支持将不同的标签及评价体系进行分组管理，不同的分组支持添加多条对应的记录，支持更新本分组下的用户信息，自动统计本分组下的客户数量及客户列表。</w:t>
            </w:r>
          </w:p>
          <w:p w14:paraId="39AB588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13.支持用户标签体系规则的管理，支持对用户属性、用户事件、事件属性、行为统计等规则进行管理说明。</w:t>
            </w:r>
          </w:p>
          <w:p w14:paraId="6E7D6C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支持对精准营销分类的管理，支持添加营销的运营计划，支持运营计划客户触达方式的选择，支持计划类型的选择，支持选择在某个时间对受众用户进行触达或在每月/每周/每天的什么时间进行触达，支持选择运营计划的运营起止时间；支持选择受众用户来源及受众用户的标签或体系或分组等信息，支持查看当前受众用户的详情；支持选择对应的模板ID、优惠券及商品；自动统计当前运营计划触达的用户人数及运营计划的分析报告，报告包含用户性别占比、年龄分布、职业分布、教育水平分布、地域分布、星座分布、客户来源分布、酒店偏好分布、收入状况分布图等。（提供功能演示和清晰截图）</w:t>
            </w:r>
          </w:p>
          <w:p w14:paraId="4602465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支持精准营销推送的统计，支持按照用户ID及营销计划进行筛选，支持查看用户ID、姓名、推送类型、模板名称、推送内容、自动化营销及推送日期的查看，支持查看用户对于此条信息的查看状态；自动统计昨日推送及今日推送的条数。</w:t>
            </w:r>
          </w:p>
          <w:p w14:paraId="55BB04F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16.支持自动化营销计划的创建，支持查看计划的模块类型、状态、运行状态、开始时间、用户信息及分析报告。</w:t>
            </w:r>
          </w:p>
          <w:p w14:paraId="1665D3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支持按照在某个时间段内设置用户的属性满足要求（支持添加多条用户属性满足条目）及用户行为满足规则（支持添加多条行为满足及筛选信息），支持选择自动化营销的触达类型、短信模板、优惠券、产品、渠道、内容页信息，支持管理计划的状态；支持查看当前计划的用户列表及地区；支持查看自动化营销的分析报告。（提供功能演示和清晰截图）</w:t>
            </w:r>
          </w:p>
          <w:p w14:paraId="5337A97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18.自动化营销报表包含性别占比、年龄分布、职业、教育水平、区域分布、客户来源、星座分布、酒店类型偏好、婚姻状态及收入状态的图标展示，支持各个图标进行下载。</w:t>
            </w:r>
          </w:p>
          <w:p w14:paraId="35137F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支持调查问卷的创建，支持设置文件的有效时间，支持问卷的选项，支持单选和多选的选择，支持添加对应问卷的选项，支持添加多个选题，支持查看当前问卷的网址及在线预览，支持查看当前问卷的结果信息，支持查看客户问卷调研的具体选项内容。（提供功能演示和清晰截图）</w:t>
            </w:r>
          </w:p>
          <w:p w14:paraId="56F7F6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20.支持创建营销的落地页，支持统计当前页面的浏览量、浏览人数、页面停留时间及当前页面归属的学生分组；自动生成对应的链接及支持在线预览。</w:t>
            </w:r>
          </w:p>
          <w:p w14:paraId="45FBAAB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21.支持创建内容页，内容页分为链接及图文模式，支持设定链接/图文、关联优惠券及关联产品，自动生成对应的链接及支持在线预览。</w:t>
            </w:r>
          </w:p>
          <w:p w14:paraId="17CA943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支持创建触点的投放渠道，支持链接及二维码的投放类型，支持对投放方式的管理，支持选择对应的自动化营销规则，自动统计当前投放渠道的浏览量/浏览人数及浏览时长，自动生成投放计划的结果分析报告。</w:t>
            </w:r>
          </w:p>
          <w:p w14:paraId="59BC506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23.支持关键词的数据清洗及筛选，支持上传自由词，支持对自由词根据关键词规则进行清洗，支持展示关键词的列表（包含关键词、展现指数、点击指数、点击率指数、推荐出价及竞争指数）。</w:t>
            </w:r>
          </w:p>
          <w:p w14:paraId="275EE3B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支持模拟搜索引擎的推广；通过设定的参数建立推广广告计划，支持创建对应的推广计划，选择下载的链接，设置广告的受众（支持对目标受众年龄段、时间段、网络环境、APP行为、兴趣分布、使用的网络、使用的手机品牌等信息的设定），设置广告预算和出价，支持全天投放及时间段进行投放，支持按照点击或展示进行计费的模式；支持查看当前搜索引擎的推广数据的展示（包含投放的效果、时间段趋势、投放地域的展现量或点击量、人群属性、兴趣分布、关键词分布、平台占比、网络运营商占比等基础信息）（提供功能演示和清晰截图）</w:t>
            </w:r>
          </w:p>
          <w:p w14:paraId="455D268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支持学生对应用数据的实训，学生根据引擎推广数据的分析，对应用推广账号进行数据实训，包含留存次数、流失次数、推广预算，展现量及点击量、主要性别及年龄范围、APP行为、手机品牌及兴趣分类等实训数据维护，系统自动计算当前实训应用推广数据分析的得分。</w:t>
            </w:r>
          </w:p>
          <w:p w14:paraId="56B8543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26.支持用户行为的统计，对用户的路由地址、停留时间、设备类型进行统计，同时统计不同埋点的事件类型、点击次数、停留时间等进行展示。</w:t>
            </w:r>
          </w:p>
          <w:p w14:paraId="5D42271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27.支持对路由的统计，对地址的停留时间、浏览次数及点击次数的统计。</w:t>
            </w:r>
          </w:p>
          <w:p w14:paraId="66AF866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28.用户数据统计，包含用户的信息、消费次数、消费金额、分享次数、搜索次数、停留时间、停留次数等信息进行统计。</w:t>
            </w:r>
          </w:p>
          <w:p w14:paraId="50FA43F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29.支持对系统埋点的管理，支持导出对应的埋点及对埋点数据信息进行刷新，支持通过埋点名称及埋点类型进行筛选。</w:t>
            </w:r>
          </w:p>
          <w:p w14:paraId="7075E9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系统支持对公众号的管理进行实训，每组学生支持创建独立的公众号，支持跳转到公众号的页面，学生可对公众号的文章进行管理及发布，对公众号的基础信息进行完善，设置公众号的自定义菜单，设置公众号的被添加自动回复的文字编辑，支持完善公众号关键词的自动回复功能，支持创建短信和微信的模板消息，支持对模板消息进行管理，支持管理当前公众号的粉丝，统计与该粉丝的微信消息及未读消息，展示当前粉丝的最近登录时间及创建时间，支持为当前公众号新增粉丝，系统自动同步当前公众号的粉丝，并对粉丝的性别、年龄、地区进行统计。（提供功能演示和清晰截图）</w:t>
            </w:r>
          </w:p>
        </w:tc>
        <w:tc>
          <w:tcPr>
            <w:tcW w:w="480" w:type="dxa"/>
            <w:noWrap w:val="0"/>
            <w:tcMar>
              <w:top w:w="60" w:type="dxa"/>
              <w:left w:w="120" w:type="dxa"/>
              <w:bottom w:w="30" w:type="dxa"/>
              <w:right w:w="120" w:type="dxa"/>
            </w:tcMar>
            <w:vAlign w:val="center"/>
          </w:tcPr>
          <w:p w14:paraId="5E4FD9D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74129AA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243000</w:t>
            </w:r>
          </w:p>
        </w:tc>
        <w:tc>
          <w:tcPr>
            <w:tcW w:w="480" w:type="dxa"/>
            <w:noWrap w:val="0"/>
            <w:tcMar>
              <w:top w:w="60" w:type="dxa"/>
              <w:left w:w="120" w:type="dxa"/>
              <w:bottom w:w="30" w:type="dxa"/>
              <w:right w:w="120" w:type="dxa"/>
            </w:tcMar>
            <w:vAlign w:val="center"/>
          </w:tcPr>
          <w:p w14:paraId="3B54B9B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69F353F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243000</w:t>
            </w:r>
          </w:p>
        </w:tc>
      </w:tr>
      <w:tr w14:paraId="4858C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342720C8">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720" w:type="dxa"/>
            <w:noWrap w:val="0"/>
            <w:tcMar>
              <w:top w:w="60" w:type="dxa"/>
              <w:left w:w="120" w:type="dxa"/>
              <w:bottom w:w="30" w:type="dxa"/>
              <w:right w:w="120" w:type="dxa"/>
            </w:tcMar>
            <w:vAlign w:val="center"/>
          </w:tcPr>
          <w:p w14:paraId="07D1F2E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AI+大数据旅游行程规划软件</w:t>
            </w:r>
          </w:p>
        </w:tc>
        <w:tc>
          <w:tcPr>
            <w:tcW w:w="5400" w:type="dxa"/>
            <w:noWrap w:val="0"/>
            <w:tcMar>
              <w:top w:w="60" w:type="dxa"/>
              <w:left w:w="120" w:type="dxa"/>
              <w:bottom w:w="30" w:type="dxa"/>
              <w:right w:w="120" w:type="dxa"/>
            </w:tcMar>
            <w:vAlign w:val="center"/>
          </w:tcPr>
          <w:p w14:paraId="4F17561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大数据旅游行程规划软件是一款利用先进的数据分析技术，为用户提供个性化旅游行程规划的智能工具。它通过大量旅游数据，包括景点信息、图片库、笔记库、酒店库、活动服务库、城市及行程亮点库等，帮助用户制定高效、合理的旅游计划。</w:t>
            </w:r>
          </w:p>
          <w:p w14:paraId="490F60A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2、系统分为教师端及学生端，教师端主要针对学生账户及分组进行管理，包括学生设计的线路行程进行管理及评分；学生主要针对可以对线路行程项目进行规划及相关知识点的查看及使用。</w:t>
            </w:r>
          </w:p>
          <w:p w14:paraId="6429CC2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系统支持创建及对已创建的出行项目进行管理，包含行程的编辑、复制、完成、关闭及删除功能；学生可以自定义出行时间及出发返回城市；支持导入行程路线，根据搜索的关键词选择对应的线路并实时进行行程总览，可以选择其中的一天或者多天进行导入，支持关联行程报价。（提供功能演示和清晰截图）</w:t>
            </w:r>
          </w:p>
          <w:p w14:paraId="1A6260F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学生设计的行程支持添加对应的行程亮点，支持从库里进行筛选对应的行程亮点进行添加，支持对行程亮点进行查看及删除；支持对行程介绍进行编辑，可以从笔记及图片库中进行筛选添加；支持网络图片及本地图片的添加；支持插入视频及上传视频两个操作；支持对行程的介绍进行排版。支持给行程添加定制师笔记，支持查看素材库的定制师笔记，可以将库里的笔记进行添加及查看。（提供功能演示和清晰截图）</w:t>
            </w:r>
          </w:p>
          <w:p w14:paraId="52F66E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支持对线路行程进行编辑，支持按照行程天数进行单独编辑；可以搜索对应的城市进行添加；系统自动在地图上根据地点生成对应的线路图供学生进行行程规划辅助。可以针对不同的地点添加行程天数后进行加入。</w:t>
            </w:r>
          </w:p>
          <w:p w14:paraId="71983C1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学生可以根据行程的天数规划每天的行程安排；可以对每天的日程进行规划，可以根据对应的POI筛选不同的景点添加到行程；可以查看不同景点的详情介绍；可以给每天的行程对应的酒店，可以管理酒店的入住及离店时间及相关的备注信息；支持根据不同城市进行添加活动与服务；支持给不同城市配置不同的交通方案。支持配置每天的餐饮使用情况。（提供功能演示和清晰截图）</w:t>
            </w:r>
          </w:p>
          <w:p w14:paraId="78835A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7、学生可以规划每天行程的介绍；支持图文形式的编辑，支持从笔记库及图片库进行筛选直接添加到行程的介绍中；同时学生根据行程规划可以给每天的行程从定制师笔记中添加不同的定制师笔记到当天行程。</w:t>
            </w:r>
          </w:p>
          <w:p w14:paraId="1814D8F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8、学生可以将规划好的行程导出到素材库，可以进行整体导入，也可以选择其中某天的行程进行导入到素材库。</w:t>
            </w:r>
          </w:p>
          <w:p w14:paraId="53E9577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学生可以根据每个规划的行程添加行程项目需求书，需求书包含对应的需求人、基本信息及定制需求；包含主要的目的地、出游类型、景点活动、出行人数及预算、联系客户时间、吃住行及导游仓位等的需求情况。</w:t>
            </w:r>
          </w:p>
          <w:p w14:paraId="1127B69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10、系统根据学生规划的行程自动生成对应的行程预览；支持自动跳转到对应的锚点。支持快捷的行程编辑。</w:t>
            </w:r>
          </w:p>
          <w:p w14:paraId="1A27362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11、学生可以根据规划的行程给行程添加对应的费用核算，费用核算用于帮助核算成本，仅对内部可见，对客户不可见，同时系统根据规划的内容自动生成可添加的费用模板并自动计算所有的价格。</w:t>
            </w:r>
          </w:p>
          <w:p w14:paraId="73AB7C9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学生可以根据费用核算进行对外报价的编辑；支持设置不同的报价表对客户进行报价，支持自定义对应的报价分级；可以根据日期进行报价；可以对报价的费用进行说明；同时根据不同的行程规划添加不同的可选付费项目及补充说明。学生同时可以根据设置的报价一键下载对应的报价单，系统自动生成对应的PDF格式的报价单供学生进行下载及打印。</w:t>
            </w:r>
          </w:p>
          <w:p w14:paraId="021A4CF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系统会根据学生设计的轨迹自动生成动态记录，记录关键步骤的路径，同时可以给每个不同的路径添加对应的备注信息；当规划的线路完成之后，可以选择对规划的线路进行发布操作；自动会自动生成对应的H5页面及PDF格式的文档，支持对行程单生成WEB格式的行程单和PDF格式的行程单；H5格式的行程包含对应的网址及二维码；PDF格式的行程及行程单都支持下载及打印操作。（提供功能演示和清晰截图）</w:t>
            </w:r>
          </w:p>
          <w:p w14:paraId="43A55A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学生可以查看对应的旅行资源库、行业行程库、资源链接库等资料帮助学生进行旅游行程的规划；同时学生可以添加自己的标签库；针对删除的行程自动放入回收站，学生可以针对回收站里面的行程线路、POI、图片、笔记、酒店、活动服务、行程亮点进行恢复操作。</w:t>
            </w:r>
          </w:p>
          <w:p w14:paraId="023E66C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15、学生可以根据每个地方不同的情况进行自行添加对应的POI、图片及相关资料库。</w:t>
            </w:r>
          </w:p>
          <w:p w14:paraId="1550904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16、系统内置丰富的行业真实行程单，学生可以进行查看，包含行程的天数、标签、旅行团、价格及更新时间。</w:t>
            </w:r>
          </w:p>
          <w:p w14:paraId="610A3E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17、教师端可以对学生的账户及分组信息进行管理；支持新增对应的模板消息进行预览、编辑及一键群发，自动自动记录发送状态及发送时间。</w:t>
            </w:r>
          </w:p>
          <w:p w14:paraId="2C2C85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18、教师可以查看学生设计的行程线路并查看其操作日志；同时根据对应的评分标准对学生作业进行评分；针对可以评分的行程规划，教师可以一边查看学生作品一边进行评分。</w:t>
            </w:r>
          </w:p>
          <w:p w14:paraId="384D78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为了更方便学生规划行程，系统支持对不同的景点及酒店进行大数据AI归集及查看，数据板块拥有数据的综合看板分析，包含景区和酒店口碑指数进行分析；自动生成月份的酒店/景区口碑指数，自动计算本省在全国的排名；系统自动统计展示的平均指数、最高指数及最低指数；展示本省景区和酒店当前的口碑总数、好评总数、好评率、差评总数及差评率，并根据算法自动计划上月环比数据。（提供功能演示和清晰截图）</w:t>
            </w:r>
          </w:p>
          <w:p w14:paraId="21F9C21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数据板块对OTA平台数据进行统计分析，展示各个OTA平台的口碑热度及满意度，包含但不限于美团、马蜂窝、去哪儿、携程、同程旅游、驴妈妈、途牛等互联网OTA平台；按照月份统计近12个月口碑的变化趋势，可选择好评、差评或中评的并自动统计近12个月每月所选的数据数量；同时自动生成本省不同城市的好/中/差评的分布图，清晰的查看不同城市的变化趋势。（提供功能演示和清晰截图）</w:t>
            </w:r>
          </w:p>
          <w:p w14:paraId="44BE934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数据板块通过算法模型，结合客流状况、景点景色、卫生环境、景区管理、门票物价、服务质量、旅游交通、公共设置几大维度占比，结合热度数据模型，计算景区口碑指数，同时可分析本省数据指数与全国行业平均值的数据差距；景区综合看板展示本省酒店/酒店的好评和差评TOP5，展示各个评论数及占比；可点击查看单个景区或酒店的网络评论分析面板，展示当前景区或酒店的评论总数、好差评占比、近12个月口碑热度趋势、OTA平台口碑分布概况；月度口碑指数、近12个月口碑指数趋势图、不同维度口碑维度分布图，展示最新的好评及差评数据，展示数据的来源平台，评论的具体内容及评论时间。（提供功能演示和清晰截图）</w:t>
            </w:r>
          </w:p>
          <w:p w14:paraId="24628AD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供应商需承诺在中标后或者签合同后去采购人指定地点进行软件原型动态演示，如不满足参数要求，按照虚假响应处理，中标人需承诺由此产生的一切后果。</w:t>
            </w:r>
          </w:p>
        </w:tc>
        <w:tc>
          <w:tcPr>
            <w:tcW w:w="480" w:type="dxa"/>
            <w:noWrap w:val="0"/>
            <w:tcMar>
              <w:top w:w="60" w:type="dxa"/>
              <w:left w:w="120" w:type="dxa"/>
              <w:bottom w:w="30" w:type="dxa"/>
              <w:right w:w="120" w:type="dxa"/>
            </w:tcMar>
            <w:vAlign w:val="center"/>
          </w:tcPr>
          <w:p w14:paraId="5D7D16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6266178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198000</w:t>
            </w:r>
          </w:p>
        </w:tc>
        <w:tc>
          <w:tcPr>
            <w:tcW w:w="480" w:type="dxa"/>
            <w:noWrap w:val="0"/>
            <w:tcMar>
              <w:top w:w="60" w:type="dxa"/>
              <w:left w:w="120" w:type="dxa"/>
              <w:bottom w:w="30" w:type="dxa"/>
              <w:right w:w="120" w:type="dxa"/>
            </w:tcMar>
            <w:vAlign w:val="center"/>
          </w:tcPr>
          <w:p w14:paraId="78F721C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647C64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198000</w:t>
            </w:r>
          </w:p>
        </w:tc>
      </w:tr>
      <w:tr w14:paraId="62825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FFA4DD7">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720" w:type="dxa"/>
            <w:noWrap w:val="0"/>
            <w:tcMar>
              <w:top w:w="60" w:type="dxa"/>
              <w:left w:w="120" w:type="dxa"/>
              <w:bottom w:w="30" w:type="dxa"/>
              <w:right w:w="120" w:type="dxa"/>
            </w:tcMar>
            <w:vAlign w:val="center"/>
          </w:tcPr>
          <w:p w14:paraId="60290D1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玻璃直播房</w:t>
            </w:r>
          </w:p>
        </w:tc>
        <w:tc>
          <w:tcPr>
            <w:tcW w:w="5400" w:type="dxa"/>
            <w:noWrap w:val="0"/>
            <w:tcMar>
              <w:top w:w="60" w:type="dxa"/>
              <w:left w:w="120" w:type="dxa"/>
              <w:bottom w:w="30" w:type="dxa"/>
              <w:right w:w="120" w:type="dxa"/>
            </w:tcMar>
            <w:vAlign w:val="center"/>
          </w:tcPr>
          <w:p w14:paraId="1F8E729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【尺寸】2200*2100*2350mm（±5%）</w:t>
            </w:r>
          </w:p>
          <w:p w14:paraId="08C5D00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【材质】中空防火板、9MM专业吸音棉、高密度环保隔音板、无甲醛隔音棉、10MM贴膜钢化玻璃、高密度铝合金</w:t>
            </w:r>
          </w:p>
          <w:p w14:paraId="1F0AEB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【开关】照明独立开关、抽风机独立开关、</w:t>
            </w:r>
          </w:p>
          <w:p w14:paraId="7186480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【通风口】迷宫式新风系统</w:t>
            </w:r>
          </w:p>
          <w:p w14:paraId="33984AF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【插座】标准五孔+USB接口+网线接口</w:t>
            </w:r>
          </w:p>
          <w:p w14:paraId="1A03548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【电源输出】100-240V/VAC,10.1A,50-60Hz</w:t>
            </w:r>
          </w:p>
          <w:p w14:paraId="7D82E3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【功率输出】直流5V，2.1A</w:t>
            </w:r>
          </w:p>
        </w:tc>
        <w:tc>
          <w:tcPr>
            <w:tcW w:w="480" w:type="dxa"/>
            <w:noWrap w:val="0"/>
            <w:tcMar>
              <w:top w:w="60" w:type="dxa"/>
              <w:left w:w="120" w:type="dxa"/>
              <w:bottom w:w="30" w:type="dxa"/>
              <w:right w:w="120" w:type="dxa"/>
            </w:tcMar>
            <w:vAlign w:val="center"/>
          </w:tcPr>
          <w:p w14:paraId="6B896A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间</w:t>
            </w:r>
          </w:p>
        </w:tc>
        <w:tc>
          <w:tcPr>
            <w:tcW w:w="960" w:type="dxa"/>
            <w:noWrap w:val="0"/>
            <w:tcMar>
              <w:top w:w="60" w:type="dxa"/>
              <w:left w:w="120" w:type="dxa"/>
              <w:bottom w:w="30" w:type="dxa"/>
              <w:right w:w="120" w:type="dxa"/>
            </w:tcMar>
            <w:vAlign w:val="center"/>
          </w:tcPr>
          <w:p w14:paraId="468E7A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40000</w:t>
            </w:r>
          </w:p>
        </w:tc>
        <w:tc>
          <w:tcPr>
            <w:tcW w:w="480" w:type="dxa"/>
            <w:noWrap w:val="0"/>
            <w:tcMar>
              <w:top w:w="60" w:type="dxa"/>
              <w:left w:w="120" w:type="dxa"/>
              <w:bottom w:w="30" w:type="dxa"/>
              <w:right w:w="120" w:type="dxa"/>
            </w:tcMar>
            <w:vAlign w:val="center"/>
          </w:tcPr>
          <w:p w14:paraId="605B997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3F81F32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80000</w:t>
            </w:r>
          </w:p>
        </w:tc>
      </w:tr>
      <w:tr w14:paraId="5888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26CD5E4">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720" w:type="dxa"/>
            <w:noWrap w:val="0"/>
            <w:tcMar>
              <w:top w:w="60" w:type="dxa"/>
              <w:left w:w="120" w:type="dxa"/>
              <w:bottom w:w="30" w:type="dxa"/>
              <w:right w:w="120" w:type="dxa"/>
            </w:tcMar>
            <w:vAlign w:val="center"/>
          </w:tcPr>
          <w:p w14:paraId="52FAA2E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旅游新媒体数据分析平台</w:t>
            </w:r>
          </w:p>
        </w:tc>
        <w:tc>
          <w:tcPr>
            <w:tcW w:w="5400" w:type="dxa"/>
            <w:noWrap w:val="0"/>
            <w:tcMar>
              <w:top w:w="60" w:type="dxa"/>
              <w:left w:w="120" w:type="dxa"/>
              <w:bottom w:w="30" w:type="dxa"/>
              <w:right w:w="120" w:type="dxa"/>
            </w:tcMar>
            <w:vAlign w:val="center"/>
          </w:tcPr>
          <w:p w14:paraId="52DFF97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1.平台可设置旅游、餐饮、酒店等行业的实训任务。</w:t>
            </w:r>
          </w:p>
          <w:p w14:paraId="14D527F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2.支持教师对行业、实训任务的自定义扩充，以及评分标准、分值的设置。</w:t>
            </w:r>
          </w:p>
          <w:p w14:paraId="351B54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3.学生成绩评定支持系统自动评分和教师主观评分两种方式。</w:t>
            </w:r>
          </w:p>
          <w:p w14:paraId="3C1B857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4.平台包含微信、微博、抖音、社群、今日头条、小红书6个主流新媒体营销渠道。</w:t>
            </w:r>
          </w:p>
          <w:p w14:paraId="0AFCCC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5.平台提供微信广告、微博广告、抖音广告、今日头条广告和百度广告等5类不同的推广渠道。</w:t>
            </w:r>
          </w:p>
          <w:p w14:paraId="61DA62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6.平台内设练习中心，支持针对6大新媒体平台、5种推广渠道进行不限次练习，可查看每次练习得分情况的图表。</w:t>
            </w:r>
          </w:p>
          <w:p w14:paraId="1948D32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7.平台可自定义添加新媒体资源库，提供新媒体行业相关的平台资源、行业资源及案例资源，丰富学生行业相关知识与案例的积累。</w:t>
            </w:r>
          </w:p>
          <w:p w14:paraId="5866471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8.提供新媒体助手，包含图片/视频/音频等丰富的素材，以及营销日历、微博话题等热点信息，辅助借势运营与推广。</w:t>
            </w:r>
          </w:p>
          <w:p w14:paraId="52BFB9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9.支持以文本、图文或者多图文的形式进行微信公众号的关注时回复设置。</w:t>
            </w:r>
          </w:p>
          <w:p w14:paraId="3BCECAC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10.以文本、图片、音频、视频的形式进行关键词回复设置，以及进行无人应答时的自动回复设置。</w:t>
            </w:r>
          </w:p>
          <w:p w14:paraId="1BB364D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11.支持对微信公众号一级菜单、二级菜单进行自定义布局和设置。</w:t>
            </w:r>
          </w:p>
          <w:p w14:paraId="31EAAD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12.可添加虚拟产品，对产品进行增删改查和分类操作。</w:t>
            </w:r>
          </w:p>
          <w:p w14:paraId="39E563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13.具备完善的客户服务系统，包含人工客服、智能客服设置，客服人员能力训练，模拟咨询处理，客户关系管理等环节。</w:t>
            </w:r>
          </w:p>
          <w:p w14:paraId="2A821A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14.具备全面的公众号数据分析功能，包含总体概况分析、图文分析以及菜单分析。</w:t>
            </w:r>
          </w:p>
          <w:p w14:paraId="64945B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15.提供完备的微博搭建功能，包含微博昵称、个性签名、微博标签主要信息的设置。</w:t>
            </w:r>
          </w:p>
          <w:p w14:paraId="21545EE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16.支持发布微博作品，添加表情以及图文内容，训练微博文章引流的技能技巧。</w:t>
            </w:r>
          </w:p>
          <w:p w14:paraId="11E08E5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17.具备微博名人堂功能，支持对网络红人、时尚达人、影视演员、段子手、营销专家的关注和互动，提升微博知名度。</w:t>
            </w:r>
          </w:p>
          <w:p w14:paraId="52DDF99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18.支持话题博文发布与互动，通过话题博文，加强推广力度，提升微博宣传效果。</w:t>
            </w:r>
          </w:p>
          <w:p w14:paraId="4510A77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19.具备全面的微博数据分析功能，包含微博概况分析、图文分析、互动分析。</w:t>
            </w:r>
          </w:p>
          <w:p w14:paraId="7E6877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20.嵌入抖音模拟器，模拟抖音短视频发布流程，支持将视频作品发布到模拟器。</w:t>
            </w:r>
          </w:p>
          <w:p w14:paraId="59CF1EC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21.可将将学生视频作品在抖音首页推荐模块进行动态显示。</w:t>
            </w:r>
          </w:p>
          <w:p w14:paraId="637D12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22.支持学生对发布到抖音的视频进行点赞、评论、转发等互动，并实时显示数值变化。</w:t>
            </w:r>
          </w:p>
          <w:p w14:paraId="34FF9EC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23.支持社群的构建和群规则的设置，实现对社群成员的统一管理。</w:t>
            </w:r>
          </w:p>
          <w:p w14:paraId="535E5D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24.提供活动管理、软文管理、问卷管理、海报管理多种社群营销工具，训练学生社群活动策划能力。</w:t>
            </w:r>
          </w:p>
          <w:p w14:paraId="0731459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25.提供全面的社群数据分析功能，多维度对社群的活动、软文、问卷进行数据跟踪和分析。</w:t>
            </w:r>
          </w:p>
          <w:p w14:paraId="7C39E5D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26.提供完备的今日头条账号搭建功能，包含用户名、用户简介、用户头像及兴趣领域。</w:t>
            </w:r>
          </w:p>
          <w:p w14:paraId="63AF9F3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27.支持使用头条文章、视频、微头条等三种不同作品体裁进行营销推广，训练学生多体裁全面创作能力。</w:t>
            </w:r>
          </w:p>
          <w:p w14:paraId="504FF5A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28.提供今日头条热点创作功能，支持根据热点进行文章和微头条作品创作。</w:t>
            </w:r>
          </w:p>
          <w:p w14:paraId="37FF1FD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29.提供全面的今日头条数据分析功能，多维度针对账号及单个作品进行数据分析。</w:t>
            </w:r>
          </w:p>
          <w:p w14:paraId="7FD5D3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30.嵌入小红书模拟器，模拟小红书笔记发布流程，支持将视频作品发布到模拟器。</w:t>
            </w:r>
          </w:p>
          <w:p w14:paraId="72E3410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31.抖音、今日头条和小红书均支持智能检测功能，针对作品文案进行违禁分析，并展示违禁问题。</w:t>
            </w:r>
          </w:p>
          <w:p w14:paraId="6CB146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32.微信、微博、社群、头条支持PC端和手机模拟器两种查看方式，抖音、小红书仅支持手机查看，将学生操作与成果实时同步。</w:t>
            </w:r>
          </w:p>
          <w:p w14:paraId="6785372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33.支持全面的广告投放数据分析功能，展示广告投放的总预算、总花费、付费方式、出价、平均成本。</w:t>
            </w:r>
          </w:p>
          <w:p w14:paraId="7F8EBAF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34.管理员端可管理教师和学生账号；可修改练习中心模块的任务要求以及系统评分标准，可添加资源库分类。</w:t>
            </w:r>
          </w:p>
          <w:p w14:paraId="68E3A1F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35.教师端可添加班级列表，班级内可新增学生账号；可添加任务，任务可关联微信、微博、抖音、社群、今日头条、小红书以及广告推广模块，可为每个模块添加任务要求图文介绍，添加评分标准。</w:t>
            </w:r>
          </w:p>
          <w:p w14:paraId="0C861C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36.教师可添加实验，实验关联任务，可选择参与实验的班级，实验可以手动控制，手动情况下可以控制实验开始，实验结束，结束互动，评分；自动情况下，可以根据设置的起止时间自动开始和结束实验，并且可以根据设置的时间占比，自动分配实验时间和互动时间。</w:t>
            </w:r>
          </w:p>
          <w:p w14:paraId="3C879C1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37.教师可添加素材，创建素材分类，分类下可添加素材，支持上传图片、音频、视频格式文件，添加任务时可关联素材分类，学生在对应实验中可从素材库中选择素材。</w:t>
            </w:r>
          </w:p>
          <w:p w14:paraId="5D80398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38.教师可以添加自定义的客服打字速度测试的文本内容；可以添加微博话题供学生在微博模块添加话题时选用；可增删营销日历事件。</w:t>
            </w:r>
          </w:p>
          <w:p w14:paraId="41444B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39.系统可根据实验设置的评分标准自动进行系统评分，客观评分需要教师参与打分，发布成绩后生成学生实验成绩图表，可查看成绩分布，平均分，排名，以及每个学生单独模块得分情况，支持导出成绩excel表格</w:t>
            </w:r>
          </w:p>
          <w:p w14:paraId="34643FB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供应商需承诺在中标后或者签合同后去采购人指定地点进行软件原型动态演示，如不满足参数要求，按照虚假响应处理，中标人需承诺由此产生的一切后果。</w:t>
            </w:r>
          </w:p>
        </w:tc>
        <w:tc>
          <w:tcPr>
            <w:tcW w:w="480" w:type="dxa"/>
            <w:noWrap w:val="0"/>
            <w:tcMar>
              <w:top w:w="60" w:type="dxa"/>
              <w:left w:w="120" w:type="dxa"/>
              <w:bottom w:w="30" w:type="dxa"/>
              <w:right w:w="120" w:type="dxa"/>
            </w:tcMar>
            <w:vAlign w:val="center"/>
          </w:tcPr>
          <w:p w14:paraId="1EEAD5F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30EEE70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165000</w:t>
            </w:r>
          </w:p>
        </w:tc>
        <w:tc>
          <w:tcPr>
            <w:tcW w:w="480" w:type="dxa"/>
            <w:noWrap w:val="0"/>
            <w:tcMar>
              <w:top w:w="60" w:type="dxa"/>
              <w:left w:w="120" w:type="dxa"/>
              <w:bottom w:w="30" w:type="dxa"/>
              <w:right w:w="120" w:type="dxa"/>
            </w:tcMar>
            <w:vAlign w:val="center"/>
          </w:tcPr>
          <w:p w14:paraId="278B9A6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149E48B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165000</w:t>
            </w:r>
          </w:p>
        </w:tc>
      </w:tr>
      <w:tr w14:paraId="6C7A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120544F0">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720" w:type="dxa"/>
            <w:noWrap w:val="0"/>
            <w:tcMar>
              <w:top w:w="60" w:type="dxa"/>
              <w:left w:w="120" w:type="dxa"/>
              <w:bottom w:w="30" w:type="dxa"/>
              <w:right w:w="120" w:type="dxa"/>
            </w:tcMar>
            <w:vAlign w:val="center"/>
          </w:tcPr>
          <w:p w14:paraId="670929B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55寸直播机</w:t>
            </w:r>
          </w:p>
        </w:tc>
        <w:tc>
          <w:tcPr>
            <w:tcW w:w="5400" w:type="dxa"/>
            <w:noWrap w:val="0"/>
            <w:tcMar>
              <w:top w:w="60" w:type="dxa"/>
              <w:left w:w="120" w:type="dxa"/>
              <w:bottom w:w="30" w:type="dxa"/>
              <w:right w:w="120" w:type="dxa"/>
            </w:tcMar>
            <w:vAlign w:val="center"/>
          </w:tcPr>
          <w:p w14:paraId="2455B6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尺寸 ≥55寸</w:t>
            </w:r>
          </w:p>
          <w:p w14:paraId="6A7E9BE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分辨率  ≥1920*1080 FHD</w:t>
            </w:r>
          </w:p>
          <w:p w14:paraId="37AF7A4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亮度 ≥ 350cd</w:t>
            </w:r>
          </w:p>
          <w:p w14:paraId="49C0FEB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触摸类型 红外触摸</w:t>
            </w:r>
          </w:p>
          <w:p w14:paraId="41E3227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触摸点数 10点</w:t>
            </w:r>
          </w:p>
          <w:p w14:paraId="7200C1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CPU 联发科/6纳米工艺/8核CPU</w:t>
            </w:r>
          </w:p>
          <w:p w14:paraId="625ECF3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运行内存 ≥ 8G</w:t>
            </w:r>
          </w:p>
          <w:p w14:paraId="2365548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存储 ≥ 128G</w:t>
            </w:r>
          </w:p>
          <w:p w14:paraId="32E48E3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≥安卓系统 安卓11.0</w:t>
            </w:r>
          </w:p>
          <w:p w14:paraId="2AD17A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通讯 WiFi2.4+5G频段/wifi6标准，10-1000兆LAN自适应，≥蓝牙5.0</w:t>
            </w:r>
          </w:p>
          <w:p w14:paraId="20B16C6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内置喇叭 8欧8瓦立体声</w:t>
            </w:r>
          </w:p>
          <w:p w14:paraId="7857694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音频输出 3.5MM，音频输出接口</w:t>
            </w:r>
          </w:p>
          <w:p w14:paraId="7D74DBD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供电方式 AC供电</w:t>
            </w:r>
          </w:p>
          <w:p w14:paraId="7BB0EC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电压 220V尺寸</w:t>
            </w:r>
          </w:p>
          <w:p w14:paraId="702ADE3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净重/毛重 23.5/30.5KG（±5%）</w:t>
            </w:r>
          </w:p>
          <w:p w14:paraId="20FBAD4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整机尺寸 1257.1*744.9*82.3MM（±5%）</w:t>
            </w:r>
          </w:p>
          <w:p w14:paraId="1BDEE1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含包装尺寸1366.6*185*891.5MM DC（±5%）接口 12V供电接口</w:t>
            </w:r>
          </w:p>
          <w:p w14:paraId="225FACD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OTG接口 调试系统接口</w:t>
            </w:r>
          </w:p>
          <w:p w14:paraId="3F7DE12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HDMI输入 用于连接HDMI摄像头，或其他视频源输出设备</w:t>
            </w:r>
          </w:p>
          <w:p w14:paraId="622AD4D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HDMI输出 用于连接HDMI显示器</w:t>
            </w:r>
          </w:p>
          <w:p w14:paraId="281FD6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网口 用于连接有线网络</w:t>
            </w:r>
          </w:p>
          <w:p w14:paraId="4D389EB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USB3.0接口 用于连接，USB设备，U盘，键盘鼠标</w:t>
            </w:r>
          </w:p>
          <w:p w14:paraId="3AB725E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3.5MM音频输出 连接音箱及耳机</w:t>
            </w:r>
          </w:p>
          <w:p w14:paraId="56D87E8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USB2.0接口 用于连接，USB设备，U盘，键盘鼠标，声卡</w:t>
            </w:r>
          </w:p>
          <w:p w14:paraId="18B9F6D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3.5MM音频输入 用于连接无线麦克风，有线耳机</w:t>
            </w:r>
          </w:p>
          <w:p w14:paraId="4CE049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开关 整机开关机按钮</w:t>
            </w:r>
          </w:p>
          <w:p w14:paraId="1574931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电源接口 整机通电电源接口</w:t>
            </w:r>
          </w:p>
        </w:tc>
        <w:tc>
          <w:tcPr>
            <w:tcW w:w="480" w:type="dxa"/>
            <w:noWrap w:val="0"/>
            <w:tcMar>
              <w:top w:w="60" w:type="dxa"/>
              <w:left w:w="120" w:type="dxa"/>
              <w:bottom w:w="30" w:type="dxa"/>
              <w:right w:w="120" w:type="dxa"/>
            </w:tcMar>
            <w:vAlign w:val="center"/>
          </w:tcPr>
          <w:p w14:paraId="0A658B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1E5E17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9800</w:t>
            </w:r>
          </w:p>
        </w:tc>
        <w:tc>
          <w:tcPr>
            <w:tcW w:w="480" w:type="dxa"/>
            <w:noWrap w:val="0"/>
            <w:tcMar>
              <w:top w:w="60" w:type="dxa"/>
              <w:left w:w="120" w:type="dxa"/>
              <w:bottom w:w="30" w:type="dxa"/>
              <w:right w:w="120" w:type="dxa"/>
            </w:tcMar>
            <w:vAlign w:val="center"/>
          </w:tcPr>
          <w:p w14:paraId="5371E55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0F145AD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19600 </w:t>
            </w:r>
          </w:p>
        </w:tc>
      </w:tr>
      <w:tr w14:paraId="6A19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DDFD6A9">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720" w:type="dxa"/>
            <w:noWrap w:val="0"/>
            <w:tcMar>
              <w:top w:w="60" w:type="dxa"/>
              <w:left w:w="120" w:type="dxa"/>
              <w:bottom w:w="30" w:type="dxa"/>
              <w:right w:w="120" w:type="dxa"/>
            </w:tcMar>
            <w:vAlign w:val="center"/>
          </w:tcPr>
          <w:p w14:paraId="127F4F8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移动支架</w:t>
            </w:r>
          </w:p>
        </w:tc>
        <w:tc>
          <w:tcPr>
            <w:tcW w:w="5400" w:type="dxa"/>
            <w:noWrap w:val="0"/>
            <w:tcMar>
              <w:top w:w="60" w:type="dxa"/>
              <w:left w:w="120" w:type="dxa"/>
              <w:bottom w:w="30" w:type="dxa"/>
              <w:right w:w="120" w:type="dxa"/>
            </w:tcMar>
            <w:vAlign w:val="center"/>
          </w:tcPr>
          <w:p w14:paraId="4AAB08A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直播移动支架：黑色 、11.32KG；（±5%）</w:t>
            </w:r>
          </w:p>
          <w:p w14:paraId="77E764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长1200mm ，宽500mm， 高120mm（±5%）</w:t>
            </w:r>
          </w:p>
        </w:tc>
        <w:tc>
          <w:tcPr>
            <w:tcW w:w="480" w:type="dxa"/>
            <w:noWrap w:val="0"/>
            <w:tcMar>
              <w:top w:w="60" w:type="dxa"/>
              <w:left w:w="120" w:type="dxa"/>
              <w:bottom w:w="30" w:type="dxa"/>
              <w:right w:w="120" w:type="dxa"/>
            </w:tcMar>
            <w:vAlign w:val="center"/>
          </w:tcPr>
          <w:p w14:paraId="68D792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6C669AF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850</w:t>
            </w:r>
          </w:p>
        </w:tc>
        <w:tc>
          <w:tcPr>
            <w:tcW w:w="480" w:type="dxa"/>
            <w:noWrap w:val="0"/>
            <w:tcMar>
              <w:top w:w="60" w:type="dxa"/>
              <w:left w:w="120" w:type="dxa"/>
              <w:bottom w:w="30" w:type="dxa"/>
              <w:right w:w="120" w:type="dxa"/>
            </w:tcMar>
            <w:vAlign w:val="center"/>
          </w:tcPr>
          <w:p w14:paraId="1D56743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444A5D8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1700 </w:t>
            </w:r>
          </w:p>
        </w:tc>
      </w:tr>
      <w:tr w14:paraId="57BC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4468E8CF">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720" w:type="dxa"/>
            <w:noWrap w:val="0"/>
            <w:tcMar>
              <w:top w:w="60" w:type="dxa"/>
              <w:left w:w="120" w:type="dxa"/>
              <w:bottom w:w="30" w:type="dxa"/>
              <w:right w:w="120" w:type="dxa"/>
            </w:tcMar>
            <w:vAlign w:val="center"/>
          </w:tcPr>
          <w:p w14:paraId="300F8B1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直播摄像头</w:t>
            </w:r>
          </w:p>
        </w:tc>
        <w:tc>
          <w:tcPr>
            <w:tcW w:w="5400" w:type="dxa"/>
            <w:noWrap w:val="0"/>
            <w:tcMar>
              <w:top w:w="60" w:type="dxa"/>
              <w:left w:w="120" w:type="dxa"/>
              <w:bottom w:w="30" w:type="dxa"/>
              <w:right w:w="120" w:type="dxa"/>
            </w:tcMar>
            <w:vAlign w:val="center"/>
          </w:tcPr>
          <w:p w14:paraId="417DB5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支持扬声器</w:t>
            </w:r>
          </w:p>
          <w:p w14:paraId="023EAF2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对焦 自动对焦</w:t>
            </w:r>
          </w:p>
          <w:p w14:paraId="06F7D66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附加功能 免驱动</w:t>
            </w:r>
          </w:p>
          <w:p w14:paraId="0B4A52B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分辨率≥ 1080p</w:t>
            </w:r>
          </w:p>
          <w:p w14:paraId="2200FB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光学变倍≥ 3x</w:t>
            </w:r>
          </w:p>
          <w:p w14:paraId="62D89BE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驱动 有驱</w:t>
            </w:r>
          </w:p>
          <w:p w14:paraId="3D6A54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带麦克风</w:t>
            </w:r>
          </w:p>
          <w:p w14:paraId="0BEC5FB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遥控器 无</w:t>
            </w:r>
          </w:p>
          <w:p w14:paraId="08AD41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颜色 白色</w:t>
            </w:r>
          </w:p>
          <w:p w14:paraId="5492CF7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接口 USB</w:t>
            </w:r>
          </w:p>
          <w:p w14:paraId="70D9B7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连接线长度≥ 4厘米</w:t>
            </w:r>
          </w:p>
        </w:tc>
        <w:tc>
          <w:tcPr>
            <w:tcW w:w="480" w:type="dxa"/>
            <w:noWrap w:val="0"/>
            <w:tcMar>
              <w:top w:w="60" w:type="dxa"/>
              <w:left w:w="120" w:type="dxa"/>
              <w:bottom w:w="30" w:type="dxa"/>
              <w:right w:w="120" w:type="dxa"/>
            </w:tcMar>
            <w:vAlign w:val="center"/>
          </w:tcPr>
          <w:p w14:paraId="271B8E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55B1B78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2000</w:t>
            </w:r>
          </w:p>
        </w:tc>
        <w:tc>
          <w:tcPr>
            <w:tcW w:w="480" w:type="dxa"/>
            <w:noWrap w:val="0"/>
            <w:tcMar>
              <w:top w:w="60" w:type="dxa"/>
              <w:left w:w="120" w:type="dxa"/>
              <w:bottom w:w="30" w:type="dxa"/>
              <w:right w:w="120" w:type="dxa"/>
            </w:tcMar>
            <w:vAlign w:val="center"/>
          </w:tcPr>
          <w:p w14:paraId="5EAF212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3873F47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4000</w:t>
            </w:r>
          </w:p>
        </w:tc>
      </w:tr>
      <w:tr w14:paraId="4739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8D9DE31">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720" w:type="dxa"/>
            <w:noWrap w:val="0"/>
            <w:tcMar>
              <w:top w:w="60" w:type="dxa"/>
              <w:left w:w="120" w:type="dxa"/>
              <w:bottom w:w="30" w:type="dxa"/>
              <w:right w:w="120" w:type="dxa"/>
            </w:tcMar>
            <w:vAlign w:val="center"/>
          </w:tcPr>
          <w:p w14:paraId="70E839C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直播监听耳机</w:t>
            </w:r>
          </w:p>
        </w:tc>
        <w:tc>
          <w:tcPr>
            <w:tcW w:w="5400" w:type="dxa"/>
            <w:noWrap w:val="0"/>
            <w:tcMar>
              <w:top w:w="60" w:type="dxa"/>
              <w:left w:w="120" w:type="dxa"/>
              <w:bottom w:w="30" w:type="dxa"/>
              <w:right w:w="120" w:type="dxa"/>
            </w:tcMar>
            <w:vAlign w:val="center"/>
          </w:tcPr>
          <w:p w14:paraId="5434A87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无线 耳塞 单支</w:t>
            </w:r>
          </w:p>
          <w:p w14:paraId="58D7882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充电接口</w:t>
            </w:r>
          </w:p>
          <w:p w14:paraId="6A9ED3B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Type-C；安卓</w:t>
            </w:r>
          </w:p>
          <w:p w14:paraId="297516A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10米传输距离</w:t>
            </w:r>
          </w:p>
          <w:p w14:paraId="65E4293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监听音量大小可调  10级</w:t>
            </w:r>
          </w:p>
          <w:p w14:paraId="39FCBF0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内置锂电池  可连续使用6——8小时</w:t>
            </w:r>
          </w:p>
          <w:p w14:paraId="4886949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声音延迟≤20MS</w:t>
            </w:r>
          </w:p>
        </w:tc>
        <w:tc>
          <w:tcPr>
            <w:tcW w:w="480" w:type="dxa"/>
            <w:noWrap w:val="0"/>
            <w:tcMar>
              <w:top w:w="60" w:type="dxa"/>
              <w:left w:w="120" w:type="dxa"/>
              <w:bottom w:w="30" w:type="dxa"/>
              <w:right w:w="120" w:type="dxa"/>
            </w:tcMar>
            <w:vAlign w:val="center"/>
          </w:tcPr>
          <w:p w14:paraId="67F4B3A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5956D2B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980</w:t>
            </w:r>
          </w:p>
        </w:tc>
        <w:tc>
          <w:tcPr>
            <w:tcW w:w="480" w:type="dxa"/>
            <w:noWrap w:val="0"/>
            <w:tcMar>
              <w:top w:w="60" w:type="dxa"/>
              <w:left w:w="120" w:type="dxa"/>
              <w:bottom w:w="30" w:type="dxa"/>
              <w:right w:w="120" w:type="dxa"/>
            </w:tcMar>
            <w:vAlign w:val="center"/>
          </w:tcPr>
          <w:p w14:paraId="0B8595C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085D3DC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1960 </w:t>
            </w:r>
          </w:p>
        </w:tc>
      </w:tr>
      <w:tr w14:paraId="0E75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42BB6EDB">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720" w:type="dxa"/>
            <w:noWrap w:val="0"/>
            <w:tcMar>
              <w:top w:w="60" w:type="dxa"/>
              <w:left w:w="120" w:type="dxa"/>
              <w:bottom w:w="30" w:type="dxa"/>
              <w:right w:w="120" w:type="dxa"/>
            </w:tcMar>
            <w:vAlign w:val="center"/>
          </w:tcPr>
          <w:p w14:paraId="4AD4F90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直播监听音响</w:t>
            </w:r>
          </w:p>
        </w:tc>
        <w:tc>
          <w:tcPr>
            <w:tcW w:w="5400" w:type="dxa"/>
            <w:noWrap w:val="0"/>
            <w:tcMar>
              <w:top w:w="60" w:type="dxa"/>
              <w:left w:w="120" w:type="dxa"/>
              <w:bottom w:w="30" w:type="dxa"/>
              <w:right w:w="120" w:type="dxa"/>
            </w:tcMar>
            <w:vAlign w:val="center"/>
          </w:tcPr>
          <w:p w14:paraId="5FAF6D6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峰值声压级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一对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:108 dB SPL @ 1M/1W频率响应</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57Hz-20kHz</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士3dB</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分频</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24dB/octave @ 2kHz</w:t>
            </w:r>
          </w:p>
          <w:p w14:paraId="27F546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高音</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1inch蚕丝</w:t>
            </w:r>
          </w:p>
          <w:p w14:paraId="1E8D4C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低音</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5.25inch 聚丙烯 音盆</w:t>
            </w:r>
          </w:p>
          <w:p w14:paraId="674E9E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高音单元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4Q20W/40W</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峰值</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低音单元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4Q 30W/60W</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峰值</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功放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Class AB 双功放</w:t>
            </w:r>
          </w:p>
          <w:p w14:paraId="744674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输入调节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高频、低频3段调试·EQ调节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高频滤波，声场空间</w:t>
            </w:r>
          </w:p>
          <w:p w14:paraId="5523C38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输入接口</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1x1/4TRS,1xXLR,1XRCA</w:t>
            </w:r>
          </w:p>
          <w:p w14:paraId="798911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净重</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约4.7kg</w:t>
            </w:r>
          </w:p>
          <w:p w14:paraId="3A5EDBF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尺寸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180x220x280mm</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宽x深x高</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（±5%）</w:t>
            </w:r>
          </w:p>
        </w:tc>
        <w:tc>
          <w:tcPr>
            <w:tcW w:w="480" w:type="dxa"/>
            <w:noWrap w:val="0"/>
            <w:tcMar>
              <w:top w:w="60" w:type="dxa"/>
              <w:left w:w="120" w:type="dxa"/>
              <w:bottom w:w="30" w:type="dxa"/>
              <w:right w:w="120" w:type="dxa"/>
            </w:tcMar>
            <w:vAlign w:val="center"/>
          </w:tcPr>
          <w:p w14:paraId="0A94FF8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w:t>
            </w:r>
          </w:p>
        </w:tc>
        <w:tc>
          <w:tcPr>
            <w:tcW w:w="960" w:type="dxa"/>
            <w:noWrap w:val="0"/>
            <w:tcMar>
              <w:top w:w="60" w:type="dxa"/>
              <w:left w:w="120" w:type="dxa"/>
              <w:bottom w:w="30" w:type="dxa"/>
              <w:right w:w="120" w:type="dxa"/>
            </w:tcMar>
            <w:vAlign w:val="center"/>
          </w:tcPr>
          <w:p w14:paraId="44265F2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3000</w:t>
            </w:r>
          </w:p>
        </w:tc>
        <w:tc>
          <w:tcPr>
            <w:tcW w:w="480" w:type="dxa"/>
            <w:noWrap w:val="0"/>
            <w:tcMar>
              <w:top w:w="60" w:type="dxa"/>
              <w:left w:w="120" w:type="dxa"/>
              <w:bottom w:w="30" w:type="dxa"/>
              <w:right w:w="120" w:type="dxa"/>
            </w:tcMar>
            <w:vAlign w:val="center"/>
          </w:tcPr>
          <w:p w14:paraId="1F8FE7C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4D4C58E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6000</w:t>
            </w:r>
          </w:p>
        </w:tc>
      </w:tr>
      <w:tr w14:paraId="6866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547B9C6">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720" w:type="dxa"/>
            <w:noWrap w:val="0"/>
            <w:tcMar>
              <w:top w:w="60" w:type="dxa"/>
              <w:left w:w="120" w:type="dxa"/>
              <w:bottom w:w="30" w:type="dxa"/>
              <w:right w:w="120" w:type="dxa"/>
            </w:tcMar>
            <w:vAlign w:val="center"/>
          </w:tcPr>
          <w:p w14:paraId="42A4C6C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无线键盘鼠标</w:t>
            </w:r>
          </w:p>
        </w:tc>
        <w:tc>
          <w:tcPr>
            <w:tcW w:w="5400" w:type="dxa"/>
            <w:noWrap w:val="0"/>
            <w:tcMar>
              <w:top w:w="60" w:type="dxa"/>
              <w:left w:w="120" w:type="dxa"/>
              <w:bottom w:w="30" w:type="dxa"/>
              <w:right w:w="120" w:type="dxa"/>
            </w:tcMar>
            <w:vAlign w:val="center"/>
          </w:tcPr>
          <w:p w14:paraId="7C21238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无线数字键盘：尺寸121*100*12.5mm  （±5%）   </w:t>
            </w:r>
          </w:p>
          <w:p w14:paraId="1DFF10D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按键数量：28健                                       </w:t>
            </w:r>
          </w:p>
          <w:p w14:paraId="71ECDBC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链接方式：蓝牙连接                                              </w:t>
            </w:r>
          </w:p>
          <w:p w14:paraId="6FAB5FC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充电方式：Micro  USB  5V-1A(140mAh)</w:t>
            </w:r>
          </w:p>
        </w:tc>
        <w:tc>
          <w:tcPr>
            <w:tcW w:w="480" w:type="dxa"/>
            <w:noWrap w:val="0"/>
            <w:tcMar>
              <w:top w:w="60" w:type="dxa"/>
              <w:left w:w="120" w:type="dxa"/>
              <w:bottom w:w="30" w:type="dxa"/>
              <w:right w:w="120" w:type="dxa"/>
            </w:tcMar>
            <w:vAlign w:val="center"/>
          </w:tcPr>
          <w:p w14:paraId="462D0F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55CE254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150</w:t>
            </w:r>
          </w:p>
        </w:tc>
        <w:tc>
          <w:tcPr>
            <w:tcW w:w="480" w:type="dxa"/>
            <w:noWrap w:val="0"/>
            <w:tcMar>
              <w:top w:w="60" w:type="dxa"/>
              <w:left w:w="120" w:type="dxa"/>
              <w:bottom w:w="30" w:type="dxa"/>
              <w:right w:w="120" w:type="dxa"/>
            </w:tcMar>
            <w:vAlign w:val="center"/>
          </w:tcPr>
          <w:p w14:paraId="02460B4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660441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w:t>
            </w:r>
          </w:p>
        </w:tc>
      </w:tr>
      <w:tr w14:paraId="34F20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7A84A7E6">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720" w:type="dxa"/>
            <w:noWrap w:val="0"/>
            <w:tcMar>
              <w:top w:w="60" w:type="dxa"/>
              <w:left w:w="120" w:type="dxa"/>
              <w:bottom w:w="30" w:type="dxa"/>
              <w:right w:w="120" w:type="dxa"/>
            </w:tcMar>
            <w:vAlign w:val="center"/>
          </w:tcPr>
          <w:p w14:paraId="304EDC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球形补光灯</w:t>
            </w:r>
          </w:p>
        </w:tc>
        <w:tc>
          <w:tcPr>
            <w:tcW w:w="5400" w:type="dxa"/>
            <w:noWrap w:val="0"/>
            <w:tcMar>
              <w:top w:w="60" w:type="dxa"/>
              <w:left w:w="120" w:type="dxa"/>
              <w:bottom w:w="30" w:type="dxa"/>
              <w:right w:w="120" w:type="dxa"/>
            </w:tcMar>
            <w:vAlign w:val="center"/>
          </w:tcPr>
          <w:p w14:paraId="440D4F8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灯珠：国产COB封装灯珠                           </w:t>
            </w:r>
          </w:p>
          <w:p w14:paraId="5987612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色温：2800K-6800K                                </w:t>
            </w:r>
          </w:p>
          <w:p w14:paraId="39B8E2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调光范围：10%-100%                              </w:t>
            </w:r>
          </w:p>
          <w:p w14:paraId="7759D7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显指：大于80                                             </w:t>
            </w:r>
          </w:p>
          <w:p w14:paraId="4F2700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灯体直径：65CM （±5%）                                         </w:t>
            </w:r>
          </w:p>
          <w:p w14:paraId="40417F2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总体高度：50CM-250CM                                          </w:t>
            </w:r>
          </w:p>
          <w:p w14:paraId="5B9297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接口属性：保荣卡扣                                       </w:t>
            </w:r>
          </w:p>
          <w:p w14:paraId="1E5162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包装尺寸：32*20*23CM （±5%）                          </w:t>
            </w:r>
          </w:p>
          <w:p w14:paraId="3C11CE8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产品重量：2.1KG（±5%）</w:t>
            </w:r>
          </w:p>
        </w:tc>
        <w:tc>
          <w:tcPr>
            <w:tcW w:w="480" w:type="dxa"/>
            <w:noWrap w:val="0"/>
            <w:tcMar>
              <w:top w:w="60" w:type="dxa"/>
              <w:left w:w="120" w:type="dxa"/>
              <w:bottom w:w="30" w:type="dxa"/>
              <w:right w:w="120" w:type="dxa"/>
            </w:tcMar>
            <w:vAlign w:val="center"/>
          </w:tcPr>
          <w:p w14:paraId="2A85FF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49F2E2A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1500</w:t>
            </w:r>
          </w:p>
        </w:tc>
        <w:tc>
          <w:tcPr>
            <w:tcW w:w="480" w:type="dxa"/>
            <w:noWrap w:val="0"/>
            <w:tcMar>
              <w:top w:w="60" w:type="dxa"/>
              <w:left w:w="120" w:type="dxa"/>
              <w:bottom w:w="30" w:type="dxa"/>
              <w:right w:w="120" w:type="dxa"/>
            </w:tcMar>
            <w:vAlign w:val="center"/>
          </w:tcPr>
          <w:p w14:paraId="138A87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7191BF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3000</w:t>
            </w:r>
          </w:p>
        </w:tc>
      </w:tr>
      <w:tr w14:paraId="3C7D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36B25BC5">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720" w:type="dxa"/>
            <w:noWrap w:val="0"/>
            <w:tcMar>
              <w:top w:w="60" w:type="dxa"/>
              <w:left w:w="120" w:type="dxa"/>
              <w:bottom w:w="30" w:type="dxa"/>
              <w:right w:w="120" w:type="dxa"/>
            </w:tcMar>
            <w:vAlign w:val="center"/>
          </w:tcPr>
          <w:p w14:paraId="51FFE7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绿幕</w:t>
            </w:r>
          </w:p>
        </w:tc>
        <w:tc>
          <w:tcPr>
            <w:tcW w:w="5400" w:type="dxa"/>
            <w:noWrap w:val="0"/>
            <w:tcMar>
              <w:top w:w="60" w:type="dxa"/>
              <w:left w:w="120" w:type="dxa"/>
              <w:bottom w:w="30" w:type="dxa"/>
              <w:right w:w="120" w:type="dxa"/>
            </w:tcMar>
            <w:vAlign w:val="center"/>
          </w:tcPr>
          <w:p w14:paraId="6EDA046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2.6米x3米    带背景支架</w:t>
            </w:r>
          </w:p>
        </w:tc>
        <w:tc>
          <w:tcPr>
            <w:tcW w:w="480" w:type="dxa"/>
            <w:noWrap w:val="0"/>
            <w:tcMar>
              <w:top w:w="60" w:type="dxa"/>
              <w:left w:w="120" w:type="dxa"/>
              <w:bottom w:w="30" w:type="dxa"/>
              <w:right w:w="120" w:type="dxa"/>
            </w:tcMar>
            <w:vAlign w:val="center"/>
          </w:tcPr>
          <w:p w14:paraId="667F59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77B6312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880</w:t>
            </w:r>
          </w:p>
        </w:tc>
        <w:tc>
          <w:tcPr>
            <w:tcW w:w="480" w:type="dxa"/>
            <w:noWrap w:val="0"/>
            <w:tcMar>
              <w:top w:w="60" w:type="dxa"/>
              <w:left w:w="120" w:type="dxa"/>
              <w:bottom w:w="30" w:type="dxa"/>
              <w:right w:w="120" w:type="dxa"/>
            </w:tcMar>
            <w:vAlign w:val="center"/>
          </w:tcPr>
          <w:p w14:paraId="6984F2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2E1B25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1760</w:t>
            </w:r>
          </w:p>
        </w:tc>
      </w:tr>
      <w:tr w14:paraId="6E5F4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165346AC">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720" w:type="dxa"/>
            <w:noWrap w:val="0"/>
            <w:tcMar>
              <w:top w:w="60" w:type="dxa"/>
              <w:left w:w="120" w:type="dxa"/>
              <w:bottom w:w="30" w:type="dxa"/>
              <w:right w:w="120" w:type="dxa"/>
            </w:tcMar>
            <w:vAlign w:val="center"/>
          </w:tcPr>
          <w:p w14:paraId="0E532C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无线领夹麦</w:t>
            </w:r>
          </w:p>
        </w:tc>
        <w:tc>
          <w:tcPr>
            <w:tcW w:w="5400" w:type="dxa"/>
            <w:noWrap w:val="0"/>
            <w:tcMar>
              <w:top w:w="60" w:type="dxa"/>
              <w:left w:w="120" w:type="dxa"/>
              <w:bottom w:w="30" w:type="dxa"/>
              <w:right w:w="120" w:type="dxa"/>
            </w:tcMar>
            <w:vAlign w:val="center"/>
          </w:tcPr>
          <w:p w14:paraId="027C4EB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产品名称：无线领夹麦克风                          </w:t>
            </w:r>
          </w:p>
          <w:p w14:paraId="7D32859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产品颜色：黑色                                             </w:t>
            </w:r>
          </w:p>
          <w:p w14:paraId="60C0676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产品重量：100g（±5%）                                      </w:t>
            </w:r>
          </w:p>
          <w:p w14:paraId="529C545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产品接口：3.5mm     T-PC                          </w:t>
            </w:r>
          </w:p>
          <w:p w14:paraId="6EFDE97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传输方式：2.4G蓝牙                                </w:t>
            </w:r>
          </w:p>
          <w:p w14:paraId="1911C7E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续航时间：≥8小时                                       </w:t>
            </w:r>
          </w:p>
          <w:p w14:paraId="46D0255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传输距离：≥20M</w:t>
            </w:r>
          </w:p>
        </w:tc>
        <w:tc>
          <w:tcPr>
            <w:tcW w:w="480" w:type="dxa"/>
            <w:noWrap w:val="0"/>
            <w:tcMar>
              <w:top w:w="60" w:type="dxa"/>
              <w:left w:w="120" w:type="dxa"/>
              <w:bottom w:w="30" w:type="dxa"/>
              <w:right w:w="120" w:type="dxa"/>
            </w:tcMar>
            <w:vAlign w:val="center"/>
          </w:tcPr>
          <w:p w14:paraId="10862D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1FBC70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800</w:t>
            </w:r>
          </w:p>
        </w:tc>
        <w:tc>
          <w:tcPr>
            <w:tcW w:w="480" w:type="dxa"/>
            <w:noWrap w:val="0"/>
            <w:tcMar>
              <w:top w:w="60" w:type="dxa"/>
              <w:left w:w="120" w:type="dxa"/>
              <w:bottom w:w="30" w:type="dxa"/>
              <w:right w:w="120" w:type="dxa"/>
            </w:tcMar>
            <w:vAlign w:val="center"/>
          </w:tcPr>
          <w:p w14:paraId="6D97769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23A2AEB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1600</w:t>
            </w:r>
          </w:p>
        </w:tc>
      </w:tr>
      <w:tr w14:paraId="04F4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5647BD9">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720" w:type="dxa"/>
            <w:noWrap w:val="0"/>
            <w:tcMar>
              <w:top w:w="60" w:type="dxa"/>
              <w:left w:w="120" w:type="dxa"/>
              <w:bottom w:w="30" w:type="dxa"/>
              <w:right w:w="120" w:type="dxa"/>
            </w:tcMar>
            <w:vAlign w:val="center"/>
          </w:tcPr>
          <w:p w14:paraId="0186B95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深抛补光灯</w:t>
            </w:r>
          </w:p>
        </w:tc>
        <w:tc>
          <w:tcPr>
            <w:tcW w:w="5400" w:type="dxa"/>
            <w:noWrap w:val="0"/>
            <w:tcMar>
              <w:top w:w="60" w:type="dxa"/>
              <w:left w:w="120" w:type="dxa"/>
              <w:bottom w:w="30" w:type="dxa"/>
              <w:right w:w="120" w:type="dxa"/>
            </w:tcMar>
            <w:vAlign w:val="center"/>
          </w:tcPr>
          <w:p w14:paraId="5AE243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100瓦太阳灯+深抛柔光箱+2.8米灯架</w:t>
            </w:r>
          </w:p>
        </w:tc>
        <w:tc>
          <w:tcPr>
            <w:tcW w:w="480" w:type="dxa"/>
            <w:noWrap w:val="0"/>
            <w:tcMar>
              <w:top w:w="60" w:type="dxa"/>
              <w:left w:w="120" w:type="dxa"/>
              <w:bottom w:w="30" w:type="dxa"/>
              <w:right w:w="120" w:type="dxa"/>
            </w:tcMar>
            <w:vAlign w:val="center"/>
          </w:tcPr>
          <w:p w14:paraId="5C300C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1553173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1800</w:t>
            </w:r>
          </w:p>
        </w:tc>
        <w:tc>
          <w:tcPr>
            <w:tcW w:w="480" w:type="dxa"/>
            <w:noWrap w:val="0"/>
            <w:tcMar>
              <w:top w:w="60" w:type="dxa"/>
              <w:left w:w="120" w:type="dxa"/>
              <w:bottom w:w="30" w:type="dxa"/>
              <w:right w:w="120" w:type="dxa"/>
            </w:tcMar>
            <w:vAlign w:val="center"/>
          </w:tcPr>
          <w:p w14:paraId="1A8E7BB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3F83C04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3600</w:t>
            </w:r>
          </w:p>
        </w:tc>
      </w:tr>
      <w:tr w14:paraId="5203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66E514C">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720" w:type="dxa"/>
            <w:noWrap w:val="0"/>
            <w:tcMar>
              <w:top w:w="60" w:type="dxa"/>
              <w:left w:w="120" w:type="dxa"/>
              <w:bottom w:w="30" w:type="dxa"/>
              <w:right w:w="120" w:type="dxa"/>
            </w:tcMar>
            <w:vAlign w:val="center"/>
          </w:tcPr>
          <w:p w14:paraId="5F0396C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直播软件</w:t>
            </w:r>
          </w:p>
        </w:tc>
        <w:tc>
          <w:tcPr>
            <w:tcW w:w="5400" w:type="dxa"/>
            <w:noWrap w:val="0"/>
            <w:tcMar>
              <w:top w:w="60" w:type="dxa"/>
              <w:left w:w="120" w:type="dxa"/>
              <w:bottom w:w="30" w:type="dxa"/>
              <w:right w:w="120" w:type="dxa"/>
            </w:tcMar>
            <w:vAlign w:val="center"/>
          </w:tcPr>
          <w:p w14:paraId="72F7C1B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1.绿幕（蓝幕）抠图切换虚拟背景，支持视频图片幻灯片背景</w:t>
            </w:r>
          </w:p>
          <w:p w14:paraId="3A282A7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2.支持多种音频设备接入，可支持蓝牙音频接入，3.5MM模拟音频输入输出，支持外接各品牌声卡稳定使用</w:t>
            </w:r>
          </w:p>
          <w:p w14:paraId="2EB6D1F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3.支持多个平台软件适配兼容稳定直播</w:t>
            </w:r>
          </w:p>
          <w:p w14:paraId="6B54EA8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国内直播平台，以及国外直播平台</w:t>
            </w:r>
          </w:p>
          <w:p w14:paraId="3B10070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4.基于绿幕抠图背景，还可以在直播画面上创建第三图层画面，前景贴片功能，支持图片，幻灯片素材方式展现</w:t>
            </w:r>
          </w:p>
          <w:p w14:paraId="6D864A1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5.视频录制功能，直播时可将直播画面录制存储在本地</w:t>
            </w:r>
          </w:p>
          <w:p w14:paraId="343B2B3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6.可在直播画面任意位置添加文字展现</w:t>
            </w:r>
          </w:p>
          <w:p w14:paraId="22A66C7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可随意调节文字颜色与文字大小</w:t>
            </w:r>
          </w:p>
          <w:p w14:paraId="07DADB5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7.提词器功能，可添加文字提词功能，在屏幕任何位置可移动，滚动播放，文字大小，文字颜色，滚动速度可调节</w:t>
            </w:r>
          </w:p>
          <w:p w14:paraId="2AD8EF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8.一键切换显示语言，支持中文简体，与英语</w:t>
            </w:r>
          </w:p>
        </w:tc>
        <w:tc>
          <w:tcPr>
            <w:tcW w:w="480" w:type="dxa"/>
            <w:noWrap w:val="0"/>
            <w:tcMar>
              <w:top w:w="60" w:type="dxa"/>
              <w:left w:w="120" w:type="dxa"/>
              <w:bottom w:w="30" w:type="dxa"/>
              <w:right w:w="120" w:type="dxa"/>
            </w:tcMar>
            <w:vAlign w:val="center"/>
          </w:tcPr>
          <w:p w14:paraId="7C2FCF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48EB55E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14200</w:t>
            </w:r>
          </w:p>
        </w:tc>
        <w:tc>
          <w:tcPr>
            <w:tcW w:w="480" w:type="dxa"/>
            <w:noWrap w:val="0"/>
            <w:tcMar>
              <w:top w:w="60" w:type="dxa"/>
              <w:left w:w="120" w:type="dxa"/>
              <w:bottom w:w="30" w:type="dxa"/>
              <w:right w:w="120" w:type="dxa"/>
            </w:tcMar>
            <w:vAlign w:val="center"/>
          </w:tcPr>
          <w:p w14:paraId="4B1E3ED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7E0F22C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14200</w:t>
            </w:r>
          </w:p>
        </w:tc>
      </w:tr>
      <w:tr w14:paraId="26E9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4775E2AD">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720" w:type="dxa"/>
            <w:noWrap w:val="0"/>
            <w:tcMar>
              <w:top w:w="60" w:type="dxa"/>
              <w:left w:w="120" w:type="dxa"/>
              <w:bottom w:w="30" w:type="dxa"/>
              <w:right w:w="120" w:type="dxa"/>
            </w:tcMar>
            <w:vAlign w:val="center"/>
          </w:tcPr>
          <w:p w14:paraId="2E5F09E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4K微云台摄像机（教师机）</w:t>
            </w:r>
          </w:p>
        </w:tc>
        <w:tc>
          <w:tcPr>
            <w:tcW w:w="5400" w:type="dxa"/>
            <w:noWrap w:val="0"/>
            <w:tcMar>
              <w:top w:w="60" w:type="dxa"/>
              <w:left w:w="120" w:type="dxa"/>
              <w:bottom w:w="30" w:type="dxa"/>
              <w:right w:w="120" w:type="dxa"/>
            </w:tcMar>
            <w:vAlign w:val="center"/>
          </w:tcPr>
          <w:p w14:paraId="0175CFB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1.采用全景+特写双镜头设计，不低于八百万像素的特写镜头，不低于五百万像素的广角全景镜头，既能覆盖整间教室，又能提供高清晰的特写画面。</w:t>
            </w:r>
          </w:p>
          <w:p w14:paraId="4D9D95B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2.内置领先的图像识别和跟踪算法，无需任何辅助定位摄像机或跟踪主机即可实现平滑自然的跟踪效果，生产前装配不同的摄像头，从而实现教师跟踪或者学生跟踪。可同时输出多路高达5M的全景和4K的特写画面。</w:t>
            </w:r>
          </w:p>
          <w:p w14:paraId="67DEB8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全新设计的微型机械云台，水平转动范围可达±45°，配合自动聚焦的特写镜头（教师机），老师更容易清晰入境。同时支持电子云台，放得更大，看得更清。机械云台与电子云台无缝结合，减少了机械云台的微小转动。</w:t>
            </w:r>
          </w:p>
          <w:p w14:paraId="7C9EC78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4.支持PoE、USB3.0和3G-SDI接口（可选）等多种视频输出接口，满足录播主机、大屏OPS等多种视频输入需求。</w:t>
            </w:r>
          </w:p>
          <w:p w14:paraId="7209175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5.支持4K超高清分辨率图像，可提供4K图像编码输出，同时向下兼容1080p，720p等分辨率。</w:t>
            </w:r>
          </w:p>
          <w:p w14:paraId="669CAA7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6.特写摄像机传感器要求：1/2.7英寸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CMOS</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有效像素：不低于831万逐行，全景摄像机传感器要求1/2.7英寸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CMOS</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有效像素：不低于468万逐行。</w:t>
            </w:r>
          </w:p>
          <w:p w14:paraId="65768CC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7.教师机特写镜头最大视场角不小于21°。全景镜头最大视场角不小于44°</w:t>
            </w:r>
          </w:p>
          <w:p w14:paraId="4FAD38E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8.支持多种白平衡方式供选择，包括自动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室内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室外</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一键式</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手动，指定色温。</w:t>
            </w:r>
          </w:p>
          <w:p w14:paraId="0EDFEB6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9.特写镜头支持自动对焦</w:t>
            </w:r>
          </w:p>
          <w:p w14:paraId="5BC965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10.USB特性支持YUY2/MJPEG/H.264色彩空间；UVC1.1通讯协议；音频支持最大48K采样率，支持UAC1.0</w:t>
            </w:r>
          </w:p>
          <w:p w14:paraId="6460F3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11.必须支持网口音视频编码输出，支持H.264/MJPEG视频编码标准；必须支持TCP/IP,HTTP,RTSP,RTMP,Onvif,DHCP,GB/T28181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组播等网络协议。</w:t>
            </w:r>
          </w:p>
          <w:p w14:paraId="2EB937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12.支持EPTZ功能，至少支持2X数字变焦。</w:t>
            </w:r>
          </w:p>
          <w:p w14:paraId="4282EBC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13.支持LINEIN外接音频输入，可与视频同步编码后网络输出。支持音频AAC、G711A编码标准，网络音频编码码率最大可支持256Kbps。</w:t>
            </w:r>
          </w:p>
          <w:p w14:paraId="712C17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14.同时具有2D和3D降噪算法，降低图像噪声，图像信噪比≥55dB。</w:t>
            </w:r>
          </w:p>
          <w:p w14:paraId="5222AAF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15.摄像机支持通过配置工具调用OSD菜单，可调节图像参数。</w:t>
            </w:r>
          </w:p>
          <w:p w14:paraId="48925C0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16.摄像机通过配置工具进行设置，可实现板书功能，并支持设置检测时间与保持时间。</w:t>
            </w:r>
          </w:p>
          <w:p w14:paraId="6A47951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17.摄像机通过配置工具进行设置，可实现开机跟踪、自动变焦、跟踪时不对焦、垂直运行、全程跟踪功能；</w:t>
            </w:r>
          </w:p>
          <w:p w14:paraId="4B44667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18.摄像机通过配置工具进行设置，可设置跟踪灵敏度、水平、垂直速度、变焦范围；</w:t>
            </w:r>
          </w:p>
          <w:p w14:paraId="51DCE1F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19.支持外置导播和内置导播，满足不同录播主机、互动终端的需求。教师机和学生机配对使用可从网络或USB接口输出多机位导播流。</w:t>
            </w:r>
          </w:p>
          <w:p w14:paraId="6E290B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20.支持3.5接口音频输入输出</w:t>
            </w:r>
          </w:p>
          <w:p w14:paraId="5928DE8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21.支持POE（PowerOverEthernet）一线通功能，电源、视频、音频、控制四线合一。</w:t>
            </w:r>
          </w:p>
          <w:p w14:paraId="728D94A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22.DC12V/PoE(802.3af</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输入，功耗≤12W</w:t>
            </w:r>
          </w:p>
          <w:p w14:paraId="6ED0A7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23.支持网络对摄像机进行控制，支持VISCA/Pelco-D/Pelco-P协议</w:t>
            </w:r>
          </w:p>
        </w:tc>
        <w:tc>
          <w:tcPr>
            <w:tcW w:w="480" w:type="dxa"/>
            <w:noWrap w:val="0"/>
            <w:tcMar>
              <w:top w:w="60" w:type="dxa"/>
              <w:left w:w="120" w:type="dxa"/>
              <w:bottom w:w="30" w:type="dxa"/>
              <w:right w:w="120" w:type="dxa"/>
            </w:tcMar>
            <w:vAlign w:val="center"/>
          </w:tcPr>
          <w:p w14:paraId="4C1649C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478E344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00</w:t>
            </w:r>
          </w:p>
        </w:tc>
        <w:tc>
          <w:tcPr>
            <w:tcW w:w="480" w:type="dxa"/>
            <w:noWrap w:val="0"/>
            <w:tcMar>
              <w:top w:w="60" w:type="dxa"/>
              <w:left w:w="120" w:type="dxa"/>
              <w:bottom w:w="30" w:type="dxa"/>
              <w:right w:w="120" w:type="dxa"/>
            </w:tcMar>
            <w:vAlign w:val="center"/>
          </w:tcPr>
          <w:p w14:paraId="72F781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14AD68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 xml:space="preserve">00 </w:t>
            </w:r>
          </w:p>
        </w:tc>
      </w:tr>
      <w:tr w14:paraId="1658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45774EB4">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720" w:type="dxa"/>
            <w:noWrap w:val="0"/>
            <w:tcMar>
              <w:top w:w="60" w:type="dxa"/>
              <w:left w:w="120" w:type="dxa"/>
              <w:bottom w:w="30" w:type="dxa"/>
              <w:right w:w="120" w:type="dxa"/>
            </w:tcMar>
            <w:vAlign w:val="center"/>
          </w:tcPr>
          <w:p w14:paraId="54EB73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4K微云台摄像机（学生机）</w:t>
            </w:r>
          </w:p>
        </w:tc>
        <w:tc>
          <w:tcPr>
            <w:tcW w:w="5400" w:type="dxa"/>
            <w:noWrap w:val="0"/>
            <w:tcMar>
              <w:top w:w="60" w:type="dxa"/>
              <w:left w:w="120" w:type="dxa"/>
              <w:bottom w:w="30" w:type="dxa"/>
              <w:right w:w="120" w:type="dxa"/>
            </w:tcMar>
            <w:vAlign w:val="center"/>
          </w:tcPr>
          <w:p w14:paraId="03DF8F6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1.采用全景+特写双镜头设计，不低于八百万像素的特写镜头，不低于五百万像素的广角全景镜头，既能覆盖整间教室，又能提供高清晰的特写画面。</w:t>
            </w:r>
          </w:p>
          <w:p w14:paraId="0DCDDB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2.内置领先的图像识别和跟踪算法，无需任何辅助定位摄像机或跟踪主机即可实现平滑自然的跟踪效果，生产前装配不同的摄像头，从而实现教师跟踪或者学生跟踪。可同时输出多路高达5M的全景和4K的特写画面。</w:t>
            </w:r>
          </w:p>
          <w:p w14:paraId="26D19D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3.支持PoE、USB3.0和3G-SDI接口（可选）等多种视频输出接口，满足录播主机、大屏OPS等多种视频输入需求。</w:t>
            </w:r>
          </w:p>
          <w:p w14:paraId="5748980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4.支持4K超高清分辨率图像，可提供4K图像编码输出，同时向下兼容1080p，720p等分辨率。</w:t>
            </w:r>
          </w:p>
          <w:p w14:paraId="2A190DA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5.特写摄像机传感器要求：1/2.7英寸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CMOS</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有效像素：不低于831万逐行，全景摄像机传感器要求1/2.7英寸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CMOS</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有效像素：不低于468万逐行</w:t>
            </w:r>
          </w:p>
          <w:p w14:paraId="6B3475B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6,学生机特写镜头最大视场角不小于44°。全景镜头最大视场角不小于110°</w:t>
            </w:r>
          </w:p>
          <w:p w14:paraId="470394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7.支持多种白平衡方式供选择，包括自动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室内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室外</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一键式</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手动，指定色温。</w:t>
            </w:r>
          </w:p>
          <w:p w14:paraId="37D403D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8.特写镜头支持自动对焦</w:t>
            </w:r>
          </w:p>
          <w:p w14:paraId="481C7F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9.USB特性支持YUY2/MJPEG/H.264色彩空间；UVC1.1通讯协议；音频支持最大48K采样率，支持UAC1.0</w:t>
            </w:r>
          </w:p>
          <w:p w14:paraId="24D1326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10.必须支持网口音视频编码输出，支持H.264/265/MJPEG视频编码标准；必须支持TCP/IP,HTTP,RTSP,RTMP,Onvif,DHCP,GB/T28181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组播等网络协议。</w:t>
            </w:r>
          </w:p>
          <w:p w14:paraId="00415AC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11.支持EPTZ功能，至少支持3X数字变焦。</w:t>
            </w:r>
          </w:p>
          <w:p w14:paraId="49FF0DA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12.支持LINEIN外接音频输入，可与视频同步编码后网络输出。支持音频AAC、G711A编码标准，网络音频编码码率最大可支持256Kbps。</w:t>
            </w:r>
          </w:p>
          <w:p w14:paraId="69496C0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13.同时具有2D和3D降噪算法，降低图像噪声，图像信噪比≥55dB。</w:t>
            </w:r>
          </w:p>
          <w:p w14:paraId="64D7132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14.摄像机支持通过配置工具调用OSD菜单，可调节图像参数。</w:t>
            </w:r>
          </w:p>
          <w:p w14:paraId="312BCF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15.摄像机通过配置工具进行设置，可实现板书功能，并支持设置检测时间与保持时间；</w:t>
            </w:r>
          </w:p>
          <w:p w14:paraId="537A495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16.摄像机通过配置工具进行设置，可实现开机跟踪、自动变焦、跟踪时不对焦、垂直运行、全程跟踪功能；</w:t>
            </w:r>
          </w:p>
          <w:p w14:paraId="6F3CA9B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17.摄像机通过配置工具进行设置，可设置跟踪灵敏度、水平、垂直速度、变焦范围；</w:t>
            </w:r>
          </w:p>
          <w:p w14:paraId="302544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18.支持外置导播和内置导播，满足不同录播主机、互动终端的需求；教师机和学生机配对使用可从网络或USB接口输出多机位导播流。</w:t>
            </w:r>
          </w:p>
          <w:p w14:paraId="22E930C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19.支持3.5接口音频输入输出；</w:t>
            </w:r>
          </w:p>
          <w:p w14:paraId="580898D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20.支持POE（PowerOverEthernet）一线通功能，电源、视频、音频、控制四线合一；</w:t>
            </w:r>
          </w:p>
          <w:p w14:paraId="07306C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21.DC12V/PoE(802.3af</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输入，功耗≤12W；</w:t>
            </w:r>
          </w:p>
          <w:p w14:paraId="28150D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22.支持网络对摄像机进行控制，支持VISCA/Pelco-D/Pelco-P协议；</w:t>
            </w:r>
          </w:p>
        </w:tc>
        <w:tc>
          <w:tcPr>
            <w:tcW w:w="480" w:type="dxa"/>
            <w:noWrap w:val="0"/>
            <w:tcMar>
              <w:top w:w="60" w:type="dxa"/>
              <w:left w:w="120" w:type="dxa"/>
              <w:bottom w:w="30" w:type="dxa"/>
              <w:right w:w="120" w:type="dxa"/>
            </w:tcMar>
            <w:vAlign w:val="center"/>
          </w:tcPr>
          <w:p w14:paraId="66950A3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6EC924B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3000</w:t>
            </w:r>
          </w:p>
        </w:tc>
        <w:tc>
          <w:tcPr>
            <w:tcW w:w="480" w:type="dxa"/>
            <w:noWrap w:val="0"/>
            <w:tcMar>
              <w:top w:w="60" w:type="dxa"/>
              <w:left w:w="120" w:type="dxa"/>
              <w:bottom w:w="30" w:type="dxa"/>
              <w:right w:w="120" w:type="dxa"/>
            </w:tcMar>
            <w:vAlign w:val="center"/>
          </w:tcPr>
          <w:p w14:paraId="5BDCE6F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51C4165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3000</w:t>
            </w:r>
          </w:p>
        </w:tc>
      </w:tr>
      <w:tr w14:paraId="0C63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48BAC19">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720" w:type="dxa"/>
            <w:noWrap w:val="0"/>
            <w:tcMar>
              <w:top w:w="60" w:type="dxa"/>
              <w:left w:w="120" w:type="dxa"/>
              <w:bottom w:w="30" w:type="dxa"/>
              <w:right w:w="120" w:type="dxa"/>
            </w:tcMar>
            <w:vAlign w:val="center"/>
          </w:tcPr>
          <w:p w14:paraId="602A29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摄像机检测算法软件</w:t>
            </w:r>
          </w:p>
        </w:tc>
        <w:tc>
          <w:tcPr>
            <w:tcW w:w="5400" w:type="dxa"/>
            <w:noWrap w:val="0"/>
            <w:tcMar>
              <w:top w:w="60" w:type="dxa"/>
              <w:left w:w="120" w:type="dxa"/>
              <w:bottom w:w="30" w:type="dxa"/>
              <w:right w:w="120" w:type="dxa"/>
            </w:tcMar>
            <w:vAlign w:val="center"/>
          </w:tcPr>
          <w:p w14:paraId="00C20D1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1.支持调用配置菜单，可调节图像基础参数，设置跟踪灵敏度、水平、垂直速度、变焦范围；</w:t>
            </w:r>
          </w:p>
          <w:p w14:paraId="6FEEFCD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2.支持多种白平衡方式供选择，包括自动、一键式；</w:t>
            </w:r>
          </w:p>
          <w:p w14:paraId="42A3C73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3.支持全景图像裁剪功能，去掉不想显示部分全景镜头视频画面；</w:t>
            </w:r>
          </w:p>
          <w:p w14:paraId="489AFC4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4.支持开启、关闭板书功能，并支持设置检测时间、保持时间；</w:t>
            </w:r>
          </w:p>
          <w:p w14:paraId="38636DC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5.支持设置开机跟踪、自动变焦、跟踪时不对焦、垂直运行、全程跟踪等功能；</w:t>
            </w:r>
          </w:p>
        </w:tc>
        <w:tc>
          <w:tcPr>
            <w:tcW w:w="480" w:type="dxa"/>
            <w:noWrap w:val="0"/>
            <w:tcMar>
              <w:top w:w="60" w:type="dxa"/>
              <w:left w:w="120" w:type="dxa"/>
              <w:bottom w:w="30" w:type="dxa"/>
              <w:right w:w="120" w:type="dxa"/>
            </w:tcMar>
            <w:vAlign w:val="center"/>
          </w:tcPr>
          <w:p w14:paraId="14FDAC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1359918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7200</w:t>
            </w:r>
          </w:p>
        </w:tc>
        <w:tc>
          <w:tcPr>
            <w:tcW w:w="480" w:type="dxa"/>
            <w:noWrap w:val="0"/>
            <w:tcMar>
              <w:top w:w="60" w:type="dxa"/>
              <w:left w:w="120" w:type="dxa"/>
              <w:bottom w:w="30" w:type="dxa"/>
              <w:right w:w="120" w:type="dxa"/>
            </w:tcMar>
            <w:vAlign w:val="center"/>
          </w:tcPr>
          <w:p w14:paraId="7266C82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0CE15FF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7200</w:t>
            </w:r>
          </w:p>
        </w:tc>
      </w:tr>
      <w:tr w14:paraId="09B8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19FAE785">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720" w:type="dxa"/>
            <w:noWrap w:val="0"/>
            <w:tcMar>
              <w:top w:w="60" w:type="dxa"/>
              <w:left w:w="120" w:type="dxa"/>
              <w:bottom w:w="30" w:type="dxa"/>
              <w:right w:w="120" w:type="dxa"/>
            </w:tcMar>
            <w:vAlign w:val="center"/>
          </w:tcPr>
          <w:p w14:paraId="777B8E6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摄像头吊装支架</w:t>
            </w:r>
          </w:p>
        </w:tc>
        <w:tc>
          <w:tcPr>
            <w:tcW w:w="5400" w:type="dxa"/>
            <w:noWrap w:val="0"/>
            <w:tcMar>
              <w:top w:w="60" w:type="dxa"/>
              <w:left w:w="120" w:type="dxa"/>
              <w:bottom w:w="30" w:type="dxa"/>
              <w:right w:w="120" w:type="dxa"/>
            </w:tcMar>
            <w:vAlign w:val="center"/>
          </w:tcPr>
          <w:p w14:paraId="52845CF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可伸缩吊杆+白色底盘，适用于双目摄像机的吊装，伸缩范围：0.55-1m</w:t>
            </w:r>
          </w:p>
        </w:tc>
        <w:tc>
          <w:tcPr>
            <w:tcW w:w="480" w:type="dxa"/>
            <w:noWrap w:val="0"/>
            <w:tcMar>
              <w:top w:w="60" w:type="dxa"/>
              <w:left w:w="120" w:type="dxa"/>
              <w:bottom w:w="30" w:type="dxa"/>
              <w:right w:w="120" w:type="dxa"/>
            </w:tcMar>
            <w:vAlign w:val="center"/>
          </w:tcPr>
          <w:p w14:paraId="4022267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736B365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120</w:t>
            </w:r>
          </w:p>
        </w:tc>
        <w:tc>
          <w:tcPr>
            <w:tcW w:w="480" w:type="dxa"/>
            <w:noWrap w:val="0"/>
            <w:tcMar>
              <w:top w:w="60" w:type="dxa"/>
              <w:left w:w="120" w:type="dxa"/>
              <w:bottom w:w="30" w:type="dxa"/>
              <w:right w:w="120" w:type="dxa"/>
            </w:tcMar>
            <w:vAlign w:val="center"/>
          </w:tcPr>
          <w:p w14:paraId="497536B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08A0B5C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240</w:t>
            </w:r>
          </w:p>
        </w:tc>
      </w:tr>
      <w:tr w14:paraId="41C7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74A236D5">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720" w:type="dxa"/>
            <w:noWrap w:val="0"/>
            <w:tcMar>
              <w:top w:w="60" w:type="dxa"/>
              <w:left w:w="120" w:type="dxa"/>
              <w:bottom w:w="30" w:type="dxa"/>
              <w:right w:w="120" w:type="dxa"/>
            </w:tcMar>
            <w:vAlign w:val="center"/>
          </w:tcPr>
          <w:p w14:paraId="6E4C49A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有源音箱</w:t>
            </w:r>
          </w:p>
        </w:tc>
        <w:tc>
          <w:tcPr>
            <w:tcW w:w="5400" w:type="dxa"/>
            <w:noWrap w:val="0"/>
            <w:tcMar>
              <w:top w:w="60" w:type="dxa"/>
              <w:left w:w="120" w:type="dxa"/>
              <w:bottom w:w="30" w:type="dxa"/>
              <w:right w:w="120" w:type="dxa"/>
            </w:tcMar>
            <w:vAlign w:val="center"/>
          </w:tcPr>
          <w:p w14:paraId="257CC8A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1.额定功率：50W</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额定阻抗：8Ω；</w:t>
            </w:r>
          </w:p>
          <w:p w14:paraId="4B86F03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2.频率响应：55Hz-18kHz；</w:t>
            </w:r>
          </w:p>
          <w:p w14:paraId="3019CE4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3.驱动器：≥5寸低音X1,≥3寸高音X1；</w:t>
            </w:r>
          </w:p>
          <w:p w14:paraId="3E02E8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4.输入：≥2路立体声接口；≥1路广播接口；</w:t>
            </w:r>
          </w:p>
          <w:p w14:paraId="05F928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5.线路输出：≥1路3.5话筒输出；≥1路话筒输出；</w:t>
            </w:r>
          </w:p>
          <w:p w14:paraId="13CE87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6.灵敏度：85dB；</w:t>
            </w:r>
          </w:p>
          <w:p w14:paraId="6338495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7.内置蓝牙模块，可直接与手机等蓝牙设备无线连接并播放音乐等；</w:t>
            </w:r>
          </w:p>
        </w:tc>
        <w:tc>
          <w:tcPr>
            <w:tcW w:w="480" w:type="dxa"/>
            <w:noWrap w:val="0"/>
            <w:tcMar>
              <w:top w:w="60" w:type="dxa"/>
              <w:left w:w="120" w:type="dxa"/>
              <w:bottom w:w="30" w:type="dxa"/>
              <w:right w:w="120" w:type="dxa"/>
            </w:tcMar>
            <w:vAlign w:val="center"/>
          </w:tcPr>
          <w:p w14:paraId="26EAEE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5A45C9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3600</w:t>
            </w:r>
          </w:p>
        </w:tc>
        <w:tc>
          <w:tcPr>
            <w:tcW w:w="480" w:type="dxa"/>
            <w:noWrap w:val="0"/>
            <w:tcMar>
              <w:top w:w="60" w:type="dxa"/>
              <w:left w:w="120" w:type="dxa"/>
              <w:bottom w:w="30" w:type="dxa"/>
              <w:right w:w="120" w:type="dxa"/>
            </w:tcMar>
            <w:vAlign w:val="center"/>
          </w:tcPr>
          <w:p w14:paraId="12F127F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w:t>
            </w:r>
          </w:p>
        </w:tc>
        <w:tc>
          <w:tcPr>
            <w:tcW w:w="1087" w:type="dxa"/>
            <w:noWrap w:val="0"/>
            <w:tcMar>
              <w:top w:w="60" w:type="dxa"/>
              <w:left w:w="120" w:type="dxa"/>
              <w:bottom w:w="30" w:type="dxa"/>
              <w:right w:w="120" w:type="dxa"/>
            </w:tcMar>
            <w:vAlign w:val="center"/>
          </w:tcPr>
          <w:p w14:paraId="4EEAC27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14400</w:t>
            </w:r>
          </w:p>
        </w:tc>
      </w:tr>
      <w:tr w14:paraId="2DF1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79D28A38">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720" w:type="dxa"/>
            <w:noWrap w:val="0"/>
            <w:tcMar>
              <w:top w:w="60" w:type="dxa"/>
              <w:left w:w="120" w:type="dxa"/>
              <w:bottom w:w="30" w:type="dxa"/>
              <w:right w:w="120" w:type="dxa"/>
            </w:tcMar>
            <w:vAlign w:val="center"/>
          </w:tcPr>
          <w:p w14:paraId="308F06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麦克风</w:t>
            </w:r>
          </w:p>
        </w:tc>
        <w:tc>
          <w:tcPr>
            <w:tcW w:w="5400" w:type="dxa"/>
            <w:noWrap w:val="0"/>
            <w:tcMar>
              <w:top w:w="60" w:type="dxa"/>
              <w:left w:w="120" w:type="dxa"/>
              <w:bottom w:w="30" w:type="dxa"/>
              <w:right w:w="120" w:type="dxa"/>
            </w:tcMar>
            <w:vAlign w:val="center"/>
          </w:tcPr>
          <w:p w14:paraId="7F1C928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1.载波频段：UHF:640.125MHz-690.000MHz；805.125MHz-830.000MHz；</w:t>
            </w:r>
          </w:p>
          <w:p w14:paraId="27FC606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2.频带宽度：≥600MHz：50（6.25*4*2）MHz；800MHz：25（6.25*4*1）MHz；</w:t>
            </w:r>
          </w:p>
          <w:p w14:paraId="314D6AE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3.频率间隔：125KHz；</w:t>
            </w:r>
          </w:p>
          <w:p w14:paraId="5A17333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4.可切换频率数：不少于600MHz：400(50x4x2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个；800MHz：200(50x4x1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个；</w:t>
            </w:r>
          </w:p>
          <w:p w14:paraId="0575FD6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5.可切换频率数：不少于400(50x4x2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个；</w:t>
            </w:r>
          </w:p>
        </w:tc>
        <w:tc>
          <w:tcPr>
            <w:tcW w:w="480" w:type="dxa"/>
            <w:noWrap w:val="0"/>
            <w:tcMar>
              <w:top w:w="60" w:type="dxa"/>
              <w:left w:w="120" w:type="dxa"/>
              <w:bottom w:w="30" w:type="dxa"/>
              <w:right w:w="120" w:type="dxa"/>
            </w:tcMar>
            <w:vAlign w:val="center"/>
          </w:tcPr>
          <w:p w14:paraId="60FB872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2FBEE7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2200</w:t>
            </w:r>
          </w:p>
        </w:tc>
        <w:tc>
          <w:tcPr>
            <w:tcW w:w="480" w:type="dxa"/>
            <w:noWrap w:val="0"/>
            <w:tcMar>
              <w:top w:w="60" w:type="dxa"/>
              <w:left w:w="120" w:type="dxa"/>
              <w:bottom w:w="30" w:type="dxa"/>
              <w:right w:w="120" w:type="dxa"/>
            </w:tcMar>
            <w:vAlign w:val="center"/>
          </w:tcPr>
          <w:p w14:paraId="0FBCB01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p>
        </w:tc>
        <w:tc>
          <w:tcPr>
            <w:tcW w:w="1087" w:type="dxa"/>
            <w:noWrap w:val="0"/>
            <w:tcMar>
              <w:top w:w="60" w:type="dxa"/>
              <w:left w:w="120" w:type="dxa"/>
              <w:bottom w:w="30" w:type="dxa"/>
              <w:right w:w="120" w:type="dxa"/>
            </w:tcMar>
            <w:vAlign w:val="center"/>
          </w:tcPr>
          <w:p w14:paraId="2C4AF38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4400</w:t>
            </w:r>
          </w:p>
        </w:tc>
      </w:tr>
      <w:tr w14:paraId="683A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D4499B9">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720" w:type="dxa"/>
            <w:noWrap w:val="0"/>
            <w:tcMar>
              <w:top w:w="60" w:type="dxa"/>
              <w:left w:w="120" w:type="dxa"/>
              <w:bottom w:w="30" w:type="dxa"/>
              <w:right w:w="120" w:type="dxa"/>
            </w:tcMar>
            <w:vAlign w:val="center"/>
          </w:tcPr>
          <w:p w14:paraId="00A9A8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充电座</w:t>
            </w:r>
          </w:p>
        </w:tc>
        <w:tc>
          <w:tcPr>
            <w:tcW w:w="5400" w:type="dxa"/>
            <w:noWrap w:val="0"/>
            <w:tcMar>
              <w:top w:w="60" w:type="dxa"/>
              <w:left w:w="120" w:type="dxa"/>
              <w:bottom w:w="30" w:type="dxa"/>
              <w:right w:w="120" w:type="dxa"/>
            </w:tcMar>
            <w:vAlign w:val="center"/>
          </w:tcPr>
          <w:p w14:paraId="504EAFE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支持充电显示，当开始充电时，指示灯会亮起，并开始闪烁；当指示灯停止闪烁时标示充电完毕并且停止充电；</w:t>
            </w:r>
          </w:p>
        </w:tc>
        <w:tc>
          <w:tcPr>
            <w:tcW w:w="480" w:type="dxa"/>
            <w:noWrap w:val="0"/>
            <w:tcMar>
              <w:top w:w="60" w:type="dxa"/>
              <w:left w:w="120" w:type="dxa"/>
              <w:bottom w:w="30" w:type="dxa"/>
              <w:right w:w="120" w:type="dxa"/>
            </w:tcMar>
            <w:vAlign w:val="center"/>
          </w:tcPr>
          <w:p w14:paraId="4BF0A9E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7D9704F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w:t>
            </w:r>
          </w:p>
        </w:tc>
        <w:tc>
          <w:tcPr>
            <w:tcW w:w="480" w:type="dxa"/>
            <w:noWrap w:val="0"/>
            <w:tcMar>
              <w:top w:w="60" w:type="dxa"/>
              <w:left w:w="120" w:type="dxa"/>
              <w:bottom w:w="30" w:type="dxa"/>
              <w:right w:w="120" w:type="dxa"/>
            </w:tcMar>
            <w:vAlign w:val="center"/>
          </w:tcPr>
          <w:p w14:paraId="5A0882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2246757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w:t>
            </w:r>
          </w:p>
        </w:tc>
      </w:tr>
      <w:tr w14:paraId="2BAD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F16A4A7">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720" w:type="dxa"/>
            <w:noWrap w:val="0"/>
            <w:tcMar>
              <w:top w:w="60" w:type="dxa"/>
              <w:left w:w="120" w:type="dxa"/>
              <w:bottom w:w="30" w:type="dxa"/>
              <w:right w:w="120" w:type="dxa"/>
            </w:tcMar>
            <w:vAlign w:val="center"/>
          </w:tcPr>
          <w:p w14:paraId="5A33CA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接收器</w:t>
            </w:r>
          </w:p>
        </w:tc>
        <w:tc>
          <w:tcPr>
            <w:tcW w:w="5400" w:type="dxa"/>
            <w:noWrap w:val="0"/>
            <w:tcMar>
              <w:top w:w="60" w:type="dxa"/>
              <w:left w:w="120" w:type="dxa"/>
              <w:bottom w:w="30" w:type="dxa"/>
              <w:right w:w="120" w:type="dxa"/>
            </w:tcMar>
            <w:vAlign w:val="center"/>
          </w:tcPr>
          <w:p w14:paraId="5EFEC10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1.面板显示采用LCD液晶显示，可同时显示RF/AF信号强度</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自动选讯</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可设定频道/频率；</w:t>
            </w:r>
          </w:p>
          <w:p w14:paraId="3CEE04A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2.振荡模式采用PLL相位锁定频率合成；</w:t>
            </w:r>
          </w:p>
          <w:p w14:paraId="7FA223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3.射频稳定度：±5PPM(-5~50°C</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p w14:paraId="735AB1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4.可切换频率数：不少于600MHz：400(50x4x2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个；800MHz：200(50x4x1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个；</w:t>
            </w:r>
          </w:p>
          <w:p w14:paraId="4D6AEB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5.接收方式：双调谐器自动选讯；</w:t>
            </w:r>
          </w:p>
          <w:p w14:paraId="5059A76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6.信噪比：&gt;75dB(1KHz-A</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p w14:paraId="7625381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7.综合失真度：&lt;0.5%@1KHz；</w:t>
            </w:r>
          </w:p>
          <w:p w14:paraId="4DF84BC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8.综合频率响应：60Hz-18000Hz；</w:t>
            </w:r>
          </w:p>
          <w:p w14:paraId="30A3051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9.最大输出电压：平衡式MIC-LEVEL-0dBV/600Ω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非平衡式0dBV/600Ω； </w:t>
            </w:r>
          </w:p>
          <w:p w14:paraId="6B8B983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10.音量输出调整：输出电平可随意调整；</w:t>
            </w:r>
          </w:p>
        </w:tc>
        <w:tc>
          <w:tcPr>
            <w:tcW w:w="480" w:type="dxa"/>
            <w:noWrap w:val="0"/>
            <w:tcMar>
              <w:top w:w="60" w:type="dxa"/>
              <w:left w:w="120" w:type="dxa"/>
              <w:bottom w:w="30" w:type="dxa"/>
              <w:right w:w="120" w:type="dxa"/>
            </w:tcMar>
            <w:vAlign w:val="center"/>
          </w:tcPr>
          <w:p w14:paraId="397A1AC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22418ED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1450</w:t>
            </w:r>
          </w:p>
        </w:tc>
        <w:tc>
          <w:tcPr>
            <w:tcW w:w="480" w:type="dxa"/>
            <w:noWrap w:val="0"/>
            <w:tcMar>
              <w:top w:w="60" w:type="dxa"/>
              <w:left w:w="120" w:type="dxa"/>
              <w:bottom w:w="30" w:type="dxa"/>
              <w:right w:w="120" w:type="dxa"/>
            </w:tcMar>
            <w:vAlign w:val="center"/>
          </w:tcPr>
          <w:p w14:paraId="686714B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4D3882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1450</w:t>
            </w:r>
          </w:p>
        </w:tc>
      </w:tr>
      <w:tr w14:paraId="32D0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7E836B5">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720" w:type="dxa"/>
            <w:noWrap w:val="0"/>
            <w:tcMar>
              <w:top w:w="60" w:type="dxa"/>
              <w:left w:w="120" w:type="dxa"/>
              <w:bottom w:w="30" w:type="dxa"/>
              <w:right w:w="120" w:type="dxa"/>
            </w:tcMar>
            <w:vAlign w:val="center"/>
          </w:tcPr>
          <w:p w14:paraId="5C1F49D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音频主机</w:t>
            </w:r>
          </w:p>
        </w:tc>
        <w:tc>
          <w:tcPr>
            <w:tcW w:w="5400" w:type="dxa"/>
            <w:noWrap w:val="0"/>
            <w:tcMar>
              <w:top w:w="60" w:type="dxa"/>
              <w:left w:w="120" w:type="dxa"/>
              <w:bottom w:w="30" w:type="dxa"/>
              <w:right w:w="120" w:type="dxa"/>
            </w:tcMar>
            <w:vAlign w:val="center"/>
          </w:tcPr>
          <w:p w14:paraId="12EE80E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1.自动增益控制：增益控制幅度：-24dB—24dB；</w:t>
            </w:r>
          </w:p>
          <w:p w14:paraId="3F84163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2.麦克输入：≥4路，支持48V幻象供电，可软件开关；</w:t>
            </w:r>
          </w:p>
          <w:p w14:paraId="4395E2B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3.模拟音频输入：≥4路差分信号输入；</w:t>
            </w:r>
          </w:p>
          <w:p w14:paraId="3FAC7D6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4.模拟音频输出：≥4路差分信号输出；</w:t>
            </w:r>
          </w:p>
          <w:p w14:paraId="1C37460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5.数字音频输入/输出：≥1路立体声USB输入/输出；</w:t>
            </w:r>
          </w:p>
          <w:p w14:paraId="11E910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6.扬声器输出：≥4路；</w:t>
            </w:r>
          </w:p>
          <w:p w14:paraId="6E3C484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7.内置功放数量及功率：≥2*双声道6Ω60W；</w:t>
            </w:r>
          </w:p>
          <w:p w14:paraId="62A4ED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8.调试控制接口：≥1路USB串口调试</w:t>
            </w:r>
          </w:p>
          <w:p w14:paraId="3145779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9.TI高速DSP处理芯片，32bit处理内核，最快信号处理延时≦8ms；</w:t>
            </w:r>
          </w:p>
          <w:p w14:paraId="12C4BB9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输入电平0至-96可显示，输入通道可定义5种类型选择，输入通道延时0-255ms可调，每一通道可叠加闪避器，闪避器启动时间、保持时间、恢复时间，0-1000ms可调闪避器阈值、闪避值0至-120dB可调，带30段图示均衡器带8段参数均衡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投标文件中提供产品功能截图）。</w:t>
            </w:r>
          </w:p>
          <w:p w14:paraId="393B630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输出电平0至-96可显示，输出通道可定义3种类型选择，每一类型可叠加压限器，输出目标阈值0至-120dB可调，输出补偿0至-24dB可调，输出通道延时0-255ms可调，带30段图示均衡器，带8段参数均衡器、带高低通滤波器和压限器；</w:t>
            </w:r>
          </w:p>
          <w:p w14:paraId="6702099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12.支持不少于4个工厂模式，不少于4个自定义模式</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投标文件中提供产品不少于8种模式功能截图）；最大可支持6路输入，6路输出，话筒ADC增益15级可调，DAC输出增益0-100可调，噪声抑制有11等级可调，舒适噪音4级可调，带反馈抑制效果器控制开关；</w:t>
            </w:r>
          </w:p>
          <w:p w14:paraId="3F77D65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13.反馈抑制：≥8段根据声场调音的固定频率滤波器，≥8段自适应频率滤波器，抑制频率可手动调整；传声增益提升幅度：≥15dB；</w:t>
            </w:r>
          </w:p>
          <w:p w14:paraId="5A766A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14.回声消除：回音消除尾音长度：256ms，回声消除幅度：60dB</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收敛速度：100dB/S，带AEC能量值更新开关，AEC有16等级可调，AEC延迟值4-255ms；</w:t>
            </w:r>
          </w:p>
          <w:p w14:paraId="0D8EA14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15.AI智能降噪：内置AI智能降噪算法，有效降低和滤除教室内常见噪声，降噪幅度≥12dB；</w:t>
            </w:r>
          </w:p>
          <w:p w14:paraId="6BE2A64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16.自动增益控制：增益控制幅度-24db-24db</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投标文件中提供产品功能截图）；</w:t>
            </w:r>
          </w:p>
          <w:p w14:paraId="70A61CE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17.支持USB串口调试，设备机身和调试软件支持一键自适应声场调音，内含音频矩阵调试功能（投标文件中提供包含物理一键调音按键的设备实物照片）；</w:t>
            </w:r>
          </w:p>
          <w:p w14:paraId="670EE14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18.本地远程互动：支持本地扩声与远程互动同时工作，远程互动可做到师生双方同时讲话无压制、无回声、无断续。</w:t>
            </w:r>
          </w:p>
          <w:p w14:paraId="06F871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19.支持可配置音频矩阵，可根据场景需求灵活配置产品功能；</w:t>
            </w:r>
          </w:p>
          <w:p w14:paraId="67E7953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20.内置闪避设置，无线手持麦克风与吊麦无缝衔接；</w:t>
            </w:r>
          </w:p>
          <w:p w14:paraId="0C4C21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21.采用凤凰接口驳接吊麦话筒，具有至少2路48V幻象供电麦克风输入，凤凰端子，支持≥2路无线麦克风输入，有线麦克风与无线麦克风之间可自由切换；</w:t>
            </w:r>
          </w:p>
          <w:p w14:paraId="34D9E6F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22.具有有效过滤教室内的空调、电风扇等发出的噪音干扰功能，过滤噪声不影响扩声效果；</w:t>
            </w:r>
          </w:p>
          <w:p w14:paraId="43F4FEE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23.所有音频处理部分的频率响应：20Hz-20kHz；</w:t>
            </w:r>
          </w:p>
        </w:tc>
        <w:tc>
          <w:tcPr>
            <w:tcW w:w="480" w:type="dxa"/>
            <w:noWrap w:val="0"/>
            <w:tcMar>
              <w:top w:w="60" w:type="dxa"/>
              <w:left w:w="120" w:type="dxa"/>
              <w:bottom w:w="30" w:type="dxa"/>
              <w:right w:w="120" w:type="dxa"/>
            </w:tcMar>
            <w:vAlign w:val="center"/>
          </w:tcPr>
          <w:p w14:paraId="197C28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5457CF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5200</w:t>
            </w:r>
          </w:p>
        </w:tc>
        <w:tc>
          <w:tcPr>
            <w:tcW w:w="480" w:type="dxa"/>
            <w:noWrap w:val="0"/>
            <w:tcMar>
              <w:top w:w="60" w:type="dxa"/>
              <w:left w:w="120" w:type="dxa"/>
              <w:bottom w:w="30" w:type="dxa"/>
              <w:right w:w="120" w:type="dxa"/>
            </w:tcMar>
            <w:vAlign w:val="center"/>
          </w:tcPr>
          <w:p w14:paraId="4DC12A0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16E2FCD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5200</w:t>
            </w:r>
          </w:p>
        </w:tc>
      </w:tr>
      <w:tr w14:paraId="6E27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83EB714">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720" w:type="dxa"/>
            <w:noWrap w:val="0"/>
            <w:tcMar>
              <w:top w:w="60" w:type="dxa"/>
              <w:left w:w="120" w:type="dxa"/>
              <w:bottom w:w="30" w:type="dxa"/>
              <w:right w:w="120" w:type="dxa"/>
            </w:tcMar>
            <w:vAlign w:val="center"/>
          </w:tcPr>
          <w:p w14:paraId="57EF601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吊麦</w:t>
            </w:r>
          </w:p>
        </w:tc>
        <w:tc>
          <w:tcPr>
            <w:tcW w:w="5400" w:type="dxa"/>
            <w:noWrap w:val="0"/>
            <w:tcMar>
              <w:top w:w="60" w:type="dxa"/>
              <w:left w:w="120" w:type="dxa"/>
              <w:bottom w:w="30" w:type="dxa"/>
              <w:right w:w="120" w:type="dxa"/>
            </w:tcMar>
            <w:vAlign w:val="center"/>
          </w:tcPr>
          <w:p w14:paraId="1EC9EF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1.指向性：心型指向性；</w:t>
            </w:r>
          </w:p>
          <w:p w14:paraId="412E7A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2.频率响应：20Hz~20KHz，灵敏度：12mV/Pa；</w:t>
            </w:r>
          </w:p>
          <w:p w14:paraId="4E0A20A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3.标称阻抗：≦150Ω，推荐负载阻抗：≥1kΩ；</w:t>
            </w:r>
          </w:p>
          <w:p w14:paraId="4C23A51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4.信噪比：65dB,1kHz@1Pa，最大耐声压级（THD&lt;0.5%）：110dBSPL；</w:t>
            </w:r>
          </w:p>
          <w:p w14:paraId="339BB4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5.电流耗量：≦3mA</w:t>
            </w:r>
          </w:p>
          <w:p w14:paraId="6BA8770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6.连接方式：TypeXLR-3</w:t>
            </w:r>
          </w:p>
        </w:tc>
        <w:tc>
          <w:tcPr>
            <w:tcW w:w="480" w:type="dxa"/>
            <w:noWrap w:val="0"/>
            <w:tcMar>
              <w:top w:w="60" w:type="dxa"/>
              <w:left w:w="120" w:type="dxa"/>
              <w:bottom w:w="30" w:type="dxa"/>
              <w:right w:w="120" w:type="dxa"/>
            </w:tcMar>
            <w:vAlign w:val="center"/>
          </w:tcPr>
          <w:p w14:paraId="1EBFA0D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4080FD3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1800</w:t>
            </w:r>
          </w:p>
        </w:tc>
        <w:tc>
          <w:tcPr>
            <w:tcW w:w="480" w:type="dxa"/>
            <w:noWrap w:val="0"/>
            <w:tcMar>
              <w:top w:w="60" w:type="dxa"/>
              <w:left w:w="120" w:type="dxa"/>
              <w:bottom w:w="30" w:type="dxa"/>
              <w:right w:w="120" w:type="dxa"/>
            </w:tcMar>
            <w:vAlign w:val="center"/>
          </w:tcPr>
          <w:p w14:paraId="1212B07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p>
        </w:tc>
        <w:tc>
          <w:tcPr>
            <w:tcW w:w="1087" w:type="dxa"/>
            <w:noWrap w:val="0"/>
            <w:tcMar>
              <w:top w:w="60" w:type="dxa"/>
              <w:left w:w="120" w:type="dxa"/>
              <w:bottom w:w="30" w:type="dxa"/>
              <w:right w:w="120" w:type="dxa"/>
            </w:tcMar>
            <w:vAlign w:val="center"/>
          </w:tcPr>
          <w:p w14:paraId="256D3FA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3600 </w:t>
            </w:r>
          </w:p>
        </w:tc>
      </w:tr>
      <w:tr w14:paraId="787E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214D3157">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720" w:type="dxa"/>
            <w:noWrap w:val="0"/>
            <w:tcMar>
              <w:top w:w="60" w:type="dxa"/>
              <w:left w:w="120" w:type="dxa"/>
              <w:bottom w:w="30" w:type="dxa"/>
              <w:right w:w="120" w:type="dxa"/>
            </w:tcMar>
            <w:vAlign w:val="center"/>
          </w:tcPr>
          <w:p w14:paraId="1888CF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控制面板</w:t>
            </w:r>
          </w:p>
        </w:tc>
        <w:tc>
          <w:tcPr>
            <w:tcW w:w="5400" w:type="dxa"/>
            <w:noWrap w:val="0"/>
            <w:tcMar>
              <w:top w:w="60" w:type="dxa"/>
              <w:left w:w="120" w:type="dxa"/>
              <w:bottom w:w="30" w:type="dxa"/>
              <w:right w:w="120" w:type="dxa"/>
            </w:tcMar>
            <w:vAlign w:val="center"/>
          </w:tcPr>
          <w:p w14:paraId="1A7015C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1.采用电容触摸屏，屏幕尺寸≥8英寸，防眩光处理；</w:t>
            </w:r>
          </w:p>
          <w:p w14:paraId="6F2EDEF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2.处理器不低于四核，主频≥1.8GHz，内存≥4G，内部存储≥32G；</w:t>
            </w:r>
          </w:p>
          <w:p w14:paraId="1CBBCA6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3.支持集中控制室内所有接入设备，包括显示系统设备、灯光控制设备、电源控制设备、电器设备等控制；</w:t>
            </w:r>
          </w:p>
          <w:p w14:paraId="7F9A1DB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4.支持人脸识别、刷卡、插卡、二维码扫码等多种身份鉴权方式；</w:t>
            </w:r>
          </w:p>
          <w:p w14:paraId="1D21D77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5.场景设置功能：默认提供上课、下课场景，场景指令可按需求灵活设置；</w:t>
            </w:r>
          </w:p>
          <w:p w14:paraId="3E0957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6.具备BLE Mesh自组网技术，支持与BLE Mesh物联节点直接组网通讯和控制；</w:t>
            </w:r>
          </w:p>
        </w:tc>
        <w:tc>
          <w:tcPr>
            <w:tcW w:w="480" w:type="dxa"/>
            <w:noWrap w:val="0"/>
            <w:tcMar>
              <w:top w:w="60" w:type="dxa"/>
              <w:left w:w="120" w:type="dxa"/>
              <w:bottom w:w="30" w:type="dxa"/>
              <w:right w:w="120" w:type="dxa"/>
            </w:tcMar>
            <w:vAlign w:val="center"/>
          </w:tcPr>
          <w:p w14:paraId="6850549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960" w:type="dxa"/>
            <w:noWrap w:val="0"/>
            <w:tcMar>
              <w:top w:w="60" w:type="dxa"/>
              <w:left w:w="120" w:type="dxa"/>
              <w:bottom w:w="30" w:type="dxa"/>
              <w:right w:w="120" w:type="dxa"/>
            </w:tcMar>
            <w:vAlign w:val="center"/>
          </w:tcPr>
          <w:p w14:paraId="25DB743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5250</w:t>
            </w:r>
          </w:p>
        </w:tc>
        <w:tc>
          <w:tcPr>
            <w:tcW w:w="480" w:type="dxa"/>
            <w:noWrap w:val="0"/>
            <w:tcMar>
              <w:top w:w="60" w:type="dxa"/>
              <w:left w:w="120" w:type="dxa"/>
              <w:bottom w:w="30" w:type="dxa"/>
              <w:right w:w="120" w:type="dxa"/>
            </w:tcMar>
            <w:vAlign w:val="center"/>
          </w:tcPr>
          <w:p w14:paraId="341A49B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51A1BD8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5250 </w:t>
            </w:r>
          </w:p>
        </w:tc>
      </w:tr>
      <w:tr w14:paraId="18E0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CC18D1D">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720" w:type="dxa"/>
            <w:noWrap w:val="0"/>
            <w:tcMar>
              <w:top w:w="60" w:type="dxa"/>
              <w:left w:w="120" w:type="dxa"/>
              <w:bottom w:w="30" w:type="dxa"/>
              <w:right w:w="120" w:type="dxa"/>
            </w:tcMar>
            <w:vAlign w:val="center"/>
          </w:tcPr>
          <w:p w14:paraId="7FE51AC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智能物联串口控制器</w:t>
            </w:r>
          </w:p>
        </w:tc>
        <w:tc>
          <w:tcPr>
            <w:tcW w:w="5400" w:type="dxa"/>
            <w:noWrap w:val="0"/>
            <w:tcMar>
              <w:top w:w="60" w:type="dxa"/>
              <w:left w:w="120" w:type="dxa"/>
              <w:bottom w:w="30" w:type="dxa"/>
              <w:right w:w="120" w:type="dxa"/>
            </w:tcMar>
            <w:vAlign w:val="center"/>
          </w:tcPr>
          <w:p w14:paraId="66BFDC7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1.需支持控制一体机（投影机）开关；</w:t>
            </w:r>
          </w:p>
          <w:p w14:paraId="127418D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2.需支持控制一体机（投影机）信源切换；</w:t>
            </w:r>
          </w:p>
          <w:p w14:paraId="0C20D9D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3.使用配套写码软件，用户可自行编写设备控制码；</w:t>
            </w:r>
          </w:p>
          <w:p w14:paraId="1899BF3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4.具备BLE Mesh自组网技术，无需网关组网，支持Pad直连控制，可通过Pad直连控制一体机（投影机）电源开关和信源切换；</w:t>
            </w:r>
          </w:p>
          <w:p w14:paraId="4799EC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5.CONSOLE接口≥1,RS232≥1,RS485≥1，铝合金外壳，两边自带固定安装挂耳，方便安装；</w:t>
            </w:r>
          </w:p>
        </w:tc>
        <w:tc>
          <w:tcPr>
            <w:tcW w:w="480" w:type="dxa"/>
            <w:noWrap w:val="0"/>
            <w:tcMar>
              <w:top w:w="60" w:type="dxa"/>
              <w:left w:w="120" w:type="dxa"/>
              <w:bottom w:w="30" w:type="dxa"/>
              <w:right w:w="120" w:type="dxa"/>
            </w:tcMar>
            <w:vAlign w:val="center"/>
          </w:tcPr>
          <w:p w14:paraId="66424C1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7EA5A7F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1200</w:t>
            </w:r>
          </w:p>
        </w:tc>
        <w:tc>
          <w:tcPr>
            <w:tcW w:w="480" w:type="dxa"/>
            <w:noWrap w:val="0"/>
            <w:tcMar>
              <w:top w:w="60" w:type="dxa"/>
              <w:left w:w="120" w:type="dxa"/>
              <w:bottom w:w="30" w:type="dxa"/>
              <w:right w:w="120" w:type="dxa"/>
            </w:tcMar>
            <w:vAlign w:val="center"/>
          </w:tcPr>
          <w:p w14:paraId="53B413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87" w:type="dxa"/>
            <w:noWrap w:val="0"/>
            <w:tcMar>
              <w:top w:w="60" w:type="dxa"/>
              <w:left w:w="120" w:type="dxa"/>
              <w:bottom w:w="30" w:type="dxa"/>
              <w:right w:w="120" w:type="dxa"/>
            </w:tcMar>
            <w:vAlign w:val="center"/>
          </w:tcPr>
          <w:p w14:paraId="626548B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7200</w:t>
            </w:r>
          </w:p>
        </w:tc>
      </w:tr>
      <w:tr w14:paraId="665B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4EAB913">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720" w:type="dxa"/>
            <w:noWrap w:val="0"/>
            <w:tcMar>
              <w:top w:w="60" w:type="dxa"/>
              <w:left w:w="120" w:type="dxa"/>
              <w:bottom w:w="30" w:type="dxa"/>
              <w:right w:w="120" w:type="dxa"/>
            </w:tcMar>
            <w:vAlign w:val="center"/>
          </w:tcPr>
          <w:p w14:paraId="03B02D3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智能物联灯控开关</w:t>
            </w:r>
          </w:p>
        </w:tc>
        <w:tc>
          <w:tcPr>
            <w:tcW w:w="5400" w:type="dxa"/>
            <w:noWrap w:val="0"/>
            <w:tcMar>
              <w:top w:w="60" w:type="dxa"/>
              <w:left w:w="120" w:type="dxa"/>
              <w:bottom w:w="30" w:type="dxa"/>
              <w:right w:w="120" w:type="dxa"/>
            </w:tcMar>
            <w:vAlign w:val="center"/>
          </w:tcPr>
          <w:p w14:paraId="691DAB0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1.不少于4位按键灯光控制面板，开关分离式独立按键设计，可同时控制2组电源开关；</w:t>
            </w:r>
          </w:p>
          <w:p w14:paraId="577A2E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2.两路电源控制，单路最大功率≥2200W，最大电流≥10A,220V电源供电；</w:t>
            </w:r>
          </w:p>
          <w:p w14:paraId="57D8C3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3.提供高强度耐磨玻璃面板，电容触摸式按键，带蓝色状态指示灯；</w:t>
            </w:r>
          </w:p>
          <w:p w14:paraId="27D1B24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4.提供标准86式面板结构，可安装于86盒中；</w:t>
            </w:r>
          </w:p>
          <w:p w14:paraId="4B708F1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5.提供标配485接口；</w:t>
            </w:r>
          </w:p>
          <w:p w14:paraId="0AA8AAB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6.BLE Mesh自组网技术，无需网关组网，支持Pad直连控制，可通过Pad直连控制灯光开关；</w:t>
            </w:r>
          </w:p>
        </w:tc>
        <w:tc>
          <w:tcPr>
            <w:tcW w:w="480" w:type="dxa"/>
            <w:noWrap w:val="0"/>
            <w:tcMar>
              <w:top w:w="60" w:type="dxa"/>
              <w:left w:w="120" w:type="dxa"/>
              <w:bottom w:w="30" w:type="dxa"/>
              <w:right w:w="120" w:type="dxa"/>
            </w:tcMar>
            <w:vAlign w:val="center"/>
          </w:tcPr>
          <w:p w14:paraId="38EA5B6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0B44AEE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900</w:t>
            </w:r>
          </w:p>
        </w:tc>
        <w:tc>
          <w:tcPr>
            <w:tcW w:w="480" w:type="dxa"/>
            <w:noWrap w:val="0"/>
            <w:tcMar>
              <w:top w:w="60" w:type="dxa"/>
              <w:left w:w="120" w:type="dxa"/>
              <w:bottom w:w="30" w:type="dxa"/>
              <w:right w:w="120" w:type="dxa"/>
            </w:tcMar>
            <w:vAlign w:val="center"/>
          </w:tcPr>
          <w:p w14:paraId="0E2E9BA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04D2872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900</w:t>
            </w:r>
          </w:p>
        </w:tc>
      </w:tr>
      <w:tr w14:paraId="63B9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3D4DE00B">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720" w:type="dxa"/>
            <w:noWrap w:val="0"/>
            <w:tcMar>
              <w:top w:w="60" w:type="dxa"/>
              <w:left w:w="120" w:type="dxa"/>
              <w:bottom w:w="30" w:type="dxa"/>
              <w:right w:w="120" w:type="dxa"/>
            </w:tcMar>
            <w:vAlign w:val="center"/>
          </w:tcPr>
          <w:p w14:paraId="407C669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智能物联电源控制器</w:t>
            </w:r>
          </w:p>
        </w:tc>
        <w:tc>
          <w:tcPr>
            <w:tcW w:w="5400" w:type="dxa"/>
            <w:noWrap w:val="0"/>
            <w:tcMar>
              <w:top w:w="60" w:type="dxa"/>
              <w:left w:w="120" w:type="dxa"/>
              <w:bottom w:w="30" w:type="dxa"/>
              <w:right w:w="120" w:type="dxa"/>
            </w:tcMar>
            <w:vAlign w:val="center"/>
          </w:tcPr>
          <w:p w14:paraId="672C3C0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1.支持≥4路电源控制，控制电源开关，单路电流≥50A，单路最大功率≥11000W；</w:t>
            </w:r>
          </w:p>
          <w:p w14:paraId="22382E4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2.满足BLE Mesh自组网技术，无需网关组网，支持Pad直连控制，可通过Pad直连控制≥4路电源开关；</w:t>
            </w:r>
          </w:p>
          <w:p w14:paraId="0D6046C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3.带≥4位手动控制开关，2路485接口，支持与RS485转换器进行有线数据通讯；</w:t>
            </w:r>
          </w:p>
          <w:p w14:paraId="06A4281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4.采用磁保持继电器，继电器工作时不产生热量，稳定可靠；</w:t>
            </w:r>
          </w:p>
        </w:tc>
        <w:tc>
          <w:tcPr>
            <w:tcW w:w="480" w:type="dxa"/>
            <w:noWrap w:val="0"/>
            <w:tcMar>
              <w:top w:w="60" w:type="dxa"/>
              <w:left w:w="120" w:type="dxa"/>
              <w:bottom w:w="30" w:type="dxa"/>
              <w:right w:w="120" w:type="dxa"/>
            </w:tcMar>
            <w:vAlign w:val="center"/>
          </w:tcPr>
          <w:p w14:paraId="5FECA46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2651C1A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w:t>
            </w:r>
          </w:p>
        </w:tc>
        <w:tc>
          <w:tcPr>
            <w:tcW w:w="480" w:type="dxa"/>
            <w:noWrap w:val="0"/>
            <w:tcMar>
              <w:top w:w="60" w:type="dxa"/>
              <w:left w:w="120" w:type="dxa"/>
              <w:bottom w:w="30" w:type="dxa"/>
              <w:right w:w="120" w:type="dxa"/>
            </w:tcMar>
            <w:vAlign w:val="center"/>
          </w:tcPr>
          <w:p w14:paraId="1E081E5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140D218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 </w:t>
            </w:r>
          </w:p>
        </w:tc>
      </w:tr>
      <w:tr w14:paraId="7BD0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7ED264EA">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720" w:type="dxa"/>
            <w:noWrap w:val="0"/>
            <w:tcMar>
              <w:top w:w="60" w:type="dxa"/>
              <w:left w:w="120" w:type="dxa"/>
              <w:bottom w:w="30" w:type="dxa"/>
              <w:right w:w="120" w:type="dxa"/>
            </w:tcMar>
            <w:vAlign w:val="center"/>
          </w:tcPr>
          <w:p w14:paraId="0A3209C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智能物联墙面插座</w:t>
            </w:r>
          </w:p>
        </w:tc>
        <w:tc>
          <w:tcPr>
            <w:tcW w:w="5400" w:type="dxa"/>
            <w:noWrap w:val="0"/>
            <w:tcMar>
              <w:top w:w="60" w:type="dxa"/>
              <w:left w:w="120" w:type="dxa"/>
              <w:bottom w:w="30" w:type="dxa"/>
              <w:right w:w="120" w:type="dxa"/>
            </w:tcMar>
            <w:vAlign w:val="center"/>
          </w:tcPr>
          <w:p w14:paraId="0D8A034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1.标准86盒二三插智能墙插面板；</w:t>
            </w:r>
          </w:p>
          <w:p w14:paraId="5CD379F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2.输入AC100-240V50/60Hz；</w:t>
            </w:r>
          </w:p>
          <w:p w14:paraId="482FDA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3.负载功率</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≥2200W；</w:t>
            </w:r>
          </w:p>
          <w:p w14:paraId="669AB3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4.需带手动按键开关及开关状态指示灯；</w:t>
            </w:r>
          </w:p>
          <w:p w14:paraId="101DC8E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5.满足BLE Mesh自组网技术，无需网关组网，支持Pad直连控制，可通过Pad直连控制插座电源开关；</w:t>
            </w:r>
          </w:p>
        </w:tc>
        <w:tc>
          <w:tcPr>
            <w:tcW w:w="480" w:type="dxa"/>
            <w:noWrap w:val="0"/>
            <w:tcMar>
              <w:top w:w="60" w:type="dxa"/>
              <w:left w:w="120" w:type="dxa"/>
              <w:bottom w:w="30" w:type="dxa"/>
              <w:right w:w="120" w:type="dxa"/>
            </w:tcMar>
            <w:vAlign w:val="center"/>
          </w:tcPr>
          <w:p w14:paraId="0FD715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4EBFD18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700</w:t>
            </w:r>
          </w:p>
        </w:tc>
        <w:tc>
          <w:tcPr>
            <w:tcW w:w="480" w:type="dxa"/>
            <w:noWrap w:val="0"/>
            <w:tcMar>
              <w:top w:w="60" w:type="dxa"/>
              <w:left w:w="120" w:type="dxa"/>
              <w:bottom w:w="30" w:type="dxa"/>
              <w:right w:w="120" w:type="dxa"/>
            </w:tcMar>
            <w:vAlign w:val="center"/>
          </w:tcPr>
          <w:p w14:paraId="38C2B8A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87" w:type="dxa"/>
            <w:noWrap w:val="0"/>
            <w:tcMar>
              <w:top w:w="60" w:type="dxa"/>
              <w:left w:w="120" w:type="dxa"/>
              <w:bottom w:w="30" w:type="dxa"/>
              <w:right w:w="120" w:type="dxa"/>
            </w:tcMar>
            <w:vAlign w:val="center"/>
          </w:tcPr>
          <w:p w14:paraId="5F03922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4200</w:t>
            </w:r>
          </w:p>
        </w:tc>
      </w:tr>
      <w:tr w14:paraId="2B73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35F42312">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720" w:type="dxa"/>
            <w:noWrap w:val="0"/>
            <w:tcMar>
              <w:top w:w="60" w:type="dxa"/>
              <w:left w:w="120" w:type="dxa"/>
              <w:bottom w:w="30" w:type="dxa"/>
              <w:right w:w="120" w:type="dxa"/>
            </w:tcMar>
            <w:vAlign w:val="center"/>
          </w:tcPr>
          <w:p w14:paraId="56750D7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智能物联空调插座</w:t>
            </w:r>
          </w:p>
        </w:tc>
        <w:tc>
          <w:tcPr>
            <w:tcW w:w="5400" w:type="dxa"/>
            <w:noWrap w:val="0"/>
            <w:tcMar>
              <w:top w:w="60" w:type="dxa"/>
              <w:left w:w="120" w:type="dxa"/>
              <w:bottom w:w="30" w:type="dxa"/>
              <w:right w:w="120" w:type="dxa"/>
            </w:tcMar>
            <w:vAlign w:val="center"/>
          </w:tcPr>
          <w:p w14:paraId="7FD3417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1.标准86盒三插智能空调专用墙插面板；</w:t>
            </w:r>
          </w:p>
          <w:p w14:paraId="40A0093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2.输入AC100-240V50/60Hz；</w:t>
            </w:r>
          </w:p>
          <w:p w14:paraId="1ED804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3.负载功率</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≥3500W；</w:t>
            </w:r>
          </w:p>
          <w:p w14:paraId="13031CC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4.带手动按键开关及开关状态指示灯；</w:t>
            </w:r>
          </w:p>
          <w:p w14:paraId="15DA047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5.BLE Mesh自组网技术，无需网关组网，支持Pad直连控制，可通过Pad直连控制插座电源开关；</w:t>
            </w:r>
          </w:p>
        </w:tc>
        <w:tc>
          <w:tcPr>
            <w:tcW w:w="480" w:type="dxa"/>
            <w:noWrap w:val="0"/>
            <w:tcMar>
              <w:top w:w="60" w:type="dxa"/>
              <w:left w:w="120" w:type="dxa"/>
              <w:bottom w:w="30" w:type="dxa"/>
              <w:right w:w="120" w:type="dxa"/>
            </w:tcMar>
            <w:vAlign w:val="center"/>
          </w:tcPr>
          <w:p w14:paraId="3A64A14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7A515F7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920</w:t>
            </w:r>
          </w:p>
        </w:tc>
        <w:tc>
          <w:tcPr>
            <w:tcW w:w="480" w:type="dxa"/>
            <w:noWrap w:val="0"/>
            <w:tcMar>
              <w:top w:w="60" w:type="dxa"/>
              <w:left w:w="120" w:type="dxa"/>
              <w:bottom w:w="30" w:type="dxa"/>
              <w:right w:w="120" w:type="dxa"/>
            </w:tcMar>
            <w:vAlign w:val="center"/>
          </w:tcPr>
          <w:p w14:paraId="45C2F19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6F8EA56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1840</w:t>
            </w:r>
          </w:p>
        </w:tc>
      </w:tr>
      <w:tr w14:paraId="7663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4621FD5C">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720" w:type="dxa"/>
            <w:noWrap w:val="0"/>
            <w:tcMar>
              <w:top w:w="60" w:type="dxa"/>
              <w:left w:w="120" w:type="dxa"/>
              <w:bottom w:w="30" w:type="dxa"/>
              <w:right w:w="120" w:type="dxa"/>
            </w:tcMar>
            <w:vAlign w:val="center"/>
          </w:tcPr>
          <w:p w14:paraId="1C46F59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智能物联红外控制器</w:t>
            </w:r>
          </w:p>
        </w:tc>
        <w:tc>
          <w:tcPr>
            <w:tcW w:w="5400" w:type="dxa"/>
            <w:noWrap w:val="0"/>
            <w:tcMar>
              <w:top w:w="60" w:type="dxa"/>
              <w:left w:w="120" w:type="dxa"/>
              <w:bottom w:w="30" w:type="dxa"/>
              <w:right w:w="120" w:type="dxa"/>
            </w:tcMar>
            <w:vAlign w:val="center"/>
          </w:tcPr>
          <w:p w14:paraId="7026ED2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1.红外控制器，支持≥14组红外设备编码学习，控制空调开关、温度和模式调节等；</w:t>
            </w:r>
          </w:p>
          <w:p w14:paraId="196E44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2.BLE Mesh自组网技术，无需网关组网，支持Pad直连控制，可通过Pad直连控制空调开关、模式及温度调节；</w:t>
            </w:r>
          </w:p>
          <w:p w14:paraId="269D71D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3.功耗≤50mA；</w:t>
            </w:r>
          </w:p>
          <w:p w14:paraId="2765D0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4.USB接口扩展红外发射；</w:t>
            </w:r>
          </w:p>
          <w:p w14:paraId="5C37DE5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5.载波频率：30KHz～60KHz宽幅识别，默认为固定38KHz；</w:t>
            </w:r>
          </w:p>
        </w:tc>
        <w:tc>
          <w:tcPr>
            <w:tcW w:w="480" w:type="dxa"/>
            <w:noWrap w:val="0"/>
            <w:tcMar>
              <w:top w:w="60" w:type="dxa"/>
              <w:left w:w="120" w:type="dxa"/>
              <w:bottom w:w="30" w:type="dxa"/>
              <w:right w:w="120" w:type="dxa"/>
            </w:tcMar>
            <w:vAlign w:val="center"/>
          </w:tcPr>
          <w:p w14:paraId="0454088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33FE4C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920</w:t>
            </w:r>
          </w:p>
        </w:tc>
        <w:tc>
          <w:tcPr>
            <w:tcW w:w="480" w:type="dxa"/>
            <w:noWrap w:val="0"/>
            <w:tcMar>
              <w:top w:w="60" w:type="dxa"/>
              <w:left w:w="120" w:type="dxa"/>
              <w:bottom w:w="30" w:type="dxa"/>
              <w:right w:w="120" w:type="dxa"/>
            </w:tcMar>
            <w:vAlign w:val="center"/>
          </w:tcPr>
          <w:p w14:paraId="0369C5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01C331D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1840</w:t>
            </w:r>
          </w:p>
        </w:tc>
      </w:tr>
      <w:tr w14:paraId="42A9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4C658DD">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720" w:type="dxa"/>
            <w:noWrap w:val="0"/>
            <w:tcMar>
              <w:top w:w="60" w:type="dxa"/>
              <w:left w:w="120" w:type="dxa"/>
              <w:bottom w:w="30" w:type="dxa"/>
              <w:right w:w="120" w:type="dxa"/>
            </w:tcMar>
            <w:vAlign w:val="center"/>
          </w:tcPr>
          <w:p w14:paraId="522BDE0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智能物联窗帘控制器</w:t>
            </w:r>
          </w:p>
        </w:tc>
        <w:tc>
          <w:tcPr>
            <w:tcW w:w="5400" w:type="dxa"/>
            <w:noWrap w:val="0"/>
            <w:tcMar>
              <w:top w:w="60" w:type="dxa"/>
              <w:left w:w="120" w:type="dxa"/>
              <w:bottom w:w="30" w:type="dxa"/>
              <w:right w:w="120" w:type="dxa"/>
            </w:tcMar>
            <w:vAlign w:val="center"/>
          </w:tcPr>
          <w:p w14:paraId="67B41E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1.提供电动窗帘控制单元，远程控制窗帘开合；</w:t>
            </w:r>
          </w:p>
          <w:p w14:paraId="424492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2.支持对4线/5线窗帘电机的控制，实现电机正/反转功能；</w:t>
            </w:r>
          </w:p>
          <w:p w14:paraId="5617D3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3.满足BLE Mesh广播通讯协议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支持与其他BLE Mesh物联设备信号进行数据通讯；</w:t>
            </w:r>
          </w:p>
          <w:p w14:paraId="20B6161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4.220V接口≥1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电机接线端子≥1，螺丝固定孔≥2；</w:t>
            </w:r>
          </w:p>
          <w:p w14:paraId="76DD3DB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5.最大接入窗帘设备总功率≥1100W；</w:t>
            </w:r>
          </w:p>
        </w:tc>
        <w:tc>
          <w:tcPr>
            <w:tcW w:w="480" w:type="dxa"/>
            <w:noWrap w:val="0"/>
            <w:tcMar>
              <w:top w:w="60" w:type="dxa"/>
              <w:left w:w="120" w:type="dxa"/>
              <w:bottom w:w="30" w:type="dxa"/>
              <w:right w:w="120" w:type="dxa"/>
            </w:tcMar>
            <w:vAlign w:val="center"/>
          </w:tcPr>
          <w:p w14:paraId="03A7E2F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637986F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920</w:t>
            </w:r>
          </w:p>
        </w:tc>
        <w:tc>
          <w:tcPr>
            <w:tcW w:w="480" w:type="dxa"/>
            <w:noWrap w:val="0"/>
            <w:tcMar>
              <w:top w:w="60" w:type="dxa"/>
              <w:left w:w="120" w:type="dxa"/>
              <w:bottom w:w="30" w:type="dxa"/>
              <w:right w:w="120" w:type="dxa"/>
            </w:tcMar>
            <w:vAlign w:val="center"/>
          </w:tcPr>
          <w:p w14:paraId="26CCE1C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18604A0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1840</w:t>
            </w:r>
          </w:p>
        </w:tc>
      </w:tr>
      <w:tr w14:paraId="5D56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695D401">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720" w:type="dxa"/>
            <w:noWrap w:val="0"/>
            <w:tcMar>
              <w:top w:w="60" w:type="dxa"/>
              <w:left w:w="120" w:type="dxa"/>
              <w:bottom w:w="30" w:type="dxa"/>
              <w:right w:w="120" w:type="dxa"/>
            </w:tcMar>
            <w:vAlign w:val="center"/>
          </w:tcPr>
          <w:p w14:paraId="570FDE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窗帘电机</w:t>
            </w:r>
          </w:p>
        </w:tc>
        <w:tc>
          <w:tcPr>
            <w:tcW w:w="5400" w:type="dxa"/>
            <w:noWrap w:val="0"/>
            <w:tcMar>
              <w:top w:w="60" w:type="dxa"/>
              <w:left w:w="120" w:type="dxa"/>
              <w:bottom w:w="30" w:type="dxa"/>
              <w:right w:w="120" w:type="dxa"/>
            </w:tcMar>
            <w:vAlign w:val="center"/>
          </w:tcPr>
          <w:p w14:paraId="4C51E35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1.支持轻开轻合、手拉启动、遇阻停止；</w:t>
            </w:r>
          </w:p>
          <w:p w14:paraId="005C020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2.支持控制方式：无线遥控，弱电开关，强电开关，RS485控制；</w:t>
            </w:r>
          </w:p>
        </w:tc>
        <w:tc>
          <w:tcPr>
            <w:tcW w:w="480" w:type="dxa"/>
            <w:noWrap w:val="0"/>
            <w:tcMar>
              <w:top w:w="60" w:type="dxa"/>
              <w:left w:w="120" w:type="dxa"/>
              <w:bottom w:w="30" w:type="dxa"/>
              <w:right w:w="120" w:type="dxa"/>
            </w:tcMar>
            <w:vAlign w:val="center"/>
          </w:tcPr>
          <w:p w14:paraId="374B88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3292F25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850</w:t>
            </w:r>
          </w:p>
        </w:tc>
        <w:tc>
          <w:tcPr>
            <w:tcW w:w="480" w:type="dxa"/>
            <w:noWrap w:val="0"/>
            <w:tcMar>
              <w:top w:w="60" w:type="dxa"/>
              <w:left w:w="120" w:type="dxa"/>
              <w:bottom w:w="30" w:type="dxa"/>
              <w:right w:w="120" w:type="dxa"/>
            </w:tcMar>
            <w:vAlign w:val="center"/>
          </w:tcPr>
          <w:p w14:paraId="6BB8289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087" w:type="dxa"/>
            <w:noWrap w:val="0"/>
            <w:tcMar>
              <w:top w:w="60" w:type="dxa"/>
              <w:left w:w="120" w:type="dxa"/>
              <w:bottom w:w="30" w:type="dxa"/>
              <w:right w:w="120" w:type="dxa"/>
            </w:tcMar>
            <w:vAlign w:val="center"/>
          </w:tcPr>
          <w:p w14:paraId="670DAA4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3400</w:t>
            </w:r>
          </w:p>
        </w:tc>
      </w:tr>
      <w:tr w14:paraId="2F141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73BEFF4">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720" w:type="dxa"/>
            <w:noWrap w:val="0"/>
            <w:tcMar>
              <w:top w:w="60" w:type="dxa"/>
              <w:left w:w="120" w:type="dxa"/>
              <w:bottom w:w="30" w:type="dxa"/>
              <w:right w:w="120" w:type="dxa"/>
            </w:tcMar>
            <w:vAlign w:val="center"/>
          </w:tcPr>
          <w:p w14:paraId="541E2C1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窗帘轨道</w:t>
            </w:r>
          </w:p>
        </w:tc>
        <w:tc>
          <w:tcPr>
            <w:tcW w:w="5400" w:type="dxa"/>
            <w:noWrap w:val="0"/>
            <w:tcMar>
              <w:top w:w="60" w:type="dxa"/>
              <w:left w:w="120" w:type="dxa"/>
              <w:bottom w:w="30" w:type="dxa"/>
              <w:right w:w="120" w:type="dxa"/>
            </w:tcMar>
            <w:vAlign w:val="center"/>
          </w:tcPr>
          <w:p w14:paraId="24CA21D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双开窗帘电机配套导轨：1米≤导轨≤6米</w:t>
            </w:r>
          </w:p>
        </w:tc>
        <w:tc>
          <w:tcPr>
            <w:tcW w:w="480" w:type="dxa"/>
            <w:noWrap w:val="0"/>
            <w:tcMar>
              <w:top w:w="60" w:type="dxa"/>
              <w:left w:w="120" w:type="dxa"/>
              <w:bottom w:w="30" w:type="dxa"/>
              <w:right w:w="120" w:type="dxa"/>
            </w:tcMar>
            <w:vAlign w:val="center"/>
          </w:tcPr>
          <w:p w14:paraId="6858D9D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米</w:t>
            </w:r>
          </w:p>
        </w:tc>
        <w:tc>
          <w:tcPr>
            <w:tcW w:w="960" w:type="dxa"/>
            <w:noWrap w:val="0"/>
            <w:tcMar>
              <w:top w:w="60" w:type="dxa"/>
              <w:left w:w="120" w:type="dxa"/>
              <w:bottom w:w="30" w:type="dxa"/>
              <w:right w:w="120" w:type="dxa"/>
            </w:tcMar>
            <w:vAlign w:val="center"/>
          </w:tcPr>
          <w:p w14:paraId="00D07A0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w:t>
            </w:r>
          </w:p>
        </w:tc>
        <w:tc>
          <w:tcPr>
            <w:tcW w:w="480" w:type="dxa"/>
            <w:noWrap w:val="0"/>
            <w:tcMar>
              <w:top w:w="60" w:type="dxa"/>
              <w:left w:w="120" w:type="dxa"/>
              <w:bottom w:w="30" w:type="dxa"/>
              <w:right w:w="120" w:type="dxa"/>
            </w:tcMar>
            <w:vAlign w:val="center"/>
          </w:tcPr>
          <w:p w14:paraId="00F0B0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087" w:type="dxa"/>
            <w:noWrap w:val="0"/>
            <w:tcMar>
              <w:top w:w="60" w:type="dxa"/>
              <w:left w:w="120" w:type="dxa"/>
              <w:bottom w:w="30" w:type="dxa"/>
              <w:right w:w="120" w:type="dxa"/>
            </w:tcMar>
            <w:vAlign w:val="center"/>
          </w:tcPr>
          <w:p w14:paraId="683759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2400</w:t>
            </w:r>
          </w:p>
        </w:tc>
      </w:tr>
      <w:tr w14:paraId="74F47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7B4D3F73">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720" w:type="dxa"/>
            <w:noWrap w:val="0"/>
            <w:tcMar>
              <w:top w:w="60" w:type="dxa"/>
              <w:left w:w="120" w:type="dxa"/>
              <w:bottom w:w="30" w:type="dxa"/>
              <w:right w:w="120" w:type="dxa"/>
            </w:tcMar>
            <w:vAlign w:val="center"/>
          </w:tcPr>
          <w:p w14:paraId="652497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无线AP</w:t>
            </w:r>
          </w:p>
        </w:tc>
        <w:tc>
          <w:tcPr>
            <w:tcW w:w="5400" w:type="dxa"/>
            <w:noWrap w:val="0"/>
            <w:tcMar>
              <w:top w:w="60" w:type="dxa"/>
              <w:left w:w="120" w:type="dxa"/>
              <w:bottom w:w="30" w:type="dxa"/>
              <w:right w:w="120" w:type="dxa"/>
            </w:tcMar>
            <w:vAlign w:val="center"/>
          </w:tcPr>
          <w:p w14:paraId="21E9AEF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1、支持IEEE802.3af/at POE供电，支持DC电源供电；</w:t>
            </w:r>
          </w:p>
          <w:p w14:paraId="6ECC4FA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2、≥2个10M/100/1000M的以太网口</w:t>
            </w:r>
          </w:p>
          <w:p w14:paraId="6216263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3、单台AP最大接入数≥80</w:t>
            </w:r>
          </w:p>
          <w:p w14:paraId="2504E72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4、MIMO类型2x2</w:t>
            </w:r>
          </w:p>
          <w:p w14:paraId="0EE12F5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5、最大接入速率≥1267M；2.4G ≥25dBm、5.8G ≥23dBm</w:t>
            </w:r>
          </w:p>
          <w:p w14:paraId="3D7FBD2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6、支持IEEE802.11b、IEEE802.11g、IEEE802.11n 、IEEE802.11ac</w:t>
            </w:r>
          </w:p>
          <w:p w14:paraId="43C4477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7、支持胖瘦自动切换，无需手动配置；</w:t>
            </w:r>
          </w:p>
          <w:p w14:paraId="648AF45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8、支持本地转发、集中转发</w:t>
            </w:r>
          </w:p>
          <w:p w14:paraId="796B009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9、支持功率调整SSID数≥16个</w:t>
            </w:r>
          </w:p>
          <w:p w14:paraId="5CB4085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10、支持SSID用户的隔离</w:t>
            </w:r>
          </w:p>
          <w:p w14:paraId="4598982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11、支持接入用户数限制</w:t>
            </w:r>
          </w:p>
          <w:p w14:paraId="2A723E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12、支持无线状态的查询（射频状态、SSID状态）</w:t>
            </w:r>
          </w:p>
          <w:p w14:paraId="2DBE0A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13、支持二层无缝漫游</w:t>
            </w:r>
          </w:p>
          <w:p w14:paraId="3D6E67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14、支持基于VLAN的SSID</w:t>
            </w:r>
          </w:p>
          <w:p w14:paraId="427F649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15、支持AP广播抑制</w:t>
            </w:r>
          </w:p>
          <w:p w14:paraId="6034335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16、支持无线ARP防护</w:t>
            </w:r>
          </w:p>
          <w:p w14:paraId="1F2970E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17、支持负载均衡</w:t>
            </w:r>
          </w:p>
          <w:p w14:paraId="7E81548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18、支持射频控制</w:t>
            </w:r>
          </w:p>
          <w:p w14:paraId="148E653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19、支持基于SSID的认证</w:t>
            </w:r>
          </w:p>
          <w:p w14:paraId="2A2B8F9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20、支持免认证、密钥认证、微信认证、短信认证、一键认证、Radius认证、内置账号认证、计费认证；</w:t>
            </w:r>
          </w:p>
          <w:p w14:paraId="2EAF0D5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21、支持WPA-PSK、WPA2-PSK、WPA-PSK/WPA2-PSK等多种加密方式；</w:t>
            </w:r>
          </w:p>
          <w:p w14:paraId="0726C8D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22、为保障业务快速上线及后期管理维护，应支持通过手机扫描无线AP二维码实现安装点位备注及IP地址修改；</w:t>
            </w:r>
          </w:p>
          <w:p w14:paraId="58BBA80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23、支持AC集中管理；</w:t>
            </w:r>
          </w:p>
          <w:p w14:paraId="79ED888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24、支持云端管理</w:t>
            </w:r>
          </w:p>
          <w:p w14:paraId="1F3A01B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25、提供无线电发射设备型号核准证复印件</w:t>
            </w:r>
          </w:p>
        </w:tc>
        <w:tc>
          <w:tcPr>
            <w:tcW w:w="480" w:type="dxa"/>
            <w:noWrap w:val="0"/>
            <w:tcMar>
              <w:top w:w="60" w:type="dxa"/>
              <w:left w:w="120" w:type="dxa"/>
              <w:bottom w:w="30" w:type="dxa"/>
              <w:right w:w="120" w:type="dxa"/>
            </w:tcMar>
            <w:vAlign w:val="center"/>
          </w:tcPr>
          <w:p w14:paraId="3FDD44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70E579A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1350</w:t>
            </w:r>
          </w:p>
        </w:tc>
        <w:tc>
          <w:tcPr>
            <w:tcW w:w="480" w:type="dxa"/>
            <w:noWrap w:val="0"/>
            <w:tcMar>
              <w:top w:w="60" w:type="dxa"/>
              <w:left w:w="120" w:type="dxa"/>
              <w:bottom w:w="30" w:type="dxa"/>
              <w:right w:w="120" w:type="dxa"/>
            </w:tcMar>
            <w:vAlign w:val="center"/>
          </w:tcPr>
          <w:p w14:paraId="1498AAC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58E4F6D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2700</w:t>
            </w:r>
          </w:p>
        </w:tc>
      </w:tr>
      <w:tr w14:paraId="664C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C4258D0">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720" w:type="dxa"/>
            <w:noWrap w:val="0"/>
            <w:tcMar>
              <w:top w:w="60" w:type="dxa"/>
              <w:left w:w="120" w:type="dxa"/>
              <w:bottom w:w="30" w:type="dxa"/>
              <w:right w:w="120" w:type="dxa"/>
            </w:tcMar>
            <w:vAlign w:val="center"/>
          </w:tcPr>
          <w:p w14:paraId="695F550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智慧教室可视化</w:t>
            </w:r>
          </w:p>
        </w:tc>
        <w:tc>
          <w:tcPr>
            <w:tcW w:w="5400" w:type="dxa"/>
            <w:noWrap w:val="0"/>
            <w:tcMar>
              <w:top w:w="60" w:type="dxa"/>
              <w:left w:w="120" w:type="dxa"/>
              <w:bottom w:w="30" w:type="dxa"/>
              <w:right w:w="120" w:type="dxa"/>
            </w:tcMar>
            <w:vAlign w:val="center"/>
          </w:tcPr>
          <w:p w14:paraId="3A745D0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1.采用≥21.5英寸电容屏，支持10点触控，屏幕分辨率≥1920*1080，显示比例16:9；屏幕亮度≥500cd/㎡；</w:t>
            </w:r>
          </w:p>
          <w:p w14:paraId="478312DF">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2.屏幕采用防眩光钢化玻璃，可在强光环境下正常使用；</w:t>
            </w:r>
          </w:p>
          <w:p w14:paraId="3C0EDC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3.整机CPU≥4核，最高主频≥1.9G，操作系统版本≥Android9.0。整机最大厚度≤28mm；</w:t>
            </w:r>
          </w:p>
          <w:p w14:paraId="2F78762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4.系统运行内存≥2GB，存储容量≥8GB；</w:t>
            </w:r>
          </w:p>
          <w:p w14:paraId="0489B30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5.班牌芯片采用不低于CortexA55的核心架构；</w:t>
            </w:r>
          </w:p>
          <w:p w14:paraId="1D35A78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6.摄像头可拍摄≥500W像素的照片，支持≥5人同时进行人脸识别；</w:t>
            </w:r>
          </w:p>
          <w:p w14:paraId="159E1DB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7.为保障人脸信息安全，不允许班牌本地储存人脸照片进行人脸比对。必须内置人脸识别算法，采用人脸特征库进行本地比对的认证方式，支持离线人脸识别；</w:t>
            </w:r>
          </w:p>
          <w:p w14:paraId="29911DE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8.整机采用防水防尘结构设计，背部与墙面微距全贴合，防护等级≥IP65；</w:t>
            </w:r>
          </w:p>
          <w:p w14:paraId="6FDD205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9.内置2.0立体声扬声器；</w:t>
            </w:r>
          </w:p>
          <w:p w14:paraId="2B8D2EA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10.内置读卡模块，支持ISO14443协议；</w:t>
            </w:r>
          </w:p>
          <w:p w14:paraId="4875D5C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11.具备≥1路RJ45网络接口；具备≥2路USB2.0接口；</w:t>
            </w:r>
          </w:p>
        </w:tc>
        <w:tc>
          <w:tcPr>
            <w:tcW w:w="480" w:type="dxa"/>
            <w:noWrap w:val="0"/>
            <w:tcMar>
              <w:top w:w="60" w:type="dxa"/>
              <w:left w:w="120" w:type="dxa"/>
              <w:bottom w:w="30" w:type="dxa"/>
              <w:right w:w="120" w:type="dxa"/>
            </w:tcMar>
            <w:vAlign w:val="center"/>
          </w:tcPr>
          <w:p w14:paraId="653306B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960" w:type="dxa"/>
            <w:noWrap w:val="0"/>
            <w:tcMar>
              <w:top w:w="60" w:type="dxa"/>
              <w:left w:w="120" w:type="dxa"/>
              <w:bottom w:w="30" w:type="dxa"/>
              <w:right w:w="120" w:type="dxa"/>
            </w:tcMar>
            <w:vAlign w:val="center"/>
          </w:tcPr>
          <w:p w14:paraId="10F494A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8500</w:t>
            </w:r>
          </w:p>
        </w:tc>
        <w:tc>
          <w:tcPr>
            <w:tcW w:w="480" w:type="dxa"/>
            <w:noWrap w:val="0"/>
            <w:tcMar>
              <w:top w:w="60" w:type="dxa"/>
              <w:left w:w="120" w:type="dxa"/>
              <w:bottom w:w="30" w:type="dxa"/>
              <w:right w:w="120" w:type="dxa"/>
            </w:tcMar>
            <w:vAlign w:val="center"/>
          </w:tcPr>
          <w:p w14:paraId="1B0A96F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p>
        </w:tc>
        <w:tc>
          <w:tcPr>
            <w:tcW w:w="1087" w:type="dxa"/>
            <w:noWrap w:val="0"/>
            <w:tcMar>
              <w:top w:w="60" w:type="dxa"/>
              <w:left w:w="120" w:type="dxa"/>
              <w:bottom w:w="30" w:type="dxa"/>
              <w:right w:w="120" w:type="dxa"/>
            </w:tcMar>
            <w:vAlign w:val="center"/>
          </w:tcPr>
          <w:p w14:paraId="7CFC029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8500</w:t>
            </w:r>
          </w:p>
        </w:tc>
      </w:tr>
      <w:tr w14:paraId="5286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52D9E236">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720" w:type="dxa"/>
            <w:noWrap w:val="0"/>
            <w:tcMar>
              <w:top w:w="60" w:type="dxa"/>
              <w:left w:w="120" w:type="dxa"/>
              <w:bottom w:w="30" w:type="dxa"/>
              <w:right w:w="120" w:type="dxa"/>
            </w:tcMar>
            <w:vAlign w:val="center"/>
          </w:tcPr>
          <w:p w14:paraId="42997F7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门禁控制器</w:t>
            </w:r>
          </w:p>
        </w:tc>
        <w:tc>
          <w:tcPr>
            <w:tcW w:w="5400" w:type="dxa"/>
            <w:noWrap w:val="0"/>
            <w:tcMar>
              <w:top w:w="60" w:type="dxa"/>
              <w:left w:w="120" w:type="dxa"/>
              <w:bottom w:w="30" w:type="dxa"/>
              <w:right w:w="120" w:type="dxa"/>
            </w:tcMar>
            <w:vAlign w:val="center"/>
          </w:tcPr>
          <w:p w14:paraId="65C2911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1.支持首卡常开功能，在设置的时间段内，第一张刷卡后保持门常开；</w:t>
            </w:r>
          </w:p>
          <w:p w14:paraId="0DE08BE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2.支持网络控制，具有自有的MAC地址，永不冲突；</w:t>
            </w:r>
          </w:p>
          <w:p w14:paraId="16A6A20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3.卡容量≥3万，记录容量≥10万，通讯方式支持TCP/IP、RS485；</w:t>
            </w:r>
          </w:p>
          <w:p w14:paraId="7FBB53D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4.工作电源 DC 12V 0.5A，最大开关电压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36V(DC</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tc>
        <w:tc>
          <w:tcPr>
            <w:tcW w:w="480" w:type="dxa"/>
            <w:noWrap w:val="0"/>
            <w:tcMar>
              <w:top w:w="60" w:type="dxa"/>
              <w:left w:w="120" w:type="dxa"/>
              <w:bottom w:w="30" w:type="dxa"/>
              <w:right w:w="120" w:type="dxa"/>
            </w:tcMar>
            <w:vAlign w:val="center"/>
          </w:tcPr>
          <w:p w14:paraId="1F87BCD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5F68BC9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1800</w:t>
            </w:r>
          </w:p>
        </w:tc>
        <w:tc>
          <w:tcPr>
            <w:tcW w:w="480" w:type="dxa"/>
            <w:noWrap w:val="0"/>
            <w:tcMar>
              <w:top w:w="60" w:type="dxa"/>
              <w:left w:w="120" w:type="dxa"/>
              <w:bottom w:w="30" w:type="dxa"/>
              <w:right w:w="120" w:type="dxa"/>
            </w:tcMar>
            <w:vAlign w:val="center"/>
          </w:tcPr>
          <w:p w14:paraId="48C68725">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42FF197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1800</w:t>
            </w:r>
          </w:p>
        </w:tc>
      </w:tr>
      <w:tr w14:paraId="1AD17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18068FE">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720" w:type="dxa"/>
            <w:noWrap w:val="0"/>
            <w:tcMar>
              <w:top w:w="60" w:type="dxa"/>
              <w:left w:w="120" w:type="dxa"/>
              <w:bottom w:w="30" w:type="dxa"/>
              <w:right w:w="120" w:type="dxa"/>
            </w:tcMar>
            <w:vAlign w:val="center"/>
          </w:tcPr>
          <w:p w14:paraId="31F2BF3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双门磁力锁</w:t>
            </w:r>
          </w:p>
        </w:tc>
        <w:tc>
          <w:tcPr>
            <w:tcW w:w="5400" w:type="dxa"/>
            <w:noWrap w:val="0"/>
            <w:tcMar>
              <w:top w:w="60" w:type="dxa"/>
              <w:left w:w="120" w:type="dxa"/>
              <w:bottom w:w="30" w:type="dxa"/>
              <w:right w:w="120" w:type="dxa"/>
            </w:tcMar>
            <w:vAlign w:val="center"/>
          </w:tcPr>
          <w:p w14:paraId="67B136A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1.工艺材质：铝合金，表面拉丝氧化；</w:t>
            </w:r>
          </w:p>
          <w:p w14:paraId="6C3E3D2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2.锁体尺寸：500*48.5*27mm±5mm；</w:t>
            </w:r>
          </w:p>
          <w:p w14:paraId="5B8E6C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3.吸板尺寸：180*38*13mm±5mm；</w:t>
            </w:r>
          </w:p>
          <w:p w14:paraId="11A8476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4.输入电压：DC12V ，工作电流12V/380mA；</w:t>
            </w:r>
          </w:p>
          <w:p w14:paraId="21DFE20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5.安全类型：通电上锁、断电开锁；</w:t>
            </w:r>
          </w:p>
        </w:tc>
        <w:tc>
          <w:tcPr>
            <w:tcW w:w="480" w:type="dxa"/>
            <w:noWrap w:val="0"/>
            <w:tcMar>
              <w:top w:w="60" w:type="dxa"/>
              <w:left w:w="120" w:type="dxa"/>
              <w:bottom w:w="30" w:type="dxa"/>
              <w:right w:w="120" w:type="dxa"/>
            </w:tcMar>
            <w:vAlign w:val="center"/>
          </w:tcPr>
          <w:p w14:paraId="0D63BA8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3BCB7DC1">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880</w:t>
            </w:r>
          </w:p>
        </w:tc>
        <w:tc>
          <w:tcPr>
            <w:tcW w:w="480" w:type="dxa"/>
            <w:noWrap w:val="0"/>
            <w:tcMar>
              <w:top w:w="60" w:type="dxa"/>
              <w:left w:w="120" w:type="dxa"/>
              <w:bottom w:w="30" w:type="dxa"/>
              <w:right w:w="120" w:type="dxa"/>
            </w:tcMar>
            <w:vAlign w:val="center"/>
          </w:tcPr>
          <w:p w14:paraId="7C212AA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4746D60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1760</w:t>
            </w:r>
          </w:p>
        </w:tc>
      </w:tr>
      <w:tr w14:paraId="037E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08855A4F">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720" w:type="dxa"/>
            <w:noWrap w:val="0"/>
            <w:tcMar>
              <w:top w:w="60" w:type="dxa"/>
              <w:left w:w="120" w:type="dxa"/>
              <w:bottom w:w="30" w:type="dxa"/>
              <w:right w:w="120" w:type="dxa"/>
            </w:tcMar>
            <w:vAlign w:val="center"/>
          </w:tcPr>
          <w:p w14:paraId="7F1486A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出门开关</w:t>
            </w:r>
          </w:p>
        </w:tc>
        <w:tc>
          <w:tcPr>
            <w:tcW w:w="5400" w:type="dxa"/>
            <w:noWrap w:val="0"/>
            <w:tcMar>
              <w:top w:w="60" w:type="dxa"/>
              <w:left w:w="120" w:type="dxa"/>
              <w:bottom w:w="30" w:type="dxa"/>
              <w:right w:w="120" w:type="dxa"/>
            </w:tcMar>
            <w:vAlign w:val="center"/>
          </w:tcPr>
          <w:p w14:paraId="350A7FAB">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采用PC防火材料，具备50万次机械使用寿命</w:t>
            </w:r>
          </w:p>
        </w:tc>
        <w:tc>
          <w:tcPr>
            <w:tcW w:w="480" w:type="dxa"/>
            <w:noWrap w:val="0"/>
            <w:tcMar>
              <w:top w:w="60" w:type="dxa"/>
              <w:left w:w="120" w:type="dxa"/>
              <w:bottom w:w="30" w:type="dxa"/>
              <w:right w:w="120" w:type="dxa"/>
            </w:tcMar>
            <w:vAlign w:val="center"/>
          </w:tcPr>
          <w:p w14:paraId="61B33C57">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960" w:type="dxa"/>
            <w:noWrap w:val="0"/>
            <w:tcMar>
              <w:top w:w="60" w:type="dxa"/>
              <w:left w:w="120" w:type="dxa"/>
              <w:bottom w:w="30" w:type="dxa"/>
              <w:right w:w="120" w:type="dxa"/>
            </w:tcMar>
            <w:vAlign w:val="center"/>
          </w:tcPr>
          <w:p w14:paraId="1466FFB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280</w:t>
            </w:r>
          </w:p>
        </w:tc>
        <w:tc>
          <w:tcPr>
            <w:tcW w:w="480" w:type="dxa"/>
            <w:noWrap w:val="0"/>
            <w:tcMar>
              <w:top w:w="60" w:type="dxa"/>
              <w:left w:w="120" w:type="dxa"/>
              <w:bottom w:w="30" w:type="dxa"/>
              <w:right w:w="120" w:type="dxa"/>
            </w:tcMar>
            <w:vAlign w:val="center"/>
          </w:tcPr>
          <w:p w14:paraId="0F16E733">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87" w:type="dxa"/>
            <w:noWrap w:val="0"/>
            <w:tcMar>
              <w:top w:w="60" w:type="dxa"/>
              <w:left w:w="120" w:type="dxa"/>
              <w:bottom w:w="30" w:type="dxa"/>
              <w:right w:w="120" w:type="dxa"/>
            </w:tcMar>
            <w:vAlign w:val="center"/>
          </w:tcPr>
          <w:p w14:paraId="26290EA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560</w:t>
            </w:r>
          </w:p>
        </w:tc>
      </w:tr>
      <w:tr w14:paraId="0762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67E20F19">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720" w:type="dxa"/>
            <w:noWrap w:val="0"/>
            <w:tcMar>
              <w:top w:w="60" w:type="dxa"/>
              <w:left w:w="120" w:type="dxa"/>
              <w:bottom w:w="30" w:type="dxa"/>
              <w:right w:w="120" w:type="dxa"/>
            </w:tcMar>
            <w:vAlign w:val="center"/>
          </w:tcPr>
          <w:p w14:paraId="6706467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文化氛围建设及装修工程</w:t>
            </w:r>
          </w:p>
        </w:tc>
        <w:tc>
          <w:tcPr>
            <w:tcW w:w="5400" w:type="dxa"/>
            <w:noWrap w:val="0"/>
            <w:tcMar>
              <w:top w:w="60" w:type="dxa"/>
              <w:left w:w="120" w:type="dxa"/>
              <w:bottom w:w="30" w:type="dxa"/>
              <w:right w:w="120" w:type="dxa"/>
            </w:tcMar>
            <w:vAlign w:val="center"/>
          </w:tcPr>
          <w:p w14:paraId="3F5DD77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原有墙面拆除、搬运、清洁</w:t>
            </w:r>
          </w:p>
          <w:p w14:paraId="383A65A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五孔插座插孔，不带线。</w:t>
            </w:r>
          </w:p>
          <w:p w14:paraId="48EBBE4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按现场装修效果定制</w:t>
            </w:r>
          </w:p>
          <w:p w14:paraId="08CC4E7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工艺：窗帘盒制作，布艺遮光</w:t>
            </w:r>
          </w:p>
          <w:p w14:paraId="2DF52BC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工艺：轻钢天地龙骨支架，局部9里阻燃板打底，石膏板饰面（不含文化墙的展示广告内容）</w:t>
            </w:r>
          </w:p>
          <w:p w14:paraId="451D459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铺设地毯砖，开槽</w:t>
            </w:r>
          </w:p>
          <w:p w14:paraId="12BACA1E">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工艺：按图（供应商投标需提供俯视图，前视图，后视图，平面图）要求在顶面或地面划线定位→根据标高安装</w:t>
            </w:r>
          </w:p>
          <w:p w14:paraId="73D604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材料：轻钢龙骨支架，10厚单层石膏板饰面</w:t>
            </w:r>
          </w:p>
          <w:p w14:paraId="685BAAF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工艺：轻钢龙骨支架，0.6厚50X100铝方通</w:t>
            </w:r>
          </w:p>
          <w:p w14:paraId="1FE745FC">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工艺：轻钢天地龙骨支架，局部9里阻燃板打底，石膏板饰面（不含文化墙的展示广告内容）</w:t>
            </w:r>
          </w:p>
          <w:p w14:paraId="54971DB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工艺：按图（供应商投标需提供俯视图，前视图，后视图，平面图）要求在顶面或地面划线定位→根据标高安装，木龙骨支架，9里阻燃板打底，10厚单层石膏板饰面</w:t>
            </w:r>
          </w:p>
          <w:p w14:paraId="30B238A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工艺：环保腻子批刮2遍，乳胶漆滚涂2遍。</w:t>
            </w:r>
          </w:p>
          <w:p w14:paraId="62C6B264">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施工区域强弱电布管布线、20PVC线管、多芯电线、2.5平方、4平方电线、6平方电线，超6类网络布线</w:t>
            </w:r>
          </w:p>
        </w:tc>
        <w:tc>
          <w:tcPr>
            <w:tcW w:w="480" w:type="dxa"/>
            <w:noWrap w:val="0"/>
            <w:tcMar>
              <w:top w:w="60" w:type="dxa"/>
              <w:left w:w="120" w:type="dxa"/>
              <w:bottom w:w="30" w:type="dxa"/>
              <w:right w:w="120" w:type="dxa"/>
            </w:tcMar>
            <w:vAlign w:val="center"/>
          </w:tcPr>
          <w:p w14:paraId="0E07AF22">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w:t>
            </w:r>
          </w:p>
        </w:tc>
        <w:tc>
          <w:tcPr>
            <w:tcW w:w="960" w:type="dxa"/>
            <w:noWrap w:val="0"/>
            <w:tcMar>
              <w:top w:w="60" w:type="dxa"/>
              <w:left w:w="120" w:type="dxa"/>
              <w:bottom w:w="30" w:type="dxa"/>
              <w:right w:w="120" w:type="dxa"/>
            </w:tcMar>
            <w:vAlign w:val="center"/>
          </w:tcPr>
          <w:p w14:paraId="1C4D7D8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100000</w:t>
            </w:r>
          </w:p>
        </w:tc>
        <w:tc>
          <w:tcPr>
            <w:tcW w:w="480" w:type="dxa"/>
            <w:noWrap w:val="0"/>
            <w:tcMar>
              <w:top w:w="60" w:type="dxa"/>
              <w:left w:w="120" w:type="dxa"/>
              <w:bottom w:w="30" w:type="dxa"/>
              <w:right w:w="120" w:type="dxa"/>
            </w:tcMar>
            <w:vAlign w:val="center"/>
          </w:tcPr>
          <w:p w14:paraId="1CC3D829">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87" w:type="dxa"/>
            <w:noWrap w:val="0"/>
            <w:tcMar>
              <w:top w:w="60" w:type="dxa"/>
              <w:left w:w="120" w:type="dxa"/>
              <w:bottom w:w="30" w:type="dxa"/>
              <w:right w:w="120" w:type="dxa"/>
            </w:tcMar>
            <w:vAlign w:val="center"/>
          </w:tcPr>
          <w:p w14:paraId="33CDFFED">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100000</w:t>
            </w:r>
          </w:p>
        </w:tc>
      </w:tr>
      <w:tr w14:paraId="2590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480" w:type="dxa"/>
            <w:noWrap w:val="0"/>
            <w:tcMar>
              <w:top w:w="60" w:type="dxa"/>
              <w:left w:w="120" w:type="dxa"/>
              <w:bottom w:w="30" w:type="dxa"/>
              <w:right w:w="120" w:type="dxa"/>
            </w:tcMar>
            <w:vAlign w:val="center"/>
          </w:tcPr>
          <w:p w14:paraId="3568510C">
            <w:pPr>
              <w:keepNext w:val="0"/>
              <w:keepLines w:val="0"/>
              <w:pageBreakBefore w:val="0"/>
              <w:widowControl/>
              <w:suppressLineNumbers w:val="0"/>
              <w:kinsoku/>
              <w:wordWrap/>
              <w:overflowPunct/>
              <w:topLinePunct w:val="0"/>
              <w:autoSpaceDE/>
              <w:autoSpaceDN/>
              <w:bidi w:val="0"/>
              <w:adjustRightInd/>
              <w:spacing w:line="240" w:lineRule="auto"/>
              <w:jc w:val="center"/>
              <w:textAlignment w:val="bottom"/>
              <w:rPr>
                <w:rFonts w:hint="eastAsia" w:ascii="宋体" w:hAnsi="宋体" w:eastAsia="宋体" w:cs="宋体"/>
                <w:b/>
                <w:sz w:val="21"/>
                <w:szCs w:val="21"/>
                <w:highlight w:val="none"/>
              </w:rPr>
            </w:pPr>
          </w:p>
        </w:tc>
        <w:tc>
          <w:tcPr>
            <w:tcW w:w="6120" w:type="dxa"/>
            <w:gridSpan w:val="2"/>
            <w:noWrap w:val="0"/>
            <w:tcMar>
              <w:top w:w="60" w:type="dxa"/>
              <w:left w:w="120" w:type="dxa"/>
              <w:bottom w:w="30" w:type="dxa"/>
              <w:right w:w="120" w:type="dxa"/>
            </w:tcMar>
            <w:vAlign w:val="center"/>
          </w:tcPr>
          <w:p w14:paraId="3FF064B0">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项目总预算</w:t>
            </w:r>
          </w:p>
        </w:tc>
        <w:tc>
          <w:tcPr>
            <w:tcW w:w="480" w:type="dxa"/>
            <w:noWrap w:val="0"/>
            <w:tcMar>
              <w:top w:w="60" w:type="dxa"/>
              <w:left w:w="120" w:type="dxa"/>
              <w:bottom w:w="30" w:type="dxa"/>
              <w:right w:w="120" w:type="dxa"/>
            </w:tcMar>
            <w:vAlign w:val="center"/>
          </w:tcPr>
          <w:p w14:paraId="73580BAA">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b/>
                <w:sz w:val="21"/>
                <w:szCs w:val="21"/>
                <w:highlight w:val="none"/>
              </w:rPr>
            </w:pPr>
          </w:p>
        </w:tc>
        <w:tc>
          <w:tcPr>
            <w:tcW w:w="960" w:type="dxa"/>
            <w:noWrap w:val="0"/>
            <w:tcMar>
              <w:top w:w="60" w:type="dxa"/>
              <w:left w:w="120" w:type="dxa"/>
              <w:bottom w:w="30" w:type="dxa"/>
              <w:right w:w="120" w:type="dxa"/>
            </w:tcMar>
            <w:vAlign w:val="center"/>
          </w:tcPr>
          <w:p w14:paraId="09B66BB6">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eastAsia="宋体" w:cs="宋体"/>
                <w:b/>
                <w:sz w:val="21"/>
                <w:szCs w:val="21"/>
                <w:highlight w:val="none"/>
              </w:rPr>
            </w:pPr>
          </w:p>
        </w:tc>
        <w:tc>
          <w:tcPr>
            <w:tcW w:w="480" w:type="dxa"/>
            <w:noWrap w:val="0"/>
            <w:tcMar>
              <w:top w:w="60" w:type="dxa"/>
              <w:left w:w="120" w:type="dxa"/>
              <w:bottom w:w="30" w:type="dxa"/>
              <w:right w:w="120" w:type="dxa"/>
            </w:tcMar>
            <w:vAlign w:val="center"/>
          </w:tcPr>
          <w:p w14:paraId="342ED4C8">
            <w:pPr>
              <w:pStyle w:val="133"/>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right"/>
              <w:rPr>
                <w:rFonts w:hint="eastAsia" w:ascii="宋体" w:hAnsi="宋体" w:eastAsia="宋体" w:cs="宋体"/>
                <w:b/>
                <w:sz w:val="21"/>
                <w:szCs w:val="21"/>
                <w:highlight w:val="none"/>
              </w:rPr>
            </w:pPr>
          </w:p>
        </w:tc>
        <w:tc>
          <w:tcPr>
            <w:tcW w:w="1087" w:type="dxa"/>
            <w:shd w:val="clear" w:color="auto" w:fill="auto"/>
            <w:noWrap w:val="0"/>
            <w:tcMar>
              <w:top w:w="60" w:type="dxa"/>
              <w:left w:w="120" w:type="dxa"/>
              <w:bottom w:w="30" w:type="dxa"/>
              <w:right w:w="120" w:type="dxa"/>
            </w:tcMar>
            <w:vAlign w:val="center"/>
          </w:tcPr>
          <w:p w14:paraId="5FA2D207">
            <w:pPr>
              <w:keepNext w:val="0"/>
              <w:keepLines w:val="0"/>
              <w:widowControl/>
              <w:suppressLineNumbers w:val="0"/>
              <w:jc w:val="right"/>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1247120</w:t>
            </w:r>
          </w:p>
        </w:tc>
      </w:tr>
      <w:bookmarkEnd w:id="215"/>
    </w:tbl>
    <w:p w14:paraId="2E9F47F1">
      <w:pPr>
        <w:rPr>
          <w:rFonts w:hint="eastAsia" w:ascii="宋体" w:hAnsi="宋体" w:cs="宋体"/>
          <w:sz w:val="24"/>
          <w:highlight w:val="none"/>
          <w:lang w:val="en-US" w:eastAsia="zh-CN"/>
        </w:rPr>
      </w:pPr>
      <w:r>
        <w:rPr>
          <w:rFonts w:hint="eastAsia" w:ascii="宋体" w:hAnsi="宋体" w:cs="宋体"/>
          <w:sz w:val="24"/>
          <w:highlight w:val="none"/>
          <w:lang w:val="en-US" w:eastAsia="zh-CN"/>
        </w:rPr>
        <w:br w:type="page"/>
      </w:r>
    </w:p>
    <w:p w14:paraId="3F800F09">
      <w:pPr>
        <w:numPr>
          <w:ilvl w:val="0"/>
          <w:numId w:val="0"/>
        </w:numPr>
        <w:ind w:left="0" w:leftChars="0" w:firstLine="0" w:firstLineChars="0"/>
        <w:outlineLvl w:val="2"/>
        <w:rPr>
          <w:rFonts w:hint="eastAsia" w:ascii="宋体" w:hAnsi="宋体" w:cs="宋体"/>
          <w:sz w:val="24"/>
          <w:highlight w:val="none"/>
          <w:lang w:val="en-US" w:eastAsia="zh-CN"/>
        </w:rPr>
      </w:pPr>
      <w:r>
        <w:rPr>
          <w:rFonts w:hint="eastAsia" w:ascii="宋体" w:hAnsi="宋体" w:cs="宋体"/>
          <w:b/>
          <w:bCs/>
          <w:sz w:val="24"/>
          <w:highlight w:val="none"/>
          <w:lang w:val="en-US" w:eastAsia="zh-CN"/>
        </w:rPr>
        <w:t>4包：高原运动康复实训基地建设项目</w:t>
      </w:r>
    </w:p>
    <w:tbl>
      <w:tblPr>
        <w:tblStyle w:val="41"/>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40"/>
        <w:gridCol w:w="588"/>
        <w:gridCol w:w="5723"/>
        <w:gridCol w:w="627"/>
        <w:gridCol w:w="519"/>
        <w:gridCol w:w="745"/>
        <w:gridCol w:w="518"/>
      </w:tblGrid>
      <w:tr w14:paraId="26A0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0" w:hRule="atLeast"/>
          <w:jc w:val="center"/>
        </w:trPr>
        <w:tc>
          <w:tcPr>
            <w:tcW w:w="340" w:type="dxa"/>
            <w:shd w:val="clear" w:color="auto" w:fill="auto"/>
            <w:noWrap/>
            <w:vAlign w:val="center"/>
          </w:tcPr>
          <w:p w14:paraId="20FE2AD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588" w:type="dxa"/>
            <w:shd w:val="clear" w:color="auto" w:fill="auto"/>
            <w:noWrap/>
            <w:vAlign w:val="center"/>
          </w:tcPr>
          <w:p w14:paraId="47BD7CC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设备名称</w:t>
            </w:r>
          </w:p>
        </w:tc>
        <w:tc>
          <w:tcPr>
            <w:tcW w:w="5723" w:type="dxa"/>
            <w:shd w:val="clear" w:color="auto" w:fill="auto"/>
            <w:noWrap/>
            <w:vAlign w:val="center"/>
          </w:tcPr>
          <w:p w14:paraId="04ACAC6E">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产品参数</w:t>
            </w:r>
            <w:r>
              <w:rPr>
                <w:rFonts w:hint="eastAsia" w:cs="宋体"/>
                <w:b/>
                <w:bCs/>
                <w:sz w:val="21"/>
                <w:szCs w:val="21"/>
                <w:highlight w:val="none"/>
                <w:lang w:val="en-US" w:eastAsia="zh-CN"/>
              </w:rPr>
              <w:t>要求</w:t>
            </w:r>
          </w:p>
        </w:tc>
        <w:tc>
          <w:tcPr>
            <w:tcW w:w="627" w:type="dxa"/>
            <w:shd w:val="clear" w:color="auto" w:fill="auto"/>
            <w:noWrap/>
            <w:vAlign w:val="center"/>
          </w:tcPr>
          <w:p w14:paraId="3AF402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单价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c>
          <w:tcPr>
            <w:tcW w:w="519" w:type="dxa"/>
            <w:shd w:val="clear" w:color="auto" w:fill="auto"/>
            <w:noWrap/>
            <w:vAlign w:val="center"/>
          </w:tcPr>
          <w:p w14:paraId="3DD769F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数量</w:t>
            </w:r>
          </w:p>
        </w:tc>
        <w:tc>
          <w:tcPr>
            <w:tcW w:w="745" w:type="dxa"/>
            <w:shd w:val="clear" w:color="auto" w:fill="auto"/>
            <w:noWrap/>
            <w:vAlign w:val="center"/>
          </w:tcPr>
          <w:p w14:paraId="7B5469F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小计</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c>
          <w:tcPr>
            <w:tcW w:w="518" w:type="dxa"/>
            <w:shd w:val="clear" w:color="auto" w:fill="auto"/>
            <w:noWrap/>
            <w:vAlign w:val="center"/>
          </w:tcPr>
          <w:p w14:paraId="31DD4F5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tc>
      </w:tr>
      <w:tr w14:paraId="186F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007FF7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88" w:type="dxa"/>
            <w:shd w:val="clear" w:color="auto" w:fill="auto"/>
            <w:vAlign w:val="center"/>
          </w:tcPr>
          <w:p w14:paraId="4B9857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超声及电刺激治疗仪</w:t>
            </w:r>
          </w:p>
        </w:tc>
        <w:tc>
          <w:tcPr>
            <w:tcW w:w="5723" w:type="dxa"/>
            <w:shd w:val="clear" w:color="auto" w:fill="auto"/>
            <w:vAlign w:val="center"/>
          </w:tcPr>
          <w:p w14:paraId="261B4BED">
            <w:pPr>
              <w:keepNext w:val="0"/>
              <w:keepLines w:val="0"/>
              <w:pageBreakBefore w:val="0"/>
              <w:widowControl/>
              <w:kinsoku/>
              <w:wordWrap/>
              <w:overflowPunct/>
              <w:topLinePunct w:val="0"/>
              <w:autoSpaceDE/>
              <w:autoSpaceDN/>
              <w:bidi w:val="0"/>
              <w:adjustRightInd/>
              <w:snapToGrid/>
              <w:spacing w:line="240" w:lineRule="auto"/>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1、功能要求：同时具备超声波治疗，电刺激治疗，超声电刺激复合治疗功能；</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2、体积重量≤210mm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长</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 55mm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宽</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 90mm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高</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；主机≤250g，便于携带；</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3、连接方式：超声治疗需采用无线连接；</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4、充电方式：采用充电底座模式，二合一充电底座（收纳+充电）；</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5、防水等级：超声治疗头为IPX7；</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6、电池：≥1700mAh可充电锂电池；</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7、可同时进行超声及电刺激治疗；</w:t>
            </w:r>
            <w:r>
              <w:rPr>
                <w:rFonts w:hint="eastAsia" w:ascii="宋体" w:hAnsi="宋体" w:eastAsia="宋体" w:cs="宋体"/>
                <w:color w:val="000000"/>
                <w:sz w:val="21"/>
                <w:szCs w:val="21"/>
                <w:highlight w:val="none"/>
                <w:lang w:bidi="ar"/>
              </w:rPr>
              <w:br w:type="textWrapping"/>
            </w: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8、超声治疗头可作为移动式电极输出，进行电刺激治疗；</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超声参数</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9、超声工作频率：1MHz；</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10、额定输出功率：3W，4W，5W；</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11、占空比：30%，40%，50%；</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12、有效辐射面积：4cm</w:t>
            </w:r>
            <w:r>
              <w:rPr>
                <w:rFonts w:hint="eastAsia" w:ascii="宋体" w:hAnsi="宋体" w:eastAsia="宋体" w:cs="宋体"/>
                <w:color w:val="000000"/>
                <w:sz w:val="21"/>
                <w:szCs w:val="21"/>
                <w:highlight w:val="none"/>
                <w:vertAlign w:val="superscript"/>
                <w:lang w:bidi="ar"/>
              </w:rPr>
              <w:t>2</w:t>
            </w: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13、脉冲重复频率：100Hz；</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14、波速不均匀性系数：≦8.0；</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15、有效声强：0.75W/cm</w:t>
            </w:r>
            <w:r>
              <w:rPr>
                <w:rFonts w:hint="eastAsia" w:ascii="宋体" w:hAnsi="宋体" w:eastAsia="宋体" w:cs="宋体"/>
                <w:color w:val="000000"/>
                <w:sz w:val="21"/>
                <w:szCs w:val="21"/>
                <w:highlight w:val="none"/>
                <w:vertAlign w:val="superscript"/>
                <w:lang w:bidi="ar"/>
              </w:rPr>
              <w:t>2</w:t>
            </w:r>
            <w:r>
              <w:rPr>
                <w:rFonts w:hint="eastAsia" w:ascii="宋体" w:hAnsi="宋体" w:eastAsia="宋体" w:cs="宋体"/>
                <w:color w:val="000000"/>
                <w:sz w:val="21"/>
                <w:szCs w:val="21"/>
                <w:highlight w:val="none"/>
                <w:lang w:bidi="ar"/>
              </w:rPr>
              <w:t>, 1.0W/cm</w:t>
            </w:r>
            <w:r>
              <w:rPr>
                <w:rFonts w:hint="eastAsia" w:ascii="宋体" w:hAnsi="宋体" w:eastAsia="宋体" w:cs="宋体"/>
                <w:color w:val="000000"/>
                <w:sz w:val="21"/>
                <w:szCs w:val="21"/>
                <w:highlight w:val="none"/>
                <w:vertAlign w:val="superscript"/>
                <w:lang w:bidi="ar"/>
              </w:rPr>
              <w:t>2</w:t>
            </w:r>
            <w:r>
              <w:rPr>
                <w:rFonts w:hint="eastAsia" w:ascii="宋体" w:hAnsi="宋体" w:eastAsia="宋体" w:cs="宋体"/>
                <w:color w:val="000000"/>
                <w:sz w:val="21"/>
                <w:szCs w:val="21"/>
                <w:highlight w:val="none"/>
                <w:lang w:bidi="ar"/>
              </w:rPr>
              <w:t>, 1.25/cm</w:t>
            </w:r>
            <w:r>
              <w:rPr>
                <w:rFonts w:hint="eastAsia" w:ascii="宋体" w:hAnsi="宋体" w:eastAsia="宋体" w:cs="宋体"/>
                <w:color w:val="000000"/>
                <w:sz w:val="21"/>
                <w:szCs w:val="21"/>
                <w:highlight w:val="none"/>
                <w:vertAlign w:val="superscript"/>
                <w:lang w:bidi="ar"/>
              </w:rPr>
              <w:t>2</w:t>
            </w: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16、波速类型：准直型；</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17、波形：脉冲波；</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18、治疗时间：10分钟；</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电刺激参数：</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19、治疗波形：2电极干扰电流、对称性电流；</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20、输出特性：恒电压型；</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21、输出波形：双向方波；</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22、输出通道：单通道输出、三通道轮转输出；</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23、治疗程序：疼痛缓解、血液循环、肌肉锻炼；</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24、中频载波频率：2.5KHz；</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25、中频差频频率：1～120Hz；</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26、中频载波脉宽：0.2ms；</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27、中频差频脉宽：8.3ms-1ms；</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28、低频频率：2-100Hz；</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29、低频脉宽：150-250us；</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30、输出强度：0-30V（500 ohm）；</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31、治疗时间：10-20分钟；</w:t>
            </w:r>
          </w:p>
        </w:tc>
        <w:tc>
          <w:tcPr>
            <w:tcW w:w="627" w:type="dxa"/>
            <w:shd w:val="clear" w:color="auto" w:fill="auto"/>
            <w:noWrap/>
            <w:vAlign w:val="center"/>
          </w:tcPr>
          <w:p w14:paraId="4617D5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sz w:val="21"/>
                <w:szCs w:val="21"/>
                <w:highlight w:val="none"/>
                <w:lang w:val="en-US"/>
              </w:rPr>
            </w:pPr>
            <w:r>
              <w:rPr>
                <w:rFonts w:hint="eastAsia" w:ascii="宋体" w:hAnsi="宋体" w:eastAsia="宋体" w:cs="宋体"/>
                <w:i w:val="0"/>
                <w:iCs w:val="0"/>
                <w:color w:val="000000"/>
                <w:kern w:val="0"/>
                <w:sz w:val="21"/>
                <w:szCs w:val="21"/>
                <w:highlight w:val="none"/>
                <w:u w:val="none"/>
                <w:lang w:val="en-US" w:eastAsia="zh-CN" w:bidi="ar"/>
              </w:rPr>
              <w:t>10000</w:t>
            </w:r>
          </w:p>
        </w:tc>
        <w:tc>
          <w:tcPr>
            <w:tcW w:w="519" w:type="dxa"/>
            <w:shd w:val="clear" w:color="auto" w:fill="auto"/>
            <w:noWrap/>
            <w:vAlign w:val="center"/>
          </w:tcPr>
          <w:p w14:paraId="0B0EF5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5" w:type="dxa"/>
            <w:shd w:val="clear" w:color="auto" w:fill="auto"/>
            <w:noWrap/>
            <w:vAlign w:val="center"/>
          </w:tcPr>
          <w:p w14:paraId="564C57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sz w:val="21"/>
                <w:szCs w:val="21"/>
                <w:highlight w:val="none"/>
                <w:lang w:val="en-US"/>
              </w:rPr>
            </w:pPr>
            <w:r>
              <w:rPr>
                <w:rFonts w:hint="eastAsia" w:ascii="宋体" w:hAnsi="宋体" w:eastAsia="宋体" w:cs="宋体"/>
                <w:i w:val="0"/>
                <w:iCs w:val="0"/>
                <w:color w:val="000000"/>
                <w:kern w:val="0"/>
                <w:sz w:val="21"/>
                <w:szCs w:val="21"/>
                <w:highlight w:val="none"/>
                <w:u w:val="none"/>
                <w:lang w:val="en-US" w:eastAsia="zh-CN" w:bidi="ar"/>
              </w:rPr>
              <w:t>30000</w:t>
            </w:r>
          </w:p>
        </w:tc>
        <w:tc>
          <w:tcPr>
            <w:tcW w:w="518" w:type="dxa"/>
            <w:shd w:val="clear" w:color="auto" w:fill="auto"/>
            <w:vAlign w:val="center"/>
          </w:tcPr>
          <w:p w14:paraId="1D393B0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6802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30123F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588" w:type="dxa"/>
            <w:shd w:val="clear" w:color="auto" w:fill="auto"/>
            <w:vAlign w:val="center"/>
          </w:tcPr>
          <w:p w14:paraId="69193D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冲击波治疗仪</w:t>
            </w:r>
          </w:p>
        </w:tc>
        <w:tc>
          <w:tcPr>
            <w:tcW w:w="5723" w:type="dxa"/>
            <w:shd w:val="clear" w:color="auto" w:fill="auto"/>
            <w:vAlign w:val="center"/>
          </w:tcPr>
          <w:p w14:paraId="684D01B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▲1、最大能流密度高达1.83mJ/mm2；</w:t>
            </w:r>
          </w:p>
          <w:p w14:paraId="2DDA0B9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2、内置不少于45种全身各部位的治疗处方，满足不同的临床需求；</w:t>
            </w:r>
          </w:p>
          <w:p w14:paraId="50B568B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3、自定义处方可自由新增患者治疗处方并储存，满足不同的临床需求；</w:t>
            </w:r>
          </w:p>
          <w:p w14:paraId="0462029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4、计数功能</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具有计数、显示和重置功能，便于记录治疗过程；</w:t>
            </w:r>
          </w:p>
          <w:p w14:paraId="5EC7FBE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5、有双重过压安全装置，防止空气压缩机在正常和单一故障状态下发生压力突然增大；（可提供相关证明文件）</w:t>
            </w:r>
          </w:p>
          <w:p w14:paraId="0DB3F0D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6、进口核心部件：原装进口空气压缩机，动力强，静音设计；进口SMC电磁阀，输出稳定性高；进口部件可提供报关证明资料；</w:t>
            </w:r>
          </w:p>
          <w:p w14:paraId="0528583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7、台式机身整体美观便携，冲击波治疗枪符合人体工学设计，操作简单；</w:t>
            </w:r>
          </w:p>
          <w:p w14:paraId="33337B5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8、电源使用标准：交流电压220V±10%</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电源频率：50Hz±2％；额定输入功率：≤300VA；</w:t>
            </w:r>
          </w:p>
          <w:p w14:paraId="44F12AC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9、配置真彩触摸显示屏≥10.2英寸，操作便捷；</w:t>
            </w:r>
          </w:p>
          <w:p w14:paraId="25B335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10、工作压力：1～4Bar可调，最大工作压力误差不超过±10%，步长0.1Bar；</w:t>
            </w:r>
          </w:p>
          <w:p w14:paraId="1CA19E9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11、工作频率调节范围1～21Hz，误差不超过±5%，步长1Hz；</w:t>
            </w:r>
          </w:p>
          <w:p w14:paraId="2832EB9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12、治疗仪工作压力显示装置显示值与实际值误差不超过±10%；</w:t>
            </w:r>
          </w:p>
          <w:p w14:paraId="07784C5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13、具有准直型和发散式两类治疗探头，满足不同的临床需求；</w:t>
            </w:r>
          </w:p>
          <w:p w14:paraId="5A0C31C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▲14、配置治疗探头数量≥6个，对应不同的治疗程序，满足不同的临床需求</w:t>
            </w:r>
          </w:p>
          <w:p w14:paraId="3CEC8E5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15、阶梯压力模式：50%-90%可调，步长10%，阶梯频率模式：50%-90%可调，步长10%；</w:t>
            </w:r>
          </w:p>
          <w:p w14:paraId="5F3B3DD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16、内置4种疼痛评估评价系统：动态VAS、静态VAS、睡眠VAS、面部表情测量，可进行治疗前后的疼痛评估并自动弹出评估结果窗口；</w:t>
            </w:r>
          </w:p>
          <w:p w14:paraId="23F1BAF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17、患者数据库管理，可存储10000个以上的患者信息，方便医师定期进行分析患者功能恢复情况和科研调查工作；</w:t>
            </w:r>
          </w:p>
          <w:p w14:paraId="2F2459F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18、治疗计数范围：0～9999次</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0～10时，步长为1；10～100时，步长为10；100～9900时，步长为100；9000～9999时，步长为99，人性化设计，调控精准，满足不同的临床需求；</w:t>
            </w:r>
          </w:p>
          <w:p w14:paraId="08895B1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19、默认冲击次数≥2000，默认冲击强度≥2.0Bar，默认冲击频率≥8Hz，默认治疗参数适配性高，能快捷便利的调整至具体需求的治疗参数；</w:t>
            </w:r>
          </w:p>
          <w:p w14:paraId="1D1EBD6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b w:val="0"/>
                <w:bCs w:val="0"/>
                <w:i w:val="0"/>
                <w:iCs w:val="0"/>
                <w:color w:val="auto"/>
                <w:kern w:val="0"/>
                <w:sz w:val="21"/>
                <w:szCs w:val="21"/>
                <w:highlight w:val="none"/>
                <w:u w:val="none"/>
                <w:lang w:val="en-US" w:eastAsia="zh-CN" w:bidi="ar"/>
              </w:rPr>
              <w:t>20、输出压力波的脉宽为300us，误差不超过±10%；</w:t>
            </w:r>
          </w:p>
        </w:tc>
        <w:tc>
          <w:tcPr>
            <w:tcW w:w="627" w:type="dxa"/>
            <w:shd w:val="clear" w:color="auto" w:fill="auto"/>
            <w:noWrap/>
            <w:vAlign w:val="center"/>
          </w:tcPr>
          <w:p w14:paraId="4D2B94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150000</w:t>
            </w:r>
          </w:p>
        </w:tc>
        <w:tc>
          <w:tcPr>
            <w:tcW w:w="519" w:type="dxa"/>
            <w:shd w:val="clear" w:color="auto" w:fill="auto"/>
            <w:noWrap/>
            <w:vAlign w:val="center"/>
          </w:tcPr>
          <w:p w14:paraId="013EF7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3ACAFF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150000</w:t>
            </w:r>
          </w:p>
        </w:tc>
        <w:tc>
          <w:tcPr>
            <w:tcW w:w="518" w:type="dxa"/>
            <w:shd w:val="clear" w:color="auto" w:fill="auto"/>
            <w:vAlign w:val="center"/>
          </w:tcPr>
          <w:p w14:paraId="1027E3F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5566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340" w:type="dxa"/>
            <w:shd w:val="clear" w:color="auto" w:fill="auto"/>
            <w:vAlign w:val="center"/>
          </w:tcPr>
          <w:p w14:paraId="0E531F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588" w:type="dxa"/>
            <w:shd w:val="clear" w:color="auto" w:fill="auto"/>
            <w:vAlign w:val="center"/>
          </w:tcPr>
          <w:p w14:paraId="4EFCFF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中频干扰电疗仪</w:t>
            </w:r>
          </w:p>
        </w:tc>
        <w:tc>
          <w:tcPr>
            <w:tcW w:w="5723" w:type="dxa"/>
            <w:shd w:val="clear" w:color="auto" w:fill="auto"/>
            <w:vAlign w:val="center"/>
          </w:tcPr>
          <w:p w14:paraId="32D9E54B">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1、治疗定时：1～99分钟连续可调，步长为1分钟 ；</w:t>
            </w:r>
          </w:p>
          <w:p w14:paraId="12465B65">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2、系统自置常见疾病的处方≥17种；</w:t>
            </w:r>
          </w:p>
          <w:p w14:paraId="2630DBF1">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cs="宋体"/>
                <w:sz w:val="20"/>
                <w:szCs w:val="20"/>
                <w:highlight w:val="none"/>
              </w:rPr>
              <w:t>★</w:t>
            </w:r>
            <w:r>
              <w:rPr>
                <w:rFonts w:hint="eastAsia" w:ascii="宋体" w:hAnsi="宋体" w:eastAsia="宋体" w:cs="宋体"/>
                <w:sz w:val="21"/>
                <w:szCs w:val="21"/>
                <w:highlight w:val="none"/>
                <w:lang w:val="en-US" w:eastAsia="zh-CN" w:bidi="ar-SA"/>
              </w:rPr>
              <w:t>3、两种模式：自定义模式，处方模式；</w:t>
            </w:r>
          </w:p>
          <w:p w14:paraId="5F658A97">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sz w:val="21"/>
                <w:szCs w:val="21"/>
                <w:highlight w:val="none"/>
                <w:lang w:val="en-US" w:eastAsia="zh-CN" w:bidi="ar-SA"/>
              </w:rPr>
              <w:t>4、工作频率：2000Hz、3000Hz、4000Hz、5000Hz、6000Hz；</w:t>
            </w:r>
          </w:p>
          <w:p w14:paraId="154C93C7">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5、输出电流：≤50mA；</w:t>
            </w:r>
          </w:p>
          <w:p w14:paraId="1150BC0E">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6、调制频率：0～150Hz；</w:t>
            </w:r>
          </w:p>
          <w:p w14:paraId="06774A01">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7、调制方式：连续调制、间歇调制；</w:t>
            </w:r>
          </w:p>
          <w:p w14:paraId="1EE46CB9">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8、差频频率：1～199Hz；</w:t>
            </w:r>
          </w:p>
          <w:p w14:paraId="1E8D5356">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sz w:val="21"/>
                <w:szCs w:val="21"/>
                <w:highlight w:val="none"/>
                <w:lang w:val="en-US" w:eastAsia="zh-CN" w:bidi="ar-SA"/>
              </w:rPr>
              <w:t>9、五种差频治疗模式：低差频模式（1-10Hz）、中差频模式（20-30Hz）、高差频模式（40-60Hz）、广差频模式（1-60Hz）、超广差频模式（1-100Hz）；</w:t>
            </w:r>
          </w:p>
          <w:p w14:paraId="6747764D">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10、差频变化周期：具有自然节律、周期性变化两类变化形式；</w:t>
            </w:r>
          </w:p>
          <w:p w14:paraId="2CC73469">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11、七种动态节律可选：4秒、5秒、6秒、7秒、8秒、9秒、10秒；</w:t>
            </w:r>
          </w:p>
          <w:p w14:paraId="1EDF7949">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12、台式机型，配置≥7英寸彩色触摸屏幕；</w:t>
            </w:r>
          </w:p>
          <w:p w14:paraId="775CC73F">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13、具有三组负压电极输出，三组针插式电极输出；</w:t>
            </w:r>
          </w:p>
          <w:p w14:paraId="7D0F1C20">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14、负压吸引功能：输出负压0kPa～30kPa连续可调；</w:t>
            </w:r>
          </w:p>
          <w:p w14:paraId="1874832B">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cs="宋体"/>
                <w:sz w:val="20"/>
                <w:szCs w:val="20"/>
                <w:highlight w:val="none"/>
              </w:rPr>
              <w:t>★</w:t>
            </w:r>
            <w:r>
              <w:rPr>
                <w:rFonts w:hint="eastAsia" w:ascii="宋体" w:hAnsi="宋体" w:eastAsia="宋体" w:cs="宋体"/>
                <w:sz w:val="21"/>
                <w:szCs w:val="21"/>
                <w:highlight w:val="none"/>
                <w:lang w:val="en-US" w:eastAsia="zh-CN" w:bidi="ar-SA"/>
              </w:rPr>
              <w:t>15、十种干扰输出模式：</w:t>
            </w:r>
          </w:p>
          <w:p w14:paraId="609769D6">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双路（两维）输出时具有：普通模式、动态模式、调制模式、对极模式、程序模式；</w:t>
            </w:r>
          </w:p>
          <w:p w14:paraId="3547E661">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立体（三维）干扰输出时具有：三维立体模式、立体动态模式、立体调制模式、立体对极模式、程序模式；</w:t>
            </w:r>
          </w:p>
          <w:p w14:paraId="68EE2E2A">
            <w:pPr>
              <w:pStyle w:val="134"/>
              <w:keepNext w:val="0"/>
              <w:keepLines w:val="0"/>
              <w:pageBreakBefore w:val="0"/>
              <w:widowControl/>
              <w:kinsoku/>
              <w:wordWrap/>
              <w:overflowPunct/>
              <w:topLinePunct w:val="0"/>
              <w:autoSpaceDE/>
              <w:autoSpaceDN/>
              <w:bidi w:val="0"/>
              <w:adjustRightInd/>
              <w:snapToGrid/>
              <w:spacing w:line="240" w:lineRule="auto"/>
              <w:ind w:firstLine="0" w:firstLineChars="0"/>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val="en-US" w:eastAsia="zh-CN" w:bidi="ar-SA"/>
              </w:rPr>
              <w:t>16、顶盘加热功能：可单独开启及关闭，最高温度为40℃±3℃；</w:t>
            </w:r>
          </w:p>
        </w:tc>
        <w:tc>
          <w:tcPr>
            <w:tcW w:w="627" w:type="dxa"/>
            <w:shd w:val="clear" w:color="auto" w:fill="auto"/>
            <w:noWrap/>
            <w:vAlign w:val="center"/>
          </w:tcPr>
          <w:p w14:paraId="4485F9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43000</w:t>
            </w:r>
          </w:p>
        </w:tc>
        <w:tc>
          <w:tcPr>
            <w:tcW w:w="519" w:type="dxa"/>
            <w:shd w:val="clear" w:color="auto" w:fill="auto"/>
            <w:noWrap/>
            <w:vAlign w:val="center"/>
          </w:tcPr>
          <w:p w14:paraId="4CF7E3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007CF4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43000</w:t>
            </w:r>
          </w:p>
        </w:tc>
        <w:tc>
          <w:tcPr>
            <w:tcW w:w="518" w:type="dxa"/>
            <w:shd w:val="clear" w:color="auto" w:fill="auto"/>
            <w:vAlign w:val="center"/>
          </w:tcPr>
          <w:p w14:paraId="5B7E626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1E1E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64272B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588" w:type="dxa"/>
            <w:shd w:val="clear" w:color="auto" w:fill="auto"/>
            <w:vAlign w:val="center"/>
          </w:tcPr>
          <w:p w14:paraId="1C04AE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温热低周波治疗仪</w:t>
            </w:r>
          </w:p>
        </w:tc>
        <w:tc>
          <w:tcPr>
            <w:tcW w:w="5723" w:type="dxa"/>
            <w:shd w:val="clear" w:color="auto" w:fill="auto"/>
            <w:vAlign w:val="center"/>
          </w:tcPr>
          <w:p w14:paraId="1F80D47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治疗时间1～99min，允差±10%；</w:t>
            </w:r>
          </w:p>
          <w:p w14:paraId="105DB87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可实时显示设备运行状态；</w:t>
            </w:r>
          </w:p>
          <w:p w14:paraId="02A0830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额定输入功率：</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150VA；</w:t>
            </w:r>
          </w:p>
          <w:p w14:paraId="2E477B3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大气压力：700hPa～1060hPa；</w:t>
            </w:r>
          </w:p>
          <w:p w14:paraId="77273B6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双通道独立输出，单独可控，可提供多人多部位治疗，效率更高；</w:t>
            </w:r>
          </w:p>
          <w:p w14:paraId="6CFA693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柜式一体机，触摸屏，一键飞梭，面板大气美观，操作方便；</w:t>
            </w:r>
          </w:p>
          <w:p w14:paraId="1C81BC1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三种治疗模式可选：治疗形式选择、自动治疗程序、自由选择；</w:t>
            </w:r>
          </w:p>
          <w:p w14:paraId="6B4C10C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sz w:val="20"/>
                <w:szCs w:val="20"/>
                <w:highlight w:val="none"/>
              </w:rPr>
              <w:t>★</w:t>
            </w:r>
            <w:r>
              <w:rPr>
                <w:rFonts w:hint="eastAsia" w:ascii="宋体" w:hAnsi="宋体" w:eastAsia="宋体" w:cs="宋体"/>
                <w:color w:val="000000" w:themeColor="text1"/>
                <w:sz w:val="21"/>
                <w:szCs w:val="21"/>
                <w:highlight w:val="none"/>
                <w14:textFill>
                  <w14:solidFill>
                    <w14:schemeClr w14:val="tx1"/>
                  </w14:solidFill>
                </w14:textFill>
              </w:rPr>
              <w:t>8</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不少于53种内置治疗处方 ，有提供针对性治疗，操作简单；</w:t>
            </w:r>
          </w:p>
          <w:p w14:paraId="5D08D35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脉冲频率3～1000Hz，允差±10%，脉冲周期1～333ms，允差±10%，脉冲宽度10～120μs，允差±30%；</w:t>
            </w:r>
          </w:p>
          <w:p w14:paraId="1200D3F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输出电流0～40mA（r.m.s）可调；</w:t>
            </w:r>
          </w:p>
          <w:p w14:paraId="6AE713E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最大输出脉冲幅度70V，允差±30%；</w:t>
            </w:r>
          </w:p>
          <w:p w14:paraId="4DEAD9A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温热功能分“关闭”、“第一档”、“第二档”、“第三档”、“第四档”、“速暖”6档可调；</w:t>
            </w:r>
          </w:p>
          <w:p w14:paraId="1A5F7C1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温度调节范围38～43±2℃；</w:t>
            </w:r>
          </w:p>
          <w:p w14:paraId="5C087A5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sz w:val="20"/>
                <w:szCs w:val="20"/>
                <w:highlight w:val="none"/>
              </w:rPr>
              <w:t>★</w:t>
            </w:r>
            <w:r>
              <w:rPr>
                <w:rFonts w:hint="eastAsia" w:ascii="宋体" w:hAnsi="宋体" w:eastAsia="宋体" w:cs="宋体"/>
                <w:color w:val="000000" w:themeColor="text1"/>
                <w:sz w:val="21"/>
                <w:szCs w:val="21"/>
                <w:highlight w:val="none"/>
                <w14:textFill>
                  <w14:solidFill>
                    <w14:schemeClr w14:val="tx1"/>
                  </w14:solidFill>
                </w14:textFill>
              </w:rPr>
              <w:t>14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具有吸附电极加硅胶电极板两种输出模式；温热电极内置加温装置，使用安全；</w:t>
            </w:r>
          </w:p>
          <w:p w14:paraId="7B597BD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sz w:val="20"/>
                <w:szCs w:val="20"/>
                <w:highlight w:val="none"/>
              </w:rPr>
              <w:t>★</w:t>
            </w:r>
            <w:r>
              <w:rPr>
                <w:rFonts w:hint="eastAsia" w:ascii="宋体" w:hAnsi="宋体" w:eastAsia="宋体" w:cs="宋体"/>
                <w:color w:val="000000" w:themeColor="text1"/>
                <w:sz w:val="21"/>
                <w:szCs w:val="21"/>
                <w:highlight w:val="none"/>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输出平衡手动可调：左右电极的输出强度可在当前强度的±20%范围内手动调整；</w:t>
            </w:r>
          </w:p>
          <w:p w14:paraId="7EE109C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超温保护：温度升至46°时自动断电，停止加温；</w:t>
            </w:r>
          </w:p>
          <w:p w14:paraId="23ABF31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负压调节功能：负压电极真空度六档可调，最大极限负压值为40KPa，允差±20%；</w:t>
            </w:r>
          </w:p>
          <w:p w14:paraId="7CF0559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themeColor="text1"/>
                <w:sz w:val="21"/>
                <w:szCs w:val="21"/>
                <w:highlight w:val="none"/>
                <w14:textFill>
                  <w14:solidFill>
                    <w14:schemeClr w14:val="tx1"/>
                  </w14:solidFill>
                </w14:textFill>
              </w:rPr>
              <w:t>18</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治疗仪输出最大时，连续工作时间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4h。</w:t>
            </w:r>
          </w:p>
        </w:tc>
        <w:tc>
          <w:tcPr>
            <w:tcW w:w="627" w:type="dxa"/>
            <w:shd w:val="clear" w:color="auto" w:fill="auto"/>
            <w:noWrap/>
            <w:vAlign w:val="center"/>
          </w:tcPr>
          <w:p w14:paraId="727059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45000</w:t>
            </w:r>
          </w:p>
        </w:tc>
        <w:tc>
          <w:tcPr>
            <w:tcW w:w="519" w:type="dxa"/>
            <w:shd w:val="clear" w:color="auto" w:fill="auto"/>
            <w:noWrap/>
            <w:vAlign w:val="center"/>
          </w:tcPr>
          <w:p w14:paraId="61D674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1A5287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45000</w:t>
            </w:r>
          </w:p>
        </w:tc>
        <w:tc>
          <w:tcPr>
            <w:tcW w:w="518" w:type="dxa"/>
            <w:shd w:val="clear" w:color="auto" w:fill="auto"/>
            <w:vAlign w:val="center"/>
          </w:tcPr>
          <w:p w14:paraId="76B2A22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5793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340" w:type="dxa"/>
            <w:shd w:val="clear" w:color="auto" w:fill="auto"/>
            <w:vAlign w:val="center"/>
          </w:tcPr>
          <w:p w14:paraId="6091C1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588" w:type="dxa"/>
            <w:shd w:val="clear" w:color="auto" w:fill="auto"/>
            <w:vAlign w:val="center"/>
          </w:tcPr>
          <w:p w14:paraId="734099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微波治疗仪</w:t>
            </w:r>
          </w:p>
        </w:tc>
        <w:tc>
          <w:tcPr>
            <w:tcW w:w="5723" w:type="dxa"/>
            <w:shd w:val="clear" w:color="auto" w:fill="auto"/>
            <w:vAlign w:val="center"/>
          </w:tcPr>
          <w:p w14:paraId="3E449B4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预置工作时间范围</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 xml:space="preserve"> 0～30min或0～99s，预置为30min时，其时间精度应为30min±1min；</w:t>
            </w:r>
          </w:p>
          <w:p w14:paraId="7C23E15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采用微电脑控制，PID调节及锁相，输出功率更稳定；</w:t>
            </w:r>
          </w:p>
          <w:p w14:paraId="16D323F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cs="宋体"/>
                <w:sz w:val="20"/>
                <w:szCs w:val="20"/>
                <w:highlight w:val="none"/>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输出模式：连续波、脉冲波、集束波；</w:t>
            </w:r>
          </w:p>
          <w:p w14:paraId="016DA7C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误操作报警：当操作发生错误时，治疗机发出报警声，并自动切断输出；</w:t>
            </w:r>
          </w:p>
          <w:p w14:paraId="6558721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输出微波功率和治疗时间可预置并储存记忆；</w:t>
            </w:r>
          </w:p>
          <w:p w14:paraId="34E1EFA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闭锁保护：当电源中断再恢复时，停止一切微波输出；</w:t>
            </w:r>
          </w:p>
          <w:p w14:paraId="366899E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过载保护</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输出功率达到设置功率极限时，能自动切断输出，并发出报警信号；</w:t>
            </w:r>
          </w:p>
          <w:p w14:paraId="262101E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手术、理疗一体化，功能齐全，适合各临床科室需要；</w:t>
            </w:r>
          </w:p>
          <w:p w14:paraId="0BAE27C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保护功能：具有闭锁保护、过载保护、误操作报警；</w:t>
            </w:r>
          </w:p>
          <w:p w14:paraId="4F83C23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cs="宋体"/>
                <w:sz w:val="20"/>
                <w:szCs w:val="20"/>
                <w:highlight w:val="none"/>
              </w:rPr>
              <w:t>★</w:t>
            </w:r>
            <w:r>
              <w:rPr>
                <w:rFonts w:hint="eastAsia" w:ascii="宋体" w:hAnsi="宋体" w:eastAsia="宋体" w:cs="宋体"/>
                <w:sz w:val="21"/>
                <w:szCs w:val="21"/>
                <w:highlight w:val="none"/>
              </w:rPr>
              <w:t>10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支撑臂具有多个自由度，可以进行高度和伸展长度的调节，可以使得治疗头可以在适当的治疗位置进行长时间的停留，不会出现支撑装置失效治疗头跌落的情况。</w:t>
            </w:r>
          </w:p>
          <w:p w14:paraId="3490236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双微波源</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微波工作频率</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 xml:space="preserve">  2450MHz±30MHz，波长12.2CM；</w:t>
            </w:r>
          </w:p>
          <w:p w14:paraId="4E066FA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输出功率：手术模式：0-150W，理疗模式0-50W；</w:t>
            </w:r>
          </w:p>
          <w:p w14:paraId="454F234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临床适应症：丹毒、蜂窝织炎、乳腺炎的炎症吸收期、软组织扭伤恢复期、肌纤维织炎、棘间韧带损伤、肩关节周围炎、肱骨外上髁炎、术后伤口愈合迟缓、慢性溃疡、压疮、烧伤、冻伤</w:t>
            </w:r>
          </w:p>
          <w:p w14:paraId="73CB70A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rPr>
              <w:t>14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产品配置2枚玻璃管式熔断器</w:t>
            </w:r>
          </w:p>
        </w:tc>
        <w:tc>
          <w:tcPr>
            <w:tcW w:w="627" w:type="dxa"/>
            <w:shd w:val="clear" w:color="auto" w:fill="auto"/>
            <w:noWrap/>
            <w:vAlign w:val="center"/>
          </w:tcPr>
          <w:p w14:paraId="2B26E2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44600</w:t>
            </w:r>
          </w:p>
        </w:tc>
        <w:tc>
          <w:tcPr>
            <w:tcW w:w="519" w:type="dxa"/>
            <w:shd w:val="clear" w:color="auto" w:fill="auto"/>
            <w:noWrap/>
            <w:vAlign w:val="center"/>
          </w:tcPr>
          <w:p w14:paraId="3AEC33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4765C6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44600</w:t>
            </w:r>
          </w:p>
        </w:tc>
        <w:tc>
          <w:tcPr>
            <w:tcW w:w="518" w:type="dxa"/>
            <w:shd w:val="clear" w:color="auto" w:fill="auto"/>
            <w:vAlign w:val="center"/>
          </w:tcPr>
          <w:p w14:paraId="631C450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6011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340" w:type="dxa"/>
            <w:shd w:val="clear" w:color="auto" w:fill="auto"/>
            <w:vAlign w:val="center"/>
          </w:tcPr>
          <w:p w14:paraId="0FDBFE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tc>
        <w:tc>
          <w:tcPr>
            <w:tcW w:w="588" w:type="dxa"/>
            <w:shd w:val="clear" w:color="auto" w:fill="auto"/>
            <w:vAlign w:val="center"/>
          </w:tcPr>
          <w:p w14:paraId="74F184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短波治疗仪</w:t>
            </w:r>
          </w:p>
        </w:tc>
        <w:tc>
          <w:tcPr>
            <w:tcW w:w="5723" w:type="dxa"/>
            <w:shd w:val="clear" w:color="auto" w:fill="auto"/>
            <w:vAlign w:val="center"/>
          </w:tcPr>
          <w:p w14:paraId="1A99D63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输入功率：450VA</w:t>
            </w:r>
            <w:r>
              <w:rPr>
                <w:rFonts w:hint="eastAsia" w:ascii="宋体" w:hAnsi="宋体" w:cs="宋体"/>
                <w:color w:val="000000"/>
                <w:sz w:val="21"/>
                <w:szCs w:val="21"/>
                <w:highlight w:val="none"/>
                <w:lang w:eastAsia="zh-CN" w:bidi="ar"/>
              </w:rPr>
              <w:t>，</w:t>
            </w:r>
            <w:r>
              <w:rPr>
                <w:rFonts w:hint="eastAsia" w:ascii="宋体" w:hAnsi="宋体" w:cs="宋体"/>
                <w:color w:val="000000"/>
                <w:sz w:val="21"/>
                <w:szCs w:val="21"/>
                <w:highlight w:val="none"/>
                <w:lang w:val="en-US" w:eastAsia="zh-CN" w:bidi="ar"/>
              </w:rPr>
              <w:t>±10VA</w:t>
            </w:r>
            <w:r>
              <w:rPr>
                <w:rFonts w:hint="eastAsia" w:ascii="宋体" w:hAnsi="宋体" w:eastAsia="宋体" w:cs="宋体"/>
                <w:color w:val="000000"/>
                <w:sz w:val="21"/>
                <w:szCs w:val="21"/>
                <w:highlight w:val="none"/>
                <w:lang w:bidi="ar"/>
              </w:rPr>
              <w:t>；</w:t>
            </w:r>
          </w:p>
          <w:p w14:paraId="5B5F131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采用晶体管一体化模块设计；</w:t>
            </w:r>
          </w:p>
          <w:p w14:paraId="33669C7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具备自动调谐功能，调谐时间不大于 6s；</w:t>
            </w:r>
          </w:p>
          <w:p w14:paraId="0BDE64A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操作功能：支持输出模式选择及参数设置功能、具备工作状态指示功能；输出功率支持 0-100 档可调功能；</w:t>
            </w:r>
          </w:p>
          <w:p w14:paraId="16B812A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具备应用器识别功能；</w:t>
            </w:r>
          </w:p>
          <w:p w14:paraId="79DAB3B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工作条件：220V±22V，50Hz±1Hz；</w:t>
            </w:r>
          </w:p>
          <w:p w14:paraId="267E744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单通道立式结构，触摸屏幕操控；</w:t>
            </w:r>
          </w:p>
          <w:p w14:paraId="6030342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8.</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仪器配置应用器：支持 AC01、AC02、AC03、AC04、AL01、AL02、AL03 等型号应用器，应用器外层包覆绝缘材料；</w:t>
            </w:r>
          </w:p>
          <w:p w14:paraId="4AF33F9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★9</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工作频率：治疗仪的输出信号频率（振荡频率）为 27.12MHz，允差 ±0.5%；</w:t>
            </w:r>
          </w:p>
          <w:p w14:paraId="75C0825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10</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输出模式：连续输出、脉冲输出；</w:t>
            </w:r>
          </w:p>
          <w:p w14:paraId="4B115FD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11</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输出波形：正弦波；</w:t>
            </w:r>
          </w:p>
          <w:p w14:paraId="75186B1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12</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输出功率：额定输出功率为 200W，允差 ±20%，最小步进为 2W；</w:t>
            </w:r>
          </w:p>
          <w:p w14:paraId="12FCC32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★13</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脉冲输出参数： (1) 脉冲频率 10～800Hz 可调，步长 10Hz，允差 ±20%； (2) 脉冲宽度 20～400μs 可调，步长 20μs，允差 ±20%；</w:t>
            </w:r>
          </w:p>
          <w:p w14:paraId="7AFBB1C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14</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输出稳定性：治疗仪输出功率变化不大于 ±10%；</w:t>
            </w:r>
          </w:p>
          <w:p w14:paraId="6D5174D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15</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治疗时间：1～30min 可调，步进 1min，允差 ±1min。</w:t>
            </w:r>
          </w:p>
        </w:tc>
        <w:tc>
          <w:tcPr>
            <w:tcW w:w="627" w:type="dxa"/>
            <w:shd w:val="clear" w:color="auto" w:fill="auto"/>
            <w:noWrap/>
            <w:vAlign w:val="center"/>
          </w:tcPr>
          <w:p w14:paraId="0F1D26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105196</w:t>
            </w:r>
          </w:p>
        </w:tc>
        <w:tc>
          <w:tcPr>
            <w:tcW w:w="519" w:type="dxa"/>
            <w:shd w:val="clear" w:color="auto" w:fill="auto"/>
            <w:noWrap/>
            <w:vAlign w:val="center"/>
          </w:tcPr>
          <w:p w14:paraId="69C908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2A9EA9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105196</w:t>
            </w:r>
          </w:p>
        </w:tc>
        <w:tc>
          <w:tcPr>
            <w:tcW w:w="518" w:type="dxa"/>
            <w:shd w:val="clear" w:color="auto" w:fill="auto"/>
            <w:vAlign w:val="center"/>
          </w:tcPr>
          <w:p w14:paraId="4F2B60A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56A7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4655A7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tc>
        <w:tc>
          <w:tcPr>
            <w:tcW w:w="588" w:type="dxa"/>
            <w:shd w:val="clear" w:color="auto" w:fill="auto"/>
            <w:vAlign w:val="center"/>
          </w:tcPr>
          <w:p w14:paraId="7A4022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温热电灸综合治疗仪</w:t>
            </w:r>
          </w:p>
        </w:tc>
        <w:tc>
          <w:tcPr>
            <w:tcW w:w="5723" w:type="dxa"/>
            <w:shd w:val="clear" w:color="auto" w:fill="auto"/>
            <w:vAlign w:val="center"/>
          </w:tcPr>
          <w:p w14:paraId="6E7C490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时间范围为1min～60min；单步长1min；治疗时间默认为20min；</w:t>
            </w:r>
          </w:p>
          <w:p w14:paraId="3199032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加热方式</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陶瓷片加热；用10K热敏电阻采集温度；</w:t>
            </w:r>
          </w:p>
          <w:p w14:paraId="27D1B2F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定时提醒：定时时间到后有声音提示功能；</w:t>
            </w:r>
          </w:p>
          <w:p w14:paraId="1262BAA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搭配灸头组合垫（灸头为圆形、中空柱体结构）；</w:t>
            </w:r>
          </w:p>
          <w:p w14:paraId="780EF56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温度检测：单一灸头温度可以进行独立检测、独立调节，调节步长为1℃；也可总体调节艾灸头温度；</w:t>
            </w:r>
          </w:p>
          <w:p w14:paraId="5D071E0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超温保护：当灸头温度超过自身的报警值，超温保护装置自动切断输出，并在界面中跳出警示弹窗；</w:t>
            </w:r>
          </w:p>
          <w:p w14:paraId="25FB2B4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治疗温度超过60℃时，高温输出指示灯闪烁；</w:t>
            </w:r>
          </w:p>
          <w:p w14:paraId="62A82DE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8</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灸头加热面的直径为25mm±0.6mm；</w:t>
            </w:r>
          </w:p>
          <w:p w14:paraId="498524E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9</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隔热垫的外径直径为36mm±0.9mm；</w:t>
            </w:r>
          </w:p>
          <w:p w14:paraId="4541C4A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10</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艾灸温度调节的范围为30℃～70℃，步长为1℃，误差为±3℃；</w:t>
            </w:r>
          </w:p>
          <w:p w14:paraId="2C2D40D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显示方式</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液晶触摸屏显示，旋转编码器调节；</w:t>
            </w:r>
          </w:p>
          <w:p w14:paraId="6C616B2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12</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工作条件：环境温度：5℃～40℃，相对湿度：30%-80%；</w:t>
            </w:r>
          </w:p>
          <w:p w14:paraId="6E4909A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13</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设备由主机、灸头、隔热垫、灸头组合垫组成；</w:t>
            </w:r>
          </w:p>
          <w:p w14:paraId="7A30436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14</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输出通路：各路艾灸可以独立启动和停止，可同时使用24个艾灸头；</w:t>
            </w:r>
          </w:p>
          <w:p w14:paraId="051721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15</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电源要求：220V±10%，50Hz±1Hz；</w:t>
            </w:r>
          </w:p>
          <w:p w14:paraId="3C95EA0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16</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输入功率：≤200VA；</w:t>
            </w:r>
          </w:p>
        </w:tc>
        <w:tc>
          <w:tcPr>
            <w:tcW w:w="627" w:type="dxa"/>
            <w:shd w:val="clear" w:color="auto" w:fill="auto"/>
            <w:noWrap/>
            <w:vAlign w:val="center"/>
          </w:tcPr>
          <w:p w14:paraId="7F6710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52000</w:t>
            </w:r>
          </w:p>
        </w:tc>
        <w:tc>
          <w:tcPr>
            <w:tcW w:w="519" w:type="dxa"/>
            <w:shd w:val="clear" w:color="auto" w:fill="auto"/>
            <w:noWrap/>
            <w:vAlign w:val="center"/>
          </w:tcPr>
          <w:p w14:paraId="5C4EE6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0C69A3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52000</w:t>
            </w:r>
          </w:p>
        </w:tc>
        <w:tc>
          <w:tcPr>
            <w:tcW w:w="518" w:type="dxa"/>
            <w:shd w:val="clear" w:color="auto" w:fill="auto"/>
            <w:vAlign w:val="center"/>
          </w:tcPr>
          <w:p w14:paraId="1F00160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40D4F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8" w:hRule="atLeast"/>
          <w:jc w:val="center"/>
        </w:trPr>
        <w:tc>
          <w:tcPr>
            <w:tcW w:w="340" w:type="dxa"/>
            <w:shd w:val="clear" w:color="auto" w:fill="auto"/>
            <w:vAlign w:val="center"/>
          </w:tcPr>
          <w:p w14:paraId="5A4FAD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w:t>
            </w:r>
          </w:p>
        </w:tc>
        <w:tc>
          <w:tcPr>
            <w:tcW w:w="588" w:type="dxa"/>
            <w:shd w:val="clear" w:color="auto" w:fill="auto"/>
            <w:vAlign w:val="center"/>
          </w:tcPr>
          <w:p w14:paraId="4A5E7A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超短波治疗仪</w:t>
            </w:r>
          </w:p>
        </w:tc>
        <w:tc>
          <w:tcPr>
            <w:tcW w:w="5723" w:type="dxa"/>
            <w:shd w:val="clear" w:color="auto" w:fill="auto"/>
            <w:vAlign w:val="center"/>
          </w:tcPr>
          <w:p w14:paraId="6A4F575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立式机型，液晶触摸屏；</w:t>
            </w:r>
          </w:p>
          <w:p w14:paraId="2DB8E20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治疗结束后，设备发出声音提示，同时停止输出；</w:t>
            </w:r>
          </w:p>
          <w:p w14:paraId="6D41C1D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输出调谐功能；当功率指示值与当前设定的功率档位不一致时，则点击屏幕上的“自动调谐”，等待进行重新适配；</w:t>
            </w:r>
          </w:p>
          <w:p w14:paraId="48AAAAE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使用电源：220V、50Hz。</w:t>
            </w:r>
          </w:p>
          <w:p w14:paraId="36574A8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工作频率：</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40.68MHz；</w:t>
            </w:r>
          </w:p>
          <w:p w14:paraId="67A5574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额定输出功率：150W；</w:t>
            </w:r>
          </w:p>
          <w:p w14:paraId="4B35691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治疗时间：1～99min；</w:t>
            </w:r>
          </w:p>
          <w:p w14:paraId="423A068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8</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具备三种治疗模式：连续模式、断续模式、脉冲模式；</w:t>
            </w:r>
          </w:p>
          <w:p w14:paraId="1CFF8D5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9</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断续模式：占空比为50%，脉冲频率10～200Hz；</w:t>
            </w:r>
          </w:p>
          <w:p w14:paraId="73FD5FA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10</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具有3种不同规格应用器：小号电极板尺寸不小于165mm×110mm，中号电极板尺寸不小于185mm×120mm，大号电极板尺寸不小于270mm×180mm，允差±5mm；</w:t>
            </w:r>
          </w:p>
          <w:p w14:paraId="12CE9CB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脉冲模式：</w:t>
            </w:r>
          </w:p>
          <w:p w14:paraId="4A7E240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脉冲1：频率10～200Hz，脉宽200～1000μs；</w:t>
            </w:r>
          </w:p>
          <w:p w14:paraId="23591E3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脉冲2：频率70Hz，脉宽7143μs；</w:t>
            </w:r>
          </w:p>
          <w:p w14:paraId="76AEE60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脉冲3：频率350Hz，脉宽476μs；</w:t>
            </w:r>
          </w:p>
          <w:p w14:paraId="1187544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脉冲4：频率15～240Hz，脉宽500μs；</w:t>
            </w:r>
          </w:p>
          <w:p w14:paraId="0F83697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12</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输出功率档位选择功能：六档可调；</w:t>
            </w:r>
          </w:p>
        </w:tc>
        <w:tc>
          <w:tcPr>
            <w:tcW w:w="627" w:type="dxa"/>
            <w:shd w:val="clear" w:color="auto" w:fill="auto"/>
            <w:noWrap/>
            <w:vAlign w:val="center"/>
          </w:tcPr>
          <w:p w14:paraId="32FEEE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66000</w:t>
            </w:r>
          </w:p>
        </w:tc>
        <w:tc>
          <w:tcPr>
            <w:tcW w:w="519" w:type="dxa"/>
            <w:shd w:val="clear" w:color="auto" w:fill="auto"/>
            <w:noWrap/>
            <w:vAlign w:val="center"/>
          </w:tcPr>
          <w:p w14:paraId="0CCD77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668D97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66000</w:t>
            </w:r>
          </w:p>
        </w:tc>
        <w:tc>
          <w:tcPr>
            <w:tcW w:w="518" w:type="dxa"/>
            <w:shd w:val="clear" w:color="auto" w:fill="auto"/>
            <w:vAlign w:val="center"/>
          </w:tcPr>
          <w:p w14:paraId="57842BB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372A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596248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tc>
        <w:tc>
          <w:tcPr>
            <w:tcW w:w="588" w:type="dxa"/>
            <w:shd w:val="clear" w:color="auto" w:fill="auto"/>
            <w:vAlign w:val="center"/>
          </w:tcPr>
          <w:p w14:paraId="07B48B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神经肌肉电刺激仪</w:t>
            </w:r>
          </w:p>
        </w:tc>
        <w:tc>
          <w:tcPr>
            <w:tcW w:w="5723" w:type="dxa"/>
            <w:shd w:val="clear" w:color="auto" w:fill="auto"/>
            <w:vAlign w:val="center"/>
          </w:tcPr>
          <w:p w14:paraId="7E15AF9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1.技术原理：神经肌肉电刺激-NMES</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2.电刺激通道数：四通道八电极</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3.波形：对称矩形方波脉冲</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4.内置智能传感器，具备智能检测电脉冲技术：</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智能扫描技术：扫描特定肌肉群，根据肌肉生理特性，自动调整电刺激器的设定，实现个性化扫描。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智能电脉冲强度范围设定：自动检测设定刺激强度大小，针对肌肉生理状态给出准确的参考</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5.训练程序满足全身各肌肉群点刺激训练需求，至少包含训练调理、疼痛管理、放松恢复、健身塑形和肌肉康复等</w:t>
            </w:r>
            <w:r>
              <w:rPr>
                <w:rFonts w:hint="eastAsia" w:ascii="宋体" w:hAnsi="宋体" w:cs="宋体"/>
                <w:b w:val="0"/>
                <w:bCs w:val="0"/>
                <w:i w:val="0"/>
                <w:iCs w:val="0"/>
                <w:color w:val="auto"/>
                <w:kern w:val="0"/>
                <w:sz w:val="21"/>
                <w:szCs w:val="21"/>
                <w:highlight w:val="none"/>
                <w:u w:val="none"/>
                <w:lang w:val="en-US" w:eastAsia="zh-CN" w:bidi="ar"/>
              </w:rPr>
              <w:t>至少</w:t>
            </w:r>
            <w:r>
              <w:rPr>
                <w:rFonts w:hint="eastAsia" w:ascii="宋体" w:hAnsi="宋体" w:eastAsia="宋体" w:cs="宋体"/>
                <w:b w:val="0"/>
                <w:bCs w:val="0"/>
                <w:i w:val="0"/>
                <w:iCs w:val="0"/>
                <w:color w:val="auto"/>
                <w:kern w:val="0"/>
                <w:sz w:val="21"/>
                <w:szCs w:val="21"/>
                <w:highlight w:val="none"/>
                <w:u w:val="none"/>
                <w:lang w:val="en-US" w:eastAsia="zh-CN" w:bidi="ar"/>
              </w:rPr>
              <w:t>5个功能类型。</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6.总训练程序≥30个，训练调理程序不少于10个、疼痛管理程序不少于8个、放松恢复程序不少于5个、健身塑形程序不少于5个、肌肉康复程序不少于2个</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7.操作提示：需显示电极片粘贴位置演示图</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8.电刺激全过程进度显示</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9.电刺激强度显示：0-999级，并可随时调控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10.支持网络功能：满足历史数据上传备份等功能。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11.电量提示：同步显示遥控器和电极盘电量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12.电刺激频率：≥120Hz</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13.脉冲振幅：≥50μs，≤400μs</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14.电流强度：≥120mA</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15.电荷量：≥96μC</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16.连接方式：无线连接，开机自动匹配连接，连接时间≤5s</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17.控制器：手持式，小巧，轻便</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18.电极盘：小巧，轻便，带有状态指示灯</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19.屏幕尺寸：QVGA高清彩色显示屏，尺寸≥2.5英寸</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20.电池：锂离子可充电式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21.充电时间：≤3.5小时</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22.操作时间：≥4h</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23.标配充电基座（储置盒），同时满足遥控器和4个电极盘充电需求。</w:t>
            </w:r>
          </w:p>
        </w:tc>
        <w:tc>
          <w:tcPr>
            <w:tcW w:w="627" w:type="dxa"/>
            <w:shd w:val="clear" w:color="auto" w:fill="auto"/>
            <w:noWrap/>
            <w:vAlign w:val="center"/>
          </w:tcPr>
          <w:p w14:paraId="66630C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16000</w:t>
            </w:r>
          </w:p>
        </w:tc>
        <w:tc>
          <w:tcPr>
            <w:tcW w:w="519" w:type="dxa"/>
            <w:shd w:val="clear" w:color="auto" w:fill="auto"/>
            <w:noWrap/>
            <w:vAlign w:val="center"/>
          </w:tcPr>
          <w:p w14:paraId="006D7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66A9FB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16000</w:t>
            </w:r>
          </w:p>
        </w:tc>
        <w:tc>
          <w:tcPr>
            <w:tcW w:w="518" w:type="dxa"/>
            <w:shd w:val="clear" w:color="auto" w:fill="auto"/>
            <w:vAlign w:val="center"/>
          </w:tcPr>
          <w:p w14:paraId="4567879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2332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28BE46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88" w:type="dxa"/>
            <w:shd w:val="clear" w:color="auto" w:fill="auto"/>
            <w:vAlign w:val="center"/>
          </w:tcPr>
          <w:p w14:paraId="52C86C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DMS深层肌肉刺激仪</w:t>
            </w:r>
          </w:p>
        </w:tc>
        <w:tc>
          <w:tcPr>
            <w:tcW w:w="5723" w:type="dxa"/>
            <w:shd w:val="clear" w:color="auto" w:fill="auto"/>
            <w:vAlign w:val="center"/>
          </w:tcPr>
          <w:p w14:paraId="61F182D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工作噪音：≤65dB；</w:t>
            </w:r>
          </w:p>
          <w:p w14:paraId="58B7377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输出功率：≤60W；</w:t>
            </w:r>
          </w:p>
          <w:p w14:paraId="6656E2C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手持式全金属材质振动头；</w:t>
            </w:r>
          </w:p>
          <w:p w14:paraId="68E6D15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4</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三种规格钛合金振动头：φ20mm、φ25mm、φ35mm，满足人体大小肌肉、筋膜链的需求；</w:t>
            </w:r>
          </w:p>
          <w:p w14:paraId="1B61D7C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手柄直径不小于：4.1cm；</w:t>
            </w:r>
          </w:p>
          <w:p w14:paraId="37FFBB8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具有多种支点式手持方式，方便使用者操作；</w:t>
            </w:r>
          </w:p>
          <w:p w14:paraId="306F6EC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标配订制手提箱、电源适配器、控制器、润滑油、折叠毛巾、肌肉刺激临床使用图解等。</w:t>
            </w:r>
          </w:p>
          <w:p w14:paraId="2967C1F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8</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振动头振动频率可调为15Hz~60Hz，即最高可达3600次/分钟；</w:t>
            </w:r>
          </w:p>
          <w:p w14:paraId="14DA739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9</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使用时间</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控制器可调5-30min；</w:t>
            </w:r>
          </w:p>
          <w:p w14:paraId="79DD55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10</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振动头振幅6mm，误差≤±1mm；</w:t>
            </w:r>
          </w:p>
          <w:p w14:paraId="0EAF8E5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11</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振动仪尺寸：</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270mm×150mm×54</w:t>
            </w:r>
            <w:r>
              <w:rPr>
                <w:rFonts w:hint="eastAsia" w:ascii="宋体" w:hAnsi="宋体" w:eastAsia="宋体" w:cs="宋体"/>
                <w:color w:val="000000"/>
                <w:sz w:val="21"/>
                <w:szCs w:val="21"/>
                <w:highlight w:val="none"/>
                <w:lang w:val="en-US" w:eastAsia="zh-CN" w:bidi="ar"/>
              </w:rPr>
              <w:t>mm，允差</w:t>
            </w:r>
            <w:r>
              <w:rPr>
                <w:rFonts w:hint="eastAsia" w:ascii="宋体" w:hAnsi="宋体" w:eastAsia="宋体" w:cs="宋体"/>
                <w:color w:val="000000"/>
                <w:sz w:val="21"/>
                <w:szCs w:val="21"/>
                <w:highlight w:val="none"/>
                <w:lang w:bidi="ar"/>
              </w:rPr>
              <w:t>±3mm；</w:t>
            </w:r>
          </w:p>
        </w:tc>
        <w:tc>
          <w:tcPr>
            <w:tcW w:w="627" w:type="dxa"/>
            <w:shd w:val="clear" w:color="auto" w:fill="auto"/>
            <w:noWrap/>
            <w:vAlign w:val="center"/>
          </w:tcPr>
          <w:p w14:paraId="708121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w:t>
            </w:r>
          </w:p>
        </w:tc>
        <w:tc>
          <w:tcPr>
            <w:tcW w:w="519" w:type="dxa"/>
            <w:shd w:val="clear" w:color="auto" w:fill="auto"/>
            <w:noWrap/>
            <w:vAlign w:val="center"/>
          </w:tcPr>
          <w:p w14:paraId="3A786C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7B8F0A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c>
          <w:tcPr>
            <w:tcW w:w="518" w:type="dxa"/>
            <w:shd w:val="clear" w:color="auto" w:fill="auto"/>
            <w:vAlign w:val="center"/>
          </w:tcPr>
          <w:p w14:paraId="41340CC2">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4E81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340" w:type="dxa"/>
            <w:shd w:val="clear" w:color="auto" w:fill="auto"/>
            <w:vAlign w:val="center"/>
          </w:tcPr>
          <w:p w14:paraId="6F1020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w:t>
            </w:r>
          </w:p>
        </w:tc>
        <w:tc>
          <w:tcPr>
            <w:tcW w:w="588" w:type="dxa"/>
            <w:shd w:val="clear" w:color="auto" w:fill="auto"/>
            <w:vAlign w:val="center"/>
          </w:tcPr>
          <w:p w14:paraId="5EAFA0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下肢气压脉冲恢复系统</w:t>
            </w:r>
          </w:p>
        </w:tc>
        <w:tc>
          <w:tcPr>
            <w:tcW w:w="5723" w:type="dxa"/>
            <w:shd w:val="clear" w:color="auto" w:fill="auto"/>
            <w:vAlign w:val="center"/>
          </w:tcPr>
          <w:p w14:paraId="497BAE5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b w:val="0"/>
                <w:bCs w:val="0"/>
                <w:i w:val="0"/>
                <w:iCs w:val="0"/>
                <w:color w:val="auto"/>
                <w:kern w:val="0"/>
                <w:sz w:val="21"/>
                <w:szCs w:val="21"/>
                <w:highlight w:val="none"/>
                <w:u w:val="none"/>
                <w:lang w:val="en-US" w:eastAsia="zh-CN" w:bidi="ar"/>
              </w:rPr>
              <w:t>1.要求设备采用下肢加压形式，促进血液循环，提高代谢废物消除</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2.要求便携式设计，重量≤2.2kg（总重量），配备专用手提箱，适合个人携带</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3.控制器与加压部件一体式设计，无线缆连接，方便操控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4.支持左右侧独立调控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5.单侧要求不少于4个独立加压气囊</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6.支持压强自定义，压力范围不小于0-120mmHg，调节精度≤10mmHg</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7.要求具备同步加压模式和波浪式加压模式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8.高品质内衬，触感舒适，对皮肤无害</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9.内置高性能供电装置，电池容量≥4500mA，续航能力≥3h</w:t>
            </w:r>
          </w:p>
        </w:tc>
        <w:tc>
          <w:tcPr>
            <w:tcW w:w="627" w:type="dxa"/>
            <w:shd w:val="clear" w:color="auto" w:fill="auto"/>
            <w:noWrap/>
            <w:vAlign w:val="center"/>
          </w:tcPr>
          <w:p w14:paraId="5664E0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9800</w:t>
            </w:r>
          </w:p>
        </w:tc>
        <w:tc>
          <w:tcPr>
            <w:tcW w:w="519" w:type="dxa"/>
            <w:shd w:val="clear" w:color="auto" w:fill="auto"/>
            <w:noWrap/>
            <w:vAlign w:val="center"/>
          </w:tcPr>
          <w:p w14:paraId="54A260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30282A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9800</w:t>
            </w:r>
          </w:p>
        </w:tc>
        <w:tc>
          <w:tcPr>
            <w:tcW w:w="518" w:type="dxa"/>
            <w:shd w:val="clear" w:color="auto" w:fill="auto"/>
            <w:vAlign w:val="center"/>
          </w:tcPr>
          <w:p w14:paraId="2844A1E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F02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1F2998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w:t>
            </w:r>
          </w:p>
        </w:tc>
        <w:tc>
          <w:tcPr>
            <w:tcW w:w="588" w:type="dxa"/>
            <w:shd w:val="clear" w:color="auto" w:fill="auto"/>
            <w:vAlign w:val="center"/>
          </w:tcPr>
          <w:p w14:paraId="6B07A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筋膜刀</w:t>
            </w:r>
          </w:p>
        </w:tc>
        <w:tc>
          <w:tcPr>
            <w:tcW w:w="5723" w:type="dxa"/>
            <w:shd w:val="clear" w:color="auto" w:fill="auto"/>
            <w:vAlign w:val="center"/>
          </w:tcPr>
          <w:p w14:paraId="5DB20A8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筋膜刀</w:t>
            </w:r>
            <w:r>
              <w:rPr>
                <w:rFonts w:hint="eastAsia" w:ascii="宋体" w:hAnsi="宋体" w:eastAsia="宋体" w:cs="宋体"/>
                <w:color w:val="000000"/>
                <w:sz w:val="21"/>
                <w:szCs w:val="21"/>
                <w:highlight w:val="none"/>
                <w:lang w:val="en-US" w:eastAsia="zh-CN" w:bidi="ar"/>
              </w:rPr>
              <w:t>套装采用铝箱保障，便捷携带；至少包含</w:t>
            </w:r>
            <w:r>
              <w:rPr>
                <w:rFonts w:hint="eastAsia" w:ascii="宋体" w:hAnsi="宋体" w:eastAsia="宋体" w:cs="宋体"/>
                <w:color w:val="000000"/>
                <w:sz w:val="21"/>
                <w:szCs w:val="21"/>
                <w:highlight w:val="none"/>
                <w:lang w:bidi="ar"/>
              </w:rPr>
              <w:t>五</w:t>
            </w:r>
            <w:r>
              <w:rPr>
                <w:rFonts w:hint="eastAsia" w:ascii="宋体" w:hAnsi="宋体" w:eastAsia="宋体" w:cs="宋体"/>
                <w:color w:val="000000"/>
                <w:sz w:val="21"/>
                <w:szCs w:val="21"/>
                <w:highlight w:val="none"/>
                <w:lang w:val="en-US" w:eastAsia="zh-CN" w:bidi="ar"/>
              </w:rPr>
              <w:t>把筋膜刀工具</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采用</w:t>
            </w:r>
            <w:r>
              <w:rPr>
                <w:rFonts w:hint="eastAsia" w:ascii="宋体" w:hAnsi="宋体" w:eastAsia="宋体" w:cs="宋体"/>
                <w:color w:val="000000"/>
                <w:sz w:val="21"/>
                <w:szCs w:val="21"/>
                <w:highlight w:val="none"/>
                <w:lang w:bidi="ar"/>
              </w:rPr>
              <w:t>304-316不锈钢</w:t>
            </w:r>
          </w:p>
        </w:tc>
        <w:tc>
          <w:tcPr>
            <w:tcW w:w="627" w:type="dxa"/>
            <w:shd w:val="clear" w:color="auto" w:fill="auto"/>
            <w:noWrap/>
            <w:vAlign w:val="center"/>
          </w:tcPr>
          <w:p w14:paraId="7FBBB1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w:t>
            </w:r>
          </w:p>
        </w:tc>
        <w:tc>
          <w:tcPr>
            <w:tcW w:w="519" w:type="dxa"/>
            <w:shd w:val="clear" w:color="auto" w:fill="auto"/>
            <w:noWrap/>
            <w:vAlign w:val="center"/>
          </w:tcPr>
          <w:p w14:paraId="6B0F53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745" w:type="dxa"/>
            <w:shd w:val="clear" w:color="auto" w:fill="auto"/>
            <w:noWrap/>
            <w:vAlign w:val="center"/>
          </w:tcPr>
          <w:p w14:paraId="01B4E3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w:t>
            </w:r>
          </w:p>
        </w:tc>
        <w:tc>
          <w:tcPr>
            <w:tcW w:w="518" w:type="dxa"/>
            <w:shd w:val="clear" w:color="auto" w:fill="auto"/>
            <w:vAlign w:val="center"/>
          </w:tcPr>
          <w:p w14:paraId="0D90EF8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2216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018307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w:t>
            </w:r>
          </w:p>
        </w:tc>
        <w:tc>
          <w:tcPr>
            <w:tcW w:w="588" w:type="dxa"/>
            <w:shd w:val="clear" w:color="auto" w:fill="auto"/>
            <w:vAlign w:val="center"/>
          </w:tcPr>
          <w:p w14:paraId="01FD8B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筋膜加压治疗带</w:t>
            </w:r>
          </w:p>
        </w:tc>
        <w:tc>
          <w:tcPr>
            <w:tcW w:w="5723" w:type="dxa"/>
            <w:shd w:val="clear" w:color="auto" w:fill="auto"/>
            <w:vAlign w:val="center"/>
          </w:tcPr>
          <w:p w14:paraId="1C1CFAB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筋膜加压套餐6只装</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具备6种不同规格</w:t>
            </w:r>
            <w:r>
              <w:rPr>
                <w:rFonts w:hint="eastAsia" w:ascii="宋体" w:hAnsi="宋体" w:eastAsia="宋体" w:cs="宋体"/>
                <w:color w:val="000000"/>
                <w:sz w:val="21"/>
                <w:szCs w:val="21"/>
                <w:highlight w:val="none"/>
                <w:lang w:eastAsia="zh-CN" w:bidi="ar"/>
              </w:rPr>
              <w:t>：</w:t>
            </w:r>
          </w:p>
          <w:p w14:paraId="7F767F6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2m*5cm*1mm </w:t>
            </w:r>
          </w:p>
          <w:p w14:paraId="2840675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2m*5cm*1.3mm </w:t>
            </w:r>
          </w:p>
          <w:p w14:paraId="760647C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3.5m*5cm*1.5mm </w:t>
            </w:r>
          </w:p>
          <w:p w14:paraId="71727D0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2.08m*2.5cm*1mm </w:t>
            </w:r>
          </w:p>
          <w:p w14:paraId="30DADC5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2m*7.5cm*1.5mm </w:t>
            </w:r>
          </w:p>
          <w:p w14:paraId="2A02E86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2m*5cm*1.5mm</w:t>
            </w:r>
          </w:p>
        </w:tc>
        <w:tc>
          <w:tcPr>
            <w:tcW w:w="627" w:type="dxa"/>
            <w:shd w:val="clear" w:color="auto" w:fill="auto"/>
            <w:noWrap/>
            <w:vAlign w:val="center"/>
          </w:tcPr>
          <w:p w14:paraId="495ABF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w:t>
            </w:r>
          </w:p>
        </w:tc>
        <w:tc>
          <w:tcPr>
            <w:tcW w:w="519" w:type="dxa"/>
            <w:shd w:val="clear" w:color="auto" w:fill="auto"/>
            <w:noWrap/>
            <w:vAlign w:val="center"/>
          </w:tcPr>
          <w:p w14:paraId="25D30C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745" w:type="dxa"/>
            <w:shd w:val="clear" w:color="auto" w:fill="auto"/>
            <w:noWrap/>
            <w:vAlign w:val="center"/>
          </w:tcPr>
          <w:p w14:paraId="6839D8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900</w:t>
            </w:r>
          </w:p>
        </w:tc>
        <w:tc>
          <w:tcPr>
            <w:tcW w:w="518" w:type="dxa"/>
            <w:shd w:val="clear" w:color="auto" w:fill="auto"/>
            <w:vAlign w:val="center"/>
          </w:tcPr>
          <w:p w14:paraId="716C9E2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1E48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5048AA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w:t>
            </w:r>
          </w:p>
        </w:tc>
        <w:tc>
          <w:tcPr>
            <w:tcW w:w="588" w:type="dxa"/>
            <w:shd w:val="clear" w:color="auto" w:fill="auto"/>
            <w:vAlign w:val="center"/>
          </w:tcPr>
          <w:p w14:paraId="3E1E80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中医康复套装</w:t>
            </w:r>
          </w:p>
        </w:tc>
        <w:tc>
          <w:tcPr>
            <w:tcW w:w="5723" w:type="dxa"/>
            <w:shd w:val="clear" w:color="auto" w:fill="auto"/>
            <w:vAlign w:val="center"/>
          </w:tcPr>
          <w:p w14:paraId="34F1CAE1">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中医康复套装：包含</w:t>
            </w:r>
            <w:r>
              <w:rPr>
                <w:rFonts w:hint="eastAsia" w:ascii="宋体" w:hAnsi="宋体" w:eastAsia="宋体" w:cs="宋体"/>
                <w:color w:val="000000"/>
                <w:sz w:val="21"/>
                <w:szCs w:val="21"/>
                <w:highlight w:val="none"/>
                <w:lang w:bidi="ar"/>
              </w:rPr>
              <w:t>艾灸刮痧</w:t>
            </w:r>
            <w:r>
              <w:rPr>
                <w:rFonts w:hint="eastAsia" w:ascii="宋体" w:hAnsi="宋体" w:eastAsia="宋体" w:cs="宋体"/>
                <w:color w:val="000000"/>
                <w:sz w:val="21"/>
                <w:szCs w:val="21"/>
                <w:highlight w:val="none"/>
                <w:lang w:val="en-US" w:eastAsia="zh-CN" w:bidi="ar"/>
              </w:rPr>
              <w:t>工具1套</w:t>
            </w: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val="en-US" w:eastAsia="zh-CN" w:bidi="ar"/>
              </w:rPr>
              <w:t>中医</w:t>
            </w:r>
            <w:r>
              <w:rPr>
                <w:rFonts w:hint="eastAsia" w:ascii="宋体" w:hAnsi="宋体" w:eastAsia="宋体" w:cs="宋体"/>
                <w:color w:val="000000"/>
                <w:sz w:val="21"/>
                <w:szCs w:val="21"/>
                <w:highlight w:val="none"/>
                <w:lang w:bidi="ar"/>
              </w:rPr>
              <w:t>拔罐</w:t>
            </w:r>
            <w:r>
              <w:rPr>
                <w:rFonts w:hint="eastAsia" w:ascii="宋体" w:hAnsi="宋体" w:eastAsia="宋体" w:cs="宋体"/>
                <w:color w:val="000000"/>
                <w:sz w:val="21"/>
                <w:szCs w:val="21"/>
                <w:highlight w:val="none"/>
                <w:lang w:val="en-US" w:eastAsia="zh-CN" w:bidi="ar"/>
              </w:rPr>
              <w:t>套装1套</w:t>
            </w:r>
            <w:r>
              <w:rPr>
                <w:rFonts w:hint="eastAsia" w:ascii="宋体" w:hAnsi="宋体" w:eastAsia="宋体" w:cs="宋体"/>
                <w:color w:val="000000"/>
                <w:sz w:val="21"/>
                <w:szCs w:val="21"/>
                <w:highlight w:val="none"/>
                <w:lang w:eastAsia="zh-CN" w:bidi="ar"/>
              </w:rPr>
              <w:t>、针灸</w:t>
            </w:r>
            <w:r>
              <w:rPr>
                <w:rFonts w:hint="eastAsia" w:ascii="宋体" w:hAnsi="宋体" w:eastAsia="宋体" w:cs="宋体"/>
                <w:color w:val="000000"/>
                <w:sz w:val="21"/>
                <w:szCs w:val="21"/>
                <w:highlight w:val="none"/>
                <w:lang w:val="en-US" w:eastAsia="zh-CN" w:bidi="ar"/>
              </w:rPr>
              <w:t>套装1套</w:t>
            </w:r>
            <w:r>
              <w:rPr>
                <w:rFonts w:hint="eastAsia" w:ascii="宋体" w:hAnsi="宋体" w:eastAsia="宋体" w:cs="宋体"/>
                <w:color w:val="000000"/>
                <w:sz w:val="21"/>
                <w:szCs w:val="21"/>
                <w:highlight w:val="none"/>
                <w:lang w:eastAsia="zh-CN" w:bidi="ar"/>
              </w:rPr>
              <w:t>、针灸模型假人</w:t>
            </w:r>
            <w:r>
              <w:rPr>
                <w:rFonts w:hint="eastAsia" w:ascii="宋体" w:hAnsi="宋体" w:eastAsia="宋体" w:cs="宋体"/>
                <w:color w:val="000000"/>
                <w:sz w:val="21"/>
                <w:szCs w:val="21"/>
                <w:highlight w:val="none"/>
                <w:lang w:val="en-US" w:eastAsia="zh-CN" w:bidi="ar"/>
              </w:rPr>
              <w:t>1套</w:t>
            </w:r>
          </w:p>
          <w:p w14:paraId="025E5448">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艾灸刮痧</w:t>
            </w:r>
            <w:r>
              <w:rPr>
                <w:rFonts w:hint="eastAsia" w:ascii="宋体" w:hAnsi="宋体" w:eastAsia="宋体" w:cs="宋体"/>
                <w:color w:val="000000"/>
                <w:sz w:val="21"/>
                <w:szCs w:val="21"/>
                <w:highlight w:val="none"/>
                <w:lang w:val="en-US" w:eastAsia="zh-CN" w:bidi="ar"/>
              </w:rPr>
              <w:t>工具参数：包含刮痧灸筒、艾灸筒、精油</w:t>
            </w:r>
          </w:p>
          <w:p w14:paraId="1BD68B4F">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中医</w:t>
            </w:r>
            <w:r>
              <w:rPr>
                <w:rFonts w:hint="eastAsia" w:ascii="宋体" w:hAnsi="宋体" w:eastAsia="宋体" w:cs="宋体"/>
                <w:color w:val="000000"/>
                <w:sz w:val="21"/>
                <w:szCs w:val="21"/>
                <w:highlight w:val="none"/>
                <w:lang w:bidi="ar"/>
              </w:rPr>
              <w:t>拔罐</w:t>
            </w:r>
            <w:r>
              <w:rPr>
                <w:rFonts w:hint="eastAsia" w:ascii="宋体" w:hAnsi="宋体" w:eastAsia="宋体" w:cs="宋体"/>
                <w:color w:val="000000"/>
                <w:sz w:val="21"/>
                <w:szCs w:val="21"/>
                <w:highlight w:val="none"/>
                <w:lang w:val="en-US" w:eastAsia="zh-CN" w:bidi="ar"/>
              </w:rPr>
              <w:t>套装参数：含24个玻璃罐体，抗压防爆</w:t>
            </w:r>
          </w:p>
          <w:p w14:paraId="10DAD18C">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针灸</w:t>
            </w:r>
            <w:r>
              <w:rPr>
                <w:rFonts w:hint="eastAsia" w:ascii="宋体" w:hAnsi="宋体" w:eastAsia="宋体" w:cs="宋体"/>
                <w:color w:val="000000"/>
                <w:sz w:val="21"/>
                <w:szCs w:val="21"/>
                <w:highlight w:val="none"/>
                <w:lang w:val="en-US" w:eastAsia="zh-CN" w:bidi="ar"/>
              </w:rPr>
              <w:t>套装参数：包含皮肤针、掀针、电针掀针、皮内针、元利针、痧刀、持针镊、消毒棉盒、三棱针等</w:t>
            </w:r>
          </w:p>
          <w:p w14:paraId="2A882001">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针灸模型假人</w:t>
            </w:r>
            <w:r>
              <w:rPr>
                <w:rFonts w:hint="eastAsia" w:ascii="宋体" w:hAnsi="宋体" w:eastAsia="宋体" w:cs="宋体"/>
                <w:color w:val="000000"/>
                <w:sz w:val="21"/>
                <w:szCs w:val="21"/>
                <w:highlight w:val="none"/>
                <w:lang w:val="en-US" w:eastAsia="zh-CN" w:bidi="ar"/>
              </w:rPr>
              <w:t>参数：模型一套含男女各一套，具备至少360个经络穴位和48个经外穴位。软硬质地可选，支持360°旋转，自由关节可拆卸。</w:t>
            </w:r>
          </w:p>
        </w:tc>
        <w:tc>
          <w:tcPr>
            <w:tcW w:w="627" w:type="dxa"/>
            <w:shd w:val="clear" w:color="auto" w:fill="auto"/>
            <w:noWrap/>
            <w:vAlign w:val="center"/>
          </w:tcPr>
          <w:p w14:paraId="5D8C6F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w:t>
            </w:r>
          </w:p>
        </w:tc>
        <w:tc>
          <w:tcPr>
            <w:tcW w:w="519" w:type="dxa"/>
            <w:shd w:val="clear" w:color="auto" w:fill="auto"/>
            <w:noWrap/>
            <w:vAlign w:val="center"/>
          </w:tcPr>
          <w:p w14:paraId="2E3751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5181AF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w:t>
            </w:r>
          </w:p>
        </w:tc>
        <w:tc>
          <w:tcPr>
            <w:tcW w:w="518" w:type="dxa"/>
            <w:shd w:val="clear" w:color="auto" w:fill="auto"/>
            <w:vAlign w:val="center"/>
          </w:tcPr>
          <w:p w14:paraId="5C37446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0852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28DBDA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w:t>
            </w:r>
          </w:p>
        </w:tc>
        <w:tc>
          <w:tcPr>
            <w:tcW w:w="588" w:type="dxa"/>
            <w:shd w:val="clear" w:color="auto" w:fill="auto"/>
            <w:vAlign w:val="center"/>
          </w:tcPr>
          <w:p w14:paraId="733F6A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心肺复苏半身模拟人</w:t>
            </w:r>
          </w:p>
        </w:tc>
        <w:tc>
          <w:tcPr>
            <w:tcW w:w="5723" w:type="dxa"/>
            <w:shd w:val="clear" w:color="auto" w:fill="auto"/>
            <w:vAlign w:val="center"/>
          </w:tcPr>
          <w:p w14:paraId="20C5BE2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半身心肺复苏人体模型</w:t>
            </w:r>
            <w:r>
              <w:rPr>
                <w:rFonts w:hint="eastAsia" w:ascii="宋体" w:hAnsi="宋体" w:eastAsia="宋体" w:cs="宋体"/>
                <w:color w:val="000000"/>
                <w:sz w:val="21"/>
                <w:szCs w:val="21"/>
                <w:highlight w:val="none"/>
                <w:lang w:val="en-US" w:eastAsia="zh-CN" w:bidi="ar"/>
              </w:rPr>
              <w:t>产品配置：</w:t>
            </w:r>
          </w:p>
          <w:p w14:paraId="4C1B5FF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具高级豪华超厚牛津袋</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只2020操作指南光盘</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张可更换肺袋</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4个可更换脸皮</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张面膜</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1盒操作垫</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个急救手册</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本使用说明书</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本保修卡</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 xml:space="preserve">套合格证 </w:t>
            </w:r>
          </w:p>
          <w:p w14:paraId="4FE9D18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2、</w:t>
            </w:r>
            <w:r>
              <w:rPr>
                <w:rFonts w:hint="eastAsia" w:ascii="宋体" w:hAnsi="宋体" w:eastAsia="宋体" w:cs="宋体"/>
                <w:color w:val="000000"/>
                <w:sz w:val="21"/>
                <w:szCs w:val="21"/>
                <w:highlight w:val="none"/>
                <w:lang w:bidi="ar"/>
              </w:rPr>
              <w:t>外箱尺寸</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74*36*26cm</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重量</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8kg</w:t>
            </w:r>
          </w:p>
        </w:tc>
        <w:tc>
          <w:tcPr>
            <w:tcW w:w="627" w:type="dxa"/>
            <w:shd w:val="clear" w:color="auto" w:fill="auto"/>
            <w:noWrap/>
            <w:vAlign w:val="center"/>
          </w:tcPr>
          <w:p w14:paraId="043B72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w:t>
            </w:r>
          </w:p>
        </w:tc>
        <w:tc>
          <w:tcPr>
            <w:tcW w:w="519" w:type="dxa"/>
            <w:shd w:val="clear" w:color="auto" w:fill="auto"/>
            <w:noWrap/>
            <w:vAlign w:val="center"/>
          </w:tcPr>
          <w:p w14:paraId="32AAB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745" w:type="dxa"/>
            <w:shd w:val="clear" w:color="auto" w:fill="auto"/>
            <w:noWrap/>
            <w:vAlign w:val="center"/>
          </w:tcPr>
          <w:p w14:paraId="4606F5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w:t>
            </w:r>
          </w:p>
        </w:tc>
        <w:tc>
          <w:tcPr>
            <w:tcW w:w="518" w:type="dxa"/>
            <w:shd w:val="clear" w:color="auto" w:fill="auto"/>
            <w:vAlign w:val="center"/>
          </w:tcPr>
          <w:p w14:paraId="4216579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3CC1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470E6A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w:t>
            </w:r>
          </w:p>
        </w:tc>
        <w:tc>
          <w:tcPr>
            <w:tcW w:w="588" w:type="dxa"/>
            <w:shd w:val="clear" w:color="auto" w:fill="auto"/>
            <w:vAlign w:val="center"/>
          </w:tcPr>
          <w:p w14:paraId="74E751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脊柱固定板</w:t>
            </w:r>
          </w:p>
        </w:tc>
        <w:tc>
          <w:tcPr>
            <w:tcW w:w="5723" w:type="dxa"/>
            <w:shd w:val="clear" w:color="auto" w:fill="auto"/>
            <w:vAlign w:val="center"/>
          </w:tcPr>
          <w:p w14:paraId="334F05CB">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产品规格：产品尺寸：162*44.5*7cm；折叠尺寸≤120*44.5*7cm；净重≤7kg</w:t>
            </w:r>
          </w:p>
          <w:p w14:paraId="764E016A">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采用分离型结构，可折叠，具备可松安全带和头部固定器</w:t>
            </w:r>
          </w:p>
          <w:p w14:paraId="17308B52">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承重：≤159kg</w:t>
            </w:r>
          </w:p>
        </w:tc>
        <w:tc>
          <w:tcPr>
            <w:tcW w:w="627" w:type="dxa"/>
            <w:shd w:val="clear" w:color="auto" w:fill="auto"/>
            <w:noWrap/>
            <w:vAlign w:val="center"/>
          </w:tcPr>
          <w:p w14:paraId="2C90A8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w:t>
            </w:r>
          </w:p>
        </w:tc>
        <w:tc>
          <w:tcPr>
            <w:tcW w:w="519" w:type="dxa"/>
            <w:shd w:val="clear" w:color="auto" w:fill="auto"/>
            <w:noWrap/>
            <w:vAlign w:val="center"/>
          </w:tcPr>
          <w:p w14:paraId="71B610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578130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w:t>
            </w:r>
          </w:p>
        </w:tc>
        <w:tc>
          <w:tcPr>
            <w:tcW w:w="518" w:type="dxa"/>
            <w:shd w:val="clear" w:color="auto" w:fill="auto"/>
            <w:vAlign w:val="center"/>
          </w:tcPr>
          <w:p w14:paraId="056A50E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3B6F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5" w:hRule="atLeast"/>
          <w:jc w:val="center"/>
        </w:trPr>
        <w:tc>
          <w:tcPr>
            <w:tcW w:w="340" w:type="dxa"/>
            <w:shd w:val="clear" w:color="auto" w:fill="auto"/>
            <w:vAlign w:val="center"/>
          </w:tcPr>
          <w:p w14:paraId="2E2EB1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17</w:t>
            </w:r>
          </w:p>
        </w:tc>
        <w:tc>
          <w:tcPr>
            <w:tcW w:w="588" w:type="dxa"/>
            <w:shd w:val="clear" w:color="auto" w:fill="auto"/>
            <w:vAlign w:val="center"/>
          </w:tcPr>
          <w:p w14:paraId="3D5154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自动体外除颤器（AED）教学机</w:t>
            </w:r>
          </w:p>
        </w:tc>
        <w:tc>
          <w:tcPr>
            <w:tcW w:w="5723" w:type="dxa"/>
            <w:shd w:val="clear" w:color="auto" w:fill="auto"/>
            <w:vAlign w:val="center"/>
          </w:tcPr>
          <w:p w14:paraId="37A348A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eastAsia="zh-CN" w:bidi="ar"/>
              </w:rPr>
              <w:t>培训机仿制真正除颤仪主机、显示窗口与真正 AED 的外型、尺寸操作方法一致，培训机本身没有电流输出，但可模拟真正 AED 的各项操作，并可根据客户要求调节成多种急救过程， 供培训使用，</w:t>
            </w:r>
            <w:r>
              <w:rPr>
                <w:rFonts w:hint="eastAsia" w:ascii="宋体" w:hAnsi="宋体" w:eastAsia="宋体" w:cs="宋体"/>
                <w:color w:val="000000"/>
                <w:sz w:val="21"/>
                <w:szCs w:val="21"/>
                <w:highlight w:val="none"/>
                <w:lang w:val="en-US" w:eastAsia="zh-CN" w:bidi="ar"/>
              </w:rPr>
              <w:t>具备≥</w:t>
            </w:r>
            <w:r>
              <w:rPr>
                <w:rFonts w:hint="eastAsia" w:ascii="宋体" w:hAnsi="宋体" w:eastAsia="宋体" w:cs="宋体"/>
                <w:color w:val="000000"/>
                <w:sz w:val="21"/>
                <w:szCs w:val="21"/>
                <w:highlight w:val="none"/>
                <w:lang w:eastAsia="zh-CN" w:bidi="ar"/>
              </w:rPr>
              <w:t>3.5 寸 LCD 彩屏显示，多语言可选，可灵活切换语言，更换程序，提供中英文双语语音提示，侧方可快速切换中英文；</w:t>
            </w:r>
          </w:p>
          <w:p w14:paraId="181503E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2、支持</w:t>
            </w:r>
            <w:r>
              <w:rPr>
                <w:rFonts w:hint="eastAsia" w:ascii="宋体" w:hAnsi="宋体" w:eastAsia="宋体" w:cs="宋体"/>
                <w:color w:val="000000"/>
                <w:sz w:val="21"/>
                <w:szCs w:val="21"/>
                <w:highlight w:val="none"/>
                <w:lang w:eastAsia="zh-CN" w:bidi="ar"/>
              </w:rPr>
              <w:t xml:space="preserve">通过无线红外线方式与主机之间传输指令设备；具有 </w:t>
            </w:r>
            <w:r>
              <w:rPr>
                <w:rFonts w:hint="eastAsia" w:ascii="宋体" w:hAnsi="宋体" w:eastAsia="宋体" w:cs="宋体"/>
                <w:color w:val="000000"/>
                <w:sz w:val="21"/>
                <w:szCs w:val="21"/>
                <w:highlight w:val="none"/>
                <w:lang w:val="en-US" w:eastAsia="zh-CN" w:bidi="ar"/>
              </w:rPr>
              <w:t>至少</w:t>
            </w:r>
            <w:r>
              <w:rPr>
                <w:rFonts w:hint="eastAsia" w:ascii="宋体" w:hAnsi="宋体" w:eastAsia="宋体" w:cs="宋体"/>
                <w:color w:val="000000"/>
                <w:sz w:val="21"/>
                <w:szCs w:val="21"/>
                <w:highlight w:val="none"/>
                <w:lang w:eastAsia="zh-CN" w:bidi="ar"/>
              </w:rPr>
              <w:t xml:space="preserve">6 种基本训练场景及 </w:t>
            </w:r>
            <w:r>
              <w:rPr>
                <w:rFonts w:hint="eastAsia" w:ascii="宋体" w:hAnsi="宋体" w:eastAsia="宋体" w:cs="宋体"/>
                <w:color w:val="000000"/>
                <w:sz w:val="21"/>
                <w:szCs w:val="21"/>
                <w:highlight w:val="none"/>
                <w:lang w:val="en-US" w:eastAsia="zh-CN" w:bidi="ar"/>
              </w:rPr>
              <w:t>不少于</w:t>
            </w:r>
            <w:r>
              <w:rPr>
                <w:rFonts w:hint="eastAsia" w:ascii="宋体" w:hAnsi="宋体" w:eastAsia="宋体" w:cs="宋体"/>
                <w:color w:val="000000"/>
                <w:sz w:val="21"/>
                <w:szCs w:val="21"/>
                <w:highlight w:val="none"/>
                <w:lang w:eastAsia="zh-CN" w:bidi="ar"/>
              </w:rPr>
              <w:t>4 种可选的模拟训练模式；具备便携把手，具备高便携性</w:t>
            </w:r>
          </w:p>
          <w:p w14:paraId="66B1296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eastAsia="zh-CN" w:bidi="ar"/>
              </w:rPr>
              <w:t xml:space="preserve">整机重量（含电池）≤1.85Kg；尺寸≤26cm x23cm x 5 cm </w:t>
            </w:r>
          </w:p>
          <w:p w14:paraId="121AAD9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eastAsia="zh-CN" w:bidi="ar"/>
              </w:rPr>
              <w:t xml:space="preserve">最大工作电流：≤400mA ；关机电流：≤10uA </w:t>
            </w:r>
          </w:p>
          <w:p w14:paraId="5D9EF9A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eastAsia="zh-CN" w:bidi="ar"/>
              </w:rPr>
              <w:t xml:space="preserve">电极片：支持成人小儿电极片使用；电极片上具有电极片粘贴方式示意图 </w:t>
            </w:r>
          </w:p>
          <w:p w14:paraId="6513ED6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eastAsia="zh-CN" w:bidi="ar"/>
              </w:rPr>
              <w:t xml:space="preserve">电极片可重复使用、可更换，要求线缆不换，仅仅换电极片，节约用户成本 </w:t>
            </w:r>
          </w:p>
          <w:p w14:paraId="6776F4B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7、</w:t>
            </w:r>
            <w:r>
              <w:rPr>
                <w:rFonts w:hint="eastAsia" w:ascii="宋体" w:hAnsi="宋体" w:eastAsia="宋体" w:cs="宋体"/>
                <w:color w:val="000000"/>
                <w:sz w:val="21"/>
                <w:szCs w:val="21"/>
                <w:highlight w:val="none"/>
                <w:lang w:eastAsia="zh-CN" w:bidi="ar"/>
              </w:rPr>
              <w:t xml:space="preserve">按钮选择功能须具有模拟：电极片接好模式、建议电击模式（可电击节律）、电极片未接好模式、无电击模式（正常节律）等功能 </w:t>
            </w:r>
          </w:p>
          <w:p w14:paraId="5050529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8支持</w:t>
            </w:r>
            <w:r>
              <w:rPr>
                <w:rFonts w:hint="eastAsia" w:ascii="宋体" w:hAnsi="宋体" w:eastAsia="宋体" w:cs="宋体"/>
                <w:color w:val="000000"/>
                <w:sz w:val="21"/>
                <w:szCs w:val="21"/>
                <w:highlight w:val="none"/>
                <w:lang w:eastAsia="zh-CN" w:bidi="ar"/>
              </w:rPr>
              <w:t xml:space="preserve">遥控训练机播放/停止播放动画，可近距离遥控多台培训机，同时支持半自动 </w:t>
            </w:r>
          </w:p>
          <w:p w14:paraId="7A1711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9、</w:t>
            </w:r>
            <w:r>
              <w:rPr>
                <w:rFonts w:hint="eastAsia" w:ascii="宋体" w:hAnsi="宋体" w:eastAsia="宋体" w:cs="宋体"/>
                <w:color w:val="000000"/>
                <w:sz w:val="21"/>
                <w:szCs w:val="21"/>
                <w:highlight w:val="none"/>
                <w:lang w:eastAsia="zh-CN" w:bidi="ar"/>
              </w:rPr>
              <w:t>训练机可设置 CPR 模式及节奏音；</w:t>
            </w:r>
          </w:p>
          <w:p w14:paraId="54FB63A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10、</w:t>
            </w:r>
            <w:r>
              <w:rPr>
                <w:rFonts w:hint="eastAsia" w:ascii="宋体" w:hAnsi="宋体" w:eastAsia="宋体" w:cs="宋体"/>
                <w:color w:val="000000"/>
                <w:sz w:val="21"/>
                <w:szCs w:val="21"/>
                <w:highlight w:val="none"/>
                <w:lang w:eastAsia="zh-CN" w:bidi="ar"/>
              </w:rPr>
              <w:t>产品配置：主机 1 台、遥控器 1 个、电极线 1 条、可重复使用成人电极片 1 对、儿童电极片 1 对、说明书 1</w:t>
            </w:r>
            <w:r>
              <w:rPr>
                <w:rFonts w:hint="eastAsia" w:ascii="宋体" w:hAnsi="宋体" w:eastAsia="宋体" w:cs="宋体"/>
                <w:color w:val="000000"/>
                <w:sz w:val="21"/>
                <w:szCs w:val="21"/>
                <w:highlight w:val="none"/>
                <w:lang w:val="en-US" w:eastAsia="zh-CN" w:bidi="ar"/>
              </w:rPr>
              <w:t>本</w:t>
            </w:r>
          </w:p>
        </w:tc>
        <w:tc>
          <w:tcPr>
            <w:tcW w:w="627" w:type="dxa"/>
            <w:shd w:val="clear" w:color="auto" w:fill="auto"/>
            <w:noWrap/>
            <w:vAlign w:val="center"/>
          </w:tcPr>
          <w:p w14:paraId="3CB92E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w:t>
            </w:r>
          </w:p>
        </w:tc>
        <w:tc>
          <w:tcPr>
            <w:tcW w:w="519" w:type="dxa"/>
            <w:shd w:val="clear" w:color="auto" w:fill="auto"/>
            <w:noWrap/>
            <w:vAlign w:val="center"/>
          </w:tcPr>
          <w:p w14:paraId="6D3232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745" w:type="dxa"/>
            <w:shd w:val="clear" w:color="auto" w:fill="auto"/>
            <w:noWrap/>
            <w:vAlign w:val="center"/>
          </w:tcPr>
          <w:p w14:paraId="60DCF7E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w:t>
            </w:r>
          </w:p>
        </w:tc>
        <w:tc>
          <w:tcPr>
            <w:tcW w:w="518" w:type="dxa"/>
            <w:shd w:val="clear" w:color="auto" w:fill="auto"/>
            <w:vAlign w:val="center"/>
          </w:tcPr>
          <w:p w14:paraId="6600F5C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00F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340" w:type="dxa"/>
            <w:shd w:val="clear" w:color="auto" w:fill="auto"/>
            <w:vAlign w:val="center"/>
          </w:tcPr>
          <w:p w14:paraId="1FD229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18</w:t>
            </w:r>
          </w:p>
        </w:tc>
        <w:tc>
          <w:tcPr>
            <w:tcW w:w="588" w:type="dxa"/>
            <w:shd w:val="clear" w:color="auto" w:fill="auto"/>
            <w:vAlign w:val="center"/>
          </w:tcPr>
          <w:p w14:paraId="24917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急救实训包</w:t>
            </w:r>
          </w:p>
        </w:tc>
        <w:tc>
          <w:tcPr>
            <w:tcW w:w="5723" w:type="dxa"/>
            <w:shd w:val="clear" w:color="auto" w:fill="auto"/>
            <w:vAlign w:val="center"/>
          </w:tcPr>
          <w:p w14:paraId="6E285F5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1、急救实训包：包含医用无菌纱布、弹力绷带、自粘绷带、三角巾、止血带，各60份。</w:t>
            </w:r>
          </w:p>
          <w:p w14:paraId="5409025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2、医用无菌纱布规格：5片/份，每份独立包装，亲肤透气</w:t>
            </w:r>
          </w:p>
          <w:p w14:paraId="32E4A24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3、弹力绷带规格：10卷/份，使用面积≥7.5*450cm</w:t>
            </w:r>
          </w:p>
          <w:p w14:paraId="4A9A964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4、自粘绷带规格：10卷/份，使用面积≥2.5*450cm</w:t>
            </w:r>
          </w:p>
          <w:p w14:paraId="3D60B72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5、三角绷带规格：2包/份，独立包装纱布材质，尺寸≥96*96*136cm</w:t>
            </w:r>
          </w:p>
          <w:p w14:paraId="24C3692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6、止血带：1条/份，独立包装可重复使用，卡扣设计长度可调节</w:t>
            </w:r>
          </w:p>
        </w:tc>
        <w:tc>
          <w:tcPr>
            <w:tcW w:w="627" w:type="dxa"/>
            <w:shd w:val="clear" w:color="auto" w:fill="auto"/>
            <w:noWrap/>
            <w:vAlign w:val="center"/>
          </w:tcPr>
          <w:p w14:paraId="4461A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4740</w:t>
            </w:r>
          </w:p>
        </w:tc>
        <w:tc>
          <w:tcPr>
            <w:tcW w:w="519" w:type="dxa"/>
            <w:shd w:val="clear" w:color="auto" w:fill="auto"/>
            <w:noWrap/>
            <w:vAlign w:val="center"/>
          </w:tcPr>
          <w:p w14:paraId="70B569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26233E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4740</w:t>
            </w:r>
          </w:p>
        </w:tc>
        <w:tc>
          <w:tcPr>
            <w:tcW w:w="518" w:type="dxa"/>
            <w:shd w:val="clear" w:color="auto" w:fill="auto"/>
            <w:vAlign w:val="center"/>
          </w:tcPr>
          <w:p w14:paraId="0884BC2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289B6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340" w:type="dxa"/>
            <w:shd w:val="clear" w:color="auto" w:fill="auto"/>
            <w:vAlign w:val="center"/>
          </w:tcPr>
          <w:p w14:paraId="42BF43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w:t>
            </w:r>
          </w:p>
        </w:tc>
        <w:tc>
          <w:tcPr>
            <w:tcW w:w="588" w:type="dxa"/>
            <w:shd w:val="clear" w:color="auto" w:fill="auto"/>
            <w:vAlign w:val="center"/>
          </w:tcPr>
          <w:p w14:paraId="0E9F6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运动康复实训包</w:t>
            </w:r>
          </w:p>
        </w:tc>
        <w:tc>
          <w:tcPr>
            <w:tcW w:w="5723" w:type="dxa"/>
            <w:shd w:val="clear" w:color="auto" w:fill="auto"/>
            <w:vAlign w:val="center"/>
          </w:tcPr>
          <w:p w14:paraId="1A3DDD2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i w:val="0"/>
                <w:iCs w:val="0"/>
                <w:color w:val="000000"/>
                <w:kern w:val="0"/>
                <w:sz w:val="21"/>
                <w:szCs w:val="21"/>
                <w:highlight w:val="none"/>
                <w:u w:val="none"/>
                <w:lang w:val="en-US" w:eastAsia="zh-CN" w:bidi="ar"/>
              </w:rPr>
              <w:t>1、运动康复实训包：包含20瓶专业运动员</w:t>
            </w:r>
            <w:r>
              <w:rPr>
                <w:rFonts w:hint="eastAsia" w:ascii="宋体" w:hAnsi="宋体" w:eastAsia="宋体" w:cs="宋体"/>
                <w:color w:val="000000"/>
                <w:sz w:val="21"/>
                <w:szCs w:val="21"/>
                <w:highlight w:val="none"/>
                <w:lang w:bidi="ar"/>
              </w:rPr>
              <w:t>冷喷剂</w:t>
            </w:r>
            <w:r>
              <w:rPr>
                <w:rFonts w:hint="eastAsia" w:ascii="宋体" w:hAnsi="宋体" w:eastAsia="宋体" w:cs="宋体"/>
                <w:color w:val="000000"/>
                <w:sz w:val="21"/>
                <w:szCs w:val="21"/>
                <w:highlight w:val="none"/>
                <w:lang w:eastAsia="zh-CN" w:bidi="ar"/>
              </w:rPr>
              <w:t>、100</w:t>
            </w:r>
            <w:r>
              <w:rPr>
                <w:rFonts w:hint="eastAsia" w:ascii="宋体" w:hAnsi="宋体" w:eastAsia="宋体" w:cs="宋体"/>
                <w:color w:val="000000"/>
                <w:sz w:val="21"/>
                <w:szCs w:val="21"/>
                <w:highlight w:val="none"/>
                <w:lang w:val="en-US" w:eastAsia="zh-CN" w:bidi="ar"/>
              </w:rPr>
              <w:t>份</w:t>
            </w:r>
            <w:r>
              <w:rPr>
                <w:rFonts w:hint="eastAsia" w:ascii="宋体" w:hAnsi="宋体" w:eastAsia="宋体" w:cs="宋体"/>
                <w:color w:val="000000"/>
                <w:sz w:val="21"/>
                <w:szCs w:val="21"/>
                <w:highlight w:val="none"/>
                <w:lang w:eastAsia="zh-CN" w:bidi="ar"/>
              </w:rPr>
              <w:t>肌肉内效贴、</w:t>
            </w:r>
            <w:r>
              <w:rPr>
                <w:rFonts w:hint="eastAsia" w:ascii="宋体" w:hAnsi="宋体" w:eastAsia="宋体" w:cs="宋体"/>
                <w:color w:val="000000"/>
                <w:sz w:val="21"/>
                <w:szCs w:val="21"/>
                <w:highlight w:val="none"/>
                <w:lang w:val="en-US" w:eastAsia="zh-CN" w:bidi="ar"/>
              </w:rPr>
              <w:t>100份</w:t>
            </w:r>
            <w:r>
              <w:rPr>
                <w:rFonts w:hint="eastAsia" w:ascii="宋体" w:hAnsi="宋体" w:eastAsia="宋体" w:cs="宋体"/>
                <w:color w:val="000000"/>
                <w:sz w:val="21"/>
                <w:szCs w:val="21"/>
                <w:highlight w:val="none"/>
                <w:lang w:eastAsia="zh-CN" w:bidi="ar"/>
              </w:rPr>
              <w:t>白贴、</w:t>
            </w:r>
            <w:r>
              <w:rPr>
                <w:rFonts w:hint="eastAsia" w:ascii="宋体" w:hAnsi="宋体" w:eastAsia="宋体" w:cs="宋体"/>
                <w:color w:val="000000"/>
                <w:sz w:val="21"/>
                <w:szCs w:val="21"/>
                <w:highlight w:val="none"/>
                <w:lang w:val="en-US" w:eastAsia="zh-CN" w:bidi="ar"/>
              </w:rPr>
              <w:t>100份</w:t>
            </w:r>
            <w:r>
              <w:rPr>
                <w:rFonts w:hint="eastAsia" w:ascii="宋体" w:hAnsi="宋体" w:eastAsia="宋体" w:cs="宋体"/>
                <w:color w:val="000000"/>
                <w:sz w:val="21"/>
                <w:szCs w:val="21"/>
                <w:highlight w:val="none"/>
                <w:lang w:eastAsia="zh-CN" w:bidi="ar"/>
              </w:rPr>
              <w:t>皮肤膜、</w:t>
            </w:r>
            <w:r>
              <w:rPr>
                <w:rFonts w:hint="eastAsia" w:ascii="宋体" w:hAnsi="宋体" w:eastAsia="宋体" w:cs="宋体"/>
                <w:color w:val="000000"/>
                <w:sz w:val="21"/>
                <w:szCs w:val="21"/>
                <w:highlight w:val="none"/>
                <w:lang w:val="en-US" w:eastAsia="zh-CN" w:bidi="ar"/>
              </w:rPr>
              <w:t>100份</w:t>
            </w:r>
            <w:r>
              <w:rPr>
                <w:rFonts w:hint="eastAsia" w:ascii="宋体" w:hAnsi="宋体" w:eastAsia="宋体" w:cs="宋体"/>
                <w:color w:val="000000"/>
                <w:sz w:val="21"/>
                <w:szCs w:val="21"/>
                <w:highlight w:val="none"/>
                <w:lang w:eastAsia="zh-CN" w:bidi="ar"/>
              </w:rPr>
              <w:t>重型弹性贴布、</w:t>
            </w:r>
            <w:r>
              <w:rPr>
                <w:rFonts w:hint="eastAsia" w:ascii="宋体" w:hAnsi="宋体" w:eastAsia="宋体" w:cs="宋体"/>
                <w:color w:val="000000"/>
                <w:sz w:val="21"/>
                <w:szCs w:val="21"/>
                <w:highlight w:val="none"/>
                <w:lang w:val="en-US" w:eastAsia="zh-CN" w:bidi="ar"/>
              </w:rPr>
              <w:t>30把</w:t>
            </w:r>
            <w:r>
              <w:rPr>
                <w:rFonts w:hint="eastAsia" w:ascii="宋体" w:hAnsi="宋体" w:eastAsia="宋体" w:cs="宋体"/>
                <w:color w:val="000000"/>
                <w:sz w:val="21"/>
                <w:szCs w:val="21"/>
                <w:highlight w:val="none"/>
                <w:lang w:eastAsia="zh-CN" w:bidi="ar"/>
              </w:rPr>
              <w:t>肌贴剪、</w:t>
            </w:r>
            <w:r>
              <w:rPr>
                <w:rFonts w:hint="eastAsia" w:ascii="宋体" w:hAnsi="宋体" w:eastAsia="宋体" w:cs="宋体"/>
                <w:color w:val="000000"/>
                <w:sz w:val="21"/>
                <w:szCs w:val="21"/>
                <w:highlight w:val="none"/>
                <w:lang w:val="en-US" w:eastAsia="zh-CN" w:bidi="ar"/>
              </w:rPr>
              <w:t>10把</w:t>
            </w:r>
            <w:r>
              <w:rPr>
                <w:rFonts w:hint="eastAsia" w:ascii="宋体" w:hAnsi="宋体" w:eastAsia="宋体" w:cs="宋体"/>
                <w:color w:val="000000"/>
                <w:sz w:val="21"/>
                <w:szCs w:val="21"/>
                <w:highlight w:val="none"/>
                <w:lang w:eastAsia="zh-CN" w:bidi="ar"/>
              </w:rPr>
              <w:t>鲨鱼剪；</w:t>
            </w:r>
          </w:p>
          <w:p w14:paraId="1933693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专业运动员</w:t>
            </w:r>
            <w:r>
              <w:rPr>
                <w:rFonts w:hint="eastAsia" w:ascii="宋体" w:hAnsi="宋体" w:eastAsia="宋体" w:cs="宋体"/>
                <w:color w:val="000000"/>
                <w:sz w:val="21"/>
                <w:szCs w:val="21"/>
                <w:highlight w:val="none"/>
                <w:lang w:bidi="ar"/>
              </w:rPr>
              <w:t>冷喷剂</w:t>
            </w:r>
            <w:r>
              <w:rPr>
                <w:rFonts w:hint="eastAsia" w:ascii="宋体" w:hAnsi="宋体" w:eastAsia="宋体" w:cs="宋体"/>
                <w:color w:val="000000"/>
                <w:sz w:val="21"/>
                <w:szCs w:val="21"/>
                <w:highlight w:val="none"/>
                <w:lang w:val="en-US" w:eastAsia="zh-CN" w:bidi="ar"/>
              </w:rPr>
              <w:t>规格：500ml/瓶，急速降温，不含兴奋剂，需隔衣服使用；</w:t>
            </w:r>
          </w:p>
          <w:p w14:paraId="131B56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eastAsia="zh-CN" w:bidi="ar"/>
              </w:rPr>
              <w:t>肌肉内效贴</w:t>
            </w:r>
            <w:r>
              <w:rPr>
                <w:rFonts w:hint="eastAsia" w:ascii="宋体" w:hAnsi="宋体" w:eastAsia="宋体" w:cs="宋体"/>
                <w:color w:val="000000"/>
                <w:sz w:val="21"/>
                <w:szCs w:val="21"/>
                <w:highlight w:val="none"/>
                <w:lang w:val="en-US" w:eastAsia="zh-CN" w:bidi="ar"/>
              </w:rPr>
              <w:t>规格：1卷/份，每卷使用面积：≥5*500cm，多种颜色可选；</w:t>
            </w:r>
          </w:p>
          <w:p w14:paraId="15FBD81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eastAsia="zh-CN" w:bidi="ar"/>
              </w:rPr>
              <w:t>白贴</w:t>
            </w:r>
            <w:r>
              <w:rPr>
                <w:rFonts w:hint="eastAsia" w:ascii="宋体" w:hAnsi="宋体" w:eastAsia="宋体" w:cs="宋体"/>
                <w:color w:val="000000"/>
                <w:sz w:val="21"/>
                <w:szCs w:val="21"/>
                <w:highlight w:val="none"/>
                <w:lang w:val="en-US" w:eastAsia="zh-CN" w:bidi="ar"/>
              </w:rPr>
              <w:t>规格：1卷/份，每卷使用面积≥5*1370cm，平边和齿边可选；</w:t>
            </w:r>
          </w:p>
          <w:p w14:paraId="5632981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eastAsia="zh-CN" w:bidi="ar"/>
              </w:rPr>
              <w:t>皮肤膜</w:t>
            </w:r>
            <w:r>
              <w:rPr>
                <w:rFonts w:hint="eastAsia" w:ascii="宋体" w:hAnsi="宋体" w:eastAsia="宋体" w:cs="宋体"/>
                <w:color w:val="000000"/>
                <w:sz w:val="21"/>
                <w:szCs w:val="21"/>
                <w:highlight w:val="none"/>
                <w:lang w:val="en-US" w:eastAsia="zh-CN" w:bidi="ar"/>
              </w:rPr>
              <w:t>规格：1卷/份，每卷使用面积≥7*2700cm；</w:t>
            </w:r>
          </w:p>
          <w:p w14:paraId="1CC8785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eastAsia="zh-CN" w:bidi="ar"/>
              </w:rPr>
              <w:t>重型弹性贴布</w:t>
            </w:r>
            <w:r>
              <w:rPr>
                <w:rFonts w:hint="eastAsia" w:ascii="宋体" w:hAnsi="宋体" w:eastAsia="宋体" w:cs="宋体"/>
                <w:color w:val="000000"/>
                <w:sz w:val="21"/>
                <w:szCs w:val="21"/>
                <w:highlight w:val="none"/>
                <w:lang w:val="en-US" w:eastAsia="zh-CN" w:bidi="ar"/>
              </w:rPr>
              <w:t>规格：</w:t>
            </w:r>
          </w:p>
          <w:p w14:paraId="7F46BAC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7、</w:t>
            </w:r>
            <w:r>
              <w:rPr>
                <w:rFonts w:hint="eastAsia" w:ascii="宋体" w:hAnsi="宋体" w:eastAsia="宋体" w:cs="宋体"/>
                <w:color w:val="000000"/>
                <w:sz w:val="21"/>
                <w:szCs w:val="21"/>
                <w:highlight w:val="none"/>
                <w:lang w:eastAsia="zh-CN" w:bidi="ar"/>
              </w:rPr>
              <w:t>肌贴剪</w:t>
            </w:r>
            <w:r>
              <w:rPr>
                <w:rFonts w:hint="eastAsia" w:ascii="宋体" w:hAnsi="宋体" w:eastAsia="宋体" w:cs="宋体"/>
                <w:color w:val="000000"/>
                <w:sz w:val="21"/>
                <w:szCs w:val="21"/>
                <w:highlight w:val="none"/>
                <w:lang w:val="en-US" w:eastAsia="zh-CN" w:bidi="ar"/>
              </w:rPr>
              <w:t>规格：≥18cm，直头、弯头可选；</w:t>
            </w:r>
          </w:p>
          <w:p w14:paraId="2A7CAF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8、</w:t>
            </w:r>
            <w:r>
              <w:rPr>
                <w:rFonts w:hint="eastAsia" w:ascii="宋体" w:hAnsi="宋体" w:eastAsia="宋体" w:cs="宋体"/>
                <w:color w:val="000000"/>
                <w:sz w:val="21"/>
                <w:szCs w:val="21"/>
                <w:highlight w:val="none"/>
                <w:lang w:eastAsia="zh-CN" w:bidi="ar"/>
              </w:rPr>
              <w:t>鲨鱼剪</w:t>
            </w:r>
            <w:r>
              <w:rPr>
                <w:rFonts w:hint="eastAsia" w:ascii="宋体" w:hAnsi="宋体" w:eastAsia="宋体" w:cs="宋体"/>
                <w:color w:val="000000"/>
                <w:sz w:val="21"/>
                <w:szCs w:val="21"/>
                <w:highlight w:val="none"/>
                <w:lang w:val="en-US" w:eastAsia="zh-CN" w:bidi="ar"/>
              </w:rPr>
              <w:t>规格：刀片特氟龙防粘涂层，防粘不卡刀。鲨鱼弧形圆钝刀头，防刺伤无尖角，贴合人体曲线，可精准裁剪 I/Y/X/ 爪形等各类肌贴贴扎造型，圆角一次成型防翘边。高强度防滑 ABS 人体工学手柄，握持减震省力、久用不累，防滑纹路防打滑；单把重 60-80g，便携易收纳。</w:t>
            </w:r>
          </w:p>
        </w:tc>
        <w:tc>
          <w:tcPr>
            <w:tcW w:w="627" w:type="dxa"/>
            <w:shd w:val="clear" w:color="auto" w:fill="auto"/>
            <w:noWrap/>
            <w:vAlign w:val="center"/>
          </w:tcPr>
          <w:p w14:paraId="340D8B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22280</w:t>
            </w:r>
          </w:p>
        </w:tc>
        <w:tc>
          <w:tcPr>
            <w:tcW w:w="519" w:type="dxa"/>
            <w:shd w:val="clear" w:color="auto" w:fill="auto"/>
            <w:noWrap/>
            <w:vAlign w:val="center"/>
          </w:tcPr>
          <w:p w14:paraId="326843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2F21AC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22280</w:t>
            </w:r>
          </w:p>
        </w:tc>
        <w:tc>
          <w:tcPr>
            <w:tcW w:w="518" w:type="dxa"/>
            <w:shd w:val="clear" w:color="auto" w:fill="auto"/>
            <w:vAlign w:val="center"/>
          </w:tcPr>
          <w:p w14:paraId="2F44404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CF9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jc w:val="center"/>
        </w:trPr>
        <w:tc>
          <w:tcPr>
            <w:tcW w:w="340" w:type="dxa"/>
            <w:shd w:val="clear" w:color="auto" w:fill="auto"/>
            <w:vAlign w:val="center"/>
          </w:tcPr>
          <w:p w14:paraId="5E1E2A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w:t>
            </w:r>
          </w:p>
        </w:tc>
        <w:tc>
          <w:tcPr>
            <w:tcW w:w="588" w:type="dxa"/>
            <w:shd w:val="clear" w:color="auto" w:fill="auto"/>
            <w:vAlign w:val="center"/>
          </w:tcPr>
          <w:p w14:paraId="788847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动静态平衡评估与训练系统</w:t>
            </w:r>
          </w:p>
        </w:tc>
        <w:tc>
          <w:tcPr>
            <w:tcW w:w="5723" w:type="dxa"/>
            <w:shd w:val="clear" w:color="auto" w:fill="auto"/>
            <w:vAlign w:val="center"/>
          </w:tcPr>
          <w:p w14:paraId="7598D25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产品组成</w:t>
            </w:r>
          </w:p>
          <w:p w14:paraId="7B1AF13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动静态平衡评估及训练系统由支撑台、平衡板、手握持装置、腰部防护带、穿戴式传感器、显示和控制装置、专用软件组成。</w:t>
            </w:r>
          </w:p>
          <w:p w14:paraId="6E8D78C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2</w:t>
            </w:r>
            <w:r>
              <w:rPr>
                <w:rFonts w:hint="eastAsia" w:ascii="宋体" w:hAnsi="宋体" w:eastAsia="宋体" w:cs="宋体"/>
                <w:color w:val="000000"/>
                <w:sz w:val="21"/>
                <w:szCs w:val="21"/>
                <w:highlight w:val="none"/>
                <w:lang w:bidi="ar"/>
              </w:rPr>
              <w:t>、支撑台尺寸（长×宽×高）</w:t>
            </w:r>
          </w:p>
          <w:p w14:paraId="05DCB9B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（触摸显示器放置最高位）：</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1435㎜×915㎜×1860㎜</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手握持装置离站位平衡板的高度：</w:t>
            </w:r>
            <w:r>
              <w:rPr>
                <w:rFonts w:hint="eastAsia" w:ascii="宋体" w:hAnsi="宋体" w:eastAsia="宋体" w:cs="宋体"/>
                <w:color w:val="auto"/>
                <w:sz w:val="21"/>
                <w:szCs w:val="21"/>
                <w:highlight w:val="none"/>
                <w:vertAlign w:val="baseline"/>
                <w:lang w:val="en-US" w:eastAsia="zh-CN"/>
              </w:rPr>
              <w:t>950㎜～1100㎜±10%</w:t>
            </w:r>
          </w:p>
          <w:p w14:paraId="756B299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3、平衡板测试重量范围：0～150㎏</w:t>
            </w:r>
            <w:r>
              <w:rPr>
                <w:rFonts w:hint="eastAsia" w:cs="宋体"/>
                <w:color w:val="000000"/>
                <w:sz w:val="21"/>
                <w:szCs w:val="21"/>
                <w:highlight w:val="none"/>
                <w:lang w:eastAsia="zh-CN" w:bidi="ar"/>
              </w:rPr>
              <w:t>，</w:t>
            </w:r>
            <w:r>
              <w:rPr>
                <w:rFonts w:hint="eastAsia" w:ascii="宋体" w:hAnsi="宋体" w:eastAsia="宋体" w:cs="宋体"/>
                <w:color w:val="auto"/>
                <w:sz w:val="21"/>
                <w:szCs w:val="21"/>
                <w:highlight w:val="none"/>
                <w:vertAlign w:val="baseline"/>
                <w:lang w:val="en-US" w:eastAsia="zh-CN"/>
              </w:rPr>
              <w:t>平衡板阻力：0-50级，逐级增大</w:t>
            </w:r>
          </w:p>
          <w:p w14:paraId="6F7E84D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4、训练和游戏时长：1min～60min</w:t>
            </w:r>
          </w:p>
          <w:p w14:paraId="2E27E1A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5、正常工作条件</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环境温度：+10 ℃～+35 ℃；相对湿度：35%～75%；大气压力</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 xml:space="preserve"> 860 hPa～1060 hPa；电源电压：AC220 V，电源频率：50 Hz；</w:t>
            </w:r>
          </w:p>
          <w:p w14:paraId="415D5A4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bidi="ar"/>
              </w:rPr>
              <w:t>软件运行平台：CPU：Core i5或以上；内存：8 GB或以上</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硬盘：160 GB或以上；显卡：独立显卡；操作系统：Windows10及以上。</w:t>
            </w:r>
          </w:p>
          <w:p w14:paraId="1411E63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u w:val="none"/>
                <w:lang w:val="en-US" w:eastAsia="zh-CN"/>
              </w:rPr>
              <w:t>▲</w:t>
            </w:r>
            <w:r>
              <w:rPr>
                <w:rFonts w:hint="eastAsia" w:ascii="宋体" w:hAnsi="宋体" w:eastAsia="宋体" w:cs="宋体"/>
                <w:color w:val="000000"/>
                <w:sz w:val="21"/>
                <w:szCs w:val="21"/>
                <w:highlight w:val="none"/>
                <w:lang w:val="en-US" w:eastAsia="zh-CN" w:bidi="ar"/>
              </w:rPr>
              <w:t>7、</w:t>
            </w:r>
            <w:r>
              <w:rPr>
                <w:rFonts w:hint="eastAsia" w:cs="宋体"/>
                <w:color w:val="000000"/>
                <w:sz w:val="21"/>
                <w:szCs w:val="21"/>
                <w:highlight w:val="none"/>
                <w:lang w:val="en-US" w:eastAsia="zh-CN" w:bidi="ar"/>
              </w:rPr>
              <w:t>设备须</w:t>
            </w:r>
            <w:r>
              <w:rPr>
                <w:rFonts w:hint="eastAsia" w:ascii="宋体" w:hAnsi="宋体" w:eastAsia="宋体" w:cs="宋体"/>
                <w:color w:val="000000"/>
                <w:sz w:val="21"/>
                <w:szCs w:val="21"/>
                <w:highlight w:val="none"/>
                <w:lang w:bidi="ar"/>
              </w:rPr>
              <w:t>具有静态站位模块、动态站位模块、以及前庭及躯干等模块。</w:t>
            </w:r>
          </w:p>
          <w:p w14:paraId="4C6AEEA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8、</w:t>
            </w:r>
            <w:r>
              <w:rPr>
                <w:rFonts w:hint="eastAsia" w:ascii="宋体" w:hAnsi="宋体" w:eastAsia="宋体" w:cs="宋体"/>
                <w:color w:val="000000"/>
                <w:sz w:val="21"/>
                <w:szCs w:val="21"/>
                <w:highlight w:val="none"/>
                <w:lang w:bidi="ar"/>
              </w:rPr>
              <w:t>训练方案：内置训练方案</w:t>
            </w:r>
            <w:r>
              <w:rPr>
                <w:rFonts w:hint="eastAsia" w:ascii="宋体" w:hAnsi="宋体" w:eastAsia="宋体" w:cs="宋体"/>
                <w:color w:val="000000"/>
                <w:sz w:val="21"/>
                <w:szCs w:val="21"/>
                <w:highlight w:val="none"/>
                <w:lang w:val="en-US" w:eastAsia="zh-CN" w:bidi="ar"/>
              </w:rPr>
              <w:t>≥100个</w:t>
            </w:r>
            <w:r>
              <w:rPr>
                <w:rFonts w:hint="eastAsia" w:ascii="宋体" w:hAnsi="宋体" w:eastAsia="宋体" w:cs="宋体"/>
                <w:color w:val="000000"/>
                <w:sz w:val="21"/>
                <w:szCs w:val="21"/>
                <w:highlight w:val="none"/>
                <w:lang w:bidi="ar"/>
              </w:rPr>
              <w:t>，可根据患者情况自由选择。</w:t>
            </w:r>
          </w:p>
          <w:p w14:paraId="44C9834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9、</w:t>
            </w:r>
            <w:r>
              <w:rPr>
                <w:rFonts w:hint="eastAsia" w:ascii="宋体" w:hAnsi="宋体" w:eastAsia="宋体" w:cs="宋体"/>
                <w:color w:val="000000"/>
                <w:sz w:val="21"/>
                <w:szCs w:val="21"/>
                <w:highlight w:val="none"/>
                <w:lang w:bidi="ar"/>
              </w:rPr>
              <w:t>具有佩戴式传感器，可在训练及评估过程中监测躯干数据及防跌倒提醒。</w:t>
            </w:r>
          </w:p>
          <w:p w14:paraId="014042A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10、</w:t>
            </w:r>
            <w:r>
              <w:rPr>
                <w:rFonts w:hint="eastAsia" w:ascii="宋体" w:hAnsi="宋体" w:eastAsia="宋体" w:cs="宋体"/>
                <w:color w:val="000000"/>
                <w:sz w:val="21"/>
                <w:szCs w:val="21"/>
                <w:highlight w:val="none"/>
                <w:lang w:bidi="ar"/>
              </w:rPr>
              <w:t>具有不少于40款3D游戏，提高训练的趣味性。</w:t>
            </w:r>
          </w:p>
          <w:p w14:paraId="3B416A7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val="en-US" w:eastAsia="zh-CN" w:bidi="ar"/>
              </w:rPr>
              <w:t>11、</w:t>
            </w:r>
            <w:r>
              <w:rPr>
                <w:rFonts w:hint="eastAsia" w:ascii="宋体" w:hAnsi="宋体" w:eastAsia="宋体" w:cs="宋体"/>
                <w:color w:val="auto"/>
                <w:sz w:val="21"/>
                <w:szCs w:val="21"/>
                <w:highlight w:val="none"/>
                <w:vertAlign w:val="baseline"/>
                <w:lang w:val="en-US" w:eastAsia="zh-CN"/>
              </w:rPr>
              <w:t>具有7类平衡相关评估量表，包含berg、brunel等，可以进行电子化评估及存储。</w:t>
            </w:r>
          </w:p>
          <w:p w14:paraId="13C53A1A">
            <w:pPr>
              <w:rPr>
                <w:highlight w:val="none"/>
              </w:rPr>
            </w:pPr>
          </w:p>
          <w:p w14:paraId="3759ED9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12、</w:t>
            </w:r>
            <w:r>
              <w:rPr>
                <w:rFonts w:hint="eastAsia" w:ascii="宋体" w:hAnsi="宋体" w:eastAsia="宋体" w:cs="宋体"/>
                <w:color w:val="000000"/>
                <w:sz w:val="21"/>
                <w:szCs w:val="21"/>
                <w:highlight w:val="none"/>
                <w:lang w:bidi="ar"/>
              </w:rPr>
              <w:t>评估项目：具有动静态稳定性评估、稳定极限评估、睁闭眼对比评估、控制能力评估、负重极限评估等。</w:t>
            </w:r>
          </w:p>
          <w:p w14:paraId="285AFD0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13、</w:t>
            </w:r>
            <w:r>
              <w:rPr>
                <w:rFonts w:hint="eastAsia" w:ascii="宋体" w:hAnsi="宋体" w:eastAsia="宋体" w:cs="宋体"/>
                <w:color w:val="000000"/>
                <w:sz w:val="21"/>
                <w:szCs w:val="21"/>
                <w:highlight w:val="none"/>
                <w:lang w:bidi="ar"/>
              </w:rPr>
              <w:t>训练项目：可进行自由训练、本体训练、负重训练、描迹训练、位置训练、游戏训练等。</w:t>
            </w:r>
          </w:p>
          <w:p w14:paraId="3496144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14、</w:t>
            </w:r>
            <w:r>
              <w:rPr>
                <w:rFonts w:hint="eastAsia" w:ascii="宋体" w:hAnsi="宋体" w:eastAsia="宋体" w:cs="宋体"/>
                <w:color w:val="000000"/>
                <w:sz w:val="21"/>
                <w:szCs w:val="21"/>
                <w:highlight w:val="none"/>
                <w:lang w:bidi="ar"/>
              </w:rPr>
              <w:t>可进行前庭及躯干的功能评估和训练</w:t>
            </w:r>
            <w:r>
              <w:rPr>
                <w:rFonts w:hint="eastAsia" w:ascii="宋体" w:hAnsi="宋体" w:eastAsia="宋体" w:cs="宋体"/>
                <w:color w:val="000000"/>
                <w:sz w:val="21"/>
                <w:szCs w:val="21"/>
                <w:highlight w:val="none"/>
                <w:lang w:eastAsia="zh-CN" w:bidi="ar"/>
              </w:rPr>
              <w:t>。</w:t>
            </w:r>
          </w:p>
          <w:p w14:paraId="2E12256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15、</w:t>
            </w:r>
            <w:r>
              <w:rPr>
                <w:rFonts w:hint="eastAsia" w:ascii="宋体" w:hAnsi="宋体" w:eastAsia="宋体" w:cs="宋体"/>
                <w:color w:val="000000"/>
                <w:sz w:val="21"/>
                <w:szCs w:val="21"/>
                <w:highlight w:val="none"/>
                <w:lang w:bidi="ar"/>
              </w:rPr>
              <w:t>自定义方案训练：可将不同的训练项目和游戏等组合为患者特定的治疗方案，长期保存、一键启动。</w:t>
            </w:r>
          </w:p>
          <w:p w14:paraId="463AF02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val="en-US" w:eastAsia="zh-CN" w:bidi="ar"/>
              </w:rPr>
              <w:t>16、</w:t>
            </w:r>
            <w:r>
              <w:rPr>
                <w:rFonts w:hint="eastAsia" w:ascii="宋体" w:hAnsi="宋体" w:eastAsia="宋体" w:cs="宋体"/>
                <w:color w:val="000000"/>
                <w:sz w:val="21"/>
                <w:szCs w:val="21"/>
                <w:highlight w:val="none"/>
                <w:lang w:bidi="ar"/>
              </w:rPr>
              <w:t>方案推荐功能：可根据患者评估结果，自动推荐相应的治疗方案。</w:t>
            </w:r>
          </w:p>
          <w:p w14:paraId="06828D2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val="en-US" w:eastAsia="zh-CN" w:bidi="ar"/>
              </w:rPr>
              <w:t>17、</w:t>
            </w:r>
            <w:r>
              <w:rPr>
                <w:rFonts w:hint="eastAsia" w:ascii="宋体" w:hAnsi="宋体" w:eastAsia="宋体" w:cs="宋体"/>
                <w:color w:val="auto"/>
                <w:sz w:val="21"/>
                <w:szCs w:val="21"/>
                <w:highlight w:val="none"/>
                <w:vertAlign w:val="baseline"/>
                <w:lang w:val="en-US" w:eastAsia="zh-CN"/>
              </w:rPr>
              <w:t>可拓展血氧脉搏进行训练保护，一旦检测到患者血氧脉搏超过限值范围，设备自动停机保护。</w:t>
            </w:r>
          </w:p>
          <w:p w14:paraId="1F8D8BC9">
            <w:pPr>
              <w:rPr>
                <w:highlight w:val="none"/>
              </w:rPr>
            </w:pPr>
          </w:p>
          <w:p w14:paraId="2EB5391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18、</w:t>
            </w:r>
            <w:r>
              <w:rPr>
                <w:rFonts w:hint="eastAsia" w:ascii="宋体" w:hAnsi="宋体" w:eastAsia="宋体" w:cs="宋体"/>
                <w:color w:val="000000"/>
                <w:sz w:val="21"/>
                <w:szCs w:val="21"/>
                <w:highlight w:val="none"/>
                <w:lang w:bidi="ar"/>
              </w:rPr>
              <w:t>站位扶手上下高度可电动调节，满足不同身高的人群使用。</w:t>
            </w:r>
          </w:p>
          <w:p w14:paraId="541D0C3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19、</w:t>
            </w:r>
            <w:r>
              <w:rPr>
                <w:rFonts w:hint="eastAsia" w:ascii="宋体" w:hAnsi="宋体" w:eastAsia="宋体" w:cs="宋体"/>
                <w:color w:val="000000"/>
                <w:sz w:val="21"/>
                <w:szCs w:val="21"/>
                <w:highlight w:val="none"/>
                <w:lang w:bidi="ar"/>
              </w:rPr>
              <w:t>扶手上具有两片式防护绑带，防止患者摔倒。</w:t>
            </w:r>
          </w:p>
          <w:p w14:paraId="0D26E9C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20、</w:t>
            </w:r>
            <w:r>
              <w:rPr>
                <w:rFonts w:hint="eastAsia" w:ascii="宋体" w:hAnsi="宋体" w:eastAsia="宋体" w:cs="宋体"/>
                <w:color w:val="000000"/>
                <w:sz w:val="21"/>
                <w:szCs w:val="21"/>
                <w:highlight w:val="none"/>
                <w:lang w:bidi="ar"/>
              </w:rPr>
              <w:t>具有设备状态提示氛围灯，可提示设备的运行状态，急停等情况。</w:t>
            </w:r>
          </w:p>
          <w:p w14:paraId="6CCC77B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21、</w:t>
            </w:r>
            <w:r>
              <w:rPr>
                <w:rFonts w:hint="eastAsia" w:ascii="宋体" w:hAnsi="宋体" w:eastAsia="宋体" w:cs="宋体"/>
                <w:color w:val="000000"/>
                <w:sz w:val="21"/>
                <w:szCs w:val="21"/>
                <w:highlight w:val="none"/>
                <w:lang w:bidi="ar"/>
              </w:rPr>
              <w:t>具有患者管理模块，可存储患者信息，评估及训练报告、且训练报告可以进行多次对比分析，生成对比分析报告，支持一键打印。</w:t>
            </w:r>
          </w:p>
        </w:tc>
        <w:tc>
          <w:tcPr>
            <w:tcW w:w="627" w:type="dxa"/>
            <w:shd w:val="clear" w:color="auto" w:fill="auto"/>
            <w:noWrap/>
            <w:vAlign w:val="center"/>
          </w:tcPr>
          <w:p w14:paraId="39A0D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158000</w:t>
            </w:r>
          </w:p>
        </w:tc>
        <w:tc>
          <w:tcPr>
            <w:tcW w:w="519" w:type="dxa"/>
            <w:shd w:val="clear" w:color="auto" w:fill="auto"/>
            <w:noWrap/>
            <w:vAlign w:val="center"/>
          </w:tcPr>
          <w:p w14:paraId="7CE56F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0B05CB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158000</w:t>
            </w:r>
          </w:p>
        </w:tc>
        <w:tc>
          <w:tcPr>
            <w:tcW w:w="518" w:type="dxa"/>
            <w:shd w:val="clear" w:color="auto" w:fill="auto"/>
            <w:vAlign w:val="center"/>
          </w:tcPr>
          <w:p w14:paraId="0BA460A6">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医疗器械</w:t>
            </w:r>
          </w:p>
        </w:tc>
      </w:tr>
      <w:tr w14:paraId="65F1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13A970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21</w:t>
            </w:r>
          </w:p>
        </w:tc>
        <w:tc>
          <w:tcPr>
            <w:tcW w:w="588" w:type="dxa"/>
            <w:shd w:val="clear" w:color="auto" w:fill="auto"/>
            <w:vAlign w:val="center"/>
          </w:tcPr>
          <w:p w14:paraId="381A07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智能体测系统</w:t>
            </w:r>
            <w:r>
              <w:rPr>
                <w:rFonts w:hint="eastAsia" w:ascii="宋体" w:hAnsi="宋体" w:cs="宋体"/>
                <w:b/>
                <w:bCs/>
                <w:i w:val="0"/>
                <w:iCs w:val="0"/>
                <w:color w:val="000000"/>
                <w:kern w:val="0"/>
                <w:sz w:val="21"/>
                <w:szCs w:val="21"/>
                <w:highlight w:val="none"/>
                <w:u w:val="none"/>
                <w:lang w:val="en-US" w:eastAsia="zh-CN" w:bidi="ar"/>
              </w:rPr>
              <w:t>（核心产品）</w:t>
            </w:r>
          </w:p>
        </w:tc>
        <w:tc>
          <w:tcPr>
            <w:tcW w:w="5723" w:type="dxa"/>
            <w:shd w:val="clear" w:color="auto" w:fill="auto"/>
            <w:vAlign w:val="center"/>
          </w:tcPr>
          <w:p w14:paraId="0EBEA5C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1、智能身体机能评测系统由硬件端与软件端组成，硬件部分包含无线传感器、高清触摸交互显示屏和人体成分分析仪等智能终端组成；软件部分包含PC端与手机端，实现多终端协同操作。</w:t>
            </w:r>
          </w:p>
          <w:p w14:paraId="65FFA9C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2、智能身体机能评测系统需具备人体成分分析测试、体态测试、体能测试、体型评估、关节活动度检测、营养健康管理六大核心功能，满足全方位身体机能评测需求。</w:t>
            </w:r>
          </w:p>
          <w:p w14:paraId="4ED887B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3、无线传感器：支持动作数据精准采集，智能穿戴设备配套的无线传感器数量≥3个，确保数据采集全面性。</w:t>
            </w:r>
          </w:p>
          <w:p w14:paraId="0EFAADB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4、动作传感器穿戴方式：采用可调节智能绑带设计，绑带调节范围需覆盖1.1-2.2米身高人群，要求适配20-120kg体重人群，保障不同体型用户穿戴适用性。</w:t>
            </w:r>
          </w:p>
          <w:p w14:paraId="6C1A0A3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5、高清触摸交互显示屏：尺寸≥55英寸，分辨率≥3840×2160px，触摸响应灵敏，显示清晰，满足测试操作及数据展示需求。</w:t>
            </w:r>
          </w:p>
          <w:p w14:paraId="1110629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6、人体成分分析仪：测量模式采用八电极电阻抗测试方式，确保人体成分测量数据精准可靠。</w:t>
            </w:r>
          </w:p>
          <w:p w14:paraId="045D09C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人体成分分析报告：需包含体重、骨骼肌、身体质量指数（BMI）、体脂肪、蛋白质、无机盐、身体总水分、肥胖度、脂肪/肌肉控制、节段脂肪/肌肉、内脏脂肪等级、基础代谢率、腰臀比、健康评分、生物电阻抗、指标解读、训练建议、体型评估、体型预测等内容，报告信息完整详实。</w:t>
            </w:r>
          </w:p>
          <w:p w14:paraId="590B9CD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8、体适能测试项目：数量≥5项，包括但不限于闭眼单脚站立、立位体前屈、原地快跑、平板支撑、卷腹等动作，符合国民体质测试相关要求。</w:t>
            </w:r>
          </w:p>
          <w:p w14:paraId="6DCAC80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9、体适能测试报告：包括但不限于运动成绩统计、体适能分析（涵盖柔韧、协调、速度、耐力、平衡、灵敏六大维度）、针对性训练建议等内容，为体能提升提供数据支撑。</w:t>
            </w:r>
          </w:p>
          <w:p w14:paraId="2A7470C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10、</w:t>
            </w:r>
            <w:r>
              <w:rPr>
                <w:rFonts w:hint="eastAsia" w:ascii="宋体" w:hAnsi="宋体" w:eastAsia="宋体" w:cs="宋体"/>
                <w:color w:val="000000"/>
                <w:sz w:val="21"/>
                <w:szCs w:val="21"/>
                <w:highlight w:val="none"/>
                <w:lang w:bidi="ar"/>
              </w:rPr>
              <w:t>关节活动度测试项目：数量≥8项，包括但不限于颈部侧倾、手臂弯举、腰部侧屈、髋部外展、抬腿弯举、腰部后伸、弓步前蹲、弓步侧蹲等，覆盖全身关键关节测试。</w:t>
            </w:r>
          </w:p>
          <w:p w14:paraId="5CD513A5">
            <w:pPr>
              <w:rPr>
                <w:highlight w:val="none"/>
              </w:rPr>
            </w:pPr>
          </w:p>
          <w:p w14:paraId="69E60C3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、体态分析报告：包括但不限于头部前倾、高低肩、驼背、脊柱侧弯、膝内/外翻、盆骨前/后倾、足内/外八等体态问题分析，同时提供科学训练建议，助力改善体态。</w:t>
            </w:r>
          </w:p>
          <w:p w14:paraId="4520E47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2</w:t>
            </w:r>
            <w:r>
              <w:rPr>
                <w:rFonts w:hint="eastAsia" w:ascii="宋体" w:hAnsi="宋体" w:eastAsia="宋体" w:cs="宋体"/>
                <w:color w:val="000000"/>
                <w:sz w:val="21"/>
                <w:szCs w:val="21"/>
                <w:highlight w:val="none"/>
                <w:lang w:bidi="ar"/>
              </w:rPr>
              <w:t>、报告输出功能：支持显示屏输出、打印输出、微信扫码输出、后台存储四种模式，满足不同场景下报告获取及留存需求。</w:t>
            </w:r>
          </w:p>
          <w:p w14:paraId="4C4D3F5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bidi="ar"/>
              </w:rPr>
              <w:t>、手机端管理系统</w:t>
            </w:r>
            <w:r>
              <w:rPr>
                <w:rFonts w:hint="eastAsia" w:cs="宋体"/>
                <w:color w:val="000000"/>
                <w:sz w:val="21"/>
                <w:szCs w:val="21"/>
                <w:highlight w:val="none"/>
                <w:lang w:val="en-US" w:eastAsia="zh-CN" w:bidi="ar"/>
              </w:rPr>
              <w:t>运动健康管理</w:t>
            </w:r>
            <w:r>
              <w:rPr>
                <w:rFonts w:hint="eastAsia" w:ascii="宋体" w:hAnsi="宋体" w:eastAsia="宋体" w:cs="宋体"/>
                <w:color w:val="000000"/>
                <w:sz w:val="21"/>
                <w:szCs w:val="21"/>
                <w:highlight w:val="none"/>
                <w:lang w:bidi="ar"/>
              </w:rPr>
              <w:t>：支持个人基础信息录入（含身高、体重、性别、年龄）、健康信息录入（含疾病、禁忌）、生活习惯录入（含口味、运动习惯），为系统推荐饮食方案提供精准依据；支持运动数据精准采集，可准确采集近7天总距离、近7天总热量消耗数据；支持步数趋势图展示，呈现一周步数条形统计图，图谱清晰、数据标注准确，支持按日查看详细步数数据。</w:t>
            </w:r>
          </w:p>
          <w:p w14:paraId="24FDFD0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、手机端管理系统</w:t>
            </w:r>
            <w:r>
              <w:rPr>
                <w:rFonts w:hint="eastAsia" w:cs="宋体"/>
                <w:color w:val="000000"/>
                <w:sz w:val="21"/>
                <w:szCs w:val="21"/>
                <w:highlight w:val="none"/>
                <w:lang w:val="en-US" w:eastAsia="zh-CN" w:bidi="ar"/>
              </w:rPr>
              <w:t>数据管理</w:t>
            </w:r>
            <w:r>
              <w:rPr>
                <w:rFonts w:hint="eastAsia" w:ascii="宋体" w:hAnsi="宋体" w:eastAsia="宋体" w:cs="宋体"/>
                <w:color w:val="000000"/>
                <w:sz w:val="21"/>
                <w:szCs w:val="21"/>
                <w:highlight w:val="none"/>
                <w:lang w:bidi="ar"/>
              </w:rPr>
              <w:t>：支持体重管理功能，可实现硬件端体成分测试数据实时上传，支持体重目标设置及体重调整速度记录，能展示体重等核心指标趋势，图表清晰、数据标注准确，支持按日、周、月查看详细趋势数据。</w:t>
            </w:r>
          </w:p>
          <w:p w14:paraId="202D66D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、手机端管理系统</w:t>
            </w:r>
            <w:r>
              <w:rPr>
                <w:rFonts w:hint="eastAsia" w:cs="宋体"/>
                <w:color w:val="000000"/>
                <w:sz w:val="21"/>
                <w:szCs w:val="21"/>
                <w:highlight w:val="none"/>
                <w:lang w:val="en-US" w:eastAsia="zh-CN" w:bidi="ar"/>
              </w:rPr>
              <w:t>营养管理</w:t>
            </w:r>
            <w:r>
              <w:rPr>
                <w:rFonts w:hint="eastAsia" w:ascii="宋体" w:hAnsi="宋体" w:eastAsia="宋体" w:cs="宋体"/>
                <w:color w:val="000000"/>
                <w:sz w:val="21"/>
                <w:szCs w:val="21"/>
                <w:highlight w:val="none"/>
                <w:lang w:bidi="ar"/>
              </w:rPr>
              <w:t>：支持单餐摄入及分析功能，可通过手动录入或拍照上传自动识别方式记录饮食信息；支持能量、三大营养素等实际摄入情况的分析评价及针对性摄入建议；支持生成饮食日报，包含当日餐单展示、供能营养素分析、餐次营养分析等内容；支持食物均衡评估，可统计当日摄入菜品数量、食材种类，展示谷薯、蔬菜、水果等≥6类食材摄入情况；支持关键营养素分析，涵盖膳食纤维、维生素A、维生素C、锌等≥10种营养素摄入比例</w:t>
            </w:r>
            <w:r>
              <w:rPr>
                <w:rFonts w:hint="eastAsia"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支持生成任意阶段饮食报告；支持饮食喜好分析，可分析常选菜品的烹调方式（炸、蒸、烤等）并给出优化建议；支持膳食结构评估，可显示周内摄入食材种类并标注排名，展示各类食物摄入情况（如薯类、全谷物摄入不足等），指导用户优化饮食结构，涉及食材种类≥9类。</w:t>
            </w:r>
          </w:p>
          <w:p w14:paraId="6098E85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手机端管理系统</w:t>
            </w:r>
            <w:r>
              <w:rPr>
                <w:rFonts w:hint="eastAsia" w:cs="宋体"/>
                <w:color w:val="000000"/>
                <w:sz w:val="21"/>
                <w:szCs w:val="21"/>
                <w:highlight w:val="none"/>
                <w:lang w:val="en-US" w:eastAsia="zh-CN" w:bidi="ar"/>
              </w:rPr>
              <w:t>实时交互</w:t>
            </w:r>
            <w:r>
              <w:rPr>
                <w:rFonts w:hint="eastAsia" w:ascii="宋体" w:hAnsi="宋体" w:eastAsia="宋体" w:cs="宋体"/>
                <w:color w:val="000000"/>
                <w:sz w:val="21"/>
                <w:szCs w:val="21"/>
                <w:highlight w:val="none"/>
                <w:lang w:bidi="ar"/>
              </w:rPr>
              <w:t>：支持个性化推荐功能，可根据个人基础信息、运动数据、体重情况、</w:t>
            </w:r>
            <w:r>
              <w:rPr>
                <w:rFonts w:hint="eastAsia" w:ascii="宋体" w:hAnsi="宋体" w:cs="宋体"/>
                <w:color w:val="000000"/>
                <w:sz w:val="21"/>
                <w:szCs w:val="21"/>
                <w:highlight w:val="none"/>
                <w:lang w:eastAsia="zh-CN" w:bidi="ar"/>
              </w:rPr>
              <w:t>慢性病</w:t>
            </w:r>
            <w:r>
              <w:rPr>
                <w:rFonts w:hint="eastAsia" w:ascii="宋体" w:hAnsi="宋体" w:eastAsia="宋体" w:cs="宋体"/>
                <w:color w:val="000000"/>
                <w:sz w:val="21"/>
                <w:szCs w:val="21"/>
                <w:highlight w:val="none"/>
                <w:lang w:bidi="ar"/>
              </w:rPr>
              <w:t>信息、禁忌、过敏等数据，生成定制化饮食方案，方案科学合理、切实有效；支持AI问答功能，可接收用户各类营养相关问题咨询，可识别上传的食物照片并进行针对性问答，也可支持上传体检报告，结合报告内容给出个性化运动建议及饮食建议。</w:t>
            </w:r>
          </w:p>
          <w:p w14:paraId="4238350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Fonts w:hint="eastAsia" w:ascii="宋体" w:hAnsi="宋体" w:cs="宋体"/>
                <w:color w:val="000000"/>
                <w:sz w:val="21"/>
                <w:szCs w:val="21"/>
                <w:highlight w:val="none"/>
                <w:lang w:val="en-US" w:eastAsia="zh-CN" w:bidi="ar"/>
              </w:rPr>
              <w:t>7</w:t>
            </w:r>
            <w:r>
              <w:rPr>
                <w:rFonts w:hint="eastAsia" w:ascii="宋体" w:hAnsi="宋体" w:eastAsia="宋体" w:cs="宋体"/>
                <w:color w:val="000000"/>
                <w:sz w:val="21"/>
                <w:szCs w:val="21"/>
                <w:highlight w:val="none"/>
                <w:lang w:bidi="ar"/>
              </w:rPr>
              <w:t>、产品须具有国家体育用品质量检测中心出具的产品检测报告。</w:t>
            </w:r>
          </w:p>
        </w:tc>
        <w:tc>
          <w:tcPr>
            <w:tcW w:w="627" w:type="dxa"/>
            <w:shd w:val="clear" w:color="auto" w:fill="auto"/>
            <w:noWrap/>
            <w:vAlign w:val="center"/>
          </w:tcPr>
          <w:p w14:paraId="055B7A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78000</w:t>
            </w:r>
          </w:p>
        </w:tc>
        <w:tc>
          <w:tcPr>
            <w:tcW w:w="519" w:type="dxa"/>
            <w:shd w:val="clear" w:color="auto" w:fill="auto"/>
            <w:noWrap/>
            <w:vAlign w:val="center"/>
          </w:tcPr>
          <w:p w14:paraId="451A4B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460964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78000</w:t>
            </w:r>
          </w:p>
        </w:tc>
        <w:tc>
          <w:tcPr>
            <w:tcW w:w="518" w:type="dxa"/>
            <w:shd w:val="clear" w:color="auto" w:fill="auto"/>
            <w:vAlign w:val="center"/>
          </w:tcPr>
          <w:p w14:paraId="1CC8769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E06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2226C6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w:t>
            </w:r>
          </w:p>
        </w:tc>
        <w:tc>
          <w:tcPr>
            <w:tcW w:w="588" w:type="dxa"/>
            <w:shd w:val="clear" w:color="auto" w:fill="auto"/>
            <w:vAlign w:val="center"/>
          </w:tcPr>
          <w:p w14:paraId="5E7A80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便携血糖乳酸测试仪</w:t>
            </w:r>
          </w:p>
        </w:tc>
        <w:tc>
          <w:tcPr>
            <w:tcW w:w="5723" w:type="dxa"/>
            <w:shd w:val="clear" w:color="auto" w:fill="auto"/>
            <w:vAlign w:val="center"/>
          </w:tcPr>
          <w:p w14:paraId="3EFEDA3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1.蓝牙数据采集，自动上传多终端，快捷数字化管理，自动对接软件平台应用，全盘数字管理与分析</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2.双模式开机操作：短按电源键或插入试纸均可开机</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3.LCD大屏显，乳酸数值、日期/时间等数值，方便直观快速读取</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4.2 AAA 电池，快捷续电，支持至少400次测试，超大记忆容量，单次容量≥800个数据结果</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5.自动虹吸收技术，180度无障碍采血，适应多场景</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6.微痛感，用血量约0.8μL，金电极信号采集，10秒出具测试结果</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7.试纸条2-30℃常温、10-85%相对湿度储存，适应性强</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8.医疗注册认证，七电极技术超强抗干扰</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9.工作温度范围：15-35℃;工作相对湿度：10%-85%，大气压强：70kPa~106.6kPa</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10.测试范围：0.5~18.0mmol/L</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11.配置血乳酸管理软件：训练内容信息进行手动修改，以满足个性化需求。</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12.结果关联功能：小程序应支持用户手动将测试结果与特定的运动员关联，便于跟踪和管理个别运动员的测试记录。</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cs="宋体"/>
                <w:sz w:val="20"/>
                <w:szCs w:val="20"/>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13.数据统计与可视化：小程序支持根据每名运动员的多次测试数据，自动生成组合统计图，展示测试时间、血乳酸测试值与训练内容数据。</w:t>
            </w:r>
          </w:p>
        </w:tc>
        <w:tc>
          <w:tcPr>
            <w:tcW w:w="627" w:type="dxa"/>
            <w:shd w:val="clear" w:color="auto" w:fill="auto"/>
            <w:noWrap/>
            <w:vAlign w:val="center"/>
          </w:tcPr>
          <w:p w14:paraId="4E7DC9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3375</w:t>
            </w:r>
          </w:p>
        </w:tc>
        <w:tc>
          <w:tcPr>
            <w:tcW w:w="519" w:type="dxa"/>
            <w:shd w:val="clear" w:color="auto" w:fill="auto"/>
            <w:noWrap/>
            <w:vAlign w:val="center"/>
          </w:tcPr>
          <w:p w14:paraId="58070C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745" w:type="dxa"/>
            <w:shd w:val="clear" w:color="auto" w:fill="auto"/>
            <w:noWrap/>
            <w:vAlign w:val="center"/>
          </w:tcPr>
          <w:p w14:paraId="45DC8B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13500</w:t>
            </w:r>
          </w:p>
        </w:tc>
        <w:tc>
          <w:tcPr>
            <w:tcW w:w="518" w:type="dxa"/>
            <w:shd w:val="clear" w:color="auto" w:fill="auto"/>
            <w:vAlign w:val="center"/>
          </w:tcPr>
          <w:p w14:paraId="2B65B2B9">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医疗器械</w:t>
            </w:r>
          </w:p>
        </w:tc>
      </w:tr>
      <w:tr w14:paraId="4B4D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4B7B30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23</w:t>
            </w:r>
          </w:p>
        </w:tc>
        <w:tc>
          <w:tcPr>
            <w:tcW w:w="588" w:type="dxa"/>
            <w:shd w:val="clear" w:color="auto" w:fill="auto"/>
            <w:vAlign w:val="center"/>
          </w:tcPr>
          <w:p w14:paraId="12B884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功能性筛选测试装置</w:t>
            </w:r>
          </w:p>
        </w:tc>
        <w:tc>
          <w:tcPr>
            <w:tcW w:w="5723" w:type="dxa"/>
            <w:shd w:val="clear" w:color="auto" w:fill="auto"/>
            <w:vAlign w:val="center"/>
          </w:tcPr>
          <w:p w14:paraId="1821FCE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1、可通过七个标准动作开展功能性动作模式质量筛查，具体动作包括：深蹲、跨栏步、弓步、肩关节灵活性、主动直腿上抬、躯干稳定性俯卧撑、旋转稳定性，覆盖各类人群筛查需求。</w:t>
            </w:r>
          </w:p>
          <w:p w14:paraId="5A01F0E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可根据筛查测试结果，提供针对性纠正性训练指导，助力改善人体身体不平衡状态，弥补身体功能弱链。具备损伤风险防控功能，可有效降低训练人员潜在运动损伤风险。可消除影响训练人员实战化表现的相关因素，为训练效果提升提供支撑。</w:t>
            </w:r>
          </w:p>
        </w:tc>
        <w:tc>
          <w:tcPr>
            <w:tcW w:w="627" w:type="dxa"/>
            <w:shd w:val="clear" w:color="auto" w:fill="auto"/>
            <w:noWrap/>
            <w:vAlign w:val="center"/>
          </w:tcPr>
          <w:p w14:paraId="73145E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2500</w:t>
            </w:r>
          </w:p>
        </w:tc>
        <w:tc>
          <w:tcPr>
            <w:tcW w:w="519" w:type="dxa"/>
            <w:shd w:val="clear" w:color="auto" w:fill="auto"/>
            <w:noWrap/>
            <w:vAlign w:val="center"/>
          </w:tcPr>
          <w:p w14:paraId="398296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07E065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2500</w:t>
            </w:r>
          </w:p>
        </w:tc>
        <w:tc>
          <w:tcPr>
            <w:tcW w:w="518" w:type="dxa"/>
            <w:shd w:val="clear" w:color="auto" w:fill="auto"/>
            <w:vAlign w:val="center"/>
          </w:tcPr>
          <w:p w14:paraId="7D1F3307">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332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22FD9C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24</w:t>
            </w:r>
          </w:p>
        </w:tc>
        <w:tc>
          <w:tcPr>
            <w:tcW w:w="588" w:type="dxa"/>
            <w:shd w:val="clear" w:color="auto" w:fill="auto"/>
            <w:vAlign w:val="center"/>
          </w:tcPr>
          <w:p w14:paraId="49D9F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Y-balance测试装置</w:t>
            </w:r>
          </w:p>
        </w:tc>
        <w:tc>
          <w:tcPr>
            <w:tcW w:w="5723" w:type="dxa"/>
            <w:shd w:val="clear" w:color="auto" w:fill="auto"/>
            <w:vAlign w:val="center"/>
          </w:tcPr>
          <w:p w14:paraId="4214589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可对受试者进行损伤风险与功能对称性评估，评估过程简单、快速，满足高效检测需求。可精确量化测试人体执行相关动作时所需的综合能力，包括但不限于核心稳定性、关节灵活性、神经肌肉控制、动作活动幅度、平衡能力及本体感觉。具备运动员受伤风险判定及问题定位功能，可辅助识别运动员潜在运动损伤隐患。支持与FMS（功能性动作筛查）配合使用，实现多维度运动功能评估。可用于运动员康复前、康复后对比测试，为康复效果评估提供数据支撑。可基于测试数据，辅助改良体能训练计划，助力运动员恢复至最佳竞技状态。</w:t>
            </w:r>
          </w:p>
        </w:tc>
        <w:tc>
          <w:tcPr>
            <w:tcW w:w="627" w:type="dxa"/>
            <w:shd w:val="clear" w:color="auto" w:fill="auto"/>
            <w:noWrap/>
            <w:vAlign w:val="center"/>
          </w:tcPr>
          <w:p w14:paraId="51F881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5000</w:t>
            </w:r>
          </w:p>
        </w:tc>
        <w:tc>
          <w:tcPr>
            <w:tcW w:w="519" w:type="dxa"/>
            <w:shd w:val="clear" w:color="auto" w:fill="auto"/>
            <w:noWrap/>
            <w:vAlign w:val="center"/>
          </w:tcPr>
          <w:p w14:paraId="015345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6FD4EF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5000</w:t>
            </w:r>
          </w:p>
        </w:tc>
        <w:tc>
          <w:tcPr>
            <w:tcW w:w="518" w:type="dxa"/>
            <w:shd w:val="clear" w:color="auto" w:fill="auto"/>
            <w:vAlign w:val="center"/>
          </w:tcPr>
          <w:p w14:paraId="3C885BB9">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54EBA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6A01B2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w:t>
            </w:r>
          </w:p>
        </w:tc>
        <w:tc>
          <w:tcPr>
            <w:tcW w:w="588" w:type="dxa"/>
            <w:shd w:val="clear" w:color="auto" w:fill="auto"/>
            <w:vAlign w:val="center"/>
          </w:tcPr>
          <w:p w14:paraId="3DB896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关节活动尺</w:t>
            </w:r>
          </w:p>
        </w:tc>
        <w:tc>
          <w:tcPr>
            <w:tcW w:w="5723" w:type="dxa"/>
            <w:shd w:val="clear" w:color="auto" w:fill="auto"/>
            <w:vAlign w:val="center"/>
          </w:tcPr>
          <w:p w14:paraId="464DA0E6">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套装采用亚克力材质；至少包含3把肢体角度尺、1把手指角度尺、1把脊椎角度尺</w:t>
            </w:r>
          </w:p>
          <w:p w14:paraId="5E3D15B4">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具备检测机构出具的校准证书</w:t>
            </w:r>
          </w:p>
        </w:tc>
        <w:tc>
          <w:tcPr>
            <w:tcW w:w="627" w:type="dxa"/>
            <w:shd w:val="clear" w:color="auto" w:fill="auto"/>
            <w:noWrap/>
            <w:vAlign w:val="center"/>
          </w:tcPr>
          <w:p w14:paraId="1F0745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w:t>
            </w:r>
          </w:p>
        </w:tc>
        <w:tc>
          <w:tcPr>
            <w:tcW w:w="519" w:type="dxa"/>
            <w:shd w:val="clear" w:color="auto" w:fill="auto"/>
            <w:noWrap/>
            <w:vAlign w:val="center"/>
          </w:tcPr>
          <w:p w14:paraId="021752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w:t>
            </w:r>
          </w:p>
        </w:tc>
        <w:tc>
          <w:tcPr>
            <w:tcW w:w="745" w:type="dxa"/>
            <w:shd w:val="clear" w:color="auto" w:fill="auto"/>
            <w:noWrap/>
            <w:vAlign w:val="center"/>
          </w:tcPr>
          <w:p w14:paraId="1136ED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1000</w:t>
            </w:r>
          </w:p>
        </w:tc>
        <w:tc>
          <w:tcPr>
            <w:tcW w:w="518" w:type="dxa"/>
            <w:shd w:val="clear" w:color="auto" w:fill="auto"/>
            <w:vAlign w:val="center"/>
          </w:tcPr>
          <w:p w14:paraId="1C1A051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5062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567D6D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w:t>
            </w:r>
          </w:p>
        </w:tc>
        <w:tc>
          <w:tcPr>
            <w:tcW w:w="588" w:type="dxa"/>
            <w:shd w:val="clear" w:color="auto" w:fill="auto"/>
            <w:vAlign w:val="center"/>
          </w:tcPr>
          <w:p w14:paraId="2597B9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模块化龙门架</w:t>
            </w:r>
          </w:p>
        </w:tc>
        <w:tc>
          <w:tcPr>
            <w:tcW w:w="5723" w:type="dxa"/>
            <w:shd w:val="clear" w:color="auto" w:fill="auto"/>
            <w:vAlign w:val="center"/>
          </w:tcPr>
          <w:p w14:paraId="4A356CB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主框架采用≥3mm厚度优质钢材</w:t>
            </w:r>
          </w:p>
          <w:p w14:paraId="4F55D3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2、</w:t>
            </w:r>
            <w:r>
              <w:rPr>
                <w:rFonts w:hint="eastAsia" w:ascii="宋体" w:hAnsi="宋体" w:eastAsia="宋体" w:cs="宋体"/>
                <w:color w:val="000000"/>
                <w:sz w:val="21"/>
                <w:szCs w:val="21"/>
                <w:highlight w:val="none"/>
                <w:lang w:bidi="ar"/>
              </w:rPr>
              <w:t>产品采用模块化设计，全系列产品的功能模块、零配件可互换，可根据场地情况以及使用者训练要求自由组合；</w:t>
            </w:r>
          </w:p>
          <w:p w14:paraId="65817B5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bidi="ar"/>
              </w:rPr>
              <w:t>引体向上架为一次性焊接成形多角度把手，把手握把部分采用滚花工艺，双引体向上架设计可满足两人同时训练；</w:t>
            </w:r>
          </w:p>
          <w:p w14:paraId="27E9D48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器材功能模块包括：引体向上架、TRX训练架、深蹲训练架等训练系统；</w:t>
            </w:r>
          </w:p>
          <w:p w14:paraId="5D1E5E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占地面积：≥1400mm*2100mm*2500mm；</w:t>
            </w:r>
          </w:p>
          <w:p w14:paraId="59C989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bidi="ar"/>
              </w:rPr>
              <w:t>最大人体质量；≥200kg</w:t>
            </w:r>
          </w:p>
          <w:p w14:paraId="0097857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7、</w:t>
            </w:r>
            <w:r>
              <w:rPr>
                <w:rFonts w:hint="eastAsia" w:ascii="宋体" w:hAnsi="宋体" w:eastAsia="宋体" w:cs="宋体"/>
                <w:color w:val="000000"/>
                <w:sz w:val="21"/>
                <w:szCs w:val="21"/>
                <w:highlight w:val="none"/>
                <w:lang w:bidi="ar"/>
              </w:rPr>
              <w:t>最大训练载荷；≥400kg</w:t>
            </w:r>
          </w:p>
          <w:p w14:paraId="4F7AFFE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8、</w:t>
            </w:r>
            <w:r>
              <w:rPr>
                <w:rFonts w:hint="eastAsia" w:ascii="宋体" w:hAnsi="宋体" w:eastAsia="宋体" w:cs="宋体"/>
                <w:color w:val="000000"/>
                <w:sz w:val="21"/>
                <w:szCs w:val="21"/>
                <w:highlight w:val="none"/>
                <w:lang w:bidi="ar"/>
              </w:rPr>
              <w:t>重量：机身重量≥351kg。</w:t>
            </w:r>
          </w:p>
          <w:p w14:paraId="0C538AD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9、</w:t>
            </w:r>
            <w:r>
              <w:rPr>
                <w:rFonts w:hint="eastAsia" w:ascii="宋体" w:hAnsi="宋体" w:eastAsia="宋体" w:cs="宋体"/>
                <w:color w:val="000000"/>
                <w:sz w:val="21"/>
                <w:szCs w:val="21"/>
                <w:highlight w:val="none"/>
                <w:lang w:bidi="ar"/>
              </w:rPr>
              <w:t>第三方认证：产品通过国家体育用品质量监督检验中心检测合格，提供检验报告</w:t>
            </w:r>
          </w:p>
        </w:tc>
        <w:tc>
          <w:tcPr>
            <w:tcW w:w="627" w:type="dxa"/>
            <w:shd w:val="clear" w:color="auto" w:fill="auto"/>
            <w:noWrap/>
            <w:vAlign w:val="center"/>
          </w:tcPr>
          <w:p w14:paraId="73E79D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w:t>
            </w:r>
          </w:p>
        </w:tc>
        <w:tc>
          <w:tcPr>
            <w:tcW w:w="519" w:type="dxa"/>
            <w:shd w:val="clear" w:color="auto" w:fill="auto"/>
            <w:noWrap/>
            <w:vAlign w:val="center"/>
          </w:tcPr>
          <w:p w14:paraId="657604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745" w:type="dxa"/>
            <w:shd w:val="clear" w:color="auto" w:fill="auto"/>
            <w:noWrap/>
            <w:vAlign w:val="center"/>
          </w:tcPr>
          <w:p w14:paraId="3EC7E4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w:t>
            </w:r>
          </w:p>
        </w:tc>
        <w:tc>
          <w:tcPr>
            <w:tcW w:w="518" w:type="dxa"/>
            <w:shd w:val="clear" w:color="auto" w:fill="auto"/>
            <w:vAlign w:val="center"/>
          </w:tcPr>
          <w:p w14:paraId="79764D8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58C2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010B77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27</w:t>
            </w:r>
          </w:p>
        </w:tc>
        <w:tc>
          <w:tcPr>
            <w:tcW w:w="588" w:type="dxa"/>
            <w:shd w:val="clear" w:color="auto" w:fill="auto"/>
            <w:vAlign w:val="center"/>
          </w:tcPr>
          <w:p w14:paraId="191C14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瑜伽垫</w:t>
            </w:r>
          </w:p>
        </w:tc>
        <w:tc>
          <w:tcPr>
            <w:tcW w:w="5723" w:type="dxa"/>
            <w:shd w:val="clear" w:color="auto" w:fill="auto"/>
            <w:vAlign w:val="center"/>
          </w:tcPr>
          <w:p w14:paraId="30312D4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1、规格：</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180</w:t>
            </w:r>
            <w:r>
              <w:rPr>
                <w:rFonts w:hint="eastAsia" w:ascii="宋体" w:hAnsi="宋体" w:eastAsia="宋体" w:cs="宋体"/>
                <w:color w:val="000000"/>
                <w:sz w:val="21"/>
                <w:szCs w:val="21"/>
                <w:highlight w:val="none"/>
                <w:lang w:val="en-US" w:eastAsia="zh-CN" w:bidi="ar"/>
              </w:rPr>
              <w:t>cm</w:t>
            </w:r>
            <w:r>
              <w:rPr>
                <w:rFonts w:hint="eastAsia" w:ascii="宋体" w:hAnsi="宋体" w:eastAsia="宋体" w:cs="宋体"/>
                <w:color w:val="000000"/>
                <w:sz w:val="21"/>
                <w:szCs w:val="21"/>
                <w:highlight w:val="none"/>
                <w:lang w:bidi="ar"/>
              </w:rPr>
              <w:t>*80</w:t>
            </w:r>
            <w:r>
              <w:rPr>
                <w:rFonts w:hint="eastAsia" w:ascii="宋体" w:hAnsi="宋体" w:eastAsia="宋体" w:cs="宋体"/>
                <w:color w:val="000000"/>
                <w:sz w:val="21"/>
                <w:szCs w:val="21"/>
                <w:highlight w:val="none"/>
                <w:lang w:val="en-US" w:eastAsia="zh-CN" w:bidi="ar"/>
              </w:rPr>
              <w:t>cm</w:t>
            </w:r>
            <w:r>
              <w:rPr>
                <w:rFonts w:hint="eastAsia" w:ascii="宋体" w:hAnsi="宋体" w:eastAsia="宋体" w:cs="宋体"/>
                <w:color w:val="000000"/>
                <w:sz w:val="21"/>
                <w:szCs w:val="21"/>
                <w:highlight w:val="none"/>
                <w:lang w:bidi="ar"/>
              </w:rPr>
              <w:t>*7mm</w:t>
            </w:r>
          </w:p>
          <w:p w14:paraId="2ACEB46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2、产品特点</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高含量TPE，回弹性高,有较好的防滑性</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抗拉性强，耐用。</w:t>
            </w:r>
          </w:p>
          <w:p w14:paraId="35B514B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3、产品已投保产品责任险 .</w:t>
            </w:r>
          </w:p>
          <w:p w14:paraId="1E3C3C8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4、产品提供在线保养说明和注意事项相关说明  </w:t>
            </w:r>
          </w:p>
        </w:tc>
        <w:tc>
          <w:tcPr>
            <w:tcW w:w="627" w:type="dxa"/>
            <w:shd w:val="clear" w:color="auto" w:fill="auto"/>
            <w:noWrap/>
            <w:vAlign w:val="center"/>
          </w:tcPr>
          <w:p w14:paraId="57EB33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w:t>
            </w:r>
          </w:p>
        </w:tc>
        <w:tc>
          <w:tcPr>
            <w:tcW w:w="519" w:type="dxa"/>
            <w:shd w:val="clear" w:color="auto" w:fill="auto"/>
            <w:noWrap/>
            <w:vAlign w:val="center"/>
          </w:tcPr>
          <w:p w14:paraId="66F2F7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745" w:type="dxa"/>
            <w:shd w:val="clear" w:color="auto" w:fill="auto"/>
            <w:noWrap/>
            <w:vAlign w:val="center"/>
          </w:tcPr>
          <w:p w14:paraId="469391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1990</w:t>
            </w:r>
          </w:p>
        </w:tc>
        <w:tc>
          <w:tcPr>
            <w:tcW w:w="518" w:type="dxa"/>
            <w:shd w:val="clear" w:color="auto" w:fill="auto"/>
            <w:vAlign w:val="center"/>
          </w:tcPr>
          <w:p w14:paraId="10C37EE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43850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598CE7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w:t>
            </w:r>
          </w:p>
        </w:tc>
        <w:tc>
          <w:tcPr>
            <w:tcW w:w="588" w:type="dxa"/>
            <w:shd w:val="clear" w:color="auto" w:fill="auto"/>
            <w:vAlign w:val="center"/>
          </w:tcPr>
          <w:p w14:paraId="34A403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泡沫轴</w:t>
            </w:r>
          </w:p>
        </w:tc>
        <w:tc>
          <w:tcPr>
            <w:tcW w:w="5723" w:type="dxa"/>
            <w:shd w:val="clear" w:color="auto" w:fill="auto"/>
            <w:vAlign w:val="center"/>
          </w:tcPr>
          <w:p w14:paraId="79B7C2E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1、材质：主体内管ABS工程塑料，表皮环保EVA材质，</w:t>
            </w:r>
          </w:p>
          <w:p w14:paraId="024CFC3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2、规格：长度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55cm，直径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14.5cm 内管厚≧3mm </w:t>
            </w:r>
          </w:p>
          <w:p w14:paraId="329FAA0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3、产品已投保产品责任险 </w:t>
            </w:r>
            <w:r>
              <w:rPr>
                <w:rFonts w:hint="eastAsia" w:ascii="宋体" w:hAnsi="宋体" w:eastAsia="宋体" w:cs="宋体"/>
                <w:color w:val="000000"/>
                <w:sz w:val="21"/>
                <w:szCs w:val="21"/>
                <w:highlight w:val="none"/>
                <w:lang w:eastAsia="zh-CN" w:bidi="ar"/>
              </w:rPr>
              <w:t>。</w:t>
            </w:r>
          </w:p>
          <w:p w14:paraId="3791717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4、产品具有第三方检验机构出具的关于材质未含有毒致癌物质多环芳香烃的检测报告。</w:t>
            </w:r>
          </w:p>
          <w:p w14:paraId="0BC59D2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5、产品具有第三方检验机构出具的产品检验检测合格报告                                                                              </w:t>
            </w:r>
          </w:p>
          <w:p w14:paraId="51994E0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6、产品提供在线保养说明和注意事项相关说明                                 </w:t>
            </w:r>
          </w:p>
          <w:p w14:paraId="211A463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7、产品提供在线训练指导视频</w:t>
            </w:r>
          </w:p>
        </w:tc>
        <w:tc>
          <w:tcPr>
            <w:tcW w:w="627" w:type="dxa"/>
            <w:shd w:val="clear" w:color="auto" w:fill="auto"/>
            <w:noWrap/>
            <w:vAlign w:val="center"/>
          </w:tcPr>
          <w:p w14:paraId="2E0344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154</w:t>
            </w:r>
          </w:p>
        </w:tc>
        <w:tc>
          <w:tcPr>
            <w:tcW w:w="519" w:type="dxa"/>
            <w:shd w:val="clear" w:color="auto" w:fill="auto"/>
            <w:noWrap/>
            <w:vAlign w:val="center"/>
          </w:tcPr>
          <w:p w14:paraId="6B06FE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745" w:type="dxa"/>
            <w:shd w:val="clear" w:color="auto" w:fill="auto"/>
            <w:noWrap/>
            <w:vAlign w:val="center"/>
          </w:tcPr>
          <w:p w14:paraId="188001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1540</w:t>
            </w:r>
          </w:p>
        </w:tc>
        <w:tc>
          <w:tcPr>
            <w:tcW w:w="518" w:type="dxa"/>
            <w:shd w:val="clear" w:color="auto" w:fill="auto"/>
            <w:vAlign w:val="center"/>
          </w:tcPr>
          <w:p w14:paraId="2D76BAD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4622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1D7766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29</w:t>
            </w:r>
          </w:p>
        </w:tc>
        <w:tc>
          <w:tcPr>
            <w:tcW w:w="588" w:type="dxa"/>
            <w:shd w:val="clear" w:color="auto" w:fill="auto"/>
            <w:vAlign w:val="center"/>
          </w:tcPr>
          <w:p w14:paraId="2BBCB1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数显弹力带</w:t>
            </w:r>
          </w:p>
        </w:tc>
        <w:tc>
          <w:tcPr>
            <w:tcW w:w="5723" w:type="dxa"/>
            <w:shd w:val="clear" w:color="auto" w:fill="auto"/>
            <w:vAlign w:val="center"/>
          </w:tcPr>
          <w:p w14:paraId="4A3363B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1、材质：天然乳胶</w:t>
            </w:r>
          </w:p>
          <w:p w14:paraId="273AE9F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2、规格：长度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2500mm，宽度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150mm。</w:t>
            </w:r>
          </w:p>
          <w:p w14:paraId="0872D5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3、产品特点：产品表面有分布的数值显示，可以根据不同的力度测出相应的拉力值。</w:t>
            </w:r>
          </w:p>
          <w:p w14:paraId="4DA185D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4、产品已投保产品责任险</w:t>
            </w:r>
            <w:r>
              <w:rPr>
                <w:rFonts w:hint="eastAsia" w:cs="宋体"/>
                <w:color w:val="000000"/>
                <w:sz w:val="21"/>
                <w:szCs w:val="21"/>
                <w:highlight w:val="none"/>
                <w:lang w:eastAsia="zh-CN" w:bidi="ar"/>
              </w:rPr>
              <w:t>。</w:t>
            </w:r>
          </w:p>
          <w:p w14:paraId="39BED24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5、产品具有第三方检验机构出具的关于表皮材质未含有毒致癌物质多环芳香烃的检测报告</w:t>
            </w:r>
          </w:p>
          <w:p w14:paraId="5C0F1F7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6、产品提供在线保养说明和注意事项相关说明                                 </w:t>
            </w:r>
          </w:p>
          <w:p w14:paraId="3475179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7、产品提供在线训练指导视频</w:t>
            </w:r>
          </w:p>
        </w:tc>
        <w:tc>
          <w:tcPr>
            <w:tcW w:w="627" w:type="dxa"/>
            <w:shd w:val="clear" w:color="auto" w:fill="auto"/>
            <w:noWrap/>
            <w:vAlign w:val="center"/>
          </w:tcPr>
          <w:p w14:paraId="62BB33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w:t>
            </w:r>
          </w:p>
        </w:tc>
        <w:tc>
          <w:tcPr>
            <w:tcW w:w="519" w:type="dxa"/>
            <w:shd w:val="clear" w:color="auto" w:fill="auto"/>
            <w:noWrap/>
            <w:vAlign w:val="center"/>
          </w:tcPr>
          <w:p w14:paraId="30BE88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745" w:type="dxa"/>
            <w:shd w:val="clear" w:color="auto" w:fill="auto"/>
            <w:noWrap/>
            <w:vAlign w:val="center"/>
          </w:tcPr>
          <w:p w14:paraId="1B84A5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1990</w:t>
            </w:r>
          </w:p>
        </w:tc>
        <w:tc>
          <w:tcPr>
            <w:tcW w:w="518" w:type="dxa"/>
            <w:shd w:val="clear" w:color="auto" w:fill="auto"/>
            <w:vAlign w:val="center"/>
          </w:tcPr>
          <w:p w14:paraId="3A4E509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52603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 w:hRule="atLeast"/>
          <w:jc w:val="center"/>
        </w:trPr>
        <w:tc>
          <w:tcPr>
            <w:tcW w:w="340" w:type="dxa"/>
            <w:shd w:val="clear" w:color="auto" w:fill="auto"/>
            <w:vAlign w:val="center"/>
          </w:tcPr>
          <w:p w14:paraId="72A1B7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w:t>
            </w:r>
          </w:p>
        </w:tc>
        <w:tc>
          <w:tcPr>
            <w:tcW w:w="588" w:type="dxa"/>
            <w:shd w:val="clear" w:color="auto" w:fill="auto"/>
            <w:vAlign w:val="center"/>
          </w:tcPr>
          <w:p w14:paraId="0C6226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感统训练跨栏</w:t>
            </w:r>
          </w:p>
        </w:tc>
        <w:tc>
          <w:tcPr>
            <w:tcW w:w="5723" w:type="dxa"/>
            <w:shd w:val="clear" w:color="auto" w:fill="auto"/>
            <w:vAlign w:val="center"/>
          </w:tcPr>
          <w:p w14:paraId="6580294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1、材质：PVC</w:t>
            </w:r>
          </w:p>
          <w:p w14:paraId="6FBB999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2、规格：</w:t>
            </w:r>
            <w:r>
              <w:rPr>
                <w:rFonts w:hint="eastAsia" w:ascii="宋体" w:hAnsi="宋体" w:eastAsia="宋体" w:cs="宋体"/>
                <w:color w:val="000000"/>
                <w:sz w:val="21"/>
                <w:szCs w:val="21"/>
                <w:highlight w:val="none"/>
                <w:lang w:val="en-US" w:eastAsia="zh-CN" w:bidi="ar"/>
              </w:rPr>
              <w:t>包含</w:t>
            </w:r>
            <w:r>
              <w:rPr>
                <w:rFonts w:hint="eastAsia" w:ascii="宋体" w:hAnsi="宋体" w:eastAsia="宋体" w:cs="宋体"/>
                <w:color w:val="000000"/>
                <w:sz w:val="21"/>
                <w:szCs w:val="21"/>
                <w:highlight w:val="none"/>
                <w:lang w:bidi="ar"/>
              </w:rPr>
              <w:t>4英寸</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6英寸</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9英寸</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12英寸</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15英寸</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18英寸</w:t>
            </w:r>
            <w:r>
              <w:rPr>
                <w:rFonts w:hint="eastAsia" w:ascii="宋体" w:hAnsi="宋体" w:eastAsia="宋体" w:cs="宋体"/>
                <w:color w:val="000000"/>
                <w:sz w:val="21"/>
                <w:szCs w:val="21"/>
                <w:highlight w:val="none"/>
                <w:lang w:val="en-US" w:eastAsia="zh-CN" w:bidi="ar"/>
              </w:rPr>
              <w:t>6个不同规格跨栏；</w:t>
            </w:r>
          </w:p>
          <w:p w14:paraId="589AF5B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3、优点：一体式轻盈工程塑料制成，不易碎裂</w:t>
            </w:r>
          </w:p>
          <w:p w14:paraId="61A2C49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4、用途：能够很好的提高人的灵敏性，遇到障碍物的反应能力和提高弹跳能力，以及一些运动中对步伐的要求</w:t>
            </w:r>
          </w:p>
          <w:p w14:paraId="43B9178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5、产品投保产品责任险</w:t>
            </w:r>
          </w:p>
          <w:p w14:paraId="1AE669F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6、产品具有第三方检验机构出具的关于材质未含有毒致癌物质多环芳香烃的检测报告。</w:t>
            </w:r>
          </w:p>
        </w:tc>
        <w:tc>
          <w:tcPr>
            <w:tcW w:w="627" w:type="dxa"/>
            <w:shd w:val="clear" w:color="auto" w:fill="auto"/>
            <w:noWrap/>
            <w:vAlign w:val="center"/>
          </w:tcPr>
          <w:p w14:paraId="2BFF5E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359</w:t>
            </w:r>
          </w:p>
        </w:tc>
        <w:tc>
          <w:tcPr>
            <w:tcW w:w="519" w:type="dxa"/>
            <w:shd w:val="clear" w:color="auto" w:fill="auto"/>
            <w:noWrap/>
            <w:vAlign w:val="center"/>
          </w:tcPr>
          <w:p w14:paraId="62C1D6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01CA5F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718</w:t>
            </w:r>
          </w:p>
        </w:tc>
        <w:tc>
          <w:tcPr>
            <w:tcW w:w="518" w:type="dxa"/>
            <w:shd w:val="clear" w:color="auto" w:fill="auto"/>
            <w:vAlign w:val="center"/>
          </w:tcPr>
          <w:p w14:paraId="4B5524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394A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453D08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w:t>
            </w:r>
          </w:p>
        </w:tc>
        <w:tc>
          <w:tcPr>
            <w:tcW w:w="588" w:type="dxa"/>
            <w:shd w:val="clear" w:color="auto" w:fill="auto"/>
            <w:vAlign w:val="center"/>
          </w:tcPr>
          <w:p w14:paraId="26A110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训练标志桶</w:t>
            </w:r>
          </w:p>
        </w:tc>
        <w:tc>
          <w:tcPr>
            <w:tcW w:w="5723" w:type="dxa"/>
            <w:shd w:val="clear" w:color="auto" w:fill="auto"/>
            <w:vAlign w:val="center"/>
          </w:tcPr>
          <w:p w14:paraId="454EC20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w:t>
            </w:r>
            <w:r>
              <w:rPr>
                <w:rFonts w:hint="eastAsia" w:ascii="宋体" w:hAnsi="宋体" w:eastAsia="宋体" w:cs="宋体"/>
                <w:color w:val="000000"/>
                <w:sz w:val="21"/>
                <w:szCs w:val="21"/>
                <w:highlight w:val="none"/>
                <w:lang w:val="en-US" w:eastAsia="zh-CN" w:bidi="ar"/>
              </w:rPr>
              <w:t>采用</w:t>
            </w:r>
            <w:r>
              <w:rPr>
                <w:rFonts w:hint="eastAsia" w:ascii="宋体" w:hAnsi="宋体" w:eastAsia="宋体" w:cs="宋体"/>
                <w:color w:val="000000"/>
                <w:sz w:val="21"/>
                <w:szCs w:val="21"/>
                <w:highlight w:val="none"/>
                <w:lang w:bidi="ar"/>
              </w:rPr>
              <w:t>PE材料。</w:t>
            </w:r>
          </w:p>
          <w:p w14:paraId="60CB76E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2、规格：一套为8只，</w:t>
            </w:r>
            <w:r>
              <w:rPr>
                <w:rFonts w:hint="eastAsia" w:ascii="宋体" w:hAnsi="宋体" w:eastAsia="宋体" w:cs="宋体"/>
                <w:color w:val="000000"/>
                <w:sz w:val="21"/>
                <w:szCs w:val="21"/>
                <w:highlight w:val="none"/>
                <w:lang w:val="en-US" w:eastAsia="zh-CN" w:bidi="ar"/>
              </w:rPr>
              <w:t>两种颜色</w:t>
            </w:r>
            <w:r>
              <w:rPr>
                <w:rFonts w:hint="eastAsia" w:ascii="宋体" w:hAnsi="宋体" w:eastAsia="宋体" w:cs="宋体"/>
                <w:color w:val="000000"/>
                <w:sz w:val="21"/>
                <w:szCs w:val="21"/>
                <w:highlight w:val="none"/>
                <w:lang w:bidi="ar"/>
              </w:rPr>
              <w:t>各4只，单只边长</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20CM，高度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24.5CM，产品要求二只顶部可以对插，对插后高度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46CM。</w:t>
            </w:r>
          </w:p>
          <w:p w14:paraId="5B9962E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bidi="ar"/>
              </w:rPr>
              <w:t>、产品已投保产品责任险 .</w:t>
            </w:r>
          </w:p>
          <w:p w14:paraId="4CB851D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、产品具有第三方检验机构出具的关于产品材质与人体接触无毒害物质或过敏反应的报告</w:t>
            </w:r>
          </w:p>
          <w:p w14:paraId="0F0DBB5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 xml:space="preserve">、产品提供在线保养说明和注意事项相关说明                                 </w:t>
            </w:r>
          </w:p>
          <w:p w14:paraId="2838B94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bidi="ar"/>
              </w:rPr>
              <w:t>、产品提供在线训练指导视频</w:t>
            </w:r>
          </w:p>
        </w:tc>
        <w:tc>
          <w:tcPr>
            <w:tcW w:w="627" w:type="dxa"/>
            <w:shd w:val="clear" w:color="auto" w:fill="auto"/>
            <w:noWrap/>
            <w:vAlign w:val="center"/>
          </w:tcPr>
          <w:p w14:paraId="27FA32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650</w:t>
            </w:r>
          </w:p>
        </w:tc>
        <w:tc>
          <w:tcPr>
            <w:tcW w:w="519" w:type="dxa"/>
            <w:shd w:val="clear" w:color="auto" w:fill="auto"/>
            <w:noWrap/>
            <w:vAlign w:val="center"/>
          </w:tcPr>
          <w:p w14:paraId="3084C1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1AD3AB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1300</w:t>
            </w:r>
          </w:p>
        </w:tc>
        <w:tc>
          <w:tcPr>
            <w:tcW w:w="518" w:type="dxa"/>
            <w:shd w:val="clear" w:color="auto" w:fill="auto"/>
            <w:vAlign w:val="center"/>
          </w:tcPr>
          <w:p w14:paraId="1A0F1C6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13AF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5597B8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32</w:t>
            </w:r>
          </w:p>
        </w:tc>
        <w:tc>
          <w:tcPr>
            <w:tcW w:w="588" w:type="dxa"/>
            <w:shd w:val="clear" w:color="auto" w:fill="auto"/>
            <w:vAlign w:val="center"/>
          </w:tcPr>
          <w:p w14:paraId="1DF14A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瑜伽球</w:t>
            </w:r>
          </w:p>
        </w:tc>
        <w:tc>
          <w:tcPr>
            <w:tcW w:w="5723" w:type="dxa"/>
            <w:shd w:val="clear" w:color="auto" w:fill="auto"/>
            <w:vAlign w:val="center"/>
          </w:tcPr>
          <w:p w14:paraId="5E021A9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1、材质：环保PVC材质</w:t>
            </w:r>
          </w:p>
          <w:p w14:paraId="0AF1E48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2、规格</w:t>
            </w:r>
            <w:r>
              <w:rPr>
                <w:rFonts w:hint="eastAsia" w:ascii="宋体" w:hAnsi="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val="en-US" w:eastAsia="zh-CN" w:bidi="ar"/>
              </w:rPr>
              <w:t>≥75cm，≥2200克；产品配备有气筒，气拔，气塞。</w:t>
            </w:r>
          </w:p>
          <w:p w14:paraId="69C98F8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3、产品已投保产品责任险 .</w:t>
            </w:r>
          </w:p>
          <w:p w14:paraId="5C10FD1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4、产品具有认证检测机构出具的防爆测试</w:t>
            </w:r>
            <w:r>
              <w:rPr>
                <w:rFonts w:hint="eastAsia" w:ascii="宋体" w:hAnsi="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val="en-US" w:eastAsia="zh-CN" w:bidi="ar"/>
              </w:rPr>
              <w:t>在不小于150公斤压力小，针刺物刺破球体后，逐渐漏气，不爆裂）检验报告。</w:t>
            </w:r>
          </w:p>
          <w:p w14:paraId="5782CD2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5、产品具有国家体育用品质量检验检测中心出具的产品检验检测合格报告                                                                             </w:t>
            </w:r>
          </w:p>
          <w:p w14:paraId="0BA07C3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6、产品提供在线保养说明和注意事项相关说明                                 </w:t>
            </w:r>
          </w:p>
          <w:p w14:paraId="1662AA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7、产品提供在线训练指导视频</w:t>
            </w:r>
          </w:p>
        </w:tc>
        <w:tc>
          <w:tcPr>
            <w:tcW w:w="627" w:type="dxa"/>
            <w:shd w:val="clear" w:color="auto" w:fill="auto"/>
            <w:noWrap/>
            <w:vAlign w:val="center"/>
          </w:tcPr>
          <w:p w14:paraId="532FE7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121</w:t>
            </w:r>
          </w:p>
        </w:tc>
        <w:tc>
          <w:tcPr>
            <w:tcW w:w="519" w:type="dxa"/>
            <w:shd w:val="clear" w:color="auto" w:fill="auto"/>
            <w:noWrap/>
            <w:vAlign w:val="center"/>
          </w:tcPr>
          <w:p w14:paraId="240DC2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745" w:type="dxa"/>
            <w:shd w:val="clear" w:color="auto" w:fill="auto"/>
            <w:noWrap/>
            <w:vAlign w:val="center"/>
          </w:tcPr>
          <w:p w14:paraId="61735E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1210</w:t>
            </w:r>
          </w:p>
        </w:tc>
        <w:tc>
          <w:tcPr>
            <w:tcW w:w="518" w:type="dxa"/>
            <w:shd w:val="clear" w:color="auto" w:fill="auto"/>
            <w:vAlign w:val="center"/>
          </w:tcPr>
          <w:p w14:paraId="2C5ABC5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607E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015494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33</w:t>
            </w:r>
          </w:p>
        </w:tc>
        <w:tc>
          <w:tcPr>
            <w:tcW w:w="588" w:type="dxa"/>
            <w:shd w:val="clear" w:color="auto" w:fill="auto"/>
            <w:vAlign w:val="center"/>
          </w:tcPr>
          <w:p w14:paraId="32D133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悬挂式训练带</w:t>
            </w:r>
          </w:p>
        </w:tc>
        <w:tc>
          <w:tcPr>
            <w:tcW w:w="5723" w:type="dxa"/>
            <w:shd w:val="clear" w:color="auto" w:fill="auto"/>
            <w:vAlign w:val="center"/>
          </w:tcPr>
          <w:p w14:paraId="2FA520F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1、材质：训练带部分（涤纶材料+尼龙材料）， 把手部分（ABS材料+TPR材料 ），安全扣采用合金钢材质，缝线：高强度丝光线，收纳袋：涤纶材料。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w:t>
            </w:r>
          </w:p>
          <w:p w14:paraId="47E84F5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1）主带宽度≥3.8cm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主带最大可延长45cm</w:t>
            </w:r>
          </w:p>
          <w:p w14:paraId="55F2750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2）把手长度≥133mm ，中间最大直径≥32mm</w:t>
            </w:r>
          </w:p>
          <w:p w14:paraId="34546C9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3）悬挂带长度：≥88cm（不含钩子），宽度：≥3.8cm</w:t>
            </w:r>
          </w:p>
          <w:p w14:paraId="5B70902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4）延长带长度：≥91cm   宽度：≥3.8cm</w:t>
            </w:r>
          </w:p>
          <w:p w14:paraId="22DBE5E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5）门扣尺寸：≥8.5*12.5cm  织带长度：≥29cm 织带宽度3.8cm</w:t>
            </w:r>
          </w:p>
          <w:p w14:paraId="742FC44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6）安全扣：≥108×54mm，≥线径10mm </w:t>
            </w:r>
          </w:p>
          <w:p w14:paraId="6ED0D19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 xml:space="preserve">7）收纳袋尺寸：≥25*23cm。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3、产品特点 ：产品在一个便携式训练系统中完成力量、平衡、核心稳定性、柔韧性训练。只需将产品固定在任何固定物体上，即可开始训练，合金钢安全扣保证使用者的安全性。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4、产品已投保产品责任险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5、产品安全扣可以承受13KN的最大拉力，并具有相应的第三方检测报告。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6、产品提供在线保养说明和注意事项相关说明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7、产品提供在线训练指导视频</w:t>
            </w:r>
          </w:p>
        </w:tc>
        <w:tc>
          <w:tcPr>
            <w:tcW w:w="627" w:type="dxa"/>
            <w:shd w:val="clear" w:color="auto" w:fill="auto"/>
            <w:noWrap/>
            <w:vAlign w:val="center"/>
          </w:tcPr>
          <w:p w14:paraId="1FB8AA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279</w:t>
            </w:r>
          </w:p>
        </w:tc>
        <w:tc>
          <w:tcPr>
            <w:tcW w:w="519" w:type="dxa"/>
            <w:shd w:val="clear" w:color="auto" w:fill="auto"/>
            <w:noWrap/>
            <w:vAlign w:val="center"/>
          </w:tcPr>
          <w:p w14:paraId="196F82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tc>
        <w:tc>
          <w:tcPr>
            <w:tcW w:w="745" w:type="dxa"/>
            <w:shd w:val="clear" w:color="auto" w:fill="auto"/>
            <w:noWrap/>
            <w:vAlign w:val="center"/>
          </w:tcPr>
          <w:p w14:paraId="36D3AA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1674</w:t>
            </w:r>
          </w:p>
        </w:tc>
        <w:tc>
          <w:tcPr>
            <w:tcW w:w="518" w:type="dxa"/>
            <w:shd w:val="clear" w:color="auto" w:fill="auto"/>
            <w:vAlign w:val="center"/>
          </w:tcPr>
          <w:p w14:paraId="23D38D1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6A93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1FA6AE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34</w:t>
            </w:r>
          </w:p>
        </w:tc>
        <w:tc>
          <w:tcPr>
            <w:tcW w:w="588" w:type="dxa"/>
            <w:shd w:val="clear" w:color="auto" w:fill="auto"/>
            <w:vAlign w:val="center"/>
          </w:tcPr>
          <w:p w14:paraId="284ECB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平衡垫</w:t>
            </w:r>
          </w:p>
        </w:tc>
        <w:tc>
          <w:tcPr>
            <w:tcW w:w="5723" w:type="dxa"/>
            <w:shd w:val="clear" w:color="auto" w:fill="auto"/>
            <w:vAlign w:val="center"/>
          </w:tcPr>
          <w:p w14:paraId="4162DD8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1、材质：环保PVC材料</w:t>
            </w:r>
          </w:p>
          <w:p w14:paraId="4DFB8EC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2、规格：直径≧33cm，高度≧4.8cm</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 xml:space="preserve">                                        </w:t>
            </w:r>
          </w:p>
          <w:p w14:paraId="335A657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3、产品已投保产品责任险 .</w:t>
            </w:r>
          </w:p>
          <w:p w14:paraId="3A9404B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4、产品具有第三方检验机构出具的关于产品材质与人体接触无毒害物质或过敏反应的报告</w:t>
            </w:r>
          </w:p>
          <w:p w14:paraId="3228D5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 xml:space="preserve">、产品提供在线保养说明和注意事项相关说明                                 </w:t>
            </w:r>
          </w:p>
          <w:p w14:paraId="405DF36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bidi="ar"/>
              </w:rPr>
              <w:t>、产品提供在线训练指导视频</w:t>
            </w:r>
          </w:p>
        </w:tc>
        <w:tc>
          <w:tcPr>
            <w:tcW w:w="627" w:type="dxa"/>
            <w:shd w:val="clear" w:color="auto" w:fill="auto"/>
            <w:noWrap/>
            <w:vAlign w:val="center"/>
          </w:tcPr>
          <w:p w14:paraId="355A8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w:t>
            </w:r>
          </w:p>
        </w:tc>
        <w:tc>
          <w:tcPr>
            <w:tcW w:w="519" w:type="dxa"/>
            <w:shd w:val="clear" w:color="auto" w:fill="auto"/>
            <w:noWrap/>
            <w:vAlign w:val="center"/>
          </w:tcPr>
          <w:p w14:paraId="0E8616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tc>
        <w:tc>
          <w:tcPr>
            <w:tcW w:w="745" w:type="dxa"/>
            <w:shd w:val="clear" w:color="auto" w:fill="auto"/>
            <w:noWrap/>
            <w:vAlign w:val="center"/>
          </w:tcPr>
          <w:p w14:paraId="6A5294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1320</w:t>
            </w:r>
          </w:p>
        </w:tc>
        <w:tc>
          <w:tcPr>
            <w:tcW w:w="518" w:type="dxa"/>
            <w:shd w:val="clear" w:color="auto" w:fill="auto"/>
            <w:vAlign w:val="center"/>
          </w:tcPr>
          <w:p w14:paraId="3AC9CE9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3DB7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3F3CFA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35</w:t>
            </w:r>
          </w:p>
        </w:tc>
        <w:tc>
          <w:tcPr>
            <w:tcW w:w="588" w:type="dxa"/>
            <w:shd w:val="clear" w:color="auto" w:fill="auto"/>
            <w:vAlign w:val="center"/>
          </w:tcPr>
          <w:p w14:paraId="141415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跳箱</w:t>
            </w:r>
          </w:p>
        </w:tc>
        <w:tc>
          <w:tcPr>
            <w:tcW w:w="5723" w:type="dxa"/>
            <w:shd w:val="clear" w:color="auto" w:fill="auto"/>
            <w:vAlign w:val="center"/>
          </w:tcPr>
          <w:p w14:paraId="2A50732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1、材质：面料：1000D PVC夹网布，填充物：EPE珍珠棉+PE板       </w:t>
            </w:r>
          </w:p>
          <w:p w14:paraId="4D1C467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2、规格：长：≥90cm 宽：≥75cm高度：包含15cm/30cm/45cm/60cm四个高度</w:t>
            </w:r>
          </w:p>
          <w:p w14:paraId="063965F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3、产品投保产品责任险                             </w:t>
            </w:r>
          </w:p>
          <w:p w14:paraId="4099D4B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4、产品提供保养说明和</w:t>
            </w:r>
            <w:r>
              <w:rPr>
                <w:rFonts w:hint="eastAsia" w:ascii="宋体" w:hAnsi="宋体" w:eastAsia="宋体" w:cs="宋体"/>
                <w:color w:val="000000"/>
                <w:sz w:val="21"/>
                <w:szCs w:val="21"/>
                <w:highlight w:val="none"/>
                <w:lang w:bidi="ar"/>
              </w:rPr>
              <w:t xml:space="preserve">注意事项相关说明                                                                </w:t>
            </w: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、产品需提供训练视频</w:t>
            </w:r>
          </w:p>
        </w:tc>
        <w:tc>
          <w:tcPr>
            <w:tcW w:w="627" w:type="dxa"/>
            <w:shd w:val="clear" w:color="auto" w:fill="auto"/>
            <w:noWrap/>
            <w:vAlign w:val="center"/>
          </w:tcPr>
          <w:p w14:paraId="5FFDAF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4000</w:t>
            </w:r>
          </w:p>
        </w:tc>
        <w:tc>
          <w:tcPr>
            <w:tcW w:w="519" w:type="dxa"/>
            <w:shd w:val="clear" w:color="auto" w:fill="auto"/>
            <w:noWrap/>
            <w:vAlign w:val="center"/>
          </w:tcPr>
          <w:p w14:paraId="6F743D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3CC396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8000</w:t>
            </w:r>
          </w:p>
        </w:tc>
        <w:tc>
          <w:tcPr>
            <w:tcW w:w="518" w:type="dxa"/>
            <w:shd w:val="clear" w:color="auto" w:fill="auto"/>
            <w:vAlign w:val="center"/>
          </w:tcPr>
          <w:p w14:paraId="2013FCF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0F11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423144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w:t>
            </w:r>
          </w:p>
        </w:tc>
        <w:tc>
          <w:tcPr>
            <w:tcW w:w="588" w:type="dxa"/>
            <w:shd w:val="clear" w:color="auto" w:fill="auto"/>
            <w:vAlign w:val="center"/>
          </w:tcPr>
          <w:p w14:paraId="0F1DC9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壶铃</w:t>
            </w:r>
          </w:p>
        </w:tc>
        <w:tc>
          <w:tcPr>
            <w:tcW w:w="5723" w:type="dxa"/>
            <w:shd w:val="clear" w:color="auto" w:fill="auto"/>
            <w:vAlign w:val="center"/>
          </w:tcPr>
          <w:p w14:paraId="18D9B03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1、材质：铸铁材质，中部铝质彩色标牌，要求表面覆精细膜砂，平滑干净。</w:t>
            </w:r>
          </w:p>
          <w:p w14:paraId="6431F35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2、规格：4kg/6kg握把直径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26mm，产品整体高度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215mm，握把中部间距</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120mm，把手中部下端与球体中部上端间距</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53mm</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8kg/12kg/16kg/20kg/24kg/28kg/32kg握把直径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32mm，产品整体高度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287mm，握把中部间距</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125mm，把手中部下端与球体中部上端间距</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66mm</w:t>
            </w:r>
          </w:p>
          <w:p w14:paraId="305495E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3、产品特点：覆膜砂精细铸造壶体，表面平滑干净</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把手与壶身一体成型，更美观，把手根部握感更舒适</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弧形大铝标与壶身贴合，外观更大气，有质感</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人体工程设计的把手，握感更佳。</w:t>
            </w:r>
          </w:p>
          <w:p w14:paraId="0859D9D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4、产品已投保产品责任险 </w:t>
            </w:r>
          </w:p>
          <w:p w14:paraId="532112B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5、产品具第三方检验机构出具的经盐雾测试后无明显锈迹的检验报告  </w:t>
            </w:r>
          </w:p>
          <w:p w14:paraId="35DCE69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6、产品具有国家体育用品质量检验检测中心出具的产品检验检测合格报告   </w:t>
            </w:r>
          </w:p>
          <w:p w14:paraId="6D5A4D1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7、产品提供在线保养说明和注意事项相关说明                                 </w:t>
            </w:r>
          </w:p>
          <w:p w14:paraId="468AC06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8、产品提供在线训练指导视频</w:t>
            </w:r>
          </w:p>
        </w:tc>
        <w:tc>
          <w:tcPr>
            <w:tcW w:w="627" w:type="dxa"/>
            <w:shd w:val="clear" w:color="auto" w:fill="auto"/>
            <w:noWrap/>
            <w:vAlign w:val="center"/>
          </w:tcPr>
          <w:p w14:paraId="449F81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4351</w:t>
            </w:r>
          </w:p>
        </w:tc>
        <w:tc>
          <w:tcPr>
            <w:tcW w:w="519" w:type="dxa"/>
            <w:shd w:val="clear" w:color="auto" w:fill="auto"/>
            <w:noWrap/>
            <w:vAlign w:val="center"/>
          </w:tcPr>
          <w:p w14:paraId="6A6B31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7665F2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8702</w:t>
            </w:r>
          </w:p>
        </w:tc>
        <w:tc>
          <w:tcPr>
            <w:tcW w:w="518" w:type="dxa"/>
            <w:shd w:val="clear" w:color="auto" w:fill="auto"/>
            <w:vAlign w:val="center"/>
          </w:tcPr>
          <w:p w14:paraId="55BD8D7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6F1F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226A4F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37</w:t>
            </w:r>
          </w:p>
        </w:tc>
        <w:tc>
          <w:tcPr>
            <w:tcW w:w="588" w:type="dxa"/>
            <w:shd w:val="clear" w:color="auto" w:fill="auto"/>
            <w:vAlign w:val="center"/>
          </w:tcPr>
          <w:p w14:paraId="781D42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哑铃</w:t>
            </w:r>
          </w:p>
        </w:tc>
        <w:tc>
          <w:tcPr>
            <w:tcW w:w="5723" w:type="dxa"/>
            <w:shd w:val="clear" w:color="auto" w:fill="auto"/>
            <w:vAlign w:val="center"/>
          </w:tcPr>
          <w:p w14:paraId="2CFF09E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1、材质：把手外层不锈钢材质，内层A3#钢，球体内芯圆钢材质，哑铃头包胶层厚度15mm-20mm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重量标识使用PVC材质。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2、规格：一套共计6个不同重量规格</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2.5KG-15KG</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每个规格各2只</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共12只，2.5KG /5KG /7.5KG /10KG要求 把手直径≥30mm 把手长度≥148mm，12.5KG/15KG要求把手直径≥32mm 把手长度≥148mm。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3、产品特点：独特的外观设计</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把手表面为不锈钢，不易氧化，高含量橡胶包胶层，结实耐用。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4、产品已投保产品责任险。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 xml:space="preserve">、产品橡胶材质部分具有限用物质和重金属物质含量不超国标的检测报告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 xml:space="preserve">、产品具有第三方检测报告出具的关于盐雾测试报告 （试液中含试剂浓度：氯化钠 Nacl:50±5g/L, 盐雾箱内温度：35±2℃，检验结果无锈迹表现，功能正常）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、产品提供在线训练指导视频</w:t>
            </w:r>
          </w:p>
        </w:tc>
        <w:tc>
          <w:tcPr>
            <w:tcW w:w="627" w:type="dxa"/>
            <w:shd w:val="clear" w:color="auto" w:fill="auto"/>
            <w:noWrap/>
            <w:vAlign w:val="center"/>
          </w:tcPr>
          <w:p w14:paraId="3629B3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2709</w:t>
            </w:r>
          </w:p>
        </w:tc>
        <w:tc>
          <w:tcPr>
            <w:tcW w:w="519" w:type="dxa"/>
            <w:shd w:val="clear" w:color="auto" w:fill="auto"/>
            <w:noWrap/>
            <w:vAlign w:val="center"/>
          </w:tcPr>
          <w:p w14:paraId="0C1A6F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0C338B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5418</w:t>
            </w:r>
          </w:p>
        </w:tc>
        <w:tc>
          <w:tcPr>
            <w:tcW w:w="518" w:type="dxa"/>
            <w:shd w:val="clear" w:color="auto" w:fill="auto"/>
            <w:vAlign w:val="center"/>
          </w:tcPr>
          <w:p w14:paraId="0ACFF4A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3780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69E6FB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38</w:t>
            </w:r>
          </w:p>
        </w:tc>
        <w:tc>
          <w:tcPr>
            <w:tcW w:w="588" w:type="dxa"/>
            <w:shd w:val="clear" w:color="auto" w:fill="auto"/>
            <w:vAlign w:val="center"/>
          </w:tcPr>
          <w:p w14:paraId="33460C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重力球</w:t>
            </w:r>
          </w:p>
        </w:tc>
        <w:tc>
          <w:tcPr>
            <w:tcW w:w="5723" w:type="dxa"/>
            <w:shd w:val="clear" w:color="auto" w:fill="auto"/>
            <w:vAlign w:val="center"/>
          </w:tcPr>
          <w:p w14:paraId="439204E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1、材质：1）外皮最外层凯夫拉面料，防滑以及耐用性更强。 2）外皮中层EVA材料（用于增加抓握感）3）外皮内层牛津布，主要增加强度和面料板型。4）内部填橡胶颗粒和PP棉，用于保持中心的稳定。5）缝线：丝光线，坚韧性更强。</w:t>
            </w:r>
          </w:p>
          <w:p w14:paraId="68000B3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2、产品特点：超强材料，抗拉，耐磨，可在室外使用</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材料表面摩擦力强，使用不易脱手，打滑</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充足的填充物，以及一定弹性强度的外皮，保证球在摔打后，有一定的弹性</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高强度的缝线保证球的耐用性</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球直径较小，双手抓更容易发力，做爆发、力量摔砸投训练。</w:t>
            </w:r>
          </w:p>
          <w:p w14:paraId="7A9EE72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3、产品已投保产品责任险</w:t>
            </w:r>
          </w:p>
          <w:p w14:paraId="1F771A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4、产品无刺激性气味，同时具有第三方检验机构出具的关于产品材质对人体皮肤无伤害的检测报告。                                                                                              </w:t>
            </w:r>
          </w:p>
          <w:p w14:paraId="309C301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5、</w:t>
            </w:r>
            <w:r>
              <w:rPr>
                <w:rFonts w:hint="eastAsia" w:ascii="宋体" w:hAnsi="宋体" w:eastAsia="宋体" w:cs="宋体"/>
                <w:color w:val="000000"/>
                <w:sz w:val="21"/>
                <w:szCs w:val="21"/>
                <w:highlight w:val="none"/>
                <w:lang w:val="en-US" w:eastAsia="zh-CN" w:bidi="ar"/>
              </w:rPr>
              <w:t>一套包含4、6、8、10、12、14、16、18、20LB9个规格</w:t>
            </w:r>
          </w:p>
          <w:p w14:paraId="6A622C2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6、产品提供在线保养说明和注意事项相关说明                                 </w:t>
            </w:r>
          </w:p>
          <w:p w14:paraId="5DD01FF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7、产品提供在线训练指导视频</w:t>
            </w:r>
          </w:p>
        </w:tc>
        <w:tc>
          <w:tcPr>
            <w:tcW w:w="627" w:type="dxa"/>
            <w:shd w:val="clear" w:color="auto" w:fill="auto"/>
            <w:noWrap/>
            <w:vAlign w:val="center"/>
          </w:tcPr>
          <w:p w14:paraId="0A1D84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3136</w:t>
            </w:r>
          </w:p>
        </w:tc>
        <w:tc>
          <w:tcPr>
            <w:tcW w:w="519" w:type="dxa"/>
            <w:shd w:val="clear" w:color="auto" w:fill="auto"/>
            <w:noWrap/>
            <w:vAlign w:val="center"/>
          </w:tcPr>
          <w:p w14:paraId="18B391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745" w:type="dxa"/>
            <w:shd w:val="clear" w:color="auto" w:fill="auto"/>
            <w:noWrap/>
            <w:vAlign w:val="center"/>
          </w:tcPr>
          <w:p w14:paraId="619744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6272</w:t>
            </w:r>
          </w:p>
        </w:tc>
        <w:tc>
          <w:tcPr>
            <w:tcW w:w="518" w:type="dxa"/>
            <w:shd w:val="clear" w:color="auto" w:fill="auto"/>
            <w:vAlign w:val="center"/>
          </w:tcPr>
          <w:p w14:paraId="2F4ECD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5248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65965B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39</w:t>
            </w:r>
          </w:p>
        </w:tc>
        <w:tc>
          <w:tcPr>
            <w:tcW w:w="588" w:type="dxa"/>
            <w:shd w:val="clear" w:color="auto" w:fill="auto"/>
            <w:vAlign w:val="center"/>
          </w:tcPr>
          <w:p w14:paraId="33D0A8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脊柱侧弯训练棒</w:t>
            </w:r>
          </w:p>
        </w:tc>
        <w:tc>
          <w:tcPr>
            <w:tcW w:w="5723" w:type="dxa"/>
            <w:shd w:val="clear" w:color="auto" w:fill="auto"/>
            <w:vAlign w:val="center"/>
          </w:tcPr>
          <w:p w14:paraId="6DEFAFC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1、产品规格</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材质木质；训练棒长度：</w:t>
            </w:r>
            <w:r>
              <w:rPr>
                <w:rFonts w:hint="eastAsia" w:ascii="宋体" w:hAnsi="宋体" w:eastAsia="宋体" w:cs="宋体"/>
                <w:color w:val="000000"/>
                <w:sz w:val="21"/>
                <w:szCs w:val="21"/>
                <w:highlight w:val="none"/>
                <w:lang w:bidi="ar"/>
              </w:rPr>
              <w:t>1.5m</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1.8m</w:t>
            </w:r>
          </w:p>
        </w:tc>
        <w:tc>
          <w:tcPr>
            <w:tcW w:w="627" w:type="dxa"/>
            <w:shd w:val="clear" w:color="auto" w:fill="auto"/>
            <w:noWrap/>
            <w:vAlign w:val="center"/>
          </w:tcPr>
          <w:p w14:paraId="62D904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w:t>
            </w:r>
          </w:p>
        </w:tc>
        <w:tc>
          <w:tcPr>
            <w:tcW w:w="519" w:type="dxa"/>
            <w:shd w:val="clear" w:color="auto" w:fill="auto"/>
            <w:noWrap/>
            <w:vAlign w:val="center"/>
          </w:tcPr>
          <w:p w14:paraId="69F3B7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745" w:type="dxa"/>
            <w:shd w:val="clear" w:color="auto" w:fill="auto"/>
            <w:noWrap/>
            <w:vAlign w:val="center"/>
          </w:tcPr>
          <w:p w14:paraId="50E9BE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400</w:t>
            </w:r>
          </w:p>
        </w:tc>
        <w:tc>
          <w:tcPr>
            <w:tcW w:w="518" w:type="dxa"/>
            <w:shd w:val="clear" w:color="auto" w:fill="auto"/>
            <w:vAlign w:val="center"/>
          </w:tcPr>
          <w:p w14:paraId="79C99B5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23E0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7" w:hRule="atLeast"/>
          <w:jc w:val="center"/>
        </w:trPr>
        <w:tc>
          <w:tcPr>
            <w:tcW w:w="340" w:type="dxa"/>
            <w:shd w:val="clear" w:color="auto" w:fill="auto"/>
            <w:vAlign w:val="center"/>
          </w:tcPr>
          <w:p w14:paraId="77DA70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40</w:t>
            </w:r>
          </w:p>
        </w:tc>
        <w:tc>
          <w:tcPr>
            <w:tcW w:w="588" w:type="dxa"/>
            <w:shd w:val="clear" w:color="auto" w:fill="auto"/>
            <w:vAlign w:val="center"/>
          </w:tcPr>
          <w:p w14:paraId="1015BB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飞棒</w:t>
            </w:r>
          </w:p>
          <w:p w14:paraId="239D0A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PRO版</w:t>
            </w:r>
          </w:p>
        </w:tc>
        <w:tc>
          <w:tcPr>
            <w:tcW w:w="5723" w:type="dxa"/>
            <w:shd w:val="clear" w:color="auto" w:fill="auto"/>
            <w:vAlign w:val="center"/>
          </w:tcPr>
          <w:p w14:paraId="0E120F47">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1、材质：振动杆玻纤材质，中间握把及</w:t>
            </w:r>
            <w:r>
              <w:rPr>
                <w:rFonts w:hint="eastAsia" w:ascii="宋体" w:hAnsi="宋体" w:cs="宋体"/>
                <w:color w:val="000000"/>
                <w:sz w:val="21"/>
                <w:szCs w:val="21"/>
                <w:highlight w:val="none"/>
                <w:lang w:eastAsia="zh-CN" w:bidi="ar"/>
              </w:rPr>
              <w:t>两端</w:t>
            </w:r>
            <w:r>
              <w:rPr>
                <w:rFonts w:hint="eastAsia" w:ascii="宋体" w:hAnsi="宋体" w:eastAsia="宋体" w:cs="宋体"/>
                <w:color w:val="000000"/>
                <w:sz w:val="21"/>
                <w:szCs w:val="21"/>
                <w:highlight w:val="none"/>
                <w:lang w:bidi="ar"/>
              </w:rPr>
              <w:t>硅胶材质。</w:t>
            </w:r>
          </w:p>
          <w:p w14:paraId="014EE20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2、规格：总长</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162.5cm，把手长度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230mm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把手最大直径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40mm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最小直径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34mm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玻纤棒直径</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 xml:space="preserve">9.5mm  </w:t>
            </w:r>
          </w:p>
          <w:p w14:paraId="12EECC3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3、产品已投保</w:t>
            </w:r>
            <w:r>
              <w:rPr>
                <w:rFonts w:hint="eastAsia" w:ascii="宋体" w:hAnsi="宋体" w:eastAsia="宋体" w:cs="宋体"/>
                <w:color w:val="000000"/>
                <w:sz w:val="21"/>
                <w:szCs w:val="21"/>
                <w:highlight w:val="none"/>
                <w:lang w:val="en-US" w:eastAsia="zh-CN" w:bidi="ar"/>
              </w:rPr>
              <w:t>产品</w:t>
            </w:r>
            <w:r>
              <w:rPr>
                <w:rFonts w:hint="eastAsia" w:ascii="宋体" w:hAnsi="宋体" w:eastAsia="宋体" w:cs="宋体"/>
                <w:color w:val="000000"/>
                <w:sz w:val="21"/>
                <w:szCs w:val="21"/>
                <w:highlight w:val="none"/>
                <w:lang w:bidi="ar"/>
              </w:rPr>
              <w:t>责任险 .</w:t>
            </w:r>
          </w:p>
          <w:p w14:paraId="580A861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4、产品具有带“CMA”或“CNAS"标志的第三方检验机构出具的关于产品材质与人体接触无毒害物质或过敏反应的报告。</w:t>
            </w:r>
          </w:p>
          <w:p w14:paraId="34591AD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5、产品提供在线保养说明和注意事项相关说明                                 </w:t>
            </w:r>
          </w:p>
          <w:p w14:paraId="70CEF9F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6、产品提供在线训练指导视频</w:t>
            </w:r>
            <w:r>
              <w:rPr>
                <w:rFonts w:hint="eastAsia" w:ascii="宋体" w:hAnsi="宋体" w:eastAsia="宋体" w:cs="宋体"/>
                <w:color w:val="000000"/>
                <w:sz w:val="21"/>
                <w:szCs w:val="21"/>
                <w:highlight w:val="none"/>
                <w:lang w:eastAsia="zh-CN" w:bidi="ar"/>
              </w:rPr>
              <w:t>；</w:t>
            </w:r>
          </w:p>
        </w:tc>
        <w:tc>
          <w:tcPr>
            <w:tcW w:w="627" w:type="dxa"/>
            <w:shd w:val="clear" w:color="auto" w:fill="auto"/>
            <w:noWrap/>
            <w:vAlign w:val="center"/>
          </w:tcPr>
          <w:p w14:paraId="298952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w:t>
            </w:r>
          </w:p>
        </w:tc>
        <w:tc>
          <w:tcPr>
            <w:tcW w:w="519" w:type="dxa"/>
            <w:shd w:val="clear" w:color="auto" w:fill="auto"/>
            <w:noWrap/>
            <w:vAlign w:val="center"/>
          </w:tcPr>
          <w:p w14:paraId="0FAD56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745" w:type="dxa"/>
            <w:shd w:val="clear" w:color="auto" w:fill="auto"/>
            <w:noWrap/>
            <w:vAlign w:val="center"/>
          </w:tcPr>
          <w:p w14:paraId="2CF7FA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750</w:t>
            </w:r>
          </w:p>
        </w:tc>
        <w:tc>
          <w:tcPr>
            <w:tcW w:w="518" w:type="dxa"/>
            <w:shd w:val="clear" w:color="auto" w:fill="auto"/>
            <w:vAlign w:val="center"/>
          </w:tcPr>
          <w:p w14:paraId="758DE2B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2617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jc w:val="center"/>
        </w:trPr>
        <w:tc>
          <w:tcPr>
            <w:tcW w:w="340" w:type="dxa"/>
            <w:shd w:val="clear" w:color="auto" w:fill="auto"/>
            <w:vAlign w:val="center"/>
          </w:tcPr>
          <w:p w14:paraId="18AF46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41</w:t>
            </w:r>
          </w:p>
        </w:tc>
        <w:tc>
          <w:tcPr>
            <w:tcW w:w="588" w:type="dxa"/>
            <w:shd w:val="clear" w:color="auto" w:fill="auto"/>
            <w:vAlign w:val="center"/>
          </w:tcPr>
          <w:p w14:paraId="73E386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康复泡沫砖</w:t>
            </w:r>
          </w:p>
        </w:tc>
        <w:tc>
          <w:tcPr>
            <w:tcW w:w="5723" w:type="dxa"/>
            <w:shd w:val="clear" w:color="auto" w:fill="auto"/>
            <w:vAlign w:val="center"/>
          </w:tcPr>
          <w:p w14:paraId="3E003AF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1、材质：高密度PU发泡环保材料。</w:t>
            </w:r>
          </w:p>
          <w:p w14:paraId="5E7D2FB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2、规格：长度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49CM</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宽度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39CM，厚度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5.5CM，硬度</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15度，重量</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color w:val="000000"/>
                <w:sz w:val="21"/>
                <w:szCs w:val="21"/>
                <w:highlight w:val="none"/>
                <w:lang w:bidi="ar"/>
              </w:rPr>
              <w:t>1400克。</w:t>
            </w:r>
          </w:p>
          <w:p w14:paraId="761FDA8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产品特点：产品主要是进行静态或动态平衡、稳定和本体感觉的训练工具。由于其材料发泡的不稳定性，使得训练者需不断保持平衡、稳定你的关节，与不使用平衡垫进行同样的运动相比，这种方法锻炼的肌肉更多、更深。</w:t>
            </w:r>
          </w:p>
          <w:p w14:paraId="52790DF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4、产品已投保产品责任险 .</w:t>
            </w:r>
          </w:p>
          <w:p w14:paraId="4C3EE9F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5、产品具有带“CMA”或“CNAS"标志的第三方检验机构出具的关于产品材质与人体接触无毒害物质或过敏反应的报告。</w:t>
            </w:r>
          </w:p>
          <w:p w14:paraId="3B38CDE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6、产品提供在线保养说明和注意事项相关说明                                 </w:t>
            </w:r>
          </w:p>
          <w:p w14:paraId="7E4FB75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7、产品提供在线训练指导视频</w:t>
            </w:r>
          </w:p>
        </w:tc>
        <w:tc>
          <w:tcPr>
            <w:tcW w:w="627" w:type="dxa"/>
            <w:shd w:val="clear" w:color="auto" w:fill="auto"/>
            <w:noWrap/>
            <w:vAlign w:val="center"/>
          </w:tcPr>
          <w:p w14:paraId="21F91E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w:t>
            </w:r>
          </w:p>
        </w:tc>
        <w:tc>
          <w:tcPr>
            <w:tcW w:w="519" w:type="dxa"/>
            <w:shd w:val="clear" w:color="auto" w:fill="auto"/>
            <w:noWrap/>
            <w:vAlign w:val="center"/>
          </w:tcPr>
          <w:p w14:paraId="2FD859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745" w:type="dxa"/>
            <w:shd w:val="clear" w:color="auto" w:fill="auto"/>
            <w:noWrap/>
            <w:vAlign w:val="center"/>
          </w:tcPr>
          <w:p w14:paraId="0FA727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w:t>
            </w:r>
          </w:p>
        </w:tc>
        <w:tc>
          <w:tcPr>
            <w:tcW w:w="518" w:type="dxa"/>
            <w:shd w:val="clear" w:color="auto" w:fill="auto"/>
            <w:vAlign w:val="center"/>
          </w:tcPr>
          <w:p w14:paraId="3795C3A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03C2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340" w:type="dxa"/>
            <w:shd w:val="clear" w:color="auto" w:fill="auto"/>
            <w:vAlign w:val="center"/>
          </w:tcPr>
          <w:p w14:paraId="27372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88" w:type="dxa"/>
            <w:shd w:val="clear" w:color="auto" w:fill="auto"/>
            <w:vAlign w:val="center"/>
          </w:tcPr>
          <w:p w14:paraId="38F045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723" w:type="dxa"/>
            <w:shd w:val="clear" w:color="auto" w:fill="auto"/>
            <w:vAlign w:val="center"/>
          </w:tcPr>
          <w:p w14:paraId="0EF5537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合计总价</w:t>
            </w:r>
          </w:p>
        </w:tc>
        <w:tc>
          <w:tcPr>
            <w:tcW w:w="1891" w:type="dxa"/>
            <w:gridSpan w:val="3"/>
            <w:shd w:val="clear" w:color="auto" w:fill="auto"/>
            <w:noWrap/>
            <w:vAlign w:val="center"/>
          </w:tcPr>
          <w:p w14:paraId="40096DC5">
            <w:pPr>
              <w:keepNext w:val="0"/>
              <w:keepLines w:val="0"/>
              <w:widowControl/>
              <w:suppressLineNumbers w:val="0"/>
              <w:jc w:val="right"/>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1000000</w:t>
            </w:r>
          </w:p>
        </w:tc>
        <w:tc>
          <w:tcPr>
            <w:tcW w:w="518" w:type="dxa"/>
            <w:shd w:val="clear" w:color="auto" w:fill="auto"/>
            <w:vAlign w:val="center"/>
          </w:tcPr>
          <w:p w14:paraId="40DE04D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val="en-US" w:eastAsia="zh-CN"/>
              </w:rPr>
            </w:pPr>
          </w:p>
        </w:tc>
      </w:tr>
    </w:tbl>
    <w:p w14:paraId="59420AB1">
      <w:pPr>
        <w:rPr>
          <w:rFonts w:hint="eastAsia" w:ascii="宋体" w:hAnsi="宋体" w:cs="宋体"/>
          <w:sz w:val="24"/>
          <w:highlight w:val="none"/>
          <w:lang w:val="en-US" w:eastAsia="zh-CN"/>
        </w:rPr>
      </w:pPr>
      <w:r>
        <w:rPr>
          <w:rFonts w:hint="eastAsia" w:ascii="宋体" w:hAnsi="宋体" w:cs="宋体"/>
          <w:sz w:val="24"/>
          <w:highlight w:val="none"/>
          <w:lang w:val="en-US" w:eastAsia="zh-CN"/>
        </w:rPr>
        <w:br w:type="page"/>
      </w:r>
    </w:p>
    <w:p w14:paraId="45459FEC">
      <w:pPr>
        <w:numPr>
          <w:ilvl w:val="0"/>
          <w:numId w:val="0"/>
        </w:numPr>
        <w:ind w:left="0" w:leftChars="0" w:firstLine="0" w:firstLineChars="0"/>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5包：智慧中医康复实训室建设项目</w:t>
      </w:r>
    </w:p>
    <w:tbl>
      <w:tblPr>
        <w:tblStyle w:val="42"/>
        <w:tblW w:w="91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455"/>
        <w:gridCol w:w="5467"/>
        <w:gridCol w:w="546"/>
        <w:gridCol w:w="445"/>
        <w:gridCol w:w="909"/>
        <w:gridCol w:w="864"/>
      </w:tblGrid>
      <w:tr w14:paraId="75A2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3" w:type="dxa"/>
            <w:gridSpan w:val="7"/>
            <w:shd w:val="clear" w:color="auto" w:fill="auto"/>
            <w:vAlign w:val="center"/>
          </w:tcPr>
          <w:p w14:paraId="55E121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玉溪职业技术学院（云南省玉溪工业财贸学校）</w:t>
            </w:r>
            <w:r>
              <w:rPr>
                <w:rFonts w:hint="eastAsia" w:ascii="宋体" w:hAnsi="宋体" w:eastAsia="宋体" w:cs="宋体"/>
                <w:i w:val="0"/>
                <w:iCs w:val="0"/>
                <w:color w:val="000000"/>
                <w:kern w:val="0"/>
                <w:sz w:val="21"/>
                <w:szCs w:val="21"/>
                <w:highlight w:val="none"/>
                <w:u w:val="none"/>
                <w:lang w:val="en-US" w:eastAsia="zh-CN" w:bidi="ar"/>
              </w:rPr>
              <w:t>智慧中医实训室</w:t>
            </w:r>
          </w:p>
        </w:tc>
      </w:tr>
      <w:tr w14:paraId="78D9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24AA8E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455" w:type="dxa"/>
            <w:shd w:val="clear" w:color="auto" w:fill="auto"/>
            <w:vAlign w:val="center"/>
          </w:tcPr>
          <w:p w14:paraId="41D776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名称</w:t>
            </w:r>
          </w:p>
        </w:tc>
        <w:tc>
          <w:tcPr>
            <w:tcW w:w="5467" w:type="dxa"/>
            <w:shd w:val="clear" w:color="auto" w:fill="auto"/>
            <w:vAlign w:val="center"/>
          </w:tcPr>
          <w:p w14:paraId="49D353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功能参数</w:t>
            </w:r>
          </w:p>
        </w:tc>
        <w:tc>
          <w:tcPr>
            <w:tcW w:w="546" w:type="dxa"/>
            <w:shd w:val="clear" w:color="auto" w:fill="auto"/>
            <w:vAlign w:val="center"/>
          </w:tcPr>
          <w:p w14:paraId="4265A4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单位</w:t>
            </w:r>
          </w:p>
        </w:tc>
        <w:tc>
          <w:tcPr>
            <w:tcW w:w="445" w:type="dxa"/>
            <w:shd w:val="clear" w:color="auto" w:fill="auto"/>
            <w:vAlign w:val="center"/>
          </w:tcPr>
          <w:p w14:paraId="6BB3B4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数量</w:t>
            </w:r>
          </w:p>
        </w:tc>
        <w:tc>
          <w:tcPr>
            <w:tcW w:w="909" w:type="dxa"/>
            <w:shd w:val="clear" w:color="auto" w:fill="auto"/>
            <w:vAlign w:val="center"/>
          </w:tcPr>
          <w:p w14:paraId="0A368F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单价（元）</w:t>
            </w:r>
          </w:p>
        </w:tc>
        <w:tc>
          <w:tcPr>
            <w:tcW w:w="864" w:type="dxa"/>
            <w:shd w:val="clear" w:color="auto" w:fill="auto"/>
            <w:vAlign w:val="center"/>
          </w:tcPr>
          <w:p w14:paraId="254D9B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总价（元）</w:t>
            </w:r>
          </w:p>
        </w:tc>
      </w:tr>
      <w:tr w14:paraId="0147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5C4E0E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455" w:type="dxa"/>
            <w:shd w:val="clear" w:color="auto" w:fill="auto"/>
            <w:vAlign w:val="center"/>
          </w:tcPr>
          <w:p w14:paraId="27908F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中医AI的助教问诊系统</w:t>
            </w:r>
            <w:r>
              <w:rPr>
                <w:rFonts w:hint="eastAsia" w:ascii="宋体" w:hAnsi="宋体" w:cs="宋体"/>
                <w:b/>
                <w:bCs/>
                <w:i w:val="0"/>
                <w:iCs w:val="0"/>
                <w:color w:val="000000"/>
                <w:kern w:val="0"/>
                <w:sz w:val="21"/>
                <w:szCs w:val="21"/>
                <w:highlight w:val="none"/>
                <w:u w:val="none"/>
                <w:lang w:val="en-US" w:eastAsia="zh-CN" w:bidi="ar"/>
              </w:rPr>
              <w:t>（核心产品）</w:t>
            </w:r>
          </w:p>
        </w:tc>
        <w:tc>
          <w:tcPr>
            <w:tcW w:w="5467" w:type="dxa"/>
            <w:shd w:val="clear" w:color="auto" w:fill="auto"/>
            <w:vAlign w:val="center"/>
          </w:tcPr>
          <w:p w14:paraId="3E346C9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技术参数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1.系统要求：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系统需满足中医住院医师规范化培训或临床医学生实际学习需求，方便学员院内、院外均可练习。系统内置多学科的虚拟病例，医学生可以通过病例进行望、闻、问切、实验室检查、辅助检查、诊断治疗等一系列的完整操作训练与考核，掌握临床疾病诊断的原理和方法。同时要具备中医专项技能配套的资源网页端学习模块和理论考试模块，系统采用B/S架构，需支持电脑网页端和手机APP端（同时支持android及ios）等多种方式应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1.2系统同时支持“八纲辨证”以及“脏腑辨证”等辩证模式的诊断路径，且支持临床上所要填写的“病名”和“证型”。（需提供软件截图证明）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▲1.3系统要求提供经过权威中医专家审核的中医内科思维病例，初始提供不少于100个，盖中医内科五大系：心、肝、脾、肺、肾。同时需要包含妇科、儿科、肺病系、肾病系中</w:t>
            </w:r>
            <w:r>
              <w:rPr>
                <w:rFonts w:hint="eastAsia" w:ascii="宋体" w:hAnsi="宋体" w:cs="宋体"/>
                <w:i w:val="0"/>
                <w:iCs w:val="0"/>
                <w:color w:val="000000"/>
                <w:kern w:val="0"/>
                <w:sz w:val="21"/>
                <w:szCs w:val="21"/>
                <w:highlight w:val="none"/>
                <w:u w:val="none"/>
                <w:lang w:val="en-US" w:eastAsia="zh-CN" w:bidi="ar"/>
              </w:rPr>
              <w:t>西医</w:t>
            </w:r>
            <w:r>
              <w:rPr>
                <w:rFonts w:hint="eastAsia" w:ascii="宋体" w:hAnsi="宋体" w:eastAsia="宋体" w:cs="宋体"/>
                <w:i w:val="0"/>
                <w:iCs w:val="0"/>
                <w:color w:val="000000"/>
                <w:kern w:val="0"/>
                <w:sz w:val="21"/>
                <w:szCs w:val="21"/>
                <w:highlight w:val="none"/>
                <w:u w:val="none"/>
                <w:lang w:val="en-US" w:eastAsia="zh-CN" w:bidi="ar"/>
              </w:rPr>
              <w:t>结合病例，其中纯中医病例不少于80个，中西医结合病例不少于20个，需提供病例清单，病例清单需要显示患者姓名、</w:t>
            </w:r>
            <w:r>
              <w:rPr>
                <w:rFonts w:hint="eastAsia" w:ascii="宋体" w:hAnsi="宋体" w:cs="宋体"/>
                <w:i w:val="0"/>
                <w:iCs w:val="0"/>
                <w:color w:val="000000"/>
                <w:kern w:val="0"/>
                <w:sz w:val="21"/>
                <w:szCs w:val="21"/>
                <w:highlight w:val="none"/>
                <w:u w:val="none"/>
                <w:lang w:val="en-US" w:eastAsia="zh-CN" w:bidi="ar"/>
              </w:rPr>
              <w:t>性别</w:t>
            </w:r>
            <w:r>
              <w:rPr>
                <w:rFonts w:hint="eastAsia" w:ascii="宋体" w:hAnsi="宋体" w:eastAsia="宋体" w:cs="宋体"/>
                <w:i w:val="0"/>
                <w:iCs w:val="0"/>
                <w:color w:val="000000"/>
                <w:kern w:val="0"/>
                <w:sz w:val="21"/>
                <w:szCs w:val="21"/>
                <w:highlight w:val="none"/>
                <w:u w:val="none"/>
                <w:lang w:val="en-US" w:eastAsia="zh-CN" w:bidi="ar"/>
              </w:rPr>
              <w:t>、病名、症型、科系等（提供病例清单与病例页面分布截图）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1.4系统具有四种或以上运行模式；不限于初级与高级训练模式、初级与高级考核模式。初级模式登录只针对纯中医病例训练与考核，高级模式登录不仅可以实现纯中医病例操作，而且可以选择中</w:t>
            </w:r>
            <w:r>
              <w:rPr>
                <w:rFonts w:hint="eastAsia" w:ascii="宋体" w:hAnsi="宋体" w:cs="宋体"/>
                <w:i w:val="0"/>
                <w:iCs w:val="0"/>
                <w:color w:val="000000"/>
                <w:kern w:val="0"/>
                <w:sz w:val="21"/>
                <w:szCs w:val="21"/>
                <w:highlight w:val="none"/>
                <w:u w:val="none"/>
                <w:lang w:val="en-US" w:eastAsia="zh-CN" w:bidi="ar"/>
              </w:rPr>
              <w:t>西医</w:t>
            </w:r>
            <w:r>
              <w:rPr>
                <w:rFonts w:hint="eastAsia" w:ascii="宋体" w:hAnsi="宋体" w:eastAsia="宋体" w:cs="宋体"/>
                <w:i w:val="0"/>
                <w:iCs w:val="0"/>
                <w:color w:val="000000"/>
                <w:kern w:val="0"/>
                <w:sz w:val="21"/>
                <w:szCs w:val="21"/>
                <w:highlight w:val="none"/>
                <w:u w:val="none"/>
                <w:lang w:val="en-US" w:eastAsia="zh-CN" w:bidi="ar"/>
              </w:rPr>
              <w:t>结合病例进行训练与考核（需提供四种模式的截图）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1.5系统包含不少于76种病名，不少于328种证型，不少于326种方剂，不少于314条治则治法；包含不少于29种单脉以及由此衍生出来的复合脉；程序中以用户视角实时呈现病例脉象波形图。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1.6系统支持学生机的思维路径与标准思维图同屏显示功能，并以多叉树的形式展现。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1.7中医临床思维训练系统支持2种以上思维图展现方式，支持同一病例的多路径思维客观评价模式。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2.学生端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2.1根据基础理论和临床要求分别分为初级、高级练习与考核四种模式。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2.2每个病例可以进行新建练习、继续练习，完成后可以查看系统生成的病例反馈。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2.3系统采用描红式问诊训练，除常规主诉、现病史、既往史、个人史、月经史、婚育史、家族史问诊外，提供包含中医传统十问歌内容的问诊问题；其中针对现病史问诊为了保证初学者问诊的逻辑性，所有问题需要通过颜色块分类，学生通过颜色块确定问诊的顺序与逻辑性</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提供描红问诊的软件截图</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2.4望诊提供真实病人的照片、视频，系统包含：望神 、望面色 、望形体 、望姿态、望头面 、望颈项 、望头发 、望目 、望耳 、望鼻 、望口唇 、望咽喉 、望胸胁 、望腹部 、望四肢 、望皮肤。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2.5望舌提供真实病人的舌部的照片，系统包含：望舌色 、望舌形 、望舌态 、望苔色 、望苔质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2.6闻诊包含：发声、语言、呼吸、咳嗽，选择性提供阳性特征的音频素材。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2.7切诊：分别以脉诊和按诊两个方式呈现。脉诊提供结构化的图文描述场景辅助用户诊断。按诊：提供人体部位模型，提供交互式的诊断，增加用户体验。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2.8体格检查-查体操作：可以进行除常规的视、听、扣、触等查体操作外，还可使用专科查体工具进行操作，查体工具、检查部位可由系统后台进行维护。系统自带多项查体操作，虚拟患者全身共有多个检查区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2.9实验室检查-检查项目：包括血常规、尿常规、生化、免疫等多种检查项目，表格方式查看，可复制内容，标记诊断依据点，模拟真实化验单。具备上限值、下限值，正常值等项目内容。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2.10辅助检查-检查项目：包括心电、脑电、病理、血液骨髓细胞、放射、内镜及超声等多项相关检查项目，表格方式查看，标记诊断依据点，模拟真实检查报告单。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2.11初级模式诊断：初级模式采用中诊内科学的核心</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八纲辨证包括表、里、寒、热、虚、实、阴、阳；脏腑辨证包括心与小肠 、肝与胆 、脾与胃 、肺与大肠 、肾与膀胱 、脏腑兼证 ，八钢与脏腑需要与望、闻、问、切四诊结果设置关联，完成中医诊断过程；（需提供软件截图证明）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2.12高级模式诊断：高级模式符合临床要求，在熟练掌握八钢、脏腑的基础上快速对病名、证型进行辩证，辩证过程中病名、证型需与望、闻、问、切四诊结果设置关联；以此考量学生的中医辩证思维过程。（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2.13学生训练的思维路径与老师的标准思维图可同屏显示，并以多叉树的形式展现。学生选中某辨证子项，系统提供亮色标识。（需提供软件截图证明）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2.14处方及医嘱：从病因病机决定治则治法、遣方用药。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2.15中药方剂包含方药组成、药物功效、主治、药物的煎法等；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3.中医技能学习与教学模块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▲3.1主要功能模块：系统包含望诊、问诊、闻诊、切诊、辨证方法、中药、方剂、案例库等训练与教学模块，每个模块中关联相应的功能操作与学习资源（需提供软件截图证明）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3.2望诊：包含望神色形态、望舌、学习辅导、实验指导等操作模块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3.2.1望神：至少包含有神、少神、失神、假神等真实的神态人面图像10张以上，并针对神态的特征与临床意义进行相应的说明与解释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3.2.2望面色：包含黄疸（阴黄）、黄疸（阳黄）、眼眶晦暗、颧红、面色青紫、面色晦暗、面色苍白、客色、面色晃白、面色苍黄、满面通红、面色黑、面色萎黄、正常面色、面色淡白等真实的面色图像20张以上，并针对面色的特征与临床意义进行相应的说明与解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3.2.3望形态：至少包含“O”型腿、驼背、喘息不得卧、肢体强直、鸡胸、偏瘫、鼓胀（气膨）、痿证、漏斗胸、消瘦、桶状胸、舟状腹、头倾、扁平胸等形态图像20张以上，并针对形态的特征与临床意义进行相应的说明与解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3.2.4望头颈五官九窍：至少包含眼睑淡白、牙根宣露、耳廓湿疹、突眼、昏睡露睛、小头畸形、面目浮肿、目赤、口唇淡白、口唇热疮、解颅、瘰疬、眼睑下垂、胬肉攀睛、戴眼、麦粒肿、乳蛾等各类图像共30张以上，并配有特征与临床意义进行相应的说明与解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3.2.5望皮肤：至少包脓疱疮、红斑狼疮、斑、足癣、接触性皮炎、脱疽、灰甲、丝状疣、体癣、水痘、臁疮、多形红斑、生殖器疱疹、扁平疣、传染性软疣、单纯疱疹、带状疱疹、朱砂掌、疥疮等皮肤症状30种以上，并配有特征与临床意义进行相应的说明与解释（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3.3望舌：包含望舌概述、望舌方法、望舌体、望舌苔等操作模块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3.3.1望舌概述：包含舌的形态结构、舌诊原理、舌诊方法、舌象的生理变异、舌质舌苔介绍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3.3.2望舌方法：对患者体位、伸舌要求、观察方法、注意事项进行描述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3.3.3望舌体：包含淡白舌、紫暗舌、舌淡紫、青紫舌、舌淡泛紫、舌溃疡、枯白舌、青紫舌、舌红、边尖红舌、青紫舌、瘀斑舌、绛舌等种类20种以上，配置舌象的图片50张以上，并配有特征与临床意义进行相应的说明与解释（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3.3.4望舌苔：包含灰黑苔、焦黄苔、薄白苔、白厚苔、黄厚苔、深黄苔、黄苔、黄厚腻苔、白厚滑腻苔、白厚滑苔、淡黄腻苔等种类10种以上，配置舌苔的图片20张以上，并配有特征与临床意义进行相应的说明与解释（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3.4、望诊学习辅导：包含全身望诊、局部望诊、望排泄物、望舌等操作模块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3.4.1全身望诊：对望神、望色、望形、望态的含义、要点、分类等进行详细的描述，辅助教学与学生自主掌握望诊的方法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3.4.2局部望诊：对望头面、望五官、望颈项、望躯体、望四肢、望下窍、望皮肤等子项，包含对每种局部望诊类型进行概述、分类解释、特殊类型解说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3.4.3望排泄物：包含望痰与涕、望涎与唾、望呕吐物、望二便、望经带等，对不同类型的排泄物特征与临床意义进行解释说明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3.4.4望舌：对舌质、舌苔进行分类、特征描述、临床意义解释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3.5、实验指导：对望神色形态与望舌提供实验目的、实验原理、实验内容、实验材料与分组、实验方法与步骤、注意事项等详细说明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3.6、闻诊：包含听正常声音与病变声音，病变声音包括语声、语言、呼吸、咳嗽、呕吐、呃逆、喛气、鼻鼾、喷嚏、呵欠、叹息、肠鸣等，对病变声音具有描述、阳性发声、临床表现等特征说明，提供音频资源10个以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3.7、问诊：包含问诊操作规范、问诊案例教学、学习辅导等，操作规范与案例通过著名老中医现场问诊的视频资源展现问诊的技巧与规范，学习辅导通过问诊意义与方法、问诊的内容、问现在症辅助学习与教学，问现在症，包含问寒热、问汗、问疼痛、问头身胸腹不适、问饮食口味、问睡眠、问二便、问情志、问经带、问男子、问小儿等（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3.8、切诊：包含脉诊、按诊、学习辅导、实验指导四项模块功能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3.8.1脉诊：包含操作流程规范介绍、操作规范视频讲解、常见脉象图谱三项功能，其中脉像图谱包括常见脉像图谱不少于29种和相兼脉像图谱不少于18种，每种脉像都具有脉像图配合脉像说明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3.8.2按诊：包含腹诊操作规范流程、腹诊操作视频、常见腹诊图谱、其他按诊方法介绍，其保腹诊图谱包括胸、心、脐、腹各个部位对应的不同穴位按诊，通过虚拟图展示部位，并配有诊断要点、病因病机、参考方剂的解释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3.8.3学习辅导：包含诊脉的部位与方法、脉像要素、正常脉像、常见脉像与临床意义等几个方面辅助学习与教学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3.8.4实验指导：包含的实验项目有切脉方法及常见脉象体会、脉图描记和分析、脉象的智能化检测和分析、脉图基础知识、腹候诊察方法及诊断标准、腹诊仪测定腹力中的应用等，实验项目含有实验目的、实验原理、实验器材、实验方法与步骤、注意事项、结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3.9、辨证方法：包含八纲辨证、脏腑辨证、病因辨证、气血辨证、六经辨证、三焦辨证、卫气营血辨证、经络辨证等辨证方法，针对每种辨证方中涉及的证型进行祥细的描述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3.10、中药：系统包含国家卫计委以及国家教育部临床教育指导中心要求的常见、常用的中药700种或以上，中药类型有解表药、清热药、泻下药、祛风湿药、芳香化湿药、利水渗湿药、温里药、理气药、消导药、驱虫药、止血药、活血药、化痰止咳平喘药、安神药、平肝熄风药、开窍药、补益药、固涩药、外用药、具有肾毒性的中药等（需提供软件体现相关种类药物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3.11、方剂：系统包含国家卫计委以及国家教育部临床教育指导中心要求的常见、常用的100首方剂或以上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3.12、案例资源库：包含内伤发热、肝癌、腹痛、胁痛、头痛、积聚、痹证、消渴、眩晕、痰饮、胃癌等视频资源，由名老专家通过对真实的病例望、闻、问、切、诊断、用药等方面进行祥细的诊断过程（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4.教师端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4.1医院信息管理：可设定医院的名称、级别、性质等相关基础信息。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4.2科室信息管理：可添加、编辑、删除医院各相关科室的基本信息，支持通过Excel批量4.3导入科室信息，可生成科室专属二维码，用于学员考勤。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4.4师资信息管理：可添加、编辑、删除培训教师的基本信息，支持通过Excel批量导入教师信息。可对教师进行教学分组。支持按照科室、教学组两种方式进行筛选查询。支持通过姓名、性别、职称、手机号进行搜索查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3.5基层学员信息管理：按照学员类别和批次的方式对学员分类管理。学员类别和批次可根据需要自由扩展。可添加、编辑、删除学员的基本信息，支持Excel批量导入。支持通过姓名、身份证号、专业方向等字段的任意条件查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4.6管理员信息管理：对人员的基础信息、登录账户以及权限信息进行管理。支持到按钮的细粒度授权模式，可以针对角色授权，也可以把权限直接授权给个人。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角色权限管理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4.7角色管理：可添加、编辑、删除系统角色，对于系统内置角色应予以保护。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权限管理：可针对角色进行模块授权、菜单按钮授权，通过细粒度的授权提供更好的系统安全性。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4.8群组管理：可添加、编辑、删除各类教学群组以及群组成员的信息。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标准科室：维护系统的标准科室名称，支持添加、编辑、删除。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4.9可维护中医基础知识的字典，新病例的建立，支持增加、删除、修改、查看。字典管理包含切诊分类、证型分类、体查部位管理、闻诊症状管理、望诊分类管理、病史管理、辨证结果管理、方剂管理、切诊脉像管理、病名管理、治则治法管理、辅助检查方式管理、方药管理、模块比率管理、望诊症状管理、辨证症状管理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4.10练习管理：可对学生自主练习的病例进行查看与评价，客观分数自动生成，主观评价主要针对辨证模块的病名与证型进行评价，通过5星制评价，系统自动换算为分数。（需提供软件截图证明）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4.11练习统计：可以实现以学生为口径的统计、以病人为口径的统计、以班级为口径的统计，统计的数据，展示出不同的统计数据报表或图表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4.12病例管理：可对原始的系统病例进行编辑，也可重新创建新的病例，系统提供新建病例的每个模块的模板，可通过系统模块完善病例信息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4.13系统支持考试考核设置：确定考试时间，考试时长，参与考生，考核所用病例。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4.14考评管理：界面支持练习过程流程查看，教师可以通过练习过程流程图可视化评分，支持客观评分与主观评价相结合的，可显示学生的命中率。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4.15考核结束后以思维树的方式呈现学生的诊疗思维路径，与教师的思维路径同屏比较，直观的显示差异，方便学生自学自练自测。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4.16可快速为一个病例设多种思维路径答案，可设置考试，参加考试人员，每场考试起始时间，结束时间，考试病案。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4.17支持导入转换并上传教学视频，视频播放采用在线流媒体方式播放。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4.18支持可对病例难度，学生对知识点的掌握情况等进行统计分析，辅助教学。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5、移动APP端（需开通外网功能，苹果端需要用户信息科备案，提供备案号给厂商发布）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▲5.1系统采用描红式问诊训练，考试模式下问诊问题隐藏，模拟真实场景，由学生根据自己的思路输入关键字引导出问诊问题进行问诊，收集病人信息。（提供APP端问诊界面的真实截图）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5.2望诊根据提供的真实病人的面部，舌部照片、视频，确定专业的中医检查结果。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5.3闻诊包含：发声、语言、呼吸、咳嗽，选择性提供阳性特征的音频素材。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5.4切诊：提供脉的滚动脉象图及文字描述，要求学生确认脉名。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5.5诊断：初级模式采用中诊内科学的核心：八纲、脏腑辨证；八纲辨证中的表、里、寒、热、虚、实、阴、阳，以及脏腑等需与望、闻、问、切四诊结果设置关联；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5.6诊断：高级模式符合临床要求对病名、证型进行辩证，辩证过程需与望、闻、问、切四诊结果设置关联；以此考量学生的中医辩证思维过程。练习结束后学生训练的思维路径与老师的标准思维图可同屏显示，并以多叉树的形式展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5.7处方及医嘱：从病因病机决定治则治法、遣方用药，考试模式下可由老师设置需要学生默写掌握的治则治法，再由学生默写完成。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5.8中药方剂包含方药组成、药物功效、主治、药物的煎法等；考核模式下可由老师设置需要学生默写掌握的重点方药组成。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5.9多方位的教学考核反馈，以进度条的百分比表示学生每项的的命中率；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5.10考核要求以100分制分解到每个模块，模块的分数体现各模块的权重及重要性，可呈现教师对每个单项的反馈。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6、理论考核模块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6.1题库设计：题库超过60万道各级各类试题，包括国家医学考试中心试题库，涉及住院医师、护理出科考、执业医师、三基等多种考试科目。从三基考试和临床考试两个方面，满足对住院医师、护理考试、考核的需求，提高被考核者知识与业务水平。各科三基试题；综合三基包括医师三基、医技三基等。住院医师各科试题按照国家标准规范轮转34个科室的试题。（提供软件题库目录与数量截图证明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6.2题库管理：教师可对该试题库进行添加、修改、删除，添加试题可逐题添加，也可批量导入，试题能够支持图片。系统提供A1型题，A2型题，A3型题，A4型题，B1型题，B2型题，C型题，X型题，填空题，判断题等17种题型，基本囊括了医学考试中涉及到的所有题型。（提供软件截图证明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6.3试卷管理：组建试卷提供自动组卷和手动组卷两种组卷方式供老师选择：自动组卷可以实现智能化组卷，可以按题型、试题目录、难易度进行组卷，同时支持跨题库出题，方式灵活多样。手动组卷允许老师根据教学需要直接指定试题组成试卷。可以在考试前划定考试大纲（考试范围），考试大纲支持学生逐题练习，在组建试卷时可以从考试大纲中按比例选题组卷。已组好的试卷可以直接转换成考试大纲，组好题的试卷可以进行预览、编辑与打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6.4考试设置：通过设置考卷、考试时间、及格成绩、指定考生范围完成一次考试的设置。可设置分散式考核，学生在规定的时长内进行分散考核。可设置统一考核，学生在教师设置的具体时间内进行统一考核。考试能够选择一个或多个阅卷老师，分配不同的权重，阅卷时根据不同权重计算成绩，保证公平公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6.5防作弊措施：每个考生可以采用相同次序的试卷考题，也可以生成相互乱序的试卷考题，题干和答案都可乱序。每场考试均可以设置考试验证码，可以按照需求为每个考生生成统一的或各自不同的考试码。可以为每场考试生成二维码，可要求考生扫码签到验证方能参加考试，扫码签到支持GPS定位验证。（提供软件截图证明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6.6自助考试：支持学生自助考试，可设置考试的出题策略、所属类型和科室，限定参加自助考试的次数，考生在限定次数内自助参加考试，根据设置的出题策略每个考生每次考试随机生成不同的试卷，考后成绩自动评阅，每场考试活动学生多次考试的最好成绩自动作为自助考试的成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6.7在线考试：学生登录系统后，可以看到所有跟学生有关的考试，学生根据时间找到当前时间内的考试进行在线考试。学生答题过程定时提交，停电，死机等突发情况下能够还原学生答题情况，学生可以接着原来的考试继续答题。学生可以在考试记录中看到自己已经考完的所有考试，并显示分数和是否及格；并且提供试卷查看功能，学生可以查看各个试题的自己答案和标准答案，解题思路等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6.8在线练习：学生登录系统后，可以看到所有跟学生有关的练习，学生找到相关的练习进行在线练习。学生可以在练习记录中看到自己已经做过的所有练习，并显示分数和是否及格；并且提供试卷查看功能，学生可以查看各个试题的自己答案和标准答案，解题思路等信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6.9在线阅卷：老师登录系统后，可以看到跟所有需要阅卷和批改的考试和练习，并且进行批阅。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6.10统计分析：老师和管理员登录系统后，可以看到考试和练习的统计分析。可以对一场考试和练习的成绩进行分析，也可以针对同一试卷的多场考试进行联合分析。可以以图形和表格形式分析考试及格人数和不及格人数，并按照优、良、中、差分析成绩构成比，并且显示对应的学生。可以根据学生类别、专业方向、身份类型、年级的不同维度对考试成绩分别进行对比分析，并以图形和表格形式显示。可以将考试分析的结果一键导出考试报告，生成Excel文档，考试报告内容包括所有考生的考试明细，考试成绩的概要分析、对比分析、不及格考生、试卷难易度分析数据。可以对试卷每道题目的得分率进行分析，显示各题的学生总体得分情况，并对每个题目的每个选项的选择率进行分析。得分率分析情况可以导出，生成Word文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▲6.11手机端练习与考核：为方便日常使用，APP同时支持IOS与Android。可自主选择理论试题，进行在线自主练习。可根据题型、难易程度、题库分类进行自主组题。（提供软件截图证明材料）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6.12大纲学习支持逐题学习，可随时查看题目答案和题目分析。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7、服务器1台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服务器配置：</w:t>
            </w:r>
          </w:p>
          <w:p w14:paraId="218DA6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7.1CPU：2颗16核2.00GHz或以上</w:t>
            </w:r>
          </w:p>
          <w:p w14:paraId="5262B7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7.2内存：64G或以上</w:t>
            </w:r>
          </w:p>
          <w:p w14:paraId="617FE94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7.3存储：机械硬盘2T*2以上+固态硬盘240G*2或以上。</w:t>
            </w:r>
          </w:p>
          <w:p w14:paraId="3A70E6F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配置清单：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中医临床思维训练系统软件： 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医学在线考试系统软件： 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服务器：1台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系统集成：1项</w:t>
            </w:r>
          </w:p>
        </w:tc>
        <w:tc>
          <w:tcPr>
            <w:tcW w:w="546" w:type="dxa"/>
            <w:shd w:val="clear" w:color="auto" w:fill="auto"/>
            <w:vAlign w:val="center"/>
          </w:tcPr>
          <w:p w14:paraId="3E45BD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445" w:type="dxa"/>
            <w:shd w:val="clear" w:color="auto" w:fill="auto"/>
            <w:vAlign w:val="center"/>
          </w:tcPr>
          <w:p w14:paraId="38D6CA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0DCA88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300000</w:t>
            </w:r>
          </w:p>
        </w:tc>
        <w:tc>
          <w:tcPr>
            <w:tcW w:w="864" w:type="dxa"/>
            <w:shd w:val="clear" w:color="auto" w:fill="auto"/>
            <w:vAlign w:val="center"/>
          </w:tcPr>
          <w:p w14:paraId="6F7A52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300000</w:t>
            </w:r>
          </w:p>
        </w:tc>
      </w:tr>
      <w:tr w14:paraId="2893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2D1B4B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455" w:type="dxa"/>
            <w:shd w:val="clear" w:color="auto" w:fill="auto"/>
            <w:vAlign w:val="center"/>
          </w:tcPr>
          <w:p w14:paraId="089C1D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桌面智测机器人</w:t>
            </w:r>
          </w:p>
        </w:tc>
        <w:tc>
          <w:tcPr>
            <w:tcW w:w="5467" w:type="dxa"/>
            <w:shd w:val="clear" w:color="auto" w:fill="auto"/>
            <w:vAlign w:val="center"/>
          </w:tcPr>
          <w:p w14:paraId="076D35F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一.机器人融合中医健康管理和医疗检测健康管理于一体。融合大模型.模式识别.深度学习.智能算法等前沿技术，按照“辨证论治”的中医核心理念，联合百名专家建设名老中医诊疗经验知识图谱，依据《黄帝内经》《金匮要略》等建设中医典籍文献知识库，打造全科室全场景全流程的软硬件一体化“中医智脑”，集舌诊.面诊.脉珍.问诊于一体“四诊合参.辨证施治” 。（须提供功能截图，符合参数且效果良好得分，不符合参数.效果差及未提供不得分）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二.机器人参数：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1.产品尺寸：299mmx276mmx314mm（±10mm）；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2.安卓11，4核处理器，9寸IPS1024*600高清显示屏，4+16GB内存；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3.前置800W摄像头，支持</w:t>
            </w:r>
            <w:r>
              <w:rPr>
                <w:rFonts w:hint="eastAsia" w:ascii="宋体" w:hAnsi="宋体" w:cs="宋体"/>
                <w:i w:val="0"/>
                <w:iCs w:val="0"/>
                <w:color w:val="000000"/>
                <w:kern w:val="0"/>
                <w:sz w:val="21"/>
                <w:szCs w:val="21"/>
                <w:highlight w:val="none"/>
                <w:u w:val="none"/>
                <w:lang w:val="en-US" w:eastAsia="zh-CN" w:bidi="ar"/>
              </w:rPr>
              <w:t>Wi-Fi</w:t>
            </w:r>
            <w:r>
              <w:rPr>
                <w:rFonts w:hint="eastAsia" w:ascii="宋体" w:hAnsi="宋体" w:eastAsia="宋体" w:cs="宋体"/>
                <w:i w:val="0"/>
                <w:iCs w:val="0"/>
                <w:color w:val="000000"/>
                <w:kern w:val="0"/>
                <w:sz w:val="21"/>
                <w:szCs w:val="21"/>
                <w:highlight w:val="none"/>
                <w:u w:val="none"/>
                <w:lang w:val="en-US" w:eastAsia="zh-CN" w:bidi="ar"/>
              </w:rPr>
              <w:t>/蓝牙4.0，四麦克风环形阵列，10000MAH电池；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机器人集成一体式隧道血压计，操作简单快速；隐藏于机器人内部的整合医疗检测器械收纳筒，取放方便，整洁不易丢；支持血压.心率.血糖.尿酸.总胆固醇.血氧.体温.心电多项测量，及测量数据智能分析.自动记录；（须提供功能截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5.支持后台数据管理.查看，健康大数据平台展示；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6.支持微信端个人健康数据查看，以及在线问诊；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7.支持体检数据实时推送给家人，如有异常可及时进行处理；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8.支持针对每个人不同用药的提醒，在线视频问诊，智能自诊，在线医疗等健康服务；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9.支持远程视频通话，资讯.音乐音频，以及广场舞.养生.健身等视频资源播放，丰富生活；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10.支持一键电话紧急求救；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11.支持微信端远程视频监控；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12.针对群体设计的UI界面，更有利于观看；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13.支持人脸识别.语音交互.触屏交互.头部上下摆动；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三.脉诊仪参数：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1.外形尺寸：107mm*63mm*82mm（±8mm）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2.颜色：白蓝</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3.电池：容量1800mAh 电压：3.7v.6.66Wh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4.充电时间：1.5h-3h；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5.充电接头：USBType-C（功率小于10W）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6.通信：蓝牙BLE5.0；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7.系统支持：IOS.Android.Windows；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8.测量方式：腕式；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9.测量范围：0-300mmHg（0-40.0Kpa）</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10.精度压力：±3mmHg（±0.4Kpa）以内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11.腕带适用腕围范围：150mm-230mm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12.气压传感器：半导体式气压传感器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13.脉搏传感器：3个压力传感器，直径14mm（±2mm），厚度7mm（±1mm）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使用环境：温度：-20℃-40℃  湿度：15%～80%（无凝结）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14.配套原厂商制作的教学实训手册和教学实训视频。</w:t>
            </w:r>
          </w:p>
        </w:tc>
        <w:tc>
          <w:tcPr>
            <w:tcW w:w="546" w:type="dxa"/>
            <w:shd w:val="clear" w:color="auto" w:fill="auto"/>
            <w:vAlign w:val="center"/>
          </w:tcPr>
          <w:p w14:paraId="53410F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445" w:type="dxa"/>
            <w:shd w:val="clear" w:color="auto" w:fill="auto"/>
            <w:vAlign w:val="center"/>
          </w:tcPr>
          <w:p w14:paraId="0199D6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4417EA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13900</w:t>
            </w:r>
          </w:p>
        </w:tc>
        <w:tc>
          <w:tcPr>
            <w:tcW w:w="864" w:type="dxa"/>
            <w:shd w:val="clear" w:color="auto" w:fill="auto"/>
            <w:vAlign w:val="center"/>
          </w:tcPr>
          <w:p w14:paraId="0AE9FB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13900</w:t>
            </w:r>
          </w:p>
        </w:tc>
      </w:tr>
      <w:tr w14:paraId="69DB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3B99A7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455" w:type="dxa"/>
            <w:shd w:val="clear" w:color="auto" w:fill="auto"/>
            <w:vAlign w:val="center"/>
          </w:tcPr>
          <w:p w14:paraId="53F4F0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AI智能健康机器人</w:t>
            </w:r>
          </w:p>
        </w:tc>
        <w:tc>
          <w:tcPr>
            <w:tcW w:w="5467" w:type="dxa"/>
            <w:shd w:val="clear" w:color="auto" w:fill="auto"/>
            <w:vAlign w:val="center"/>
          </w:tcPr>
          <w:p w14:paraId="665F946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一：充电桩参数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1、充电桩尺寸 25cm(L)*20cm(W)*22cm(H)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2、输入电压 100～240V~50/60Hz</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3、输出电压 29.4V</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4、输出电流 7.8A</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5、充电功率 200W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6、充电桩指示灯 红色常亮：未充电 绿色常亮：正在充电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二：机器人参数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1、主体尺寸 53cm*52cm*152cm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2、外观材质 PC+ABS环保材料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3、体重 40kg（轻量化设计，能耗更低，更安全）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4、颜色 科技银/朦胧白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5、型号 DZ-003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6、主机尺寸</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L1.6*W0.56*H0.5M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7、电池容量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20AH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8、行走速度</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0.1~0.7/S 可调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9、屏幕尺寸</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27寸屏幕分辨率1980*1080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10、工作时长</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6~8H充电时长</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3~5H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11、充电方式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自动充电材质</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复合材料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12、主板</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3588，CPU</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瑞芯微，内存8G，内置储存器32G，解码分辨率38400*2160，安卓系统12.0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13、定位方式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激光定位，不需贴码，要求环境规整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14、身体</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可行走、转圈、急停。机器人可带领客人行走和讲解。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15、摄像头</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800万摄像头（1个）：用于机器人前方的拍照、视频，用于人脸检测、中医拍舌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16、红外定位摄像头：用于充电桩位置视觉校准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17、音色</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讲解员男声、讲解员女声、甜美女声、英文女声、可爱童声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18、音响功率</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30W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19、MIC阵列</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拾音角度：180°拾音范围：5米麦克风数量：4个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20、拾音功能：远场拾音和回声消除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21、主屏参数</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16</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9十指全角触摸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22、亮度：300nit</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23、17、分辨率：1920*1080Full HD</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24、主屏尺寸</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27寸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25、表情屏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5 inches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26、分辨率</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1920*1080px</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27、防护等级</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IP23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28、噪声</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静止状态下42dB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29、电池参数</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电池容量20A 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30、额定电压</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25.6V</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31、磷酸铁锂电池组</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电池种类 磷酸铁锂电池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32、充电时间</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4.5h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33、待机时间</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10～12h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34、工作时间</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3～6小时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35、功率 42.6W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36、通讯方式： 互联网通讯模块WI-FI(2.4G / 5G )4G（全网通）LTE无线通信手机卡（全网通），支持三大运营商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37、传感器： 麦克风阵列x1：语音识别定位摄像头传感器x1：充电桩视觉辅助定位红外传感器，有效距离0.5～1m九轴陀螺仪传感器x1：检测机身平衡位置、方位感知和加速度检测，有效距离0.5～1m激光雷达x1：探测角度270°、30米覆盖范围、精度±2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38、导航系统： 激光SLAM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39、导航精度：±2cm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40、移动速度： 常规移动：0~0.7m/s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41、最大速度：1.2m/s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42、运动方式： 双轮差速，2个驱动轮+2个从动轮（万向轮）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43、最大越坎高度： 越坎高度≤1cm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44、最大爬坡角度： 爬坡度数≤5°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45、最大越障宽度： 越障宽度≤2.0cm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46、GPU： ARM Mali G610 3D GPU，</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47、支持OpenGL： ES 1.1/2.0/3.2、OpenCL 2.2、Vulkan 1.2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48、NPU RKNN NPU,</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49、算力最大至： 6 TOPS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50、运行内存： 8G</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51、内置存储器： 64G</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52、主处理器： 八核（四核Cortex-A76，四核Cortex-A55）64位，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53、主频：最高2.4Ghz</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54、操作系统： Android12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55、二次开发： 提供标准接口文档CPU性能强劲拍照摄像头配置可提高android系统版本较高，更有利于二次开发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三：核心功能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1、智能舌诊</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AI大模型通过舌象对应的中医诊断信息分析舌象的特征，如舌质的颜色、舌苔的厚薄、润燥等，并给出相应的诊断结果。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2、智能问诊</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Al通过用户对症状的描述、病史等关键内容并与预存的医学知识和病例数据库进行比对，从而给出辅助诊断建议。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3、健康咨询：AI健康机器人可解答用户关于健康知识的疑问，如常见疾病症状、预防措施、养生方法等。还能根据用户输入的个人健康信息，如饮食、运动、睡眠情况等，提供个性化的健康建议。。</w:t>
            </w:r>
          </w:p>
        </w:tc>
        <w:tc>
          <w:tcPr>
            <w:tcW w:w="546" w:type="dxa"/>
            <w:shd w:val="clear" w:color="auto" w:fill="auto"/>
            <w:vAlign w:val="center"/>
          </w:tcPr>
          <w:p w14:paraId="016A1C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445" w:type="dxa"/>
            <w:shd w:val="clear" w:color="auto" w:fill="auto"/>
            <w:vAlign w:val="center"/>
          </w:tcPr>
          <w:p w14:paraId="2F1585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757439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148000</w:t>
            </w:r>
          </w:p>
        </w:tc>
        <w:tc>
          <w:tcPr>
            <w:tcW w:w="864" w:type="dxa"/>
            <w:shd w:val="clear" w:color="auto" w:fill="auto"/>
            <w:vAlign w:val="center"/>
          </w:tcPr>
          <w:p w14:paraId="378636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148000</w:t>
            </w:r>
          </w:p>
        </w:tc>
      </w:tr>
      <w:tr w14:paraId="5308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40160F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455" w:type="dxa"/>
            <w:shd w:val="clear" w:color="auto" w:fill="auto"/>
            <w:vAlign w:val="center"/>
          </w:tcPr>
          <w:p w14:paraId="567D6B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中医AI的助教问诊桌面</w:t>
            </w:r>
          </w:p>
        </w:tc>
        <w:tc>
          <w:tcPr>
            <w:tcW w:w="5467" w:type="dxa"/>
            <w:shd w:val="clear" w:color="auto" w:fill="auto"/>
            <w:vAlign w:val="center"/>
          </w:tcPr>
          <w:p w14:paraId="74AE276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酷睿12代_I5-12400F 6核12线程</w:t>
            </w:r>
          </w:p>
          <w:p w14:paraId="6CD7C3A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支持英特尔115X/1200/1700/136；AMD754/939/940/AM2+/FM1/FAM2/AM3/AM4，2铜管，风扇转速是2100RAM</w:t>
            </w:r>
          </w:p>
          <w:p w14:paraId="79DBFBA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芯片组‌：Intel H610f-m。‌CPU插槽‌：LGA 1150。‌支持处理器‌：10代、111代、Intel Core i3/i5/i7/Pentium/Celeron。内存类型‌：‌DDR4（型号中的“D4内存插槽‌：2×DDR4</w:t>
            </w:r>
          </w:p>
          <w:p w14:paraId="0F3FF72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‌最大内存容量‌：通常支持16GB或32GB（取决于具体版本）‌。‌板型‌：Micro-ATX（主流H610M板型）‌</w:t>
            </w:r>
          </w:p>
          <w:p w14:paraId="05A7E3E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‌扩展插槽‌：。1×PCIe 3.0 x16（用于显卡）。2×PCIe x1（部分资料提及）‌。‌存储接口‌：4×SATA III ‌</w:t>
            </w:r>
          </w:p>
          <w:p w14:paraId="25207E9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‌视频输出‌：通常包含VGA、DVI或HDMI（具体取决于CPU是否带核显）‌。‌网络与音频‌：。集成Realtek RTL8111H千兆网卡。集成Realtek ALC887或类似。声道声卡 ‌。‌USB接口‌：通常为4×USB 3.0 + 4×USB 2.0（</w:t>
            </w:r>
          </w:p>
          <w:p w14:paraId="1B0F83E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KST DDR4 16g 2666</w:t>
            </w:r>
          </w:p>
          <w:p w14:paraId="5429298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型号‌：速虎 TP3000 256GB M.2 SSD.容量‌：256g</w:t>
            </w:r>
          </w:p>
          <w:p w14:paraId="67BC514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‌闪存类型‌：3D TLC.接口类型‌：标准 M.2 NVMe 接口（PCIe 3.0 x4）.外形尺寸‌：22×80mm（M.2 2280 板卡式）.连续读取速度‌：‌2500 MB/s‌.连续写入速度‌：‌1800 MB/s‌.4K 随机读取‌：240K IOPS.4K 随机写入‌：270K IOPS.工作温度‌：0°C 至 70°C.存储温度‌：-40°C 至 85°C.平均无故障时间（MTBF）‌：200 万小时</w:t>
            </w:r>
          </w:p>
          <w:p w14:paraId="0786652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核心代号‌：GT218.‌制造工艺‌：40 纳米.‌CUDA 流处理器‌：‌16 个‌.核心频率‌：‌589MHz‌（部分厂商版本为 580MHz 或 500MHz）‌.显存容量‌：‌1GB GDDR2 或 GDDR3‌（常见为 GDDR3）‌.显存位宽‌：‌64bit‌.显存频率‌：‌800MHz–1600M（依型号和显存类型而定）‌.显存带宽‌：最高约 ‌12.8GB/s‌（如技嘉 GV-N210TC-1GI 版本）‌</w:t>
            </w:r>
          </w:p>
          <w:p w14:paraId="1F1029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‌接口类型‌：‌PCI Express 2.0 x16‌</w:t>
            </w:r>
          </w:p>
          <w:p w14:paraId="03E1A2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‌最大分辨率支持‌：‌2560×1600‌</w:t>
            </w:r>
          </w:p>
          <w:p w14:paraId="1028E63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‌输出接口‌：通常配备 ‌VGA + DVI + HDMI‌ 组合 ‌</w:t>
            </w:r>
          </w:p>
          <w:p w14:paraId="3D43508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‌功耗‌：典型满载 ‌20–30W‌，建议搭配 ‌300W 以上电源‌ ‌</w:t>
            </w:r>
          </w:p>
          <w:p w14:paraId="0A18C4E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‌支持技术‌：</w:t>
            </w:r>
          </w:p>
          <w:p w14:paraId="3BF7151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DirectX 10.1 / Shader Model 4.1</w:t>
            </w:r>
          </w:p>
          <w:p w14:paraId="63BD419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OpenGL 3.1 / 3.2（部分型号）‌</w:t>
            </w:r>
          </w:p>
          <w:p w14:paraId="7D4CEEA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NVIDIA CUDA 并行计算</w:t>
            </w:r>
          </w:p>
          <w:p w14:paraId="3AAD42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PhysX 物理加速</w:t>
            </w:r>
          </w:p>
          <w:p w14:paraId="14B7CB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PureVideo HD 硬件高清解码（支持 H.264、VC-1、MPEG-2）</w:t>
            </w:r>
          </w:p>
          <w:p w14:paraId="7619D44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HDMI 音视频一线通</w:t>
            </w:r>
          </w:p>
          <w:p w14:paraId="310AB2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TurboCache（可共享系统内存扩展显存）</w:t>
            </w:r>
          </w:p>
          <w:p w14:paraId="093D5EF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A2408W(23.8"</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超薄无边框.1920*1080全高清.75HZ刷新率.色彩还原不失真.ComfortView技术 .178°广视角</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下出多元接口 HDMI+VGA.免工具拆装</w:t>
            </w:r>
          </w:p>
          <w:p w14:paraId="0172401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额定300W最大400W，12公分静音风扇，宽幅稳压电源</w:t>
            </w:r>
          </w:p>
          <w:p w14:paraId="7000AF0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机箱支持M-ATX板，机械硬盘2个，固态硬盘3个，2.0USB接口2个3.0USB接口1个，支持显卡长26厘米，支持CPU散热器16.3厘米；后板支持12公分风扇1个，前板支持12公分风扇，板材厚0.6厘米，机箱尺寸长27.7*宽16.8*高35.0厘米</w:t>
            </w:r>
          </w:p>
          <w:p w14:paraId="137F918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双USB 接口</w:t>
            </w:r>
          </w:p>
        </w:tc>
        <w:tc>
          <w:tcPr>
            <w:tcW w:w="546" w:type="dxa"/>
            <w:shd w:val="clear" w:color="auto" w:fill="auto"/>
            <w:vAlign w:val="center"/>
          </w:tcPr>
          <w:p w14:paraId="1A037B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445" w:type="dxa"/>
            <w:shd w:val="clear" w:color="auto" w:fill="auto"/>
            <w:vAlign w:val="center"/>
          </w:tcPr>
          <w:p w14:paraId="4908CA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30</w:t>
            </w:r>
          </w:p>
        </w:tc>
        <w:tc>
          <w:tcPr>
            <w:tcW w:w="909" w:type="dxa"/>
            <w:shd w:val="clear" w:color="auto" w:fill="auto"/>
            <w:vAlign w:val="center"/>
          </w:tcPr>
          <w:p w14:paraId="35D7A0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2980</w:t>
            </w:r>
          </w:p>
        </w:tc>
        <w:tc>
          <w:tcPr>
            <w:tcW w:w="864" w:type="dxa"/>
            <w:shd w:val="clear" w:color="auto" w:fill="auto"/>
            <w:vAlign w:val="center"/>
          </w:tcPr>
          <w:p w14:paraId="2BA58E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89400</w:t>
            </w:r>
          </w:p>
        </w:tc>
      </w:tr>
      <w:tr w14:paraId="49AC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76CA5B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455" w:type="dxa"/>
            <w:shd w:val="clear" w:color="auto" w:fill="auto"/>
            <w:vAlign w:val="center"/>
          </w:tcPr>
          <w:p w14:paraId="4DB543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讨论学习模块</w:t>
            </w:r>
          </w:p>
        </w:tc>
        <w:tc>
          <w:tcPr>
            <w:tcW w:w="5467" w:type="dxa"/>
            <w:shd w:val="clear" w:color="auto" w:fill="auto"/>
            <w:vAlign w:val="center"/>
          </w:tcPr>
          <w:p w14:paraId="7360BD1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1.定制尺寸直径约：1800mm，单边长约：900mm。桌面深度约：400-420mm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2、板材： E1级基层多层实木板，三聚氰胺饰面，厚度18mm</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加实木桌脚结合，所有板材均经过防潮、防虫、防腐处理，表面耐磨、硬度高、耐高温，甲醛释放量符合国家标准。                                                                                                                                                                                                                      3、设计：六边型组合桌，可根据需求调整组合。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4、整体色调一致，饰面可选择                                                                                                            5、封边：优质同色PVC封边，全自动热熔工艺。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6、配6张四方凳子，与桌子同色</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用于护理专业学生学习帮助老年人进餐.生活照护及技能比赛</w:t>
            </w:r>
          </w:p>
        </w:tc>
        <w:tc>
          <w:tcPr>
            <w:tcW w:w="546" w:type="dxa"/>
            <w:shd w:val="clear" w:color="auto" w:fill="auto"/>
            <w:vAlign w:val="center"/>
          </w:tcPr>
          <w:p w14:paraId="1644C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445" w:type="dxa"/>
            <w:shd w:val="clear" w:color="auto" w:fill="auto"/>
            <w:vAlign w:val="center"/>
          </w:tcPr>
          <w:p w14:paraId="00CBF2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w:t>
            </w:r>
          </w:p>
        </w:tc>
        <w:tc>
          <w:tcPr>
            <w:tcW w:w="909" w:type="dxa"/>
            <w:shd w:val="clear" w:color="auto" w:fill="auto"/>
            <w:vAlign w:val="center"/>
          </w:tcPr>
          <w:p w14:paraId="07A9E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2850</w:t>
            </w:r>
          </w:p>
        </w:tc>
        <w:tc>
          <w:tcPr>
            <w:tcW w:w="864" w:type="dxa"/>
            <w:shd w:val="clear" w:color="auto" w:fill="auto"/>
            <w:vAlign w:val="center"/>
          </w:tcPr>
          <w:p w14:paraId="290790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17100</w:t>
            </w:r>
          </w:p>
        </w:tc>
      </w:tr>
      <w:tr w14:paraId="14FF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733FFA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w:t>
            </w:r>
          </w:p>
        </w:tc>
        <w:tc>
          <w:tcPr>
            <w:tcW w:w="455" w:type="dxa"/>
            <w:shd w:val="clear" w:color="auto" w:fill="auto"/>
            <w:vAlign w:val="center"/>
          </w:tcPr>
          <w:p w14:paraId="3117A2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类纸护眼交互平台</w:t>
            </w:r>
          </w:p>
        </w:tc>
        <w:tc>
          <w:tcPr>
            <w:tcW w:w="5467" w:type="dxa"/>
            <w:shd w:val="clear" w:color="auto" w:fill="auto"/>
            <w:vAlign w:val="center"/>
          </w:tcPr>
          <w:p w14:paraId="7F517E7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 整机边角采用弧形设计，表面无尖锐边缘或凸起。屏幕边缘采用金属圆角包边防护，整机背板采用金属材质，有效屏蔽内部电路器件辐射。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2.整机屏幕采用86英寸UHD超高清液晶屏，显示比例</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16:9。分辨率3840*2160。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3.采用（AGLR）技术防眩光钢化玻璃，表面硬度≥9H。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4.整机采用硬件低蓝光背光技术，蓝光占比（有害蓝光415～455nm能量综合）/（整体蓝光400～500能量综合）＜50%。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5.整机采用无损Gamma技术，屏幕结合光感调节，支持纸质护眼模式。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6.分辨率：≥3840×2160。全通道4K高清显示，全通道OSD菜单及整机内置系统均支持4K图像。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7.亮度：≥300cd/m²。整机采用DC直流背光源，显示画面无频闪。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8.对比度：≥5000:1。可视角度≥178°。</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9.内置非独立摄像头，像素≥3200万，支持班级AI监测和AI人脸识别功能。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10.采用电容触控技术，支持Windows和Android系统中进行≥40点触控。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11.具备分级降屏（1/3、1/2）功能。内置6个物理按键，2个可实现自定义。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12.前置2.2声道，音响功率≥60W。8阵列麦克风。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13.整机支持蓝牙Bluetooth 5.4标准，内置双WiFi6无线网卡，均持便捷拆除及恢复。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14.前置Type-C接口支持65W以上快充。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15.安卓系统版本不低于Android 14，内存≥4GB，存储空间≥32GB，内存可升级至2T。</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16.内置电子视力表和校园美育软件。教学桌面支持画报轮播功能。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17.整机支持与AI数字人开启任意话题的对话，支持语音输入，根据要求生成图像，对生成的图像进行艺术赏析。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18.支持特定人物形象，提供不少于2种数字人形象。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19.采用Intel通用标准80pin接口，手拧螺丝卡扣。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20.主板搭载第十二代Intel 酷睿i5系列CPU。</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21.内存：8 GB DDR4笔记本内存或以上配置；硬盘：250GB以上SSD固态硬盘。                                                                                 </w:t>
            </w:r>
          </w:p>
        </w:tc>
        <w:tc>
          <w:tcPr>
            <w:tcW w:w="546" w:type="dxa"/>
            <w:shd w:val="clear" w:color="auto" w:fill="auto"/>
            <w:vAlign w:val="center"/>
          </w:tcPr>
          <w:p w14:paraId="3A8D56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445" w:type="dxa"/>
            <w:shd w:val="clear" w:color="auto" w:fill="auto"/>
            <w:vAlign w:val="center"/>
          </w:tcPr>
          <w:p w14:paraId="699F6E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745569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19930</w:t>
            </w:r>
          </w:p>
        </w:tc>
        <w:tc>
          <w:tcPr>
            <w:tcW w:w="864" w:type="dxa"/>
            <w:shd w:val="clear" w:color="auto" w:fill="auto"/>
            <w:vAlign w:val="center"/>
          </w:tcPr>
          <w:p w14:paraId="48B044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19930</w:t>
            </w:r>
          </w:p>
        </w:tc>
      </w:tr>
      <w:tr w14:paraId="1FF2A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1C14C2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7</w:t>
            </w:r>
          </w:p>
        </w:tc>
        <w:tc>
          <w:tcPr>
            <w:tcW w:w="455" w:type="dxa"/>
            <w:shd w:val="clear" w:color="auto" w:fill="auto"/>
            <w:vAlign w:val="center"/>
          </w:tcPr>
          <w:p w14:paraId="20437C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移动教学讲台</w:t>
            </w:r>
          </w:p>
        </w:tc>
        <w:tc>
          <w:tcPr>
            <w:tcW w:w="5467" w:type="dxa"/>
            <w:shd w:val="clear" w:color="auto" w:fill="auto"/>
            <w:vAlign w:val="center"/>
          </w:tcPr>
          <w:p w14:paraId="6A12543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升降高度：710-1100mm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尺寸：720*495mm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桌角材质：优质钢架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支架工艺：pu静电喷涂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面板材质：MDF+PVC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颜色：白色</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最大承重：小于等于60kg</w:t>
            </w:r>
          </w:p>
        </w:tc>
        <w:tc>
          <w:tcPr>
            <w:tcW w:w="546" w:type="dxa"/>
            <w:shd w:val="clear" w:color="auto" w:fill="auto"/>
            <w:vAlign w:val="center"/>
          </w:tcPr>
          <w:p w14:paraId="60422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445" w:type="dxa"/>
            <w:shd w:val="clear" w:color="auto" w:fill="auto"/>
            <w:vAlign w:val="center"/>
          </w:tcPr>
          <w:p w14:paraId="364072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0DB697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1670</w:t>
            </w:r>
          </w:p>
        </w:tc>
        <w:tc>
          <w:tcPr>
            <w:tcW w:w="864" w:type="dxa"/>
            <w:shd w:val="clear" w:color="auto" w:fill="auto"/>
            <w:vAlign w:val="center"/>
          </w:tcPr>
          <w:p w14:paraId="01542C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1670</w:t>
            </w:r>
          </w:p>
        </w:tc>
      </w:tr>
      <w:tr w14:paraId="7169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664D95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w:t>
            </w:r>
          </w:p>
        </w:tc>
        <w:tc>
          <w:tcPr>
            <w:tcW w:w="455" w:type="dxa"/>
            <w:shd w:val="clear" w:color="auto" w:fill="auto"/>
            <w:vAlign w:val="center"/>
          </w:tcPr>
          <w:p w14:paraId="008A63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环境氛围打造</w:t>
            </w:r>
          </w:p>
        </w:tc>
        <w:tc>
          <w:tcPr>
            <w:tcW w:w="5467" w:type="dxa"/>
            <w:shd w:val="clear" w:color="auto" w:fill="auto"/>
            <w:vAlign w:val="center"/>
          </w:tcPr>
          <w:p w14:paraId="6B0326A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文化、墙面、灯光等优化渲染</w:t>
            </w:r>
          </w:p>
        </w:tc>
        <w:tc>
          <w:tcPr>
            <w:tcW w:w="546" w:type="dxa"/>
            <w:shd w:val="clear" w:color="auto" w:fill="auto"/>
            <w:vAlign w:val="center"/>
          </w:tcPr>
          <w:p w14:paraId="51BC8E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445" w:type="dxa"/>
            <w:shd w:val="clear" w:color="auto" w:fill="auto"/>
            <w:vAlign w:val="center"/>
          </w:tcPr>
          <w:p w14:paraId="59CCEF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909" w:type="dxa"/>
            <w:shd w:val="clear" w:color="auto" w:fill="auto"/>
            <w:vAlign w:val="center"/>
          </w:tcPr>
          <w:p w14:paraId="2946E2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10000</w:t>
            </w:r>
          </w:p>
        </w:tc>
        <w:tc>
          <w:tcPr>
            <w:tcW w:w="864" w:type="dxa"/>
            <w:shd w:val="clear" w:color="auto" w:fill="auto"/>
            <w:vAlign w:val="center"/>
          </w:tcPr>
          <w:p w14:paraId="0B8D63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10000</w:t>
            </w:r>
          </w:p>
        </w:tc>
      </w:tr>
      <w:tr w14:paraId="56EE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dxa"/>
            <w:shd w:val="clear" w:color="auto" w:fill="auto"/>
            <w:vAlign w:val="center"/>
          </w:tcPr>
          <w:p w14:paraId="33F7C4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总价</w:t>
            </w:r>
          </w:p>
        </w:tc>
        <w:tc>
          <w:tcPr>
            <w:tcW w:w="455" w:type="dxa"/>
            <w:shd w:val="clear" w:color="auto" w:fill="auto"/>
            <w:vAlign w:val="center"/>
          </w:tcPr>
          <w:p w14:paraId="17AA8A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467" w:type="dxa"/>
            <w:shd w:val="clear" w:color="auto" w:fill="auto"/>
            <w:vAlign w:val="center"/>
          </w:tcPr>
          <w:p w14:paraId="1F1E255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46" w:type="dxa"/>
            <w:shd w:val="clear" w:color="auto" w:fill="auto"/>
            <w:vAlign w:val="center"/>
          </w:tcPr>
          <w:p w14:paraId="1670E84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445" w:type="dxa"/>
            <w:shd w:val="clear" w:color="auto" w:fill="auto"/>
            <w:vAlign w:val="center"/>
          </w:tcPr>
          <w:p w14:paraId="1A665F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909" w:type="dxa"/>
            <w:shd w:val="clear" w:color="auto" w:fill="auto"/>
            <w:vAlign w:val="center"/>
          </w:tcPr>
          <w:p w14:paraId="004B46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864" w:type="dxa"/>
            <w:shd w:val="clear" w:color="auto" w:fill="auto"/>
            <w:vAlign w:val="center"/>
          </w:tcPr>
          <w:p w14:paraId="01F003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600000</w:t>
            </w:r>
          </w:p>
        </w:tc>
      </w:tr>
    </w:tbl>
    <w:p w14:paraId="6AA1A13B">
      <w:pPr>
        <w:bidi w:val="0"/>
        <w:rPr>
          <w:rFonts w:hint="eastAsia"/>
          <w:highlight w:val="none"/>
          <w:lang w:val="en-US" w:eastAsia="zh-CN"/>
        </w:rPr>
      </w:pPr>
    </w:p>
    <w:p w14:paraId="2D4F0E73">
      <w:pPr>
        <w:bidi w:val="0"/>
        <w:rPr>
          <w:rFonts w:hint="eastAsia"/>
          <w:highlight w:val="none"/>
          <w:lang w:val="en-US" w:eastAsia="zh-CN"/>
        </w:rPr>
      </w:pPr>
    </w:p>
    <w:p w14:paraId="795C8FBB">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br w:type="page"/>
      </w:r>
    </w:p>
    <w:p w14:paraId="5AAD9E10">
      <w:pPr>
        <w:numPr>
          <w:ilvl w:val="0"/>
          <w:numId w:val="0"/>
        </w:numPr>
        <w:ind w:left="0" w:leftChars="0" w:firstLine="0" w:firstLineChars="0"/>
        <w:outlineLvl w:val="2"/>
        <w:rPr>
          <w:rFonts w:hint="eastAsia" w:ascii="宋体" w:hAnsi="宋体" w:cs="宋体"/>
          <w:b/>
          <w:bCs/>
          <w:sz w:val="24"/>
          <w:highlight w:val="none"/>
          <w:lang w:val="en-US" w:eastAsia="zh-CN"/>
        </w:rPr>
      </w:pPr>
      <w:r>
        <w:rPr>
          <w:rFonts w:hint="eastAsia" w:ascii="宋体" w:hAnsi="宋体" w:eastAsia="宋体" w:cs="宋体"/>
          <w:b/>
          <w:bCs/>
          <w:kern w:val="2"/>
          <w:sz w:val="24"/>
          <w:szCs w:val="24"/>
          <w:highlight w:val="none"/>
          <w:lang w:val="en-US" w:eastAsia="zh-CN" w:bidi="ar-SA"/>
        </w:rPr>
        <w:t>6</w:t>
      </w:r>
      <w:r>
        <w:rPr>
          <w:rFonts w:hint="eastAsia" w:ascii="宋体" w:hAnsi="宋体" w:cs="宋体"/>
          <w:b/>
          <w:bCs/>
          <w:kern w:val="2"/>
          <w:sz w:val="24"/>
          <w:szCs w:val="24"/>
          <w:highlight w:val="none"/>
          <w:lang w:val="en-US" w:eastAsia="zh-CN" w:bidi="ar-SA"/>
        </w:rPr>
        <w:t>包：</w:t>
      </w:r>
      <w:r>
        <w:rPr>
          <w:rFonts w:hint="eastAsia" w:ascii="宋体" w:hAnsi="宋体" w:cs="宋体"/>
          <w:b/>
          <w:bCs/>
          <w:sz w:val="24"/>
          <w:highlight w:val="none"/>
          <w:lang w:val="en-US" w:eastAsia="zh-CN"/>
        </w:rPr>
        <w:t>综合置管智慧实训室建设项目</w:t>
      </w:r>
    </w:p>
    <w:tbl>
      <w:tblPr>
        <w:tblStyle w:val="41"/>
        <w:tblW w:w="946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2"/>
        <w:gridCol w:w="1246"/>
        <w:gridCol w:w="5361"/>
        <w:gridCol w:w="529"/>
        <w:gridCol w:w="571"/>
        <w:gridCol w:w="571"/>
        <w:gridCol w:w="571"/>
      </w:tblGrid>
      <w:tr w14:paraId="73B7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43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302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1C7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产品功能参数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CE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F8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A64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单价</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08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总价</w:t>
            </w:r>
          </w:p>
        </w:tc>
      </w:tr>
      <w:tr w14:paraId="07337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E5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AE8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综合置管教师机硬件平台</w:t>
            </w:r>
            <w:r>
              <w:rPr>
                <w:rFonts w:hint="eastAsia" w:ascii="宋体" w:hAnsi="宋体" w:cs="宋体"/>
                <w:b/>
                <w:bCs/>
                <w:i w:val="0"/>
                <w:iCs w:val="0"/>
                <w:color w:val="auto"/>
                <w:kern w:val="0"/>
                <w:sz w:val="21"/>
                <w:szCs w:val="21"/>
                <w:highlight w:val="none"/>
                <w:u w:val="none"/>
                <w:lang w:val="en-US" w:eastAsia="zh-CN" w:bidi="ar"/>
              </w:rPr>
              <w:t>（核心产品）</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4FA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Theme="minorHAnsi" w:hAnsiTheme="minorHAnsi"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1.功能：为综合置管智能实训系统提供硬件运行环境，支持开展吸痰术、鼻饲术、洗胃术、胃肠减压术、三腔二囊管止血术、男性导尿术、女性导尿术和灌肠术等虚实结合的技能操作。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2.具备语音输出功能，内置音响不小于2W。</w:t>
            </w:r>
          </w:p>
          <w:p w14:paraId="36847B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Theme="minorHAnsi" w:hAnsiTheme="minorHAnsi"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3.显示分辨率不低于1080P。</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4.工作电流：≤10A；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5.工作电源：220Vac；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6.工作温度：0℃~40℃。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7.运算处理器：不低于4核，不低于2.4GHz。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☆8.平台结构：（</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演示8.1-8.5所有功能）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8.1平台结构采用落地式设计，包含了箱式主体、扁平式金属支撑板、显示单元等。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硬件平台外观简洁大方，主体为箱体式设计，体积小巧，占地尺寸为400mmX465mm（±20mm）。采用ABS塑胶板材整体机加、表面珠光漆等加工工艺，箱式主体外壳厚度≥3.8mm，确保平台的坚固耐用、表面光洁、易清洁、耐腐蚀、抗老化。箱式主体背面设置有散热格栅，散热格栅均内置防尘、防虫网，有效保护内部组件免受污染和损害。采用隐藏式脚轮，将脚轮嵌入到平台整体的内部，避免了传统脚轮可能造成的绊倒风险。脚轮配备了便捷的刹车机制，用户只需从平台背面轻松操作，即可实现脚轮的稳固锁定或顺畅移动，确保了设备的稳定性与操作的灵活性。操作面板上的器械接口符合人体工学设计要求，每个器械接口距离地面高度为800mm（±20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统一呈水平线分布。器械接口面板与水平面呈斜角，角度范围55°~65°，确保操作智能器械与硬件平台连接过程的舒适性和便捷性。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8.3硬件平台与综合置管智能模拟人采用至少37PIN连接器连接，拆卸便捷、拆卸便捷、便于系统拓展、延伸。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8.4扁平式金属支撑板，尺寸为1150mmX150mm（±10mm）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下端连接箱式主体，上端与显示单元连接。金属支撑板通过悬挂式卡扣与金属导线盒实现紧密连接，稳固耐用、便于管理线束。平台的线束可以轻松穿过金属导线盒，确保与显示单元的连接既整洁又安全。金属导线盒尺寸为1100mmX80mm（±10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材质与金属支撑板一致，采用铝合金氧化拉丝工艺处理，耐腐蚀、抗高温、抗氧化、美观易清洁。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8.5显示单元可根据操作者的位置进行上下、左右方向的灵活调整，便于操作。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9.设备器械互联接口：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9.1. 平台设计有一系列智能器械接口，至少支持与智能胃管、智能灌肠袋、智能三腔二囊管和智能导尿管等器械的连接。每个接口都配有清晰的标识，确保用户能够轻松识别并连接，至少包含器械接口、温水接口、鼻饲液接口、冲洗接口和试吸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9.2. 平台配备了全面的信号接口，以支持智能洗胃机、智能吸痰机和智能灌肠支架等设备的连接。接口种类丰富，至少包含三个专用接口：（1）全身女性模型/半身男性导尿模型人接口、（2）洗胃机/吸痰机接口、（3）灌肠支架接口，插拔的时候，只有正确匹配的插头才能顺利插入，减少了出错的可能性。此外，还应至少包含HDMI、网口、USB、音频输出和麦克风输入等通用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eastAsia="宋体" w:cs="宋体"/>
                <w:i w:val="0"/>
                <w:iCs w:val="0"/>
                <w:color w:val="auto"/>
                <w:sz w:val="21"/>
                <w:szCs w:val="21"/>
                <w:highlight w:val="none"/>
                <w:u w:val="none"/>
              </w:rPr>
              <w:t>设备的保护接地端子不得用于设备不同部分之间的机械连接，或用于固定与保护接地、功能接地无关的任何元器件，以防止使用过程中造成触电的风险。</w:t>
            </w:r>
            <w:r>
              <w:rPr>
                <w:rFonts w:hint="eastAsia" w:ascii="宋体" w:hAnsi="宋体" w:eastAsia="宋体" w:cs="宋体"/>
                <w:i w:val="0"/>
                <w:iCs w:val="0"/>
                <w:color w:val="auto"/>
                <w:kern w:val="0"/>
                <w:sz w:val="21"/>
                <w:szCs w:val="21"/>
                <w:highlight w:val="none"/>
                <w:u w:val="none"/>
                <w:lang w:val="en-US" w:eastAsia="zh-CN" w:bidi="ar"/>
              </w:rPr>
              <w:t>（投标人提供国家认可的第三方检测机构出具的检测报告予以佐证）</w:t>
            </w:r>
          </w:p>
          <w:p w14:paraId="424088C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▲11.平台应在射频电磁场辐射抗扰度频率范围为80MHz~2500MHz，场强3V/m，80%调制深度的1kHz正弦波幅度调制测试产品工作正常无功能丧失。（投标人提供国家认可的第三方检测机构出具的检测报告予以佐证）</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AF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A34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AB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86000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97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86000</w:t>
            </w:r>
          </w:p>
        </w:tc>
      </w:tr>
      <w:tr w14:paraId="662F0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51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3BC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洗胃术训练系统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07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1.支持进行清醒患者和昏迷患者的洗胃术完整、全流程的操作，至少包含清醒患者和昏迷患者两种病例。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1.1操作环节至少包含：选择用物、体位选择、用物准备、胃管置入、确认胃管、洗胃、拔管。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1.3支持在实物模拟人上模拟经口腔置胃管操作，在系统软件界面实时展示胃管置入深度数据，通过系统中的人体解剖透视图展示胃管置入过程，同步显示胃管置入的实际位置。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1.4支持在清醒患者病例操作时，如果置管到咽喉部位没有嘱咐吞咽，患者会发生呛咳反应；支持在昏迷患者病例操作时，如果置管到咽喉部位没有托起头部，患者会发生呛咳反应。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支持连接智能洗胃机实物设备进行相应的操作，至少包含调节进液量、出液量、负压大小、循环次数选择、胃部冲洗和胃内溶液吸出、选择洗胃模式。支持判断进出液量是否保持平衡，调节压力是否准确。支持模拟洗胃过程中，出入液的变化状态，如洗胃后溶液由浑浊变澄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1.6支持自动检测排污和进液管路与智能药液桶和智能污液桶的连接，系统自动验证连接的正确性，确保操作的高准确性和高安全性。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1.7支持判断胃管是否在胃内操作步骤，判断方法至少包含回抽胃液法、气过水声法、冒泡法。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1.8支持通过虚拟仿真动画的形式展示智能注射器连接智能胃管进行回抽胃液、气过水声两种判断方法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2.支持通过虚拟仿真动画的形式展示操作过程，以便对操作者进行生动直观地指导；同时，动画应体现数字化病人的自然生理反应，给与操作者沉浸式的操作体验。具体功能如下：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2.1支持通过虚拟仿真动画的形式展示七步洗手法，分别从内、外、夹、弓、大、立、腕七个部位连续动态展示七步洗手的操作步骤。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2.2支持通过虚拟仿真动画的形式进入洗胃术操作界面，包括患者闭眼和睁眼的自然生理反应，确保操作者能够理解并遵循正确的操作步骤。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2.3支持通过虚拟仿真动画的形式展示检查患者口腔的操作流程，动画中展示手持压舌板检查口腔的流程，包括患者口部从闭合到张开的动画，以及压舌板进入时眼睛微微闭合的自然反应。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F3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55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39E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4D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r>
      <w:tr w14:paraId="29CDF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4A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C4C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吸痰术训练系统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7B9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1.支持进行普通患者和气切患者的吸痰术完整、全流程的操作，至少包含普通患者和气切患者两种病例。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1.1操作环节至少包含：选择用物、术前评估、体位选择、用物准备、吸痰、术后处理。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1.3支持在普通患者病例操作时，先经过口腔后经过鼻腔吸痰；支持在气切患者病例操作时，先经过气切切口再经过口腔和鼻腔吸痰。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1.4.支持普通患者和气切患者两种吸痰操作在同一模拟人上操作完成，支持在软件系统界面实时反映实物操作过程中的插管深度与旋转动作。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支持连接智能吸痰机实物设备进行相应的操作，虚拟仿真软件场景中同步显示智能吸痰机压力值和负压值的变化、智能吸痰机负压调节旋钮精细调整吸痰的负压大小、真空压力表直观显示当前负压值、智能吸痰管连接检测功能，支持操作者通过按压智能吸痰管末端启动吸痰，实时感受负压强度，确保操作准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987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C5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95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B5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r>
      <w:tr w14:paraId="2EFDC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F3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B9A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鼻饲术训练系统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6FB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1.支持进行清醒患者和昏迷患者的鼻饲术完整、全流程的操作，至少包含清醒患者和昏迷患者两种病例。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1.1操作环节至少包含：选择用物、体位选择、用物准备、胃管置入、确认胃管、饮食灌注、拔管。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1.3支持在实物模拟人上模拟经鼻腔置胃管操作，在系统软件界面实时展示胃管置入深度数据，通过系统中的人体解剖透视图展示胃管置入过程，同步显示胃管置入的实际位置。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1.4支持在清醒患者病例操作时，如果置管到咽喉部位没有嘱咐吞咽，患者会发生呛咳反应；支持在昏迷患者病例操作时，如果置管到咽喉部位没有托起头部，患者会发生呛咳反应。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2.支持通过虚拟仿真动画的形式展示操作过程，以便对操作者进行生动直观地指导；同时，动画应体现数字化病人的自然生理反应，给与操作者沉浸式的操作体验。具体功能如下：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2.1支持通过虚拟仿真动画的形式展示七步洗手法，分别从内、外、夹、弓、大、立、腕七个部位连续动态展示七步洗手的操作步骤。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2.2支持通过虚拟仿真动画的形式展示检查患者鼻腔的操作流程，动画中展示手持手电筒检查鼻腔的流程，包括患者头部歪向一侧和眼睛闭合的自然生理反应，以及一侧鼻腔息肉的清晰展示。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2.3支持通过虚拟仿真动画的形式展示检查患者口腔的操作流程，动画中展示手持压舌板检查口腔的流程，包括患者口部从闭合到张开的动画，以及压舌板进入时眼睛微微闭合的自然反应。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2.4支持通过虚拟仿真动画的形式展示清洁患者鼻腔的操作流程，动画中展示手持清洁棉签清洁鼻腔的流程，包括患者闭眼和睁眼的自然生理反应，确保操作者能够理解并遵循正确的操作步骤。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12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5D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41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71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61000</w:t>
            </w:r>
          </w:p>
        </w:tc>
      </w:tr>
      <w:tr w14:paraId="6A91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868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660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胃肠减压术训练系统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AEE8">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支持进行清醒患者和昏迷患者的胃肠减压术完整、全流程的操作，至少包含清醒患者和昏迷患者两种病例。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1.1操作环节至少包含：选择用物、体位选择、用物准备、胃管置入、确认胃管、负压引流、术后处理。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1.3支持在实物模拟人上模拟经鼻腔置胃管操作，在系统软件界面实时展示胃管置入深度数据，通过系统中的人体解剖透视图展示胃管置入过程，同步显示胃管置入的实际位置。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1.4支持在清醒患者病例操作时，如果置管到咽喉部位没有嘱咐吞咽，患者会发生呛咳反应；支持在昏迷患者病例操作时，如果置管到咽喉部位没有托起头部，患者会发生呛咳反应。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1.5支持模拟进行负压引流的操作，压扁引流器后再连接胃管并打开胃管开关后，负压引流器对胃肠进行减压。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1.6支持判断胃管是否在胃内操作步骤，判断方法至少包含回抽胃液法、气过水声法、冒泡法。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1.7支持通过虚拟仿真动画的形式展示智能注射器连接智能胃管进行回抽胃液、气过水声两种判断方法。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2.支持通过虚拟仿真动画的形式展示操作过程，以便对操作者进行生动直观地指导；同时，动画应体现数字化病人的自然生理反应，给与操作者沉浸式的操作体验。具体功能如下：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2.1支持通过虚拟仿真动画的形式展示七步洗手法，分别从内、外、夹、弓、大、立、腕七个部位连续动态展示七步洗手的操作步骤。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2.2支持通过虚拟仿真动画的形式展示检查患者鼻腔的操作流程，动画中展示手持手电筒检查鼻腔的流程，包括患者头部歪向一侧和眼睛闭合的自然生理反应，以及一侧鼻腔息肉的清晰展示。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2.3支持通过虚拟仿真动画的形式展示清洁患者鼻腔的操作流程，动画中展示手持清洁棉签清洁鼻腔的流程，包括患者闭眼和睁眼的自然生理反应，确保操作者能够理解并遵循正确的操作步骤。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2A4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02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24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46000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4A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46000</w:t>
            </w:r>
          </w:p>
        </w:tc>
      </w:tr>
      <w:tr w14:paraId="4E4F5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1A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0693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三腔二囊管止血术训练系统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6F0A">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支持进行三腔二囊管止血术完整、全流程的操作，至少包含胃气囊止血和食管囊止血两种病例。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1.1操作环节至少包含：选择用物、选择体位、用物准备、插管、确认位置、止血、拔管。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2.支持通过虚实结合的方式模拟三腔二囊管的检测操作，首先注入空气检查气密性确保无漏气，然后抽净气体，接着进行精准的插管操作。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2.1支持使用智能注射器连接后，可模拟注射器向胃气囊注入气体的过程，并以数字化方式实时显示注气量。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2.2支持模拟牵引操作，在此过程中，通过使用砝码实现至少0-45度范围内的牵引角度调整。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CD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DE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2F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2B5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45000</w:t>
            </w:r>
          </w:p>
        </w:tc>
      </w:tr>
      <w:tr w14:paraId="20BE9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1F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7B5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灌肠术训练系统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A2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1.支持进行灌肠术完整、全流程的操作。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1.1操作环节至少包含：选择用物、体位选择、用物准备、插管、拔管、术后处理。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1.3支持在选择用物环节展示和考察灌肠术操作所需要使用的器械，且考察干扰项目不少于2项。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1.4支持通过虚拟仿真动画的形式模拟对肛管进行润滑和排尽管内空气操作。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2.支持模拟灌肠置管操作，系统将实时显示灌肠管的置入深度。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2.1支持通过矢状面视图与操作同步，直观展示灌肠管在体内的具体位置，以辅助用户更好地理解和掌握置管技巧。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支持模拟分开臀部操作，系统将确保在进行灌肠置管前必须先执行此步骤。如果用户未分开臀部而直接尝试置入灌肠器械，系统将阻止置管操作的完成，并在错误操作列表中记录此违规行为，同时提供详细的错误说明以指导用户正确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2.3支持智能检测功能，能够识别并反馈置管过程中的不当操作，如置管深度过浅、过深或边插边拔等。一旦检测到这些情况，系统会立即提供反馈，指导用户进行必要的调整，确保置管操作的准确性和安全性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A9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F9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5C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E0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55000</w:t>
            </w:r>
          </w:p>
        </w:tc>
      </w:tr>
      <w:tr w14:paraId="65977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75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52F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女性导尿术训练系统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63F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1.支持进行女性导尿术完整、全流程的操作。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1.1操作环节至少包含：选择用物、选择体位、术前准备、初次消毒、再次消毒、导尿、术后处理。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1.3支持模拟消毒操作，智能判断消毒顺序的正确性，检测区域覆盖的完整性，确保每次消毒前更换碘伏棉球，并实时提供错误纠正反馈。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1.4支持模拟注射器向球囊注入无菌溶液的操作，并实时显示注入剂量数值。注入后，模拟导尿管头端在膀胱内的固定效果，防止滑脱；当球囊嵌顿于尿道内口时，尝试回拉导尿管，将体验到明显的阻力感。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2.支持模拟导尿管在达到适当深度后通过虚拟仿真动画的形式展示尿液流出的视觉效果，并提供模拟固定集尿袋的操作流程。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72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F7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A7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58000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94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58000</w:t>
            </w:r>
          </w:p>
        </w:tc>
      </w:tr>
      <w:tr w14:paraId="60522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3A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3FC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男性导尿术训练系统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7B63">
            <w:pPr>
              <w:keepNext w:val="0"/>
              <w:keepLines w:val="0"/>
              <w:pageBreakBefore w:val="0"/>
              <w:widowControl/>
              <w:numPr>
                <w:ilvl w:val="0"/>
                <w:numId w:val="11"/>
              </w:numPr>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支持进行男性导尿术完整、全流程的操作。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1.1操作环节至少包含：选择用物、选择体位、术前准备、初次消毒、再次消毒、导尿、术后处理。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1.3支持在选择用物环节展示男性导尿术所用到的医疗器械，增强对各类器械功能和用途的直观理解。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1.4支持模拟消毒操作，智能判断消毒顺序的正确性，检测区域覆盖的完整性，确保每次消毒前更换碘伏棉球，并实时提供错误纠正反馈。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2.支持模拟真实临床操作，当用户操作不当导致可能的不适或痛苦时，系统会通过患者角色的实时反馈来提示用户，帮助他们理解操作的影响并引导正确的操作方法。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48E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11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78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C6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55000</w:t>
            </w:r>
          </w:p>
        </w:tc>
      </w:tr>
      <w:tr w14:paraId="6469C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D8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CB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综合置管智能女性模拟人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547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1.功能：为鼻饲术、洗胃术、胃肠减压术、吸痰术、三腔二囊管止血术、灌肠术、导尿术等操作术提供实物操作模拟人。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智能模拟人为全身女性模拟人，上下半身不可分离拆卸，便于管理收纳。支持颈部旋转、后仰和抬起，可使下颌靠近胸骨柄，满足昏迷患者胃管置入的要求。支持在同一模拟人上进行至少包含经口腔、左鼻腔、右鼻腔、气管切开的切口、尿道、肛门等多部位的器械置入操作。避免在不同模型之间切换，提高了训练效率，保障了操作的连续性。同时维护简便、简化了管理流程。支持检测置管操作的深度、速度、方向、旋转等。支持在鼻饲术、洗胃术、胃肠减压术、三腔二囊管止血术置管过程有接近真实的操作手感、阻力反馈，至少包括咽食管、支气管主动脉和膈部的狭窄区域，并在插入三个区域对应部位时触发相应的阻力反馈，阻力反馈与虚拟仿真软件中置管步骤一致。（</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设备演示）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3.支持由肛门插入灌肠管时能检测到是否进行分开臀部操作。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4.支持由尿道插入导尿管时能检测到是否进行分开阴唇操作。</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85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4B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41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83000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BE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83000</w:t>
            </w:r>
          </w:p>
        </w:tc>
      </w:tr>
      <w:tr w14:paraId="7580E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CB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C60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综合置管智能男性半身模型</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0AE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1.功能：为虚拟仿真实训教学系统提供男性实物操作模型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2.半身男性模型；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3.支持开展男性导尿术的实物模拟操作；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模拟经尿道置入器械的实物操作，操作过程有接近真实的操作手感、阻力反馈，能检测到置管操作的深度、速度、方向、旋转等参数。支持在男性导尿术置管过程有接近真实的操作手感、阻力反馈，至少包括耻骨下弯、耻骨前弯的弯曲区域和尿道内口、膜部、尿道外口的狭窄区域，并在插入五个区域对应部位时触发相应的阻力反馈，阻力反馈与虚拟仿真软件中置管步骤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5.支持与硬件系统平台信号互通，活动式连接接口；</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38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7D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64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20E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28000</w:t>
            </w:r>
          </w:p>
        </w:tc>
      </w:tr>
      <w:tr w14:paraId="3A677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54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1D5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综合置管教师机智能器械包</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07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属于综合置管智能实训系统（教师机）的组成部分，支持开展吸痰术、鼻饲术、洗胃术、胃肠减压术、三腔二囊管止血术、男性导尿术、女性导尿术和灌肠术等虚实结合技能操作，为虚拟仿真实训教学系统提供实物操作智能器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2.每套智能器械包含：智能胃管1根、智能三腔二囊管1根、智能吸痰管1根、智能导尿管1根、智能集尿袋1个、智能注射器匹配鼻饲术（50ml）、导尿术（10ml）等操作各1个。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3.智能胃管可置管操作段长度≥55cm。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4.智能肛管可置管操作段长度≥30cm。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5.智能三腔二囊管可置管操作段长度≥55cm。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6.智能吸痰管可置管操作段长度≥30cm。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7.智能导尿管可置管操作段长度≥30cm。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8.智能集尿袋可接入智能导尿管。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9.智能药液桶：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9.1.具有明显的药液桶标识，支持与智能洗胃机相连；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9.2.具备容量刻度，最大容量不小于10000ML。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9.3.支持反复使用，无需任何耗材。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10.智能污液桶：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10.1.具有明显的污液桶标识，支持与智能洗胃机相连；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10.2.具备容量刻度，最大容量不小于10000ML。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10.3.支持反复使用，无需任何耗材。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6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52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A3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99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13000</w:t>
            </w:r>
          </w:p>
        </w:tc>
      </w:tr>
      <w:tr w14:paraId="58E1B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0F7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9FE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综合置管教师机智能洗胃机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4A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☆1.整体结构设计：智能洗胃机采用坚固耐用的金属箱体式设计，提供稳定的操作平台。操作面板整体尺寸为350mmX400mm（±20mm）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面板上配置了直观的实物按钮，包括设定、上下调节、自动、手吸、手冲、关等，以及清晰的显示面板，用于展示循环次数、进胃、出胃等关键信息，确保操作简便且直观。（</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2.多功能管路系统：至少配备排污、胃管和进液三个独立管路，均设计为可重复使用，无需额外耗材，以降低使用成本并提高操作的便捷性。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3.智能连接识别：排污和进液管路能够智能识别并连接至智能药液桶和智能污液桶，系统自动验证连接的正确性，确保操作的高准确性和高安全性。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4.循环次数统计与复位：具备洗胃循环次数的统计功能，同时提供便捷的复位选项，使得操作者能够轻松管理周期性操作和维护记录。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5.手动操作支持：支持手动控制胃部冲洗和胃内溶液吸出，提供操作者在面对多样化医疗场景时所需的灵活性和控制力。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6.自动洗胃功能：具备自动洗胃模式，允许在预设条件下自动执行洗胃程序。同时，紧急情况下可迅速切换至手动控制，确保操作的安全性和即时响应。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7.调节功能：支持通过设定按钮切换调节内容，至少包含调节进液量、出液量和负压大小，并通过虚拟仿真软件场景实时反馈调节结果，增强了操作的直观性和互动性，提升了用户的操作体验。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8.系统拓展性：支持至少37PIN连接器与硬件平台相连接，便于系统拓展、延伸。</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51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3A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BFE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CF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12000</w:t>
            </w:r>
          </w:p>
        </w:tc>
      </w:tr>
      <w:tr w14:paraId="51623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89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505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综合置管教师机智能吸痰机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904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外观设计与结构：外观设计精致，模仿真实医疗设备的外观，同时注重便携性。手提式设计，体积小巧，尺寸为：370mmX180mmX280mm（±20mm）。设备配备了必要的操作组件，包括痰液存储容器、真空压力表、负压调节旋钮和电源开关，布局合理，确保了操作的直观性和便捷性。（</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负压调节功能：设备支持通过负压调节旋钮精细调整吸痰的负压大小，并通过真空压力表直观显示当前负压值。操作者在吸痰过程中能够感受到与负压值相对应的负压强度，确保吸痰操作的准确性和舒适性。支持虚拟仿真软件场景中同步显示压力值和负压值的变化，为操作者提供了直观的反馈，增强操作的互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3.系统拓展性：支持至少37PIN连接器与硬件平台相连接，便于系统拓展、延伸。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连接与仿真反馈：支持与智能吸痰管的连接，并通过虚拟仿真场景实时反映连接状态。智能连接技术简化了操作流程，增强了设备操作的直观感知。虚拟仿真场景中的表现与吸痰管的实际连接状态保持一致，提供了一个真实感强、反馈及时的操作体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69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D3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85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8500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C0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8500</w:t>
            </w:r>
          </w:p>
        </w:tc>
      </w:tr>
      <w:tr w14:paraId="410F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A4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EE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综合置管教师机智能灌肠支架</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071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1.具有高效的连接机制，支持与硬件系统平台迅速建立连接及断开连接。整个过程设计得极为快捷，确保连接和断开操作在10秒内完成，大大提高了设备的操作效率和响应速度。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☆2.支持根据操作者对灌肠支架的调节操作自动感知调节高度，可以识别支架高度过高、正确、偏低等状态。具备实时纠错功能，能够在调节过程中即时反馈偏差，确保操作的精确性。（</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3.设备包含坚固的金属床夹，支持将支架固定在病床的两侧床架上。这种设计不仅提供了稳定的支撑，还确保了设备在使用过程中的安全性和可靠性。</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C6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66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6A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CF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w:t>
            </w:r>
          </w:p>
        </w:tc>
      </w:tr>
      <w:tr w14:paraId="03F76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A2B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8C8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治疗车</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04F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1.采用双层结构设计，提供额外的存储空间和组织能力，使得智能器械的存放更加有序和高效。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2.至少配备6个内置方格的宽敞抽屉，每个方格有清晰的器械放置标识，便于分类存放不同类型的医疗用品，确保快速取用和易于管理。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3.配备有脚轮，提高了工作的灵活性和效率，每个脚轮都带有刹车功能，确保治疗车在需要时能够稳固地定位，防止在移动过程中滑动，保障了使用者和患者的安全。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A4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67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81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6B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w:t>
            </w:r>
          </w:p>
        </w:tc>
      </w:tr>
      <w:tr w14:paraId="26AD8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CBD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6F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病床单元</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8D3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1.床架：采用优质型钢焊接成型，表面静电喷塑，牢固耐用，美观大方。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2.床板：采用优质冷轧钢板一次拉伸成型，表面静电喷塑，防腐蚀，易清洁。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3.床头、床尾：采用ABS优质工程塑料一次成型，外形美观，颜色柔和，并采用锁扣式安装，可以轻松拆卸。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4.脚轮：五寸刹车轮，高耐磨，无噪音，带四角刹车装置。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5.摇手：不锈钢隐藏式手摇柄，双向极限保护。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6.护栏：铝合金护栏，轻便耐用，防夹手设计。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7.含床上用品四件套，床单、被套、枕套、枕芯。</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01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15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C40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1800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5E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1800</w:t>
            </w:r>
          </w:p>
        </w:tc>
      </w:tr>
      <w:tr w14:paraId="732AE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82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B51F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智能信息管理系统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C81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1、智能信息管理系统的人员管理模块：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1.1人员列表管理：实现人员信息的表格展示，支持分页浏览和快速跳转至特定页面。提供基于角色、组织和状态的分类过滤功能。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1.2人员搜索功能：支持通过人员名称或学号/工号进行搜索，搜索时可弹出下拉列表，显示匹配的人员信息。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1.3Excel数据交换：支持提供导出Excel样例模板功能，支持按照模板格式导入人员数据，并在导入失败时提供错误提示，同时支持导出当前人员列表至Excel。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1.4人员信息编辑：支持修改人员基本信息，新增或编辑所属角色和组织，并提供删除角色或组织的选项。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1.5人员信息管理：支持添加新人员及其基本信息，同时允许为新人员分配角色或组织，并提供删除人员信息的功能。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人员管理模块包含新增人员、编辑人员、删除人员、EXCEL操作和人员状态等功能的权限配置编辑人员功能下设有新增角色、编辑角色、删除角色、新增组织、编辑组织、删除组织、修改信息等分项功能的勾选配置;EXCEL操作功能下设有 EXCEL 导入和 EXCEL 导出等分项功能的勾选配置。（投标人提供国家认可的第三方检测机构出具的检测报告予以佐证）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2、智能信息管理系统的角色管理模块：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2.1角色列表展示：支持展示系统内所有角色的列表，显示每个角色对应的人员数量，并提供按人员数量排序的功能。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2.2角色信息管理：支持添加、编辑和删除角色名称。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2.3人员分配功能：支持为特定角色分配人员，分配过程中人员列表支持分页展示，并能明显区分本次选择的人员，同时支持分页选择。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2.4权限分配功能：支持为不同角色分配不同权限，权限分类展示，具体权限可进行选择。分配的权限包括但不限于：登录权限、找回密码手机验证码权限、无预约状态下的教室门禁解锁权限、无预约状态下的登录设备权限、管理后台功能模块查阅权限、微信小程序功能模块查阅权限、以及个人电脑端网页功能模块查阅权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角色管理模块包含新增角色、编辑角色和删除角色等功能的权限配置。编辑角色功能下设有修改信息、分配权限、配置人员等分项功能的勾选配置。所有权限配置均支持通过取消勾选父项权限取消该父项下所有子项的权限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3、智能信息管理系统的组织管理模块：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3.1组织树架构管理：支持对组织树层次架构的增删改查功能，支持组织架构的分级显示。当选择学校组织时，系统将显示其所有子组织。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3.2子组织列表展示：支持根据选中的组织展示该组织详细信息，并提供相关操作按钮。同时，展示选中组织的下级组织信息，并同样提供操作按钮。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3.3组织详情查看：支持展示具体组织的详细信息，包括上级和下级组织信息。同时，显示该组织下的人员列表，并提供删除人员的功能。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3.4数据权限分配：支持数据权限的分类列表显示，允许用户按大类进行全选或取消全选，方便进行数据权限的批量管理。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3.5组织管理模块包含新增组织、编辑组织和删除组织等功能的权限配置。编辑组织功能下设有编辑组织名称、新增组织人员和移除组织人员等分项功能的勾选配置。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4、智能信息管理系统的校历编辑模块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4.1支持对学校的校历进行新增、编辑和删除操作，编辑内容包含学年、开始日期、截止日期、学期等内容。支持对上课时间进行新增、设定和删除设定内容包含</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课时段名称、开始时间、结束时间、课时等内容。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4.2校历和上课时间均支持点击编辑按钮后在原界面直接编辑内容，编辑完毕后可选择保存或者取消，无需弹窗，编辑操作直观、便捷、高效。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5、智能信息管理系统的小程序功能设置模块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5.1支持通过后台配置小程序的功能模块，功能模块包含首页、工作台、数据中心和个人中心四大模块。其中，首页模块包含扫一扫、预约、报告、消息中心、仪表盘、大屏控制、提交表单、发起审批等功能的勾选配置;工作台模块包含我的审批、提交审批、我的表单、提交表单、预约等功能的勾选配置，预约功能下设课堂预约和训练预约等分项功能的勾选配置;个人中心模块包含预约记录、取消预约、大屏控制、我的审批、我的表单和设备管理等功能的勾选配置。（投标人提供国家认可的第三方检测机构出具的的检测报告予以佐证）</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BF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60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9E20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c>
          <w:tcPr>
            <w:tcW w:w="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E1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r>
      <w:tr w14:paraId="7C0D8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C3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823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教学交互及智能分析系统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E97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☆1、教学控制软件支持以下功能：（</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设备演示1.1-1.5所有功能）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示教模式的引导：教师机选择示教模式，学生机自动同步，无需手动操作，界面自动显示“老师示教中”并锁定，确保学生专注于教学内容。示教过程中，系统提供实时引导提示，包括图形界面提示、语音提示和知识点提示，提升老师的教学效率，保障老师教的同质化，同时，增强学生对操作步骤的理解和记忆，提升学习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带教模式的智能连接与纠错：教师机切换至带教模式，学生机自动同步，智能检测智能器械连接状态，确保学生在连接完成后才能开始操作训练。在学生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1.3学生操作训练进程控制：在带教模式下，学生机所开展的操作训练进程严格在教师机示教进程的范围内，确保学生操作与教师指导同步，提高教学效果和学生学习效率。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1.4教师机模式切换控制：教师机可以随时从带教模式切换至示教模式，学生机操作立即暂停并显示“老师示教中”，进入锁定状态。支持老师根据教学需要灵活调整教学节奏。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教学环节跳转：在示教模式下，教师机支持进行环节跳转，支持老师根据教学计划或学生学习情况，有针对性地选择教学内容和进度。有助于老师实现个性化教学，满足不同学生的学习需求，保持教学的连贯性和针对性，提升教学质量和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☆2、教学分析软件支持以下功能：（</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演示2.1-2.5所有功能）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2.1.教学分析模块，支持在带教模式下教师机自动采集全部学生机的操作数据，实时多维度呈现训练数据汇总分析，至少包含环节得分及得分率、维度得分、学生机错误排行、学生机错误明细。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环节得分及得分率：柱状图展示至少包含所有学生机各个环节的平均得分及环节总分、折线图展示所有学生机各个环节的得分率、横坐标展示每个环节名称以及对应环节已完成的学生人数、纵坐标展示分值及百分比；支持点击柱状图时呈现对应环节的平均得分及得分率；数据及图表动态更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2.3.维度得分：雷达图展示至少包含所有学生机的医学知识、临床能力、医患沟通、无菌观念、职业素养五个维度的平均得分；雷达图动态更新。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2.4.学生机错误排行：图表展示至少包含所有学生机的错误内容、所属环节、所属步骤、所属操作、错误触发率；支持筛选环节数据，至少包含实时汇总数据及单个环节数据；图表内容动态更新；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学生机错误明细：至少包含单台学生机设备编号、当前环节、当前步骤、环节得分柱状图、维度得分雷达图、错误内容图表，支持展开和收起错误明细。（1）环节得分柱状图展示至少包含学生机各个环节的平均得分及环节总分、横坐标展示每个环节名称、纵坐标展示分值；支持点击柱状图时呈现对应环节的得分；数据及图表动态更新。（2）维度得分雷达图展示至少包含学生机的医学知识、临床能力、医患沟通、无菌观念、职业素养五个维度的得分；雷达图动态更新。（3）错误内容图表展示至少包含学生机的错误内容、所属环节、所属步骤、所属操作；图表内容动态更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87E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C7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5D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1F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68000</w:t>
            </w:r>
          </w:p>
        </w:tc>
      </w:tr>
      <w:tr w14:paraId="3BE57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AA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8D7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智能评价系统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A71F">
            <w:pPr>
              <w:keepNext w:val="0"/>
              <w:keepLines w:val="0"/>
              <w:pageBreakBefore w:val="0"/>
              <w:widowControl/>
              <w:numPr>
                <w:ilvl w:val="0"/>
                <w:numId w:val="12"/>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群体化评价报告</w:t>
            </w:r>
          </w:p>
          <w:p w14:paraId="730531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1.1支持对试卷练习、虚拟仿真、虚实结合、同伴互助、操作技能、自主考核六大模块分别展示相应的评价报告内容、虚拟仿真、虚实结合、同伴互助、操作技能、自主考核的每一个模块均可通过选择指定项目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查阅该项目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的群体形成性评价报告。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1.2报告内容均包含</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完成次数、累积训练时长、平均得分、完成人数、完成人次数、人数完成比例、不同分数段得分分布比例、错误排行 TOP10、TOP10 错误的错误率、完成质量排名 TOP10 人员的完成次数及平均得分。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2、个体化报告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2.1支持分别通过六个模块的评价报告页面查阅该模块下指定项目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的个体形成性评价报告。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2.2个体形成性评价报告包含</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操作人、所属组织、角色、项目名称、得分和查看详情6个部分。查看详情界面包含个人信息、报告基础信息和详细信息3部分。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2.3详细信息界面支持显示所有的操作错误详情，且支持不同的模块内容显示不同的详细信息界面。虚实结合操作的详细信息界面包含所属环节，步骤/操作、分项名称、触发次数和分值等部分。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3、形成性评价报告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3.1支持分别按照虚拟仿真、虚实结合、同伴互助、操作技能自主考核模块</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群体和个体的形成性评价报告形成性评价报告展示近 10次指定项目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得分的趋势图，辅助学生、老师和教学管理者了解训练得分的趋势，提升学习兴趣。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3.2形成性评价报告支持在电脑网页端和微信小程序端同步显示。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4、胜任力评价报告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4.1支持分别按照虚拟仿真、虚实结合、同伴互助、操作技能自主考核模块展示指定项目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操作技术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群体和个体的胜任力评价报告。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4.2胜任力评价报告以六维度雷达图的形式展示临床能力、医患沟通、无菌观念、职业素养、医学知识终身学习的胜任力得分情况。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☆5、可视化图表（</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演示5.1-5.2所有功能）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5.1支持通过可视化图表模块定制各类图表。可视化图表模块包含图表名称、所属数据集、图表样式、图表分类属性、更新时间和操作等基本功能;支持对可视化图表进行新增，编辑和删除;进入编辑图表页面，支持对当前图表进行预览操作;支持动态图表的编辑生成，点击更新按钮图表出现动态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5.2图表类型</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支持指标、折线图、面积图、柱状图、条形图、饼图、高级图表、表格和其他9个大类的图表。支持每个大类分别下设小类图表。指标大类包含</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进度条、指示看板、趋势图、排行榜4种图表;饼图包含环图、玫瑰图、雷达图3种图表。系统内置20种图表类型可供选择。</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24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93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D7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1A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r>
      <w:tr w14:paraId="561E6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C0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526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上腔道置管学生机硬件平台</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BF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1.功能：至少支持吸痰术、鼻饲术、洗胃术、胃肠减压术和三腔二囊管止血术等虚实结合训练。为学生提供一个接近真实操作环境的训练平台。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2.具备语音输出功能，内置音响不小于2W；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3.工作电流：≤10A；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4.工作电源：220Vac;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5.工作温度：0℃~40℃；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6.运算处理器：不低于4核，每核不低于2.4GHz；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7.平台结构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7.1平台结构采用落地式设计，至少包括X型移动式底座、箱式主体、桌面式操作台、器械放置盒、显示单元。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7.2X型移动式底座，占地尺寸为680mmX480mm（±20mm），采用灵活的万向轮设计，便于移动和定位。底座的背部至少嵌入了电源输入口、网口和电源输出口，支持给其他学生机供电，确保了整洁的线路管理和便捷的设备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7.3箱式主体，尺寸为长420mmX宽220mmX高570mm（±20mm），采用镀锌板材质、烤漆工艺，坚固耐用、表面光洁、易清洁、耐腐蚀、抗老化，与X型移动式底座和桌面式操作台固定连接，确保了整体结构的稳定性。两侧及背面设置有散热格栅区域，两侧格栅区域尺寸≥120mm x 460mm，背面格栅区域尺寸≥300mm x 50mm，提升了箱体的通风性能，优化空气流动，促进了内部组件的散热，延长了设备的使用寿命并保障了运行的稳定性。散热格栅均内置防尘、防虫网，有效保护内部组件免受污染和损害。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7.4桌面式操作台，尺寸为820mmX430mm（±20mm），方便开展上腔道置管相关技能操作。器械放置盒固定连接在操作台区域内，尺寸为长350mmX宽105mmX深170mm（±10mm）。至少设置有胃管、吸痰管、三腔二囊管放置区，每个放置区尺寸为115mmX105mmX170mm（±10mm），注射器、镊子放置区为镂空插入式设计。每个放置区域有明确的文字标识，便于拿取、存放、管理。操作台两侧设置有散热格栅区域，两侧格栅区域尺寸≥300mm x 30mm，提升了箱体的通风性能，优化空气流动，促进了内部组件的散热，延长了设备的使用寿命并保障了运行的稳定性。散热格栅均内置防尘、防虫网，有效保护内部组件免受污染和损害。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7.5桌面式操作台设计有一系列智能器械接口，至少包含智能胃管、智能吸痰管、智能三腔二囊管等器械的连接接口。每个接口都配有清晰的标识，确保用户能够轻松识别并连接器械、温水、鼻饲液、冲洗和试吸等不同功能。器械接口设计符合人体工学原则，高度统一为800mm（±10mm），分布成水平线，且接口面板与水平面形成55°至65°的斜角，提高操作的舒适性和便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7.6上半身女性模型与桌面式操作台旋转式固定连接，支持模拟人平卧位、半卧位，增加了实训的真实感和多样性。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7.7显示单元设计灵活，支持上下转动调节，以适应不同用户的操作习惯。通过金属支撑板与操作台面板固定连接，固定连接点在操作台面板的左前方区域，提供最佳视角和操作便利性，确保整体布局的和谐与功能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8.智能药液桶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8.1.具有明显的药液桶标识，支持与智能洗胃机相连；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8.2.具备容量刻度，最大容量不小于10000ML。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8.3.支持反复使用，无需任何耗材。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9.智能污液桶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9.1.具有明显的污液桶标识，支持与智能洗胃机相连；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9.2.具备容量刻度，最大容量不小于10000ML。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9.3.支持反复使用，无需任何耗材。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10.配置有智能胃管1根、智能吸痰管1根、智能三腔二囊管1根、智能注射器（50ml）1个、金属镊子1个。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10.1智能胃管可置管操作段长度≥55cm。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10.2智能吸痰管可置管操作段长度≥30cm。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10.3智能三腔二囊管可置管操作段长度≥55cm。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10.4治疗车1台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（1）采用双层结构设计，提供额外的存储空间和组织能力，使得智能器械的存放更加有序和高效。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（2）至少配备6个内置方格的宽敞抽屉，每个方格有清晰的器械放置标识，便于分类存放不同类型的医疗用品，确保快速取用和易于管理。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（3）配备有脚轮，提高了工作的灵活性和效率，每个脚轮都带有刹车功能，确保治疗车在需要时能够稳固地定位，防止在移动过程中滑动，保障了使用者和患者的安全。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▲11.4.在30M~230MHz的频率范围内，3m的测试距离条件下，产品的辐射骚扰应≤40dB（μV/m）。（投标人提供国家认可的第三方检测机构出具的检测报告予以佐证）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12.1.设备的保护接地端子不得用于设备不同部分之间的机械连接，或用于固定与保护接地、功能接地无关的任何元器件，以防止使用过程中造成触电的风险。（投标人提供国家认可的第三方检测机构出具的检测报告予以佐证）</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B2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B4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F5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46000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E0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138000</w:t>
            </w:r>
          </w:p>
        </w:tc>
      </w:tr>
      <w:tr w14:paraId="1940D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4E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92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上腔道置管学生机技能操作模块</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65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1.支持上腔道学生机开展洗胃术、吸痰术、鼻饲术、胃肠减压术、三腔二囊管止血术等虚实结合操作。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2.支持进行清醒患者和昏迷患者的洗胃术完整、全流程的操作，至少包含清醒患者和昏迷患者两种病例。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2.1操作环节至少包含：选择用物、体位选择、用物准备、胃管置入、确认胃管、洗胃、拔管。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2.3支持在实物模拟人上模拟经口腔置胃管操作，在系统软件界面实时展示胃管置入深度数据，通过系统中的人体解剖透视图展示胃管置入过程，同步显示胃管置入的实际位置。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2.4支持在清醒患者病例操作时，如果置管到咽喉部位没有嘱咐吞咽，患者会发生呛咳反应；支持在昏迷患者病例操作时，如果置管到咽喉部位没有托起头部，患者会发生呛咳反应。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支持连接智能洗胃机实物设备进行相应的操作，至少包含调节进液量、出液量、负压大小、循环次数选择、胃部冲洗和胃内溶液吸出、选择洗胃模式。支持判断进出液量是否保持平衡，调节压力是否准确。支持模拟洗胃过程中，出入液的变化状态，如洗胃后溶液由浑浊变澄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2.6支持自动检测排污和进液管路与智能药液桶和智能污液桶的连接，系统自动验证连接的正确性，确保操作的高准确性和高安全性。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2.7支持判断胃管是否在胃内操作步骤，判断方法至少包含回抽胃液法、气过水声法、冒泡法。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2.8支持通过虚拟仿真动画的形式展示智能注射器连接智能胃管进行回抽胃液、气过水声两种判断方法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2.9支持通过虚拟仿真动画的形式展示操作过程，以便对操作者进行生动直观地指导；同时，动画应体现数字化病人的自然生理反应，给与操作者沉浸式的操作体验。具体功能如下：支持通过虚拟仿真动画的形式展示七步洗手法，分别从内、外、夹、弓、大、立、腕七个部位连续动态展示七步洗手的操作步骤;支持通过虚拟仿真动画的形式进入洗胃术操作界面，包括患者闭眼和睁眼的自然生理反应，确保操作者能够理解并遵循正确的操作步骤;支持通过虚拟仿真动画的形式展示检查患者口腔的操作流程，动画中展示手持压舌板检查口腔的流程，包括患者口部从闭合到张开的动画，以及压舌板进入时眼睛微微闭合的自然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3.支持进行普通患者和气切患者的吸痰术完整、全流程的操作，至少包含普通患者和气切患者两种病例。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3.1操作环节至少包含：选择用物、术前评估、体位选择、用物准备、吸痰、术后处理。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3.3支持在普通患者病例操作时，先经过口腔后经过鼻腔吸痰；支持在气切患者病例操作时，先经过气切切口再经过口腔和鼻腔吸痰。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3.4.支持普通患者和气切患者两种吸痰操作在同一模拟人上操作完成，支持在软件系统界面实时反映实物操作过程中的插管深度与旋转动作。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3.5支持连接智能吸痰机实物设备进行相应的操作，虚拟仿真软件场景中同步显示智能吸痰机压力值和负压值的变化、智能吸痰机负压调节旋钮精细调整吸痰的负压大小、真空压力表直观显示当前负压值、智能吸痰管连接检测功能，支持操作者通过按压智能吸痰管末端启动吸痰，实时感受负压强度，确保操作准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4.支持进行清醒患者和昏迷患者的鼻饲术完整、全流程的操作，至少包含清醒患者和昏迷患者两种病例。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4.1操作环节至少包含：选择用物、体位选择、用物准备、胃管置入、确认胃管、饮食灌注、拔管。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4.3支持在实物模拟人上模拟经鼻腔置胃管操作，在系统软件界面实时展示胃管置入深度数据，通过系统中的人体解剖透视图展示胃管置入过程，同步显示胃管置入的实际位置。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4.4支持在清醒患者病例操作时，如果置管到咽喉部位没有嘱咐吞咽，患者会发生呛咳反应；支持在昏迷患者病例操作时，如果置管到咽喉部位没有托起头部，患者会发生呛咳反应。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4.5支持通过虚拟仿真动画的形式展示操作过程，以便对操作者进行生动直观地指导；同时，动画应体现数字化病人的自然生理反应，给与操作者沉浸式的操作体验。具体功能如下：支持通过虚拟仿真动画的形式展示七步洗手法，分别从内、外、夹、弓、大、立、腕七个部位连续动态展示七步洗手的操作步骤;支持通过虚拟仿真动画的形式展示检查患者鼻腔的操作流程，动画中展示手持手电筒检查鼻腔的流程，包括患者头部歪向一侧和眼睛闭合的自然生理反应，以及一侧鼻腔息肉的清晰展示;支持通过虚拟仿真动画的形式展示检查患者口腔的操作流程，动画中展示手持压舌板检查口腔的流程，包括患者口部从闭合到张开的动画，以及压舌板进入时眼睛微微闭合的自然反应;支持通过虚拟仿真动画的形式展示清洁患者鼻腔的操作流程，动画中展示手持清洁棉签清洁鼻腔的流程，包括患者闭眼和睁眼的自然生理反应，确保操作者能够理解并遵循正确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5.支持进行清醒患者和昏迷患者的胃肠减压术完整、全流程的操作，至少包含清醒患者和昏迷患者两种病例。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5.1操作环节至少包含：选择用物、体位选择、用物准备、胃管置入、确认胃管、负压引流、术后处理。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5.3支持在实物模拟人上模拟经鼻腔置胃管操作，在系统软件界面实时展示胃管置入深度数据，通过系统中的人体解剖透视图展示胃管置入过程，同步显示胃管置入的实际位置。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5.4支持在清醒患者病例操作时，如果置管到咽喉部位没有嘱咐吞咽，患者会发生呛咳反应；支持在昏迷患者病例操作时，如果置管到咽喉部位没有托起头部，患者会发生呛咳反应。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5.5支持模拟进行负压引流的操作，压扁引流器后再连接胃管并打开胃管开关后，负压引流器对胃肠进行减压。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5.6支持判断胃管是否在胃内操作步骤，判断方法至少包含回抽胃液法、气过水声法、冒泡法。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5.7支持通过虚拟仿真动画的形式展示智能注射器连接智能胃管进行回抽胃液、气过水声两种判断方法。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5.8支持通过虚拟仿真动画的形式展示操作过程，以便对操作者进行生动直观地指导；同时，动画应体现数字化病人的自然生理反应，给与操作者沉浸式的操作体验。具体功能如下：支持通过虚拟仿真动画的形式展示七步洗手法，分别从内、外、夹、弓、大、立、腕七个部位连续动态展示七步洗手的操作步骤;支持通过虚拟仿真动画的形式展示检查患者鼻腔的操作流程，动画中展示手持手电筒检查鼻腔的流程，包括患者头部歪向一侧和眼睛闭合的自然生理反应，以及一侧鼻腔息肉的清晰展示;支持通过虚拟仿真动画的形式展示清洁患者鼻腔的操作流程，动画中展示手持清洁棉签清洁鼻腔的流程，包括患者闭眼和睁眼的自然生理反应，确保操作者能够理解并遵循正确的操作步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6.支持进行三腔二囊管止血术完整、全流程的操作，至少包含胃气囊止血和食管囊止血两种病例。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6.1操作环节至少包含：选择用物、选择体位、用物准备、插管、确认位置、止血、拔管。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6.3支持通过虚实结合的方式模拟三腔二囊管的检测操作，首先注入空气检查气密性确保无漏气，然后抽净气体，接着进行精准的插管操作。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6.4支持使用智能注射器连接后，可模拟注射器向胃气囊注入气体的过程，并以数字化方式实时显示注气量。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6.5支持模拟牵引操作，在此过程中，通过使用砝码实现至少0-45度范围内的牵引角度调整。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7.支持结合智能示教系统开展示教/带教两种模式的课堂教学及智能指导、智能训练、智能考试三种模式的技能实训学习。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FA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EB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55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054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180000</w:t>
            </w:r>
          </w:p>
        </w:tc>
      </w:tr>
      <w:tr w14:paraId="33F28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48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BA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上腔道置管智能女性半身模型</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9D2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1.功能：为鼻饲术、洗胃术、胃肠减压术、吸痰术、三腔二囊管止血术等操作术提供实物操作模拟人。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智能模拟人为半身女性模拟人，支持颈部旋转、后仰和抬起，可使下颌靠近胸骨柄，满足昏迷患者胃管置入的要求。支持在同一模拟人上进行至少包含经口腔、左鼻腔、右鼻腔、气管切开的切口等多部位的器械置入操作。避免在不同模型之间切换，提高了训练效率，保障了操作的连续性。同时维护简便、简化了管理流程。支持检测置管操作的深度、速度、方向、旋转等。支持在鼻饲术、洗胃术、胃肠减压术、三腔二囊管止血术置管过程有接近真实的操作手感、阻力反馈，至少包括咽食管、支气管主动脉和膈部的狭窄区域，并在插入三个区域对应部位时触发相应的阻力反馈，阻力反馈与虚拟仿真软件中置管步骤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3.当插管插入有息肉的腔道时，支持提供高度仿真的阻力反馈。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4.支持与硬件系统平台信号互通，采用旋转式固定连接方式。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9C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6D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BD1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43000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E0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129000</w:t>
            </w:r>
          </w:p>
        </w:tc>
      </w:tr>
      <w:tr w14:paraId="1B1E3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8B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879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上腔道置管学生机智能洗胃机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8E6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1.整体结构设计：智能洗胃机采用坚固耐用的金属箱体式设计，提供稳定的操作平台。操作面板整体尺寸为350mmX400mm（±20mm）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面板上配置了直观的实物按钮，包括设定、自动、手吸、手冲、关等，以及清晰的显示屏幕，用于展示循环次数、进胃、出胃等关键信息，确保操作简便且直观。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2.多功能管路系统：至少配备排污、胃管和进液三个独立管路，均设计为可重复使用，无需额外耗材，以降低使用成本并提高操作的便捷性。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3.智能连接识别：排污和进液管路能够智能识别并连接至智能药液桶和智能污液桶，系统自动验证连接的正确性，确保操作的高准确性和高安全性。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4.循环次数统计与复位：具备洗胃循环次数的统计功能，同时提供便捷的复位选项，使得操作者能够轻松管理周期性操作和维护记录。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5.手动操作支持：支持手动控制胃部冲洗和胃内溶液吸出，提供操作者在面对多样化医疗场景时所需的灵活性和控制力。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6.自动洗胃功能：具备自动洗胃模式，允许在预设条件下自动执行洗胃程序。同时，紧急情况下可迅速切换至手动控制，确保操作的安全性和即时响应。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7.调节功能与实时反馈：支持调节进出液量和负压大小，并通过虚拟仿真软件场景实时反馈调节结果，增强了操作的直观性和互动性，提升了用户的操作体验。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8.快速连接与断开：支持37PIN连接器与硬件平台相连接，具备高效的连接和断开机制，确保与硬件系统平台的连接和断开过程在10秒内迅速完成，显著提升了操作效率和响应速度。</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817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A6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62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B1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36000</w:t>
            </w:r>
          </w:p>
        </w:tc>
      </w:tr>
      <w:tr w14:paraId="43B6F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AF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916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上腔道置管学生机智能吸痰机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307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外观设计与结构：外观设计精致，模仿真实医疗设备的外观，同时注重便携性。手提式设计，体积小巧，尺寸为：370mmX180mmX280mm（±20mm）。设备配备了必要的操作组件，包括痰液存储容器、真空压力表、负压调节旋钮和电源开关，布局合理，确保了操作的直观性和便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负压调节功能：设备支持通过负压调节旋钮精细调整吸痰的负压大小，并通过真空压力表直观显示当前负压值。操作者在吸痰过程中能够感受到与负压值相对应的负压强度，确保吸痰操作的准确性和舒适性。支持虚拟仿真软件场景中同步显示压力值和负压值的变化，为操作者提供了直观的反馈，增强操作的互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3.系统拓展性：支持至少37PIN连接器与硬件平台相连接，便于系统拓展、延伸。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智能连接与仿真反馈：支持与智能吸痰管的连接，并通过虚拟仿真场景实时反映连接状态。智能连接技术简化了操作流程，增强了设备操作的直观感知。虚拟仿真场景中的表现与吸痰管的实际连接状态保持一致，提供了一个真实感强、反馈及时的操作体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DC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19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DE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8500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E9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25500</w:t>
            </w:r>
          </w:p>
        </w:tc>
      </w:tr>
      <w:tr w14:paraId="3A84C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1B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6B7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下腔道置管学生机硬件平台</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93B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1.功能：支持多种虚拟仿真模拟训练，如灌肠术、女性导尿术和男性导尿术等。通过虚实结合的方式，为学生提供了一个接近真实操作环境的训练平台。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2.具备语音输出功能，内置音响不小于2W；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3.工作电流：≤10A；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4.工作电源：220Vac;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5.工作温度：0℃~40℃；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6.运算处理器：不低于4核，每核不低于2.4GHz；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☆7.平台结构：（</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设备演示7.1-7.7所有功能）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7.1平台结构采用落地式设计，具有X型移动式底座、箱式主体、桌面式操作台、器械放置盒、显示单元等。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7.2X型移动式底座，占地尺寸为730mmX500mm（±20mm），采用灵活的万向轮设计，便于移动和定位。底座的背部巧妙地嵌入了电源输入口、网口和电源输出口，支持给其他学生机供电，确保了整洁的线路管理和便捷的设备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7.3箱式主体，尺寸为长470mmX宽220mmX高570mm（±20mm），采用金属结构设计，与X型移动式底座和桌面式操作台固定连接，两侧设置有散热格栅，格栅尺寸为125mmX460mm（±10mm），散热格栅均内置防尘、防虫网，有效保护内部组件免受污染和损害。箱式主体内设模型存储空间，空间尺寸为长375mmX宽200mmX高570mm（±20mm）。箱式主体配备智能指示系统，具有模型存储可视化管理功能：存储男性半身模型时，X型移动式底座上绿灯亮起；存储女性半身模型时，红灯亮起；无模型存储时，指示灯将保持熄灭状态。智能指示系统提升了存储管理的便捷性和直观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7.4桌面式操作台，尺寸为920mmX450mm（±20mm），方便开展下腔道置管相关技能操作。器械放置盒固定连接在操作台区域内，尺寸为长350mmX宽230mmX深90mm（±10mm）。设置有灌肠袋、引流袋/导尿管、注射器/镊子放置区，每个放置区尺寸为115mmX230mmX90mm（±10mm），每个放置区域有明确的文字标识。操作台两侧设置散热格栅，，散热格栅均内置防尘、防虫网，有效保护内部组件免受污染和损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7.5桌面式操作台设计有智能器械接口，设计符合人体工学原则，高度为800mm（±10mm），且接口面板与水平面形成55°至65°的斜角，以提高操作的舒适性和便捷性。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7.6下半身男/女性模型与器械盒卡扣式固定连接，确保连接的稳定性和可靠性，与器械盒实现快速且无需工具的固定和拆卸。连接器具有旋转功能，允许模型在不同角度和体位下进行操作，支持屈膝仰卧位和左侧卧位，与临床实践中的操作体位保持一致，增强了实训的真实性和有效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7.7显示单元，设计灵活，支持上下、左右转动调节，以适应不同用户的操作习惯。通过金属支撑板与器械盒固定连接，确保了稳定性和易用性。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8.下腔道置管学生机智能灌肠支架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8.1采用高效的连接机制，能够与硬件平台迅速而轻松地建立和断开连接。操作流畅，连接和断开快捷，提升操作效率和响应速度。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配备了智能化的灌肠支架高度调节系统，能够根据操作者的调节操作自动感知高度，可以识别支架高度过高、正确、偏低等状态。系统还具备实时纠错功能，能够在调节过程中即时反馈任何偏差，确保操作的精确性和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9.配置有智能导尿管1根、智能引流袋1个、灌肠袋1个、智能注射器1个、金属镊子1个。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9.1智能肛管可置管操作段长度≥30cm。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9.2智能导尿管可置管操作段长度≥30cm。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9.3智能集尿袋可接入智能导尿管。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▲10.设备带电部件与连接金属箔的易触及部件之间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主机</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的漏电流不超过3.5mA，保障教师和学生使用的安全性。（投标人提供国家认可的第三方检测机构出具的检测报告予以佐证）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设备系统正常工作时，测量距离为3m时测试到发出的频率范围在230~1000MHz的辐射电磁波骚扰限值应≤48dBμV/m，以保证其正常运行时不会对周围内的其他设备造成不必要的干扰。（投标人提供国家认可的第三方检测机构出具的检测报告予以佐证）</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B0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799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1E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38000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AA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114000</w:t>
            </w:r>
          </w:p>
        </w:tc>
      </w:tr>
      <w:tr w14:paraId="4BDBF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29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AF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下腔道置管学生机技能操作模块</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82E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1.支持下腔道学生机开展男性导尿术、女性导尿术和灌肠术等虚实结合操作。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2.支持进行女性导尿术完整、全流程的操作。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2.1操作环节至少包含：选择用物、选择体位、术前准备、初次消毒、再次消毒、导尿、术后处理。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2.3支持模拟消毒操作，智能判断消毒顺序的正确性，检测区域覆盖的完整性，确保每次消毒前更换碘伏棉球，并实时提供错误纠正反馈。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2.4支持模拟注射器向球囊注入无菌溶液的操作，并实时显示注入剂量数值。注入后，模拟导尿管头端在膀胱内的固定效果，防止滑脱；当球囊嵌顿于尿道内口时，尝试回拉导尿管，将体验到明显的阻力感。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2.5支持模拟导尿管在达到适当深度后通过虚拟仿真动画的形式展示尿液流出的视觉效果，并提供模拟固定集尿袋的操作流程。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3.支持进行男性导尿术完整、全流程的操作。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3.1操作环节至少包含：选择用物、选择体位、术前准备、初次消毒、再次消毒、导尿、术后处理。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3.3支持在选择用物环节展示男性导尿术所用到的医疗器械，增强对各类器械功能和用途的直观理解。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3.4支持模拟消毒操作，智能判断消毒顺序的正确性，检测区域覆盖的完整性，确保每次消毒前更换碘伏棉球，并实时提供错误纠正反馈。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3.5支持模拟真实临床操作，当用户操作不当导致可能的不适或痛苦时，系统会通过患者角色的实时反馈来提示用户，帮助他们理解操作的影响并引导正确的操作方法。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4.支持进行灌肠术完整、全流程的操作。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4.1操作环节至少包含：选择用物、体位选择、用物准备、插管、拔管、术后处理。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4.2至少支持智能示教、智能带教、智能指导、智能训练、智能考试等模式。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4.3支持在选择用物环节展示和考察灌肠术操作所需要使用的器械，且考察干扰项目不少于2项。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4.4支持通过虚拟仿真动画的形式模拟对肛管进行润滑和排尽管内空气操作。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4.5支持模拟灌肠置管操作，系统将实时显示灌肠管的置入深度。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4.6支持通过矢状面视图与操作同步，直观展示灌肠管在体内的具体位置，以辅助用户更好地理解和掌握置管技巧。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4.7支持模拟分开臀部操作，系统将确保在进行灌肠置管前必须先执行此步骤。如果用户未分开臀部而直接尝试置入灌肠器械，系统将阻止置管操作的完成，并在错误操作列表中记录此违规行为，同时提供详细的错误说明以指导用户正确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4.8支持智能检测功能，能够识别并反馈置管过程中的不当操作，如置管深度过浅、过深或边插边拔等。一旦检测到这些情况，系统会立即提供反馈，指导用户进行必要的调整，确保置管操作的准确性和安全性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5.支持结合智能示教系统开展示教/带教两种模式的课堂教学及智能指导、智能训练、智能考试三种模式的技能实训学习。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6.智能指导模式：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6.1多维度实时指导：支持通过图形界面、语音和知识点的实时提示提供全方位的引导，确保每个步骤都能获得清晰的指导。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6.2交互式知识点提示：支持显示和隐藏知识点、根据操作者的视角和需求灵活调整知识点位置，增强知识点的可访问性和易理解性。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6.3动态图示辅助：支持在实物器械操作前通过动态图示直观展示器械的正确连接方式，为操作者提供清晰、及时的初步指导，确保操作者迅速识别和理解器械操作的关键步骤，简化学习过程、提高操作效率。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6.4综合报告模板：支持操作完成后展示报告模板，至少涵盖环节得分、维度得分、总分趋势、维度得分趋势和错误详情等。点击报告中的动态图标，可即时获取对应模块的详细注释。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7.智能训练模式：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7.1支持对操作过程进行记录和评分，操作结束后实时生成评价报告。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7.2支持在每一步操作前，系统不给予任何操作指引；操作错误时，系统提供实时纠错反馈；同一个操作错误三次后系统给出正确指引，旨在培养学生的问题解决能力和自我纠正能力。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7.3评价报告至少包含操作时长、环节得分表、六维度得分雷达图、总分趋势折线图、六维度得分趋势折线图和错误详情内容。错误详情内容至少包含一般错误、严重错误、致命错误三个类型。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8.智能考试模式：支持考核技能操作的临床能力、医患沟通、无菌观念、职业素养、医学知识、终身学习，考试结束后实时生成评价报告。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9.采用先进的无梯度应变感知力反馈技术、神经网络意识捕捉技术、有限元空间矢量追及技术，以提高信号采集的准确性和可靠性。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10.采用集成智能算法对采集到的信号进行分析，确保系统能够以至少100次/秒的频率进行信号采集，以识别操作中可能出现的问题或异常，及时提供反馈。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11.支持多通道信号同步采集，以便于同时监控多个参数，提高系统的综合性能。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12.使用高性能的硬件平台，确保系统的稳定性和快速响应能力。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13.采用模块化设计，确保系统具有良好的可扩展性，便于系统的升级和维护。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77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CD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02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28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108000</w:t>
            </w:r>
          </w:p>
        </w:tc>
      </w:tr>
      <w:tr w14:paraId="34144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3B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BE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下腔道置管智能男性模型</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6FC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1.功能：为虚拟仿真实训教学系统提供男性实物操作模型。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2.半身男性模型。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3.支持开展男性导尿术的实物模拟操作。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模拟经尿道置入器械的实物操作，操作过程有接近真实的操作手感、阻力反馈，能检测到置管操作的深度、速度、方向、旋转等参数。支持在男性导尿术置管过程有接近真实的操作手感、阻力反馈，至少包括耻骨下弯、耻骨前弯的弯曲区域和尿道内口、膜部、尿道外口的狭窄区域，并在插入五个区域对应部位时触发相应的阻力反馈，阻力反馈与虚拟仿真软件中置管步骤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5.支持与硬件系统平台信号互通，活动式连接接口。</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CE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E8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E3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27000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08B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81000</w:t>
            </w:r>
          </w:p>
        </w:tc>
      </w:tr>
      <w:tr w14:paraId="7915E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13F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960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下腔道置管智能女性模型</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E7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1.功能：为虚拟仿真实训教学系统提供女性实物操作模型。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2.半身女性模型。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3.支持开展女性导尿术的实物模拟操作。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4.支持模拟经尿道置入器械的实物操作，操作过程有接近真实的操作手感、阻力反馈，能检测到置管操作的深度、速度、方向、旋转等参数。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5.支持由肛门插入灌肠管时能检测到是否进行分开臀部操作。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6.支持由尿道插入导尿管时能检测到是否进行分开阴唇操作。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7.支持与硬件系统平台信号互通，活动式连接接口。</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0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C3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51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23750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64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71250</w:t>
            </w:r>
          </w:p>
        </w:tc>
      </w:tr>
      <w:tr w14:paraId="03C9C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645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175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移动支架示教交互系统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FE5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☆1.整体结构：（</w:t>
            </w:r>
            <w:r>
              <w:rPr>
                <w:rFonts w:hint="eastAsia" w:ascii="宋体" w:hAnsi="宋体" w:cs="宋体"/>
                <w:i w:val="0"/>
                <w:iCs w:val="0"/>
                <w:color w:val="auto"/>
                <w:kern w:val="0"/>
                <w:sz w:val="21"/>
                <w:szCs w:val="21"/>
                <w:highlight w:val="none"/>
                <w:u w:val="none"/>
                <w:lang w:val="en-US" w:eastAsia="zh-CN" w:bidi="ar"/>
              </w:rPr>
              <w:t>提供</w:t>
            </w:r>
            <w:r>
              <w:rPr>
                <w:rFonts w:hint="eastAsia" w:ascii="宋体" w:hAnsi="宋体" w:eastAsia="宋体" w:cs="宋体"/>
                <w:i w:val="0"/>
                <w:iCs w:val="0"/>
                <w:color w:val="auto"/>
                <w:kern w:val="0"/>
                <w:sz w:val="21"/>
                <w:szCs w:val="21"/>
                <w:highlight w:val="none"/>
                <w:u w:val="none"/>
                <w:lang w:val="en-US" w:eastAsia="zh-CN" w:bidi="ar"/>
              </w:rPr>
              <w:t>设备演示1.1-1.2所有功能）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1.1至少包含摄像系统、电源系统、系统支架和底座四个部分，整体重量≤7kg，轻便、易搬运；底座至少包含5个脚轮，稳定不易倾倒，移动方便。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1.2系统支架采用不低于SUS304等级的不锈钢材质，具有良好的耐腐蚀性、耐久性、高承载能力、抗污染性。具备高度调节功能，摄像系统支持高度调节，最低高度≤1.4米，最高高度≥2米。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2.电源系统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2.1.电源类型</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锂离子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2.2.续航时间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不少于14小时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2.3.最大输出功率</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30W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2.4.外壳材质</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金属带喷涂处理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2.5.电芯类型</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圆柱状铝壳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2.6.电源容量</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15000mAh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2.7.电源管理模块具备电量显示功能，至少包含4格电量显示。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2.8.支持一键控制摄像模块启停，便于系统使用。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3.摄像系统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3.1、最高分辨率可达2560 × 1440 @25 fps，在该分辨率下可输出实时图像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3.2、支持用户登录锁定机制，及密码复杂度提示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3.3、支持背光补偿，3D数字降噪，数字宽动态，适应不同监控环境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3.4、采用高效阵列红外灯，使用寿命长，红外照射最远可达30 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1个内置麦克风，1个内置扬声器，双向语音对讲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3.5、支持Wi-Fi功能，外置双天线，空旷区域最远可传输120 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符合IP66防尘防水设计，可靠性高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3.6、主码流帧率分辨率：50 Hz：25 fps（2560 × 1440，1920 × 1080，1280 × 720）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3.7、子码流帧率分辨率：50 Hz：25 fps（640 × 360）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3.8、视频压缩标准：主码流：H.265/H.264 子码流：H.265/H.264 视频压缩码率：32 Kbps~8 Mbps；H.264编码类型：BaseLine Profile/Main Profile/High Profile；H.265编码类型：Main Profile</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3C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57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FC3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29800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57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29800</w:t>
            </w:r>
          </w:p>
        </w:tc>
      </w:tr>
      <w:tr w14:paraId="69F33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DD5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91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示教投屏展示硬件</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B1E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一、整机设计</w:t>
            </w:r>
          </w:p>
          <w:p w14:paraId="477C0DF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1.整体采用包边设计，表面钢化玻璃在合金边框内，四角圆弧，双重保护，安全抗冲击。产品具有两个笔槽设计，分别在底部两端，支持触控笔吸附；具有前置挡板设计</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保护前置接口及接入的设备。</w:t>
            </w:r>
          </w:p>
          <w:p w14:paraId="000438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2.屏幕尺寸≥86英寸，分辨率≥3840×2160，表面采用耐磨、防眩光、防划伤、高安全系数钢化玻璃。</w:t>
            </w:r>
          </w:p>
          <w:p w14:paraId="7570F6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3.整机具备2.0声道音箱，前置2个≥20W中高音音箱，额定总功率≥40W，支持单独听功能。</w:t>
            </w:r>
          </w:p>
          <w:p w14:paraId="6A5F462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4.产品采用红外多点触控技术，需支持手指轻触式多点（不少于20点触控）互动体验，触摸免驱动，即插即用，需支持主流多种操作系统。</w:t>
            </w:r>
          </w:p>
          <w:p w14:paraId="107F76D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5.设备需支持NFC碰碰传功能：支持带有NFC功能的移动设备靠近NFC标签时可近场感应，能快速将其屏幕传至大屏，实现无线教学。</w:t>
            </w:r>
          </w:p>
          <w:p w14:paraId="455BF8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6.具有触摸防遮挡功能，触摸屏具有防遮挡功能，触摸接收器在单点或单边遮挡后仍能正常触控书写和操作；触控连续响应无间断，有效识别≤2毫米，触控精准度32768x32768。</w:t>
            </w:r>
          </w:p>
          <w:p w14:paraId="5EAED83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7.具有触摸悬浮菜单功能，需支持三指罗盘跟随，可通过三指调用此悬浮菜单到屏幕任意位置，需支持任意通道下无需点击物理按键，可随时调用计算器、日历等小工具。</w:t>
            </w:r>
          </w:p>
          <w:p w14:paraId="51C70BB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8.具有五指熄屏功能，支持五指智能手势识别开关产品背光，操作者可在显示区域任意位置，任意信号下，通过五指按压屏幕实现对屏幕的开关，五指触控实现产品背光的关闭与开启。</w:t>
            </w:r>
          </w:p>
          <w:p w14:paraId="5F58CDB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9.要求整机具有纸质护眼模式，包括素描、牛皮纸、宣纸、水彩纸等。</w:t>
            </w:r>
          </w:p>
          <w:p w14:paraId="5D25A87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10.需支持安卓系统启动后可自动启动内置ops系统，需支持无信号接收状态时能够自动熄屏，自动熄屏的时间间隔可选，支持定时开关机。</w:t>
            </w:r>
          </w:p>
          <w:p w14:paraId="56CF4B9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11.产品处于关机通电状态，外接电脑显示信号通过传输线连接至产品时，产品可智能识别外接电脑设备信号输入并自动开机；产品外接信号源时，支持自动跳转到外接信号源通道。</w:t>
            </w:r>
          </w:p>
          <w:p w14:paraId="7A18567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12.产品在任意通道下，支持手势识别调出板擦工具擦除批注内容，支持调整板擦工具的大小。</w:t>
            </w:r>
          </w:p>
          <w:p w14:paraId="30CC71A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13. 当设备切换到任何信号源下，均可通过HDMI输出接口将当前画面输出到其他显示设备上。</w:t>
            </w:r>
          </w:p>
          <w:p w14:paraId="7BA1CED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14.需支持锁定屏幕触摸，可通过软件菜单（调试菜单）锁定屏幕触摸，锁定应用、锁定USB。</w:t>
            </w:r>
          </w:p>
          <w:p w14:paraId="71E6197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15.内置触摸中控菜单，需支持信号源通道切换、背光、声音等，无须实体按键，在任意显示通道下均可通过手势在屏幕上调取触摸菜单，方便快捷；</w:t>
            </w:r>
          </w:p>
          <w:p w14:paraId="1771C8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16.具有不少于8个前置物理按键，至少包含电源键、菜单、主页、信号源、音量等，按键具备明显标识；支持电源按键三合一功能，可选择关闭产品、内置电脑、节能等，具有供电保护功能。（投标时提供具的检测报告复印件）</w:t>
            </w:r>
          </w:p>
          <w:p w14:paraId="197645B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17.需支持侧边栏功能，支持无操作自动隐藏，侧边栏可设置返回、主页、任务、批注、信号源等功能调用，批注；需支持任意通道下使用，并可设置颜色和画笔大小，可选择二维码分享批注内容。（投标时提供具检测报告复印件）</w:t>
            </w:r>
          </w:p>
          <w:p w14:paraId="36E5BF6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18.产品需支持环境感光功能，能感应并自动调节屏幕亮度来达到在不同光照环境下的最佳显示效果；需支持开启护眼模式。</w:t>
            </w:r>
          </w:p>
          <w:p w14:paraId="7C72A3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19.内置安卓系统，系统版本不低于14.0，内存不低于4G</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存储不低于32G；需支持对内置电脑进行还原操作，可通过前置物理按键对内置电脑系统进行还原。</w:t>
            </w:r>
          </w:p>
          <w:p w14:paraId="42BFDA0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20.整机内置非独立的高清摄像头，摄像头像素≥1300万，视角≥118°，需支持阵列数字音频MIC，支持调用，实现场景音视录制。</w:t>
            </w:r>
          </w:p>
          <w:p w14:paraId="19BF254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21.支持无PC状态下，支持无线投屏功能，支持APP投屏、USB发射器投屏、热点共享投屏三种模式，支持手机、平板电脑、笔记本电脑多个终端无线投屏。</w:t>
            </w:r>
          </w:p>
          <w:p w14:paraId="6274221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22.需支持网络共享功能（双系统单网口上网），单根网线接入产品，即可实现产品安卓系统和内置的电脑同时有线上网。</w:t>
            </w:r>
          </w:p>
          <w:p w14:paraId="260DC00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23.内置无线网络模块，采用全向信号收发设计，支持无线网络连接。</w:t>
            </w:r>
          </w:p>
          <w:p w14:paraId="5DA6D38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24.需支持展板、会议功能，可快速完成欢迎界面和会议主题设置，全屏显示，支持不少于12种模板，可对欢迎文字的字体、大小、颜色进行编辑；需支持会议签名功能，并可扫码带走签名及模板。</w:t>
            </w:r>
          </w:p>
          <w:p w14:paraId="335EF34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25. 无需借助PC，设备需支持一键进行硬件自检，至少包括对系统内存、存储、设备温度、光感系统、内置电脑、网络、摄像头、麦克风等进行状态提示及故障提示，支持一键优化。</w:t>
            </w:r>
          </w:p>
          <w:p w14:paraId="6B58996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26.设备内置安卓教学辅助系统，支持安装第三方APP软件并可以正常使用APP软件，支持第三方APP安装阻断功能，可限制未知来源的第三方APP安装。</w:t>
            </w:r>
          </w:p>
          <w:p w14:paraId="4B5044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27.设备内置安卓教学辅助系统，支持录屏，录制分辨率支持1080P、720P可选。支持设置录制时间，达到指定时间自动停止录制。</w:t>
            </w:r>
          </w:p>
          <w:p w14:paraId="0FA960C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28.OPS插拔式电脑：采用插拔式架构，针脚数≥80pin，屏体与插拔式电脑无单独接线；处理器配置不低于Intel Core i5；内存不低于8G；硬盘不低于512G-SSD 固态硬盘；具有独立非外扩展接口：HDMI out≥1个 、Mic in≥1个、 LINE-out≥1个、USB口≥6个，Rj45≥1个；内置有线网卡和无线网卡。</w:t>
            </w:r>
          </w:p>
          <w:p w14:paraId="655055E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p>
          <w:p w14:paraId="0252DF6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二、白板软件</w:t>
            </w:r>
          </w:p>
          <w:p w14:paraId="34E7C00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备课</w:t>
            </w:r>
          </w:p>
          <w:p w14:paraId="3D785C6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1.备课支持插入本地PPT，并保持原有格式无变化，动效动画无丢失，支持批注，批注可设置保存；支持显示保存在云端的课件信息，可接收或忽略其他用户分享的课件。</w:t>
            </w:r>
          </w:p>
          <w:p w14:paraId="1BCE325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2.支持对课件进行分享、下载、重命名、移动、删除操作，分享可按照手机号码及链接的方式进行分享，链接分享形式支持设置文件有效期（支持不少于永久、30天、7天等）、私密和公开的设置。</w:t>
            </w:r>
          </w:p>
          <w:p w14:paraId="7CCE8CD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▲3.课件支持自动同步至云端，支持设置课件自动保存时间，至少可设置为1分钟、3分钟、5分钟、10分钟、20分钟、30分钟等。（投标时提供具检测报告复印件）</w:t>
            </w:r>
          </w:p>
          <w:p w14:paraId="219EE1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4.新建课件支持选择课件主题，提供预设课件主题，至少包含学科主题、创意主题，可在编辑课件的过程中更改。</w:t>
            </w:r>
          </w:p>
          <w:p w14:paraId="6FCE4D3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5.支持插入和导出文件，可将制作的课件导出为课件、图片、pdf格式；支持插入文本，可对文本进行字体、字号、颜色、对齐、缩进等多种设置；支持插入本地素材，包括视频、音频、图片、文档等多种格式。</w:t>
            </w:r>
          </w:p>
          <w:p w14:paraId="313854A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支持插入网页，可选择合适的网页内容，插入后点击可直接进入该网页进行浏览；支持插入表格，可设置表格行列、添加行列，可双击表格输入内容，支持自动换行；支持插入思维导图，提供思维导图、组织结构图、鱼骨图三种形式；支持插入各类预置形状，可对形状进行填充色、边框颜色及粗细、透明度的设置。</w:t>
            </w:r>
          </w:p>
          <w:p w14:paraId="58EEFFC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支持同时打开多个课件窗口，支持新建课件页面，可拖动、移动、删除、复制页面；支持课件页面切换，提供淡入、推入、旋转、分割、交换、圆形、揭开等不少于7种形式的特效；支持顺序调整，支持应用到全部。</w:t>
            </w:r>
          </w:p>
          <w:p w14:paraId="6EBE14A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8.支持对对象进行复制、剪切、粘贴、删除、置于顶层、置于底层、锁定、设置蒙层等操作。</w:t>
            </w:r>
          </w:p>
          <w:p w14:paraId="2DD48F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支持对对象设置元素动画和播放顺序，提供进入（无效果、百叶窗、擦入、浮入、放大、旋转、掉落）、动作（无效果、闪烁、抖动、心跳、旋转、翻转）、退出（无效果、淡出、百叶窗、擦出、浮出、缩小、旋转、飞出）等不少于20种元素动画形式。</w:t>
            </w:r>
          </w:p>
          <w:p w14:paraId="5249351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10.支持创建课堂活动，提供分类达人、选词填空、匹配能手等多种互动练习形式，可插入至页面中进行游戏交互练习；支持通过模板制作个人活动，个人活动可保存至云端。</w:t>
            </w:r>
          </w:p>
          <w:p w14:paraId="5698B2F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授课</w:t>
            </w:r>
          </w:p>
          <w:p w14:paraId="4CF217A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1.支持从备课状态一键进入授课状态，并可快速返回备课状态；支持交换底部索引栏，教师可根据授课时的站立位置选择与另一侧的按钮进行互换；支持将软件最小化，可将软件缩至状态栏。</w:t>
            </w:r>
          </w:p>
          <w:p w14:paraId="019AFF6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2.工具栏包括菜单、选择、笔、橡皮、工具、学科等功能；云课件支持导出分享功能，支持生成二维码分享，可使用微信扫码可预览、保存课件。</w:t>
            </w:r>
          </w:p>
          <w:p w14:paraId="2194C4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▲3.提供小黑板、截图、录屏、撤销、还原、放大镜、计时器、形状、思维导图、幕布、分屏、漫游等通用工具。（投标时提供具检测报告复印件）</w:t>
            </w:r>
          </w:p>
          <w:p w14:paraId="11ED110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4.支持橡皮功能，可擦除书写的笔迹，可设置擦除的面积，可一键清空画布中的笔迹和形状。</w:t>
            </w:r>
          </w:p>
          <w:p w14:paraId="68E4498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5.支持对象选择功能，选中的对象可进行形状、角度的调整，可进行置顶、克隆、删除等操作；支持书写功能，可设置硬笔、荧光笔、图章笔、纹理笔，可改变笔迹的粗细和颜色，支持最多十指同时书写。</w:t>
            </w:r>
          </w:p>
          <w:p w14:paraId="3662D9F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三、同屏软件</w:t>
            </w:r>
          </w:p>
          <w:p w14:paraId="752907B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1.支持手机、笔记本电脑等移动端通过自动搜索接收端设备和六位识别码两种方式无线连接到产品。</w:t>
            </w:r>
          </w:p>
          <w:p w14:paraId="65C22E4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2.支持将手机中的音视频文件无线推送至产品 </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并能进行播放和进行音量大小调节。</w:t>
            </w:r>
          </w:p>
          <w:p w14:paraId="607E438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3.支持不少于6个投屏客户端图像画面对比展示，在产品上可以反向控制操作笔记本电脑上的内容</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支持单击、双击、右键控制。</w:t>
            </w:r>
          </w:p>
          <w:p w14:paraId="4B799C4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4.要求产品显示桌面可以实时同步到手机上</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 xml:space="preserve">手机通过两个手指对产品桌面进行放大、缩小和漫游操作 </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方便手机端对产品进行远程控制。</w:t>
            </w:r>
          </w:p>
          <w:p w14:paraId="3E023A5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5.支持鼠标遥控器功能</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通过软件一键进行鼠标左键、右键、上下滚轮滑动、触摸板操控等功能。</w:t>
            </w:r>
          </w:p>
          <w:p w14:paraId="0C6559D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6.Windows客户端投屏至少支持桌面同步、镜像投屏和拓展投屏功能，点击功能会跳转至对应控制页面；Windows客户端进入控制页面，支持调节投屏清晰度，至少支持超清、高清等标准。</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06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7E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DA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20500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1C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41000</w:t>
            </w:r>
          </w:p>
        </w:tc>
      </w:tr>
      <w:tr w14:paraId="7A674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C1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6C0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网络配套设备</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03B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机柜、数据存贮终端、无线接入点、网线</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8C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7ED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D0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F4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19000</w:t>
            </w:r>
          </w:p>
        </w:tc>
      </w:tr>
      <w:tr w14:paraId="713FF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BE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CE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智慧多媒体教学系统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6B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1.要求录播主机采用一体化嵌入式硬件设计架构，支持壁挂式安装；内置国产化八核处理器、Linux系统、≥8GB内存，≥1T硬盘。</w:t>
            </w:r>
          </w:p>
          <w:p w14:paraId="74D9051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▲2.要求录播主机满足录制、直播、点播、互动、导播管理、存储、切换、视音频编码、语音转写、虚拟抠像、行为分析等功能，支持远程互动教学，实现远程互动网络课堂。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投标时须提供检测报告复印件</w:t>
            </w:r>
            <w:r>
              <w:rPr>
                <w:rFonts w:hint="eastAsia" w:ascii="宋体" w:hAnsi="宋体" w:cs="宋体"/>
                <w:i w:val="0"/>
                <w:iCs w:val="0"/>
                <w:color w:val="auto"/>
                <w:kern w:val="0"/>
                <w:sz w:val="21"/>
                <w:szCs w:val="21"/>
                <w:highlight w:val="none"/>
                <w:u w:val="none"/>
                <w:lang w:val="en-US" w:eastAsia="zh-CN" w:bidi="ar"/>
              </w:rPr>
              <w:t>）</w:t>
            </w:r>
          </w:p>
          <w:p w14:paraId="10CA55A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▲3.要求配置≥17英寸电容触控液晶屏，采用防指纹涂层工艺，无须外接显示设备，用户可直接通过主机查看已录制的视频，支持在主机上直接播放查看录制效果，并可使用U盘拷贝。</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投标时须提供检测报告复印件</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4.视频编码：要求支持H.265和H.264两种视频编码协议，实现更高效率和更好质量的编码技术，支持4K分辨率（3840*2160）视频的编码和录制。</w:t>
            </w:r>
          </w:p>
          <w:p w14:paraId="623F611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5.要求具有多指智能手势识别息屏功能，操作者可在触摸屏任意位置，通过触摸实现对屏幕背光的关闭和开启。</w:t>
            </w:r>
          </w:p>
          <w:p w14:paraId="63DBFB0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6.要求支持≥2路HDMI输入接口，支持≥3路HDMI输出接口。</w:t>
            </w:r>
          </w:p>
          <w:p w14:paraId="1951DE6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7.要求支持≥1路线性输入，≥1路3.5mm音频输入，≥1路线性输出，≥1路3.5mm音频输出。</w:t>
            </w:r>
          </w:p>
          <w:p w14:paraId="13AB2C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8.要求支持≥2路RS232控制接口。</w:t>
            </w:r>
          </w:p>
          <w:p w14:paraId="7AC37BB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9.要求录播主机内置不低于2个5W的扬声器，用于播放本地视频声音。</w:t>
            </w:r>
          </w:p>
          <w:p w14:paraId="1967D68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10.要求支持≥5路RJ45网口，其中至少4路为POE网口，集供电、控制、视频传输于一体。支持摄像机智能组网，摄像机即插即用。</w:t>
            </w:r>
          </w:p>
          <w:p w14:paraId="2174198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11.要求支持IPV4、IPV6链路地址、IPV6外网地址三个网络地址配置，支持启用DHCP自动获取IP地址。</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C2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3F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F5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25550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9B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25550</w:t>
            </w:r>
          </w:p>
        </w:tc>
      </w:tr>
      <w:tr w14:paraId="03EA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31E0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A8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常态化录播系统</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B5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1.系统支持微信扫码和账号密码登录，支持电影模式、资源模式等录制模式，支持≥1路电影模式加≥6路资源备份，可同时录制合成画面、教师全景、教师特写、学生全景、学生特写、板书画面、电脑画面。</w:t>
            </w:r>
          </w:p>
          <w:p w14:paraId="3A75526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2.录制格式至少支持MP4/FLV/TS，录制分辨率支持3840*2160、1920*1080等，支持录制帧率设定，可选择25fps/30fps。</w:t>
            </w:r>
          </w:p>
          <w:p w14:paraId="3CCF582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3.支持实时显示录播主机CPU的使用率，硬盘使用情况，不少于6路预监画面，可自定义通道预监画面名称。</w:t>
            </w:r>
          </w:p>
          <w:p w14:paraId="00B605D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4.要求导播模式支持视频预览、直播输出监视、视频切换等功能，其中鼠标拖动视频切换时支持导播小画面定位跟随。</w:t>
            </w:r>
          </w:p>
          <w:p w14:paraId="491E669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5.支持添加字幕，支持包括系统时间在内的九种预设字幕的设置，其中系统时间支持自动校准。可直接通过拖拽实现自定义字幕显示位置。支持设置≥9种字体大小、≥8种字体颜色。</w:t>
            </w:r>
          </w:p>
          <w:p w14:paraId="578C2B3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6.系统界面自带虚拟软键盘，无需外接USB键盘，可输入中文、英文、数字、特殊符号。</w:t>
            </w:r>
          </w:p>
          <w:p w14:paraId="7B22E5F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7.支持导播模式设置：至少包括手动、半自动、全自动模式，具有自动轮巡导播模式。</w:t>
            </w:r>
          </w:p>
          <w:p w14:paraId="5481E1B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要求提供多种画面布局模式，支持视频画面叠加与组合，包括单画面、双分屏画面、三分屏画面、四分屏画面显示，可直接通过鼠标拖动通道画面实现多分屏布局显示画面的替换，替换时支持导播小画面定位跟随。</w:t>
            </w:r>
          </w:p>
          <w:p w14:paraId="273AAA2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9.支持≥4种片头和≥4种片尾的添加，可以设置插入片头片尾的时间，支持jpg、png格式。</w:t>
            </w:r>
          </w:p>
          <w:p w14:paraId="2A177C2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10.台标支持≥4个固定位置，分别为左上、右上、左下、右下，支持手动拖拽移动台标，实现界面任意位置的台标设置。支持设定图片台标，支持jpg、png格式。</w:t>
            </w:r>
          </w:p>
          <w:p w14:paraId="178A450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11.要求系统支持摄像机云台控制，可以对摄像机进行变焦、上下左右位置调整以及≥8个预置位的设置。</w:t>
            </w:r>
          </w:p>
          <w:p w14:paraId="7C66AF9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12.所录制的视频文件既可存储在本地硬盘，也支持通过FTP上传至平台，同时支持用户随时通过录播主机点播回放视频，并可使用移动磁盘或硬盘拷贝下载。</w:t>
            </w:r>
          </w:p>
          <w:p w14:paraId="35AB4F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13.系统支持长视频分段录制的功能，可自定义视频文件分段时长。</w:t>
            </w:r>
          </w:p>
          <w:p w14:paraId="22B1CFA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14.系统具有推送公网直播功能并可在设备上自动生成直播二维码，扫描即可观看直播。</w:t>
            </w:r>
          </w:p>
          <w:p w14:paraId="63709B9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▲15.要求内置微课制作功能，支持不少于前景、人像、背景3层场景叠加，叠加的场景支持PPT、视频、图片，虚拟抠像后的人像等类型。支持虚拟抠像后合成的画面实现和远端进行音视频互动。</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11F30E0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16.要求不依赖网络、外置设备即可实现行为分析、实时字幕的语音转写和热词提取。系统内置行为分析系统，至少支持对教室人数、举手、站立、背身、趴下、低头、扭头人数的实时统计，并实时汇总学生的参与度、活跃度和抬头率。</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19E5521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17.要求进入互动系统时可支持查看永久课历史记录，可输入房间号快速加入远程互动，并显示对应的课程信息，包括时长、主讲人、房间名称、房间号、丢包率、网络延时等。</w:t>
            </w:r>
          </w:p>
          <w:p w14:paraId="35A89D7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18.要求创建房间时支持对主题、主讲人、开始日期、开始时间和结束时间、验证方式的设置，其中验证方式支持公开和加密的选择。</w:t>
            </w:r>
          </w:p>
          <w:p w14:paraId="1BF8FE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19.要求支持对每个互动房间自动分配短号，可以通过短号直接实现多个设备间的互动，支持房间加密。</w:t>
            </w:r>
          </w:p>
          <w:p w14:paraId="3BA0809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20.授课预监：授课过程中，录播主机屏幕将实时显示授课教室和参与互动的听课教室画面，用户可实时查看授课教室的拍摄效果，及互动教室的听课状态。</w:t>
            </w:r>
          </w:p>
          <w:p w14:paraId="1FC4D0A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21.需支持对录播机进行网络检测，可实时检测服务器连通性、网络稳定性、上行下行速度、网络追踪性、网卡信息、信道状态。</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E6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D7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A64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14000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CD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14000</w:t>
            </w:r>
          </w:p>
        </w:tc>
      </w:tr>
      <w:tr w14:paraId="0702F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D2E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DC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教师双目摄像机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00A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1.采用全景/特写双镜头设计，传感器：1/2.7英寸CMOS，特写镜头800万像素，全景镜头400万像素。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2.教师特写镜头水平视场角26°。全景镜头水平视场角43°。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3.支持4K</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3840×2160）分辨率，兼容1080P、720P等分辨率。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4.视频编码标准： 支持H.264/MJPEG，帧率支持1~30fps，视频码率设置范围：32Kbps ~ 16384Kbps。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5.视频制式：支持50Hz/60Hz，编码等级可设置base line/main profile/high profile。</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6.音频编码标准：支持 AAC、G711A编码格式，音频采样率48KHz，音频码率：支持96Kbps、128Kbps、256Kbps。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7.支持水平翻转、垂直翻转；支持多种白平衡方式，支持自动，室内，室外，一键式，手动；支持背光补偿、图像冻结。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8.摄像机接口：1路RJ45 （10M/100M自适应），1路Type-C，1路Line in 3.5mm音频接口；1路Line out 3.5mm音频接口。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9.支持POE一线通功能，电源、视频、音频、控制四线合一。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10.支持USB音视频输出，同时支持UVC和UAC协议，最大支持4K@30fps输出，兼容主流视频会议软件。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11.内置图像识别跟踪算法，微型机械云台设计，全景特写双镜头采用同系列图像传感器和图像处理器，确保两者图像输出亮度、颜色、风格等保持一致。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12.人脸检测：支持对监视画面中出现的人脸进行检测，在监视或录像状态下，监视画面无明显缺损，物体移动时画面边缘无明显锯齿、拉毛现象。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13.系统具备图像识别功能，支持同时输出2路场景画面，支持所有画面的自动导播切换。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14.支持通过浏览器进行管理，包括亮度、饱和度、对比度、锐度、色度设置。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15配合录播主机支持人物动作分析，识别举手、站立、背身、趴下、低头、扭头等人物动作分析。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16.支持 DC12V、POE供电方式。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60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A5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D2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5250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69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5250</w:t>
            </w:r>
          </w:p>
        </w:tc>
      </w:tr>
      <w:tr w14:paraId="21BB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A3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125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学生双目摄像机</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339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1.需采用全景/特写双镜头设计，传感器：≥1/2.7英寸CMOS，特写镜头≥800万像素，全景镜头≥400万像素。</w:t>
            </w:r>
          </w:p>
          <w:p w14:paraId="63D2F7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2.学生特写镜头水平视场角不小于43°。全景镜头水平视场角不小于110°。</w:t>
            </w:r>
          </w:p>
          <w:p w14:paraId="6417865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3.需支持4K</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3840×2160）分辨率，兼容1080P、720P等分辨率。</w:t>
            </w:r>
          </w:p>
          <w:p w14:paraId="5C78999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4.视频编码标准</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 xml:space="preserve"> 需支持H.264/MJPEG，帧率需支持1~30fps，视频码率设置范围：不小于32Kbps ~ 16384Kbps。</w:t>
            </w:r>
          </w:p>
          <w:p w14:paraId="2C914D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5.视频制式：需支持50Hz/60Hz，编码等级可设置base line/main profile/high profile。</w:t>
            </w:r>
          </w:p>
          <w:p w14:paraId="6EF4E9E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6.音频编码标准：需支持 AAC、G711A编码格式，音频采样率≥48KHz，音频码率：需支持96Kbps、128Kbps、256Kbps。</w:t>
            </w:r>
          </w:p>
          <w:p w14:paraId="5666E2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7.需支持水平翻转、垂直翻转；支持多种白平衡方式，至少支持自动，室内，室外，一键式，手动；需支持背光补偿、图像冻结。</w:t>
            </w:r>
          </w:p>
          <w:p w14:paraId="0C593AB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8.摄像机接口：支持≥1路RJ45 （10M/100M自适应），≥1路Type-C，≥1路Line in 3.5mm音频接口；≥1路Line out 3.5mm音频接口。</w:t>
            </w:r>
          </w:p>
          <w:p w14:paraId="4748CBC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9.需支持 POE一线通功能，电源、视频、音频、控制四线合一。</w:t>
            </w:r>
          </w:p>
          <w:p w14:paraId="591F276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▲10.需支持USB音视频输出，同时支持UVC和UAC协议，最大支持4K@30fps输出，兼容主流视频会议软件。</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1FD6259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▲11.需内置图像识别跟踪算法，微型机械云台设计，全景特写双镜头采用同系列图像传感器和图像处理器，确保两者图像输出亮度、颜色、风格等保持一致。</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70423E9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▲12.人脸检测：需支持对监视画面中出现的人脸进行检测，在监视或录像状态下，监视画面无明显缺损，物体移动时画面边缘无明显锯齿、拉毛现象。</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15597C7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13.系统具备图像识别功能，需支持同时输出2路场景画面，支持所有画面的自动导播切换。</w:t>
            </w:r>
          </w:p>
          <w:p w14:paraId="77125F4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14.需支持通过浏览器进行管理，至少包括亮度、饱和度、对比度、锐度、色度设置。</w:t>
            </w:r>
          </w:p>
          <w:p w14:paraId="310A612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▲15配合录播主机需支持人物动作分析，至少识别举手、站立、背身、趴下、低头、扭头等人物动作分析。</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投标时须提供检测报告复印件</w:t>
            </w:r>
            <w:r>
              <w:rPr>
                <w:rFonts w:hint="eastAsia" w:ascii="宋体" w:hAnsi="宋体" w:cs="宋体"/>
                <w:i w:val="0"/>
                <w:iCs w:val="0"/>
                <w:color w:val="auto"/>
                <w:sz w:val="21"/>
                <w:szCs w:val="21"/>
                <w:highlight w:val="none"/>
                <w:u w:val="none"/>
                <w:lang w:eastAsia="zh-CN"/>
              </w:rPr>
              <w:t>）</w:t>
            </w:r>
          </w:p>
          <w:p w14:paraId="6EC6CF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16.需支持 DC12V、POE供电方式。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59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6C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AA0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5250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E3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5250</w:t>
            </w:r>
          </w:p>
        </w:tc>
      </w:tr>
      <w:tr w14:paraId="42D2B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B9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01A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指向拾音话筒</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B49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1.类型：电容式麦克风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2.指向性：心型指向性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3.频率响应：20Hz~20KHz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4.灵敏度：12mV/Pa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5.阻抗：150Ω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6.负载阻抗：1kΩ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7.信噪比：65dB,1kHz at 1Pa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8.最大耐声压级（THD&lt;0.5%）：110dB SPL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9.电流耗量：3mA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10连接方式：Type XLR-3</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7A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95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70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AA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4400</w:t>
            </w:r>
          </w:p>
        </w:tc>
      </w:tr>
      <w:tr w14:paraId="72684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AC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26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材料费</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DAB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网线、音频线，高清线、电线</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71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684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7C7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20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2600</w:t>
            </w:r>
          </w:p>
        </w:tc>
      </w:tr>
      <w:tr w14:paraId="34A60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AD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FBD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安装费</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C76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安装调试</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12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72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990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4600</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BA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4600</w:t>
            </w:r>
          </w:p>
        </w:tc>
      </w:tr>
      <w:tr w14:paraId="1DB88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278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5FA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合计</w:t>
            </w:r>
          </w:p>
        </w:tc>
        <w:tc>
          <w:tcPr>
            <w:tcW w:w="5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613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E4E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8B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84D81">
            <w:pPr>
              <w:keepNext w:val="0"/>
              <w:keepLines w:val="0"/>
              <w:widowControl/>
              <w:suppressLineNumbers w:val="0"/>
              <w:jc w:val="righ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1900000</w:t>
            </w:r>
          </w:p>
        </w:tc>
      </w:tr>
    </w:tbl>
    <w:p w14:paraId="53BF5C0A">
      <w:pPr>
        <w:numPr>
          <w:ilvl w:val="0"/>
          <w:numId w:val="0"/>
        </w:numPr>
        <w:ind w:leftChars="0"/>
        <w:outlineLvl w:val="9"/>
        <w:rPr>
          <w:rFonts w:hint="eastAsia" w:ascii="宋体" w:hAnsi="宋体" w:cs="宋体"/>
          <w:sz w:val="24"/>
          <w:highlight w:val="none"/>
          <w:lang w:val="en-US" w:eastAsia="zh-CN"/>
        </w:rPr>
      </w:pPr>
    </w:p>
    <w:p w14:paraId="769B3BB7">
      <w:pPr>
        <w:ind w:firstLine="482" w:firstLineChars="200"/>
        <w:jc w:val="left"/>
        <w:rPr>
          <w:rFonts w:ascii="宋体" w:hAnsi="宋体" w:cs="宋体"/>
          <w:sz w:val="24"/>
          <w:highlight w:val="none"/>
        </w:rPr>
      </w:pPr>
      <w:r>
        <w:rPr>
          <w:rFonts w:hint="eastAsia" w:ascii="宋体" w:hAnsi="宋体" w:cs="宋体"/>
          <w:b/>
          <w:sz w:val="24"/>
          <w:highlight w:val="none"/>
        </w:rPr>
        <w:br w:type="page"/>
      </w:r>
      <w:r>
        <w:rPr>
          <w:rFonts w:hint="eastAsia" w:ascii="宋体" w:hAnsi="宋体" w:cs="宋体"/>
          <w:b/>
          <w:sz w:val="24"/>
          <w:highlight w:val="none"/>
        </w:rPr>
        <w:t>二、合同履行期限：</w:t>
      </w:r>
      <w:r>
        <w:rPr>
          <w:rFonts w:hint="eastAsia" w:ascii="宋体" w:hAnsi="宋体" w:cs="宋体"/>
          <w:b w:val="0"/>
          <w:bCs/>
          <w:sz w:val="24"/>
          <w:highlight w:val="none"/>
        </w:rPr>
        <w:t>自合同签订之日起60个日历天内完成供货、系统建设、安装、调试及验收，满足采购人使用需求。</w:t>
      </w:r>
    </w:p>
    <w:p w14:paraId="3C4ED923">
      <w:pPr>
        <w:ind w:firstLine="482" w:firstLineChars="200"/>
        <w:jc w:val="left"/>
        <w:rPr>
          <w:rFonts w:ascii="宋体" w:hAnsi="宋体" w:cs="宋体"/>
          <w:sz w:val="24"/>
          <w:highlight w:val="none"/>
        </w:rPr>
      </w:pPr>
      <w:r>
        <w:rPr>
          <w:rFonts w:hint="eastAsia" w:ascii="宋体" w:hAnsi="宋体" w:cs="宋体"/>
          <w:b/>
          <w:bCs/>
          <w:kern w:val="0"/>
          <w:sz w:val="24"/>
          <w:highlight w:val="none"/>
        </w:rPr>
        <w:t>三、质量要求：</w:t>
      </w:r>
      <w:r>
        <w:rPr>
          <w:rFonts w:hint="eastAsia" w:ascii="宋体"/>
          <w:sz w:val="24"/>
          <w:highlight w:val="none"/>
        </w:rPr>
        <w:t>提供的货物为全新产品，达到国家及行业现行质量标准、验收标准，一次性验收合格，能正常投入使用，满足采购人要求及招标文件相关要求，并</w:t>
      </w:r>
      <w:r>
        <w:rPr>
          <w:rFonts w:hint="eastAsia" w:ascii="宋体" w:hAnsi="宋体" w:cs="宋体"/>
          <w:sz w:val="24"/>
          <w:highlight w:val="none"/>
        </w:rPr>
        <w:t>保证使用期间不存在侵犯第三方知识产权的情形。</w:t>
      </w:r>
    </w:p>
    <w:p w14:paraId="37ECDEB8">
      <w:pPr>
        <w:ind w:firstLine="482" w:firstLineChars="200"/>
        <w:jc w:val="left"/>
        <w:rPr>
          <w:rFonts w:ascii="宋体" w:hAnsi="宋体" w:cs="宋体"/>
          <w:sz w:val="24"/>
          <w:highlight w:val="none"/>
        </w:rPr>
      </w:pPr>
      <w:r>
        <w:rPr>
          <w:rFonts w:hint="eastAsia" w:hAnsi="宋体" w:cs="宋体"/>
          <w:b/>
          <w:bCs/>
          <w:kern w:val="0"/>
          <w:sz w:val="24"/>
          <w:highlight w:val="none"/>
        </w:rPr>
        <w:t>四、质保期：</w:t>
      </w:r>
      <w:r>
        <w:rPr>
          <w:rFonts w:hint="eastAsia" w:asciiTheme="minorEastAsia" w:hAnsiTheme="minorEastAsia" w:eastAsiaTheme="minorEastAsia" w:cstheme="minorEastAsia"/>
          <w:sz w:val="24"/>
          <w:highlight w:val="none"/>
        </w:rPr>
        <w:t>质保期</w:t>
      </w:r>
      <w:r>
        <w:rPr>
          <w:rFonts w:hint="eastAsia" w:asciiTheme="minorEastAsia" w:hAnsiTheme="minorEastAsia" w:eastAsiaTheme="minorEastAsia" w:cstheme="minorEastAsia"/>
          <w:sz w:val="24"/>
          <w:highlight w:val="none"/>
          <w:lang w:val="en-US" w:eastAsia="zh-CN"/>
        </w:rPr>
        <w:t>在“采购内容及要求”中已有明确要求的，按要求执行，未有明确要求的</w:t>
      </w:r>
      <w:r>
        <w:rPr>
          <w:rFonts w:hint="eastAsia" w:asciiTheme="minorEastAsia" w:hAnsiTheme="minorEastAsia" w:eastAsiaTheme="minorEastAsia" w:cstheme="minorEastAsia"/>
          <w:sz w:val="24"/>
          <w:highlight w:val="none"/>
        </w:rPr>
        <w:t>质保期不少于三年，质保期间，如果出现质量问题，供应商无条件更换，采购人不支付任何费用。质保期满后如有质量问题按采购人要求需进行更换的，所产生的费用按不高于市场价收取。</w:t>
      </w:r>
    </w:p>
    <w:p w14:paraId="15290BDE">
      <w:pPr>
        <w:ind w:firstLine="482" w:firstLineChars="200"/>
        <w:jc w:val="left"/>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五、售后服务及要求</w:t>
      </w:r>
    </w:p>
    <w:p w14:paraId="62B90103">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1.具备7×24小时日常支撑响应能力，24小时内现场支撑响应能力。</w:t>
      </w:r>
    </w:p>
    <w:p w14:paraId="6E68C739">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2.如遇报障，及时响应并安排技术人员到达现场解决问题，如无法解决问题则当天内提供备用设备。</w:t>
      </w:r>
    </w:p>
    <w:p w14:paraId="44AFCE91">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3.保修期内每年安排定期巡检保养设备。</w:t>
      </w:r>
    </w:p>
    <w:p w14:paraId="27946A11">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4.提供设备使用培训，提供设备正常运行的使用条件及环境条件改造。</w:t>
      </w:r>
    </w:p>
    <w:p w14:paraId="03B5DC68">
      <w:pPr>
        <w:ind w:firstLine="482" w:firstLineChars="200"/>
        <w:jc w:val="left"/>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六、采购标的的验收标准</w:t>
      </w:r>
    </w:p>
    <w:p w14:paraId="72D5272B">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1.验收方式：供应商交货时，采购人组织验收小组统一验收，采购人认为必要时可邀请有关专家参与共同验收，验收时采购人将按照国家相关标准或招标文件所载明的标准和方法进行验收；</w:t>
      </w:r>
    </w:p>
    <w:p w14:paraId="764C8EF5">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验收要求：按国家及相关行业验收标准验收以及合同条款验收，如有残缺、缝合等质量问题无条件包退包换。验收结果经双方确认后，双方代表必须按规定的验收交接单上的项目对照本项目合同填好验收结果并签名盖章。</w:t>
      </w:r>
    </w:p>
    <w:p w14:paraId="72155466">
      <w:pPr>
        <w:pStyle w:val="2"/>
        <w:ind w:firstLine="480"/>
        <w:rPr>
          <w:highlight w:val="none"/>
        </w:rPr>
      </w:pPr>
      <w:r>
        <w:rPr>
          <w:rFonts w:hint="eastAsia"/>
          <w:highlight w:val="none"/>
        </w:rPr>
        <w:t>3.验收：中标单位的产品必须为全新产品，中标单位在产品到场后需经采购人验收且通过后才能使用，提供产品的参数若有一项与投标及采购需求不符的，必须更换，拒不更换的采购人有权不予进行验收或不通过验收，不予支付货物货款或取消其中标资格。</w:t>
      </w:r>
    </w:p>
    <w:p w14:paraId="3753AF96">
      <w:pPr>
        <w:ind w:firstLine="482" w:firstLineChars="200"/>
        <w:jc w:val="lef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rPr>
        <w:t>七、采购补充说明</w:t>
      </w:r>
      <w:r>
        <w:rPr>
          <w:rFonts w:hint="eastAsia" w:asciiTheme="minorEastAsia" w:hAnsiTheme="minorEastAsia" w:eastAsiaTheme="minorEastAsia" w:cstheme="minorEastAsia"/>
          <w:b/>
          <w:bCs/>
          <w:sz w:val="24"/>
          <w:highlight w:val="none"/>
          <w:lang w:eastAsia="zh-CN"/>
        </w:rPr>
        <w:t>（</w:t>
      </w:r>
      <w:r>
        <w:rPr>
          <w:rFonts w:hint="eastAsia" w:asciiTheme="minorEastAsia" w:hAnsiTheme="minorEastAsia" w:eastAsiaTheme="minorEastAsia" w:cstheme="minorEastAsia"/>
          <w:b/>
          <w:bCs/>
          <w:sz w:val="24"/>
          <w:highlight w:val="none"/>
          <w:lang w:val="en-US" w:eastAsia="zh-CN"/>
        </w:rPr>
        <w:t>1-6包参数</w:t>
      </w:r>
      <w:r>
        <w:rPr>
          <w:rFonts w:hint="eastAsia" w:asciiTheme="minorEastAsia" w:hAnsiTheme="minorEastAsia" w:eastAsiaTheme="minorEastAsia" w:cstheme="minorEastAsia"/>
          <w:b/>
          <w:bCs/>
          <w:sz w:val="24"/>
          <w:highlight w:val="none"/>
          <w:lang w:eastAsia="zh-CN"/>
        </w:rPr>
        <w:t>）</w:t>
      </w:r>
    </w:p>
    <w:p w14:paraId="3EB61FEB">
      <w:pPr>
        <w:ind w:firstLine="480" w:firstLineChars="200"/>
        <w:jc w:val="lef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1.上述各项技术参数</w:t>
      </w:r>
      <w:r>
        <w:rPr>
          <w:rFonts w:hint="eastAsia" w:asciiTheme="minorEastAsia" w:hAnsiTheme="minorEastAsia" w:eastAsiaTheme="minorEastAsia" w:cstheme="minorEastAsia"/>
          <w:sz w:val="24"/>
          <w:highlight w:val="none"/>
          <w:lang w:val="en-US" w:eastAsia="zh-CN"/>
        </w:rPr>
        <w:t>中对数值指标已明确区间要求的按</w:t>
      </w:r>
      <w:r>
        <w:rPr>
          <w:rFonts w:hint="eastAsia" w:asciiTheme="minorEastAsia" w:hAnsiTheme="minorEastAsia" w:eastAsiaTheme="minorEastAsia" w:cstheme="minorEastAsia"/>
          <w:sz w:val="24"/>
          <w:highlight w:val="none"/>
        </w:rPr>
        <w:t>技术参数</w:t>
      </w:r>
      <w:r>
        <w:rPr>
          <w:rFonts w:hint="eastAsia" w:asciiTheme="minorEastAsia" w:hAnsiTheme="minorEastAsia" w:eastAsiaTheme="minorEastAsia" w:cstheme="minorEastAsia"/>
          <w:sz w:val="24"/>
          <w:highlight w:val="none"/>
          <w:lang w:val="en-US" w:eastAsia="zh-CN"/>
        </w:rPr>
        <w:t>区间要求执行，如对数值未给出区间要求的，均给予±5%的数值偏离区间值。</w:t>
      </w:r>
    </w:p>
    <w:p w14:paraId="7F0EE899">
      <w:pPr>
        <w:ind w:firstLine="480" w:firstLineChars="200"/>
        <w:jc w:val="lef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上述各项技术参数和规格要求如</w:t>
      </w:r>
      <w:r>
        <w:rPr>
          <w:rFonts w:hint="eastAsia" w:asciiTheme="minorEastAsia" w:hAnsiTheme="minorEastAsia" w:eastAsiaTheme="minorEastAsia" w:cstheme="minorEastAsia"/>
          <w:sz w:val="24"/>
          <w:highlight w:val="none"/>
          <w:lang w:val="en-US" w:eastAsia="zh-CN"/>
        </w:rPr>
        <w:t>需要演示、提供演示视频、现场演示、提供设备演示等要求的，均不要求供应商到开标现场进行演示，有演示要求的在开标一个半小时（90分钟）内，由供应商将拟投标段参数要求中需要演示的内容，做一个文件或压缩文件发送至代理机构指定邮箱（邮箱：1469875189@qq.com，联系人：范溪文，联系电话：13887744954、15608770857），发送时限为开标后一个半小时（90分钟）内，逾期不再接收。演示视频备注供应商名称、拟投标标段/包号、所演示的设备名称、参数内容和序号。演示视频由供应商自愿提供，不做强制性要求，因未提供、未完全提供或不提供的，不作为否决其投标文件的要求。</w:t>
      </w:r>
    </w:p>
    <w:p w14:paraId="2083E1F0">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上述各项技术参数和规格要求如出现引用某一特定的专利技术、商标、品牌、名称、设计、原产地或供应者等情况，则仅起参考作用。供应商可选用实质上“等同于”或“优于”该参考技术参数和规格要求的产品，同时在投标文件中详细说明，但必须保证能够完全满足使用，否则需按采购需求提供。</w:t>
      </w:r>
    </w:p>
    <w:p w14:paraId="7E7F82DC">
      <w:pPr>
        <w:ind w:firstLine="480" w:firstLineChars="20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rPr>
        <w:t>.供应商必须保证供货产品知识产权合法且厂家经销权合法。供应商保证向采购人供应交易标的物，不存在侵犯第三方知识产权权利情形，包括不得侵犯他人商标权、专利权及著作权（版权）以及我国法律规定的其他知识产权权利及关联权利，第三方包括权利人及授权许可人。</w:t>
      </w:r>
    </w:p>
    <w:p w14:paraId="7CCC277B">
      <w:pPr>
        <w:ind w:firstLine="482" w:firstLineChars="200"/>
        <w:rPr>
          <w:rFonts w:ascii="宋体" w:hAnsi="宋体" w:cs="宋体"/>
          <w:b/>
          <w:bCs/>
          <w:sz w:val="24"/>
          <w:highlight w:val="none"/>
        </w:rPr>
      </w:pPr>
      <w:bookmarkStart w:id="216" w:name="_Toc288204621"/>
      <w:bookmarkStart w:id="217" w:name="_Toc15019"/>
      <w:bookmarkStart w:id="218" w:name="_Toc297194313"/>
      <w:bookmarkStart w:id="219" w:name="_Toc31793"/>
      <w:bookmarkStart w:id="220" w:name="_Toc21732"/>
      <w:bookmarkStart w:id="221" w:name="_Toc8359"/>
    </w:p>
    <w:p w14:paraId="3F1399BD">
      <w:pPr>
        <w:rPr>
          <w:sz w:val="36"/>
          <w:highlight w:val="none"/>
        </w:rPr>
      </w:pPr>
      <w:bookmarkStart w:id="222" w:name="_Toc7710"/>
      <w:r>
        <w:rPr>
          <w:rFonts w:hint="eastAsia"/>
          <w:sz w:val="36"/>
          <w:highlight w:val="none"/>
        </w:rPr>
        <w:br w:type="page"/>
      </w:r>
    </w:p>
    <w:p w14:paraId="6DFDAB78">
      <w:pPr>
        <w:pStyle w:val="3"/>
        <w:numPr>
          <w:ilvl w:val="0"/>
          <w:numId w:val="0"/>
        </w:numPr>
        <w:tabs>
          <w:tab w:val="left" w:pos="1021"/>
          <w:tab w:val="clear" w:pos="360"/>
        </w:tabs>
        <w:jc w:val="center"/>
        <w:rPr>
          <w:rFonts w:eastAsia="宋体"/>
          <w:highlight w:val="none"/>
        </w:rPr>
      </w:pPr>
      <w:bookmarkStart w:id="223" w:name="_Toc24507"/>
      <w:r>
        <w:rPr>
          <w:rFonts w:hint="eastAsia" w:eastAsia="宋体"/>
          <w:sz w:val="36"/>
          <w:highlight w:val="none"/>
        </w:rPr>
        <w:t>第六章 评标办法（综合评分法）</w:t>
      </w:r>
      <w:bookmarkEnd w:id="216"/>
      <w:bookmarkEnd w:id="217"/>
      <w:bookmarkEnd w:id="218"/>
      <w:bookmarkEnd w:id="219"/>
      <w:bookmarkEnd w:id="220"/>
      <w:bookmarkEnd w:id="221"/>
      <w:bookmarkEnd w:id="222"/>
      <w:r>
        <w:rPr>
          <w:rFonts w:hint="eastAsia" w:eastAsia="宋体"/>
          <w:sz w:val="36"/>
          <w:highlight w:val="none"/>
        </w:rPr>
        <w:t>1</w:t>
      </w:r>
      <w:r>
        <w:rPr>
          <w:rFonts w:hint="eastAsia" w:eastAsia="宋体"/>
          <w:sz w:val="36"/>
          <w:highlight w:val="none"/>
          <w:lang w:val="en-US" w:eastAsia="zh-CN"/>
        </w:rPr>
        <w:t>-6</w:t>
      </w:r>
      <w:r>
        <w:rPr>
          <w:rFonts w:hint="eastAsia" w:eastAsia="宋体"/>
          <w:sz w:val="36"/>
          <w:highlight w:val="none"/>
        </w:rPr>
        <w:t>包均适用</w:t>
      </w:r>
      <w:bookmarkEnd w:id="223"/>
    </w:p>
    <w:p w14:paraId="37A80332">
      <w:pPr>
        <w:pStyle w:val="4"/>
        <w:numPr>
          <w:ilvl w:val="0"/>
          <w:numId w:val="0"/>
        </w:numPr>
        <w:jc w:val="center"/>
        <w:rPr>
          <w:rFonts w:eastAsia="宋体"/>
          <w:sz w:val="36"/>
          <w:highlight w:val="none"/>
        </w:rPr>
      </w:pPr>
      <w:bookmarkStart w:id="224" w:name="_Toc3670"/>
      <w:r>
        <w:rPr>
          <w:rFonts w:hint="eastAsia" w:eastAsia="宋体"/>
          <w:highlight w:val="none"/>
        </w:rPr>
        <w:t>评标办法前附表</w:t>
      </w:r>
      <w:bookmarkEnd w:id="224"/>
    </w:p>
    <w:tbl>
      <w:tblPr>
        <w:tblStyle w:val="41"/>
        <w:tblpPr w:leftFromText="180" w:rightFromText="180" w:vertAnchor="text" w:horzAnchor="page" w:tblpX="1367" w:tblpY="624"/>
        <w:tblOverlap w:val="never"/>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930"/>
        <w:gridCol w:w="253"/>
        <w:gridCol w:w="1229"/>
        <w:gridCol w:w="172"/>
        <w:gridCol w:w="1064"/>
        <w:gridCol w:w="2998"/>
        <w:gridCol w:w="1782"/>
      </w:tblGrid>
      <w:tr w14:paraId="6AF1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882" w:type="dxa"/>
            <w:gridSpan w:val="2"/>
            <w:vAlign w:val="center"/>
          </w:tcPr>
          <w:p w14:paraId="438F5E85">
            <w:pPr>
              <w:jc w:val="center"/>
              <w:rPr>
                <w:rFonts w:cs="宋体"/>
                <w:b/>
                <w:bCs/>
                <w:sz w:val="22"/>
                <w:szCs w:val="22"/>
                <w:highlight w:val="none"/>
              </w:rPr>
            </w:pPr>
            <w:bookmarkStart w:id="225" w:name="_Toc213141119"/>
            <w:bookmarkStart w:id="226" w:name="_Toc288204622"/>
            <w:bookmarkStart w:id="227" w:name="_Toc28124_WPSOffice_Level1"/>
            <w:bookmarkStart w:id="228" w:name="_Toc5276"/>
            <w:r>
              <w:rPr>
                <w:rFonts w:hint="eastAsia" w:cs="宋体"/>
                <w:b/>
                <w:bCs/>
                <w:sz w:val="22"/>
                <w:szCs w:val="22"/>
                <w:highlight w:val="none"/>
              </w:rPr>
              <w:t>条款号</w:t>
            </w:r>
          </w:p>
        </w:tc>
        <w:tc>
          <w:tcPr>
            <w:tcW w:w="5716" w:type="dxa"/>
            <w:gridSpan w:val="5"/>
            <w:vAlign w:val="center"/>
          </w:tcPr>
          <w:p w14:paraId="6E29E77C">
            <w:pPr>
              <w:jc w:val="center"/>
              <w:rPr>
                <w:rFonts w:cs="宋体"/>
                <w:b/>
                <w:bCs/>
                <w:sz w:val="22"/>
                <w:szCs w:val="22"/>
                <w:highlight w:val="none"/>
              </w:rPr>
            </w:pPr>
            <w:r>
              <w:rPr>
                <w:rFonts w:hint="eastAsia" w:cs="宋体"/>
                <w:b/>
                <w:bCs/>
                <w:sz w:val="22"/>
                <w:szCs w:val="22"/>
                <w:highlight w:val="none"/>
              </w:rPr>
              <w:t>审 查 内 容</w:t>
            </w:r>
          </w:p>
        </w:tc>
        <w:tc>
          <w:tcPr>
            <w:tcW w:w="1782" w:type="dxa"/>
            <w:vAlign w:val="center"/>
          </w:tcPr>
          <w:p w14:paraId="58A271B6">
            <w:pPr>
              <w:jc w:val="center"/>
              <w:rPr>
                <w:rFonts w:cs="宋体"/>
                <w:b/>
                <w:bCs/>
                <w:sz w:val="22"/>
                <w:szCs w:val="22"/>
                <w:highlight w:val="none"/>
              </w:rPr>
            </w:pPr>
            <w:r>
              <w:rPr>
                <w:rFonts w:hint="eastAsia" w:cs="宋体"/>
                <w:b/>
                <w:bCs/>
                <w:sz w:val="22"/>
                <w:szCs w:val="22"/>
                <w:highlight w:val="none"/>
              </w:rPr>
              <w:t>审 查 标 准</w:t>
            </w:r>
          </w:p>
        </w:tc>
      </w:tr>
      <w:tr w14:paraId="7FD23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952" w:type="dxa"/>
            <w:vMerge w:val="restart"/>
            <w:vAlign w:val="center"/>
          </w:tcPr>
          <w:p w14:paraId="44812035">
            <w:pPr>
              <w:jc w:val="center"/>
              <w:rPr>
                <w:rFonts w:cs="宋体"/>
                <w:sz w:val="22"/>
                <w:szCs w:val="22"/>
                <w:highlight w:val="none"/>
              </w:rPr>
            </w:pPr>
            <w:r>
              <w:rPr>
                <w:rFonts w:hint="eastAsia" w:cs="宋体"/>
                <w:sz w:val="22"/>
                <w:szCs w:val="22"/>
                <w:highlight w:val="none"/>
              </w:rPr>
              <w:t>2.1.1</w:t>
            </w:r>
          </w:p>
        </w:tc>
        <w:tc>
          <w:tcPr>
            <w:tcW w:w="930" w:type="dxa"/>
            <w:vMerge w:val="restart"/>
            <w:vAlign w:val="center"/>
          </w:tcPr>
          <w:p w14:paraId="28BD5F68">
            <w:pPr>
              <w:jc w:val="center"/>
              <w:rPr>
                <w:rFonts w:cs="宋体"/>
                <w:sz w:val="22"/>
                <w:szCs w:val="22"/>
                <w:highlight w:val="none"/>
              </w:rPr>
            </w:pPr>
            <w:r>
              <w:rPr>
                <w:rFonts w:hint="eastAsia" w:cs="宋体"/>
                <w:sz w:val="22"/>
                <w:szCs w:val="22"/>
                <w:highlight w:val="none"/>
              </w:rPr>
              <w:t>资格审查</w:t>
            </w:r>
          </w:p>
        </w:tc>
        <w:tc>
          <w:tcPr>
            <w:tcW w:w="5716" w:type="dxa"/>
            <w:gridSpan w:val="5"/>
            <w:vAlign w:val="center"/>
          </w:tcPr>
          <w:p w14:paraId="0401DD92">
            <w:pPr>
              <w:spacing w:before="100" w:beforeAutospacing="1" w:after="100" w:afterAutospacing="1"/>
              <w:jc w:val="left"/>
              <w:rPr>
                <w:rFonts w:cs="宋体"/>
                <w:sz w:val="22"/>
                <w:szCs w:val="22"/>
                <w:highlight w:val="none"/>
              </w:rPr>
            </w:pPr>
            <w:r>
              <w:rPr>
                <w:rFonts w:hint="eastAsia" w:ascii="宋体" w:hAnsi="宋体"/>
                <w:kern w:val="0"/>
                <w:sz w:val="24"/>
                <w:highlight w:val="none"/>
              </w:rPr>
              <w:t>供应商在中国境内注册登记具有独立承担民事责任的能力，提供有效的营业执照或者其他主体资格证明文件；</w:t>
            </w:r>
          </w:p>
        </w:tc>
        <w:tc>
          <w:tcPr>
            <w:tcW w:w="1782" w:type="dxa"/>
            <w:vAlign w:val="center"/>
          </w:tcPr>
          <w:p w14:paraId="569DD3C6">
            <w:pPr>
              <w:spacing w:before="100" w:beforeAutospacing="1" w:after="100" w:afterAutospacing="1"/>
              <w:jc w:val="center"/>
              <w:rPr>
                <w:rFonts w:cs="宋体"/>
                <w:sz w:val="22"/>
                <w:szCs w:val="22"/>
                <w:highlight w:val="none"/>
              </w:rPr>
            </w:pPr>
            <w:r>
              <w:rPr>
                <w:rFonts w:hint="eastAsia" w:ascii="宋体" w:hAnsi="宋体"/>
                <w:kern w:val="0"/>
                <w:sz w:val="24"/>
                <w:highlight w:val="none"/>
              </w:rPr>
              <w:t>投标文件中附复印件或扫描件</w:t>
            </w:r>
          </w:p>
        </w:tc>
      </w:tr>
      <w:tr w14:paraId="2D9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952" w:type="dxa"/>
            <w:vMerge w:val="continue"/>
            <w:vAlign w:val="center"/>
          </w:tcPr>
          <w:p w14:paraId="3E0C27BB">
            <w:pPr>
              <w:jc w:val="center"/>
              <w:rPr>
                <w:rFonts w:cs="宋体"/>
                <w:sz w:val="22"/>
                <w:szCs w:val="22"/>
                <w:highlight w:val="none"/>
              </w:rPr>
            </w:pPr>
          </w:p>
        </w:tc>
        <w:tc>
          <w:tcPr>
            <w:tcW w:w="930" w:type="dxa"/>
            <w:vMerge w:val="continue"/>
            <w:vAlign w:val="center"/>
          </w:tcPr>
          <w:p w14:paraId="735CF4E4">
            <w:pPr>
              <w:jc w:val="center"/>
              <w:rPr>
                <w:rFonts w:cs="宋体"/>
                <w:sz w:val="22"/>
                <w:szCs w:val="22"/>
                <w:highlight w:val="none"/>
              </w:rPr>
            </w:pPr>
          </w:p>
        </w:tc>
        <w:tc>
          <w:tcPr>
            <w:tcW w:w="5716" w:type="dxa"/>
            <w:gridSpan w:val="5"/>
            <w:vAlign w:val="center"/>
          </w:tcPr>
          <w:p w14:paraId="502BC55D">
            <w:pPr>
              <w:spacing w:before="100" w:beforeAutospacing="1" w:after="100" w:afterAutospacing="1"/>
              <w:jc w:val="left"/>
              <w:rPr>
                <w:rFonts w:cs="宋体"/>
                <w:bCs/>
                <w:sz w:val="22"/>
                <w:szCs w:val="22"/>
                <w:highlight w:val="none"/>
              </w:rPr>
            </w:pPr>
            <w:r>
              <w:rPr>
                <w:rFonts w:hint="eastAsia" w:ascii="宋体" w:hAnsi="宋体"/>
                <w:kern w:val="0"/>
                <w:sz w:val="24"/>
                <w:highlight w:val="none"/>
              </w:rPr>
              <w:t>供应商自行承诺符合《中华人民共和国政府采购法》第二十二条规定及《中华人民共和国政府采购法实施条例》第十七条的相关要求；</w:t>
            </w:r>
          </w:p>
        </w:tc>
        <w:tc>
          <w:tcPr>
            <w:tcW w:w="1782" w:type="dxa"/>
            <w:vAlign w:val="center"/>
          </w:tcPr>
          <w:p w14:paraId="3A3F6869">
            <w:pPr>
              <w:spacing w:before="100" w:beforeAutospacing="1" w:after="100" w:afterAutospacing="1"/>
              <w:jc w:val="center"/>
              <w:rPr>
                <w:rFonts w:cs="宋体"/>
                <w:b/>
                <w:sz w:val="22"/>
                <w:szCs w:val="22"/>
                <w:highlight w:val="none"/>
              </w:rPr>
            </w:pPr>
            <w:r>
              <w:rPr>
                <w:rFonts w:hint="eastAsia" w:ascii="宋体" w:hAnsi="宋体"/>
                <w:kern w:val="0"/>
                <w:sz w:val="24"/>
                <w:highlight w:val="none"/>
              </w:rPr>
              <w:t>投标文件中附声明/承诺函</w:t>
            </w:r>
          </w:p>
        </w:tc>
      </w:tr>
      <w:tr w14:paraId="61AEF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952" w:type="dxa"/>
            <w:vMerge w:val="continue"/>
            <w:vAlign w:val="center"/>
          </w:tcPr>
          <w:p w14:paraId="5776F061">
            <w:pPr>
              <w:rPr>
                <w:rFonts w:cs="宋体"/>
                <w:sz w:val="22"/>
                <w:szCs w:val="22"/>
                <w:highlight w:val="none"/>
              </w:rPr>
            </w:pPr>
          </w:p>
        </w:tc>
        <w:tc>
          <w:tcPr>
            <w:tcW w:w="930" w:type="dxa"/>
            <w:vMerge w:val="continue"/>
            <w:vAlign w:val="center"/>
          </w:tcPr>
          <w:p w14:paraId="08F0A60A">
            <w:pPr>
              <w:jc w:val="center"/>
              <w:rPr>
                <w:rFonts w:cs="宋体"/>
                <w:sz w:val="22"/>
                <w:szCs w:val="22"/>
                <w:highlight w:val="none"/>
              </w:rPr>
            </w:pPr>
          </w:p>
        </w:tc>
        <w:tc>
          <w:tcPr>
            <w:tcW w:w="5716" w:type="dxa"/>
            <w:gridSpan w:val="5"/>
            <w:vAlign w:val="center"/>
          </w:tcPr>
          <w:p w14:paraId="131E7739">
            <w:pPr>
              <w:spacing w:before="100" w:beforeAutospacing="1" w:after="100" w:afterAutospacing="1"/>
              <w:jc w:val="left"/>
              <w:rPr>
                <w:rFonts w:cs="宋体"/>
                <w:bCs/>
                <w:sz w:val="22"/>
                <w:szCs w:val="22"/>
                <w:highlight w:val="none"/>
              </w:rPr>
            </w:pPr>
            <w:r>
              <w:rPr>
                <w:rFonts w:hint="eastAsia" w:ascii="宋体" w:hAnsi="宋体" w:cs="宋体"/>
                <w:sz w:val="24"/>
                <w:highlight w:val="none"/>
              </w:rPr>
              <w:t>投标文件递交截止时间前供应商在“信用中国”网站（www.creditchina.gov.cn）中未被列入：重大税收违法失信主体、政府采购严重违法失信行为记录名单；在“中国政府采购网”（www.ccgp.gov.cn）中未被列入：政府采购严重违法失信行为记录名单。供应商自拟格式承诺以上内容，加盖供应商公章或电子签章在投标文件中提供，以上信用信息由采购人或采购代理机构在开标会议结束后、评标前将通过“信用中国”网站</w:t>
            </w:r>
            <w:r>
              <w:rPr>
                <w:rFonts w:hint="eastAsia" w:ascii="宋体" w:hAnsi="宋体" w:cs="宋体"/>
                <w:sz w:val="24"/>
                <w:highlight w:val="none"/>
                <w:lang w:eastAsia="zh-CN"/>
              </w:rPr>
              <w:t>（</w:t>
            </w:r>
            <w:r>
              <w:rPr>
                <w:rFonts w:hint="eastAsia" w:ascii="宋体" w:hAnsi="宋体" w:cs="宋体"/>
                <w:sz w:val="24"/>
                <w:highlight w:val="none"/>
              </w:rPr>
              <w:t>www.creditchina.gov.cn</w:t>
            </w:r>
            <w:r>
              <w:rPr>
                <w:rFonts w:hint="eastAsia" w:ascii="宋体" w:hAnsi="宋体" w:cs="宋体"/>
                <w:sz w:val="24"/>
                <w:highlight w:val="none"/>
                <w:lang w:eastAsia="zh-CN"/>
              </w:rPr>
              <w:t>）</w:t>
            </w:r>
            <w:r>
              <w:rPr>
                <w:rFonts w:hint="eastAsia" w:ascii="宋体" w:hAnsi="宋体" w:cs="宋体"/>
                <w:sz w:val="24"/>
                <w:highlight w:val="none"/>
              </w:rPr>
              <w:t>、中国政府采购网（www.ccgp.gov.cn）查询供应商信用记录，上述网站信用信息查询结果的网页截图或网页打印稿作为证据留存，若供应商存在查证的以上相关记录，采购人有权取消其竞标（中标）资格）</w:t>
            </w:r>
          </w:p>
        </w:tc>
        <w:tc>
          <w:tcPr>
            <w:tcW w:w="1782" w:type="dxa"/>
            <w:vAlign w:val="center"/>
          </w:tcPr>
          <w:p w14:paraId="12D071EB">
            <w:pPr>
              <w:spacing w:before="100" w:beforeAutospacing="1" w:after="100" w:afterAutospacing="1"/>
              <w:jc w:val="center"/>
              <w:rPr>
                <w:rFonts w:cs="宋体"/>
                <w:b/>
                <w:bCs/>
                <w:sz w:val="22"/>
                <w:szCs w:val="22"/>
                <w:highlight w:val="none"/>
              </w:rPr>
            </w:pPr>
            <w:r>
              <w:rPr>
                <w:rFonts w:hint="eastAsia" w:ascii="宋体" w:hAnsi="宋体"/>
                <w:kern w:val="0"/>
                <w:sz w:val="24"/>
                <w:highlight w:val="none"/>
              </w:rPr>
              <w:t>投标文件中附声明/承诺函</w:t>
            </w:r>
          </w:p>
        </w:tc>
      </w:tr>
      <w:tr w14:paraId="50A7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952" w:type="dxa"/>
            <w:vMerge w:val="continue"/>
            <w:vAlign w:val="center"/>
          </w:tcPr>
          <w:p w14:paraId="38682374">
            <w:pPr>
              <w:rPr>
                <w:rFonts w:cs="宋体"/>
                <w:sz w:val="22"/>
                <w:szCs w:val="22"/>
                <w:highlight w:val="none"/>
              </w:rPr>
            </w:pPr>
          </w:p>
        </w:tc>
        <w:tc>
          <w:tcPr>
            <w:tcW w:w="930" w:type="dxa"/>
            <w:vMerge w:val="continue"/>
            <w:vAlign w:val="center"/>
          </w:tcPr>
          <w:p w14:paraId="35D99F5D">
            <w:pPr>
              <w:jc w:val="center"/>
              <w:rPr>
                <w:rFonts w:cs="宋体"/>
                <w:sz w:val="22"/>
                <w:szCs w:val="22"/>
                <w:highlight w:val="none"/>
              </w:rPr>
            </w:pPr>
          </w:p>
        </w:tc>
        <w:tc>
          <w:tcPr>
            <w:tcW w:w="5716" w:type="dxa"/>
            <w:gridSpan w:val="5"/>
            <w:vAlign w:val="center"/>
          </w:tcPr>
          <w:p w14:paraId="0DAB489F">
            <w:pPr>
              <w:spacing w:before="100" w:beforeAutospacing="1" w:after="100" w:afterAutospacing="1"/>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仅4包适用：供应商如果是代理商或经销商且所投产品为医疗器械的，须提供医疗器械经营许可证或医疗器械备案凭证、所投产品制造商医疗器械生产许可证、所投产品的医疗器械注册证及附件；</w:t>
            </w:r>
          </w:p>
          <w:p w14:paraId="0D558C36">
            <w:pPr>
              <w:spacing w:before="100" w:beforeAutospacing="1" w:after="100" w:afterAutospacing="1"/>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供应商如果是制造商且所投产品为医疗器械的（制造商工商注册地在中华人民共和国境外的，不作此要求），须提供医疗器械生产许可证、所投产品的医疗器械注册证及附件。</w:t>
            </w:r>
          </w:p>
          <w:p w14:paraId="350F8C7D">
            <w:pPr>
              <w:spacing w:before="100" w:beforeAutospacing="1" w:after="100" w:afterAutospacing="1"/>
              <w:jc w:val="left"/>
              <w:rPr>
                <w:rFonts w:hint="eastAsia" w:ascii="宋体" w:hAnsi="宋体" w:cs="宋体"/>
                <w:sz w:val="24"/>
                <w:highlight w:val="none"/>
              </w:rPr>
            </w:pPr>
            <w:r>
              <w:rPr>
                <w:rFonts w:hint="eastAsia" w:ascii="宋体" w:hAnsi="宋体" w:eastAsia="宋体" w:cs="宋体"/>
                <w:sz w:val="24"/>
                <w:highlight w:val="none"/>
                <w:lang w:val="en-US" w:eastAsia="zh-CN"/>
              </w:rPr>
              <w:t>医疗器械生产证或经营许可证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c>
          <w:tcPr>
            <w:tcW w:w="1782" w:type="dxa"/>
            <w:vAlign w:val="center"/>
          </w:tcPr>
          <w:p w14:paraId="3B7F7272">
            <w:pPr>
              <w:spacing w:before="100" w:beforeAutospacing="1" w:after="100" w:afterAutospacing="1"/>
              <w:jc w:val="center"/>
              <w:rPr>
                <w:rFonts w:hint="eastAsia" w:ascii="宋体" w:hAnsi="宋体"/>
                <w:kern w:val="0"/>
                <w:sz w:val="24"/>
                <w:highlight w:val="none"/>
              </w:rPr>
            </w:pPr>
            <w:r>
              <w:rPr>
                <w:rFonts w:hint="eastAsia" w:ascii="宋体" w:hAnsi="宋体"/>
                <w:kern w:val="0"/>
                <w:sz w:val="24"/>
                <w:highlight w:val="none"/>
              </w:rPr>
              <w:t>投标文件中附复印件或扫描件</w:t>
            </w:r>
          </w:p>
        </w:tc>
      </w:tr>
      <w:tr w14:paraId="2B33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2" w:type="dxa"/>
            <w:vMerge w:val="continue"/>
            <w:vAlign w:val="center"/>
          </w:tcPr>
          <w:p w14:paraId="359D29D8">
            <w:pPr>
              <w:rPr>
                <w:rFonts w:cs="宋体"/>
                <w:sz w:val="22"/>
                <w:szCs w:val="22"/>
                <w:highlight w:val="none"/>
              </w:rPr>
            </w:pPr>
          </w:p>
        </w:tc>
        <w:tc>
          <w:tcPr>
            <w:tcW w:w="930" w:type="dxa"/>
            <w:vMerge w:val="continue"/>
            <w:vAlign w:val="center"/>
          </w:tcPr>
          <w:p w14:paraId="68BEEDD9">
            <w:pPr>
              <w:jc w:val="center"/>
              <w:rPr>
                <w:rFonts w:cs="宋体"/>
                <w:sz w:val="22"/>
                <w:szCs w:val="22"/>
                <w:highlight w:val="none"/>
              </w:rPr>
            </w:pPr>
          </w:p>
        </w:tc>
        <w:tc>
          <w:tcPr>
            <w:tcW w:w="5716" w:type="dxa"/>
            <w:gridSpan w:val="5"/>
            <w:vAlign w:val="center"/>
          </w:tcPr>
          <w:p w14:paraId="7FB78C46">
            <w:pPr>
              <w:spacing w:before="100" w:beforeAutospacing="1" w:after="100" w:afterAutospacing="1"/>
              <w:jc w:val="center"/>
              <w:rPr>
                <w:rFonts w:cs="宋体"/>
                <w:sz w:val="22"/>
                <w:szCs w:val="22"/>
                <w:highlight w:val="none"/>
              </w:rPr>
            </w:pPr>
            <w:r>
              <w:rPr>
                <w:rFonts w:hint="eastAsia" w:ascii="宋体" w:hAnsi="宋体"/>
                <w:kern w:val="0"/>
                <w:sz w:val="24"/>
                <w:highlight w:val="none"/>
              </w:rPr>
              <w:t>联合体</w:t>
            </w:r>
          </w:p>
        </w:tc>
        <w:tc>
          <w:tcPr>
            <w:tcW w:w="1782" w:type="dxa"/>
            <w:vAlign w:val="center"/>
          </w:tcPr>
          <w:p w14:paraId="3F8D4F98">
            <w:pPr>
              <w:spacing w:before="100" w:beforeAutospacing="1" w:after="100" w:afterAutospacing="1"/>
              <w:jc w:val="center"/>
              <w:rPr>
                <w:rFonts w:cs="宋体"/>
                <w:b/>
                <w:bCs/>
                <w:sz w:val="22"/>
                <w:szCs w:val="22"/>
                <w:highlight w:val="none"/>
              </w:rPr>
            </w:pPr>
            <w:r>
              <w:rPr>
                <w:rFonts w:hint="eastAsia" w:ascii="宋体" w:hAnsi="宋体"/>
                <w:kern w:val="0"/>
                <w:sz w:val="24"/>
                <w:highlight w:val="none"/>
              </w:rPr>
              <w:t>本次采购不接受联合体</w:t>
            </w:r>
          </w:p>
        </w:tc>
      </w:tr>
      <w:tr w14:paraId="2226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52" w:type="dxa"/>
            <w:vMerge w:val="continue"/>
            <w:vAlign w:val="center"/>
          </w:tcPr>
          <w:p w14:paraId="6801F997">
            <w:pPr>
              <w:rPr>
                <w:rFonts w:cs="宋体"/>
                <w:sz w:val="22"/>
                <w:szCs w:val="22"/>
                <w:highlight w:val="none"/>
              </w:rPr>
            </w:pPr>
          </w:p>
        </w:tc>
        <w:tc>
          <w:tcPr>
            <w:tcW w:w="8428" w:type="dxa"/>
            <w:gridSpan w:val="7"/>
            <w:vAlign w:val="center"/>
          </w:tcPr>
          <w:p w14:paraId="2ED0FA7C">
            <w:pPr>
              <w:spacing w:before="100" w:beforeAutospacing="1" w:after="100" w:afterAutospacing="1"/>
              <w:jc w:val="left"/>
              <w:rPr>
                <w:rFonts w:ascii="宋体" w:hAnsi="宋体"/>
                <w:kern w:val="0"/>
                <w:sz w:val="24"/>
                <w:highlight w:val="none"/>
              </w:rPr>
            </w:pPr>
            <w:r>
              <w:rPr>
                <w:rFonts w:hint="eastAsia" w:ascii="宋体" w:hAnsi="宋体" w:cs="宋体"/>
                <w:kern w:val="0"/>
                <w:sz w:val="24"/>
                <w:highlight w:val="none"/>
              </w:rPr>
              <w:t>本项目开标会议结束后，由采购人或采购代理机构依据资格审查标准对投标供应商进行资格审查，资格审查合格供应商不足3家的，不得进入下一步评标。《资格评审标准》各项评审内容及标准均为招标文件的实质性要求，投标文件响应各款所列材料在开标后不得澄清、后补。并向评标委员会提交资格审查报告。</w:t>
            </w:r>
          </w:p>
        </w:tc>
      </w:tr>
      <w:tr w14:paraId="1C21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restart"/>
            <w:vAlign w:val="center"/>
          </w:tcPr>
          <w:p w14:paraId="3040B9E3">
            <w:pPr>
              <w:jc w:val="center"/>
              <w:rPr>
                <w:rFonts w:cs="宋体"/>
                <w:sz w:val="22"/>
                <w:szCs w:val="22"/>
                <w:highlight w:val="none"/>
              </w:rPr>
            </w:pPr>
            <w:r>
              <w:rPr>
                <w:rFonts w:hint="eastAsia" w:cs="宋体"/>
                <w:sz w:val="22"/>
                <w:szCs w:val="22"/>
                <w:highlight w:val="none"/>
              </w:rPr>
              <w:t>2.1.2</w:t>
            </w:r>
          </w:p>
        </w:tc>
        <w:tc>
          <w:tcPr>
            <w:tcW w:w="930" w:type="dxa"/>
            <w:vMerge w:val="restart"/>
            <w:vAlign w:val="center"/>
          </w:tcPr>
          <w:p w14:paraId="3E281747">
            <w:pPr>
              <w:jc w:val="center"/>
              <w:rPr>
                <w:rFonts w:cs="宋体"/>
                <w:sz w:val="22"/>
                <w:szCs w:val="22"/>
                <w:highlight w:val="none"/>
              </w:rPr>
            </w:pPr>
            <w:r>
              <w:rPr>
                <w:rFonts w:hint="eastAsia" w:cs="宋体"/>
                <w:sz w:val="22"/>
                <w:szCs w:val="22"/>
                <w:highlight w:val="none"/>
              </w:rPr>
              <w:t>符合性审查</w:t>
            </w:r>
          </w:p>
        </w:tc>
        <w:tc>
          <w:tcPr>
            <w:tcW w:w="2718" w:type="dxa"/>
            <w:gridSpan w:val="4"/>
            <w:vAlign w:val="center"/>
          </w:tcPr>
          <w:p w14:paraId="2311C228">
            <w:pPr>
              <w:spacing w:before="100" w:beforeAutospacing="1" w:after="100" w:afterAutospacing="1"/>
              <w:jc w:val="center"/>
              <w:rPr>
                <w:rFonts w:cs="宋体"/>
                <w:sz w:val="22"/>
                <w:szCs w:val="22"/>
                <w:highlight w:val="none"/>
              </w:rPr>
            </w:pPr>
            <w:r>
              <w:rPr>
                <w:rFonts w:hint="eastAsia" w:ascii="宋体" w:hAnsi="宋体"/>
                <w:kern w:val="0"/>
                <w:sz w:val="24"/>
                <w:highlight w:val="none"/>
              </w:rPr>
              <w:t>供应商经营范围</w:t>
            </w:r>
          </w:p>
        </w:tc>
        <w:tc>
          <w:tcPr>
            <w:tcW w:w="4780" w:type="dxa"/>
            <w:gridSpan w:val="2"/>
            <w:vAlign w:val="center"/>
          </w:tcPr>
          <w:p w14:paraId="7B523751">
            <w:pPr>
              <w:spacing w:before="100" w:beforeAutospacing="1" w:after="100" w:afterAutospacing="1"/>
              <w:jc w:val="center"/>
              <w:rPr>
                <w:rFonts w:cs="宋体"/>
                <w:sz w:val="22"/>
                <w:szCs w:val="22"/>
                <w:highlight w:val="none"/>
              </w:rPr>
            </w:pPr>
            <w:r>
              <w:rPr>
                <w:rFonts w:hint="eastAsia" w:ascii="宋体" w:hAnsi="宋体"/>
                <w:kern w:val="0"/>
                <w:sz w:val="24"/>
                <w:highlight w:val="none"/>
              </w:rPr>
              <w:t>与营业执照一致</w:t>
            </w:r>
          </w:p>
        </w:tc>
      </w:tr>
      <w:tr w14:paraId="0F832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3EDD0A02">
            <w:pPr>
              <w:jc w:val="center"/>
              <w:rPr>
                <w:rFonts w:cs="宋体"/>
                <w:sz w:val="22"/>
                <w:szCs w:val="22"/>
                <w:highlight w:val="none"/>
              </w:rPr>
            </w:pPr>
          </w:p>
        </w:tc>
        <w:tc>
          <w:tcPr>
            <w:tcW w:w="930" w:type="dxa"/>
            <w:vMerge w:val="continue"/>
            <w:vAlign w:val="center"/>
          </w:tcPr>
          <w:p w14:paraId="40D5D621">
            <w:pPr>
              <w:jc w:val="center"/>
              <w:rPr>
                <w:rFonts w:cs="宋体"/>
                <w:sz w:val="22"/>
                <w:szCs w:val="22"/>
                <w:highlight w:val="none"/>
              </w:rPr>
            </w:pPr>
          </w:p>
        </w:tc>
        <w:tc>
          <w:tcPr>
            <w:tcW w:w="2718" w:type="dxa"/>
            <w:gridSpan w:val="4"/>
            <w:vAlign w:val="center"/>
          </w:tcPr>
          <w:p w14:paraId="66847CF0">
            <w:pPr>
              <w:spacing w:before="100" w:beforeAutospacing="1" w:after="100" w:afterAutospacing="1"/>
              <w:jc w:val="center"/>
              <w:rPr>
                <w:rFonts w:cs="宋体"/>
                <w:sz w:val="22"/>
                <w:szCs w:val="22"/>
                <w:highlight w:val="none"/>
              </w:rPr>
            </w:pPr>
            <w:r>
              <w:rPr>
                <w:rFonts w:hint="eastAsia" w:ascii="宋体" w:hAnsi="宋体"/>
                <w:kern w:val="0"/>
                <w:sz w:val="24"/>
                <w:highlight w:val="none"/>
              </w:rPr>
              <w:t>投标函签字盖章</w:t>
            </w:r>
          </w:p>
        </w:tc>
        <w:tc>
          <w:tcPr>
            <w:tcW w:w="4780" w:type="dxa"/>
            <w:gridSpan w:val="2"/>
            <w:vAlign w:val="center"/>
          </w:tcPr>
          <w:p w14:paraId="03B9F1EF">
            <w:pPr>
              <w:spacing w:before="100" w:beforeAutospacing="1" w:after="100" w:afterAutospacing="1"/>
              <w:jc w:val="center"/>
              <w:rPr>
                <w:rFonts w:cs="宋体"/>
                <w:sz w:val="22"/>
                <w:szCs w:val="22"/>
                <w:highlight w:val="none"/>
              </w:rPr>
            </w:pPr>
            <w:r>
              <w:rPr>
                <w:rFonts w:hint="eastAsia" w:ascii="宋体" w:hAnsi="宋体" w:cs="宋体"/>
                <w:kern w:val="0"/>
                <w:sz w:val="24"/>
                <w:highlight w:val="none"/>
              </w:rPr>
              <w:t>按照投标文件格式，采用企业、法定代表人电子签章或数字</w:t>
            </w:r>
            <w:bookmarkStart w:id="229" w:name="_GoBack"/>
            <w:bookmarkEnd w:id="229"/>
            <w:r>
              <w:rPr>
                <w:rFonts w:hint="eastAsia" w:ascii="宋体" w:hAnsi="宋体" w:cs="宋体"/>
                <w:kern w:val="0"/>
                <w:sz w:val="24"/>
                <w:highlight w:val="none"/>
              </w:rPr>
              <w:t>证书电子签名。</w:t>
            </w:r>
          </w:p>
        </w:tc>
      </w:tr>
      <w:tr w14:paraId="18CF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34E7A9DE">
            <w:pPr>
              <w:jc w:val="center"/>
              <w:rPr>
                <w:rFonts w:cs="宋体"/>
                <w:sz w:val="22"/>
                <w:szCs w:val="22"/>
                <w:highlight w:val="none"/>
              </w:rPr>
            </w:pPr>
          </w:p>
        </w:tc>
        <w:tc>
          <w:tcPr>
            <w:tcW w:w="930" w:type="dxa"/>
            <w:vMerge w:val="continue"/>
            <w:vAlign w:val="center"/>
          </w:tcPr>
          <w:p w14:paraId="366C6D4F">
            <w:pPr>
              <w:jc w:val="center"/>
              <w:rPr>
                <w:rFonts w:cs="宋体"/>
                <w:sz w:val="22"/>
                <w:szCs w:val="22"/>
                <w:highlight w:val="none"/>
              </w:rPr>
            </w:pPr>
          </w:p>
        </w:tc>
        <w:tc>
          <w:tcPr>
            <w:tcW w:w="2718" w:type="dxa"/>
            <w:gridSpan w:val="4"/>
            <w:vAlign w:val="center"/>
          </w:tcPr>
          <w:p w14:paraId="78AA4A5C">
            <w:pPr>
              <w:spacing w:before="100" w:beforeAutospacing="1" w:after="100" w:afterAutospacing="1"/>
              <w:jc w:val="center"/>
              <w:rPr>
                <w:rFonts w:cs="宋体"/>
                <w:sz w:val="22"/>
                <w:szCs w:val="22"/>
                <w:highlight w:val="none"/>
              </w:rPr>
            </w:pPr>
            <w:r>
              <w:rPr>
                <w:rFonts w:hint="eastAsia" w:ascii="宋体" w:hAnsi="宋体"/>
                <w:kern w:val="0"/>
                <w:sz w:val="24"/>
                <w:highlight w:val="none"/>
              </w:rPr>
              <w:t>投标报价</w:t>
            </w:r>
          </w:p>
        </w:tc>
        <w:tc>
          <w:tcPr>
            <w:tcW w:w="4780" w:type="dxa"/>
            <w:gridSpan w:val="2"/>
            <w:vAlign w:val="center"/>
          </w:tcPr>
          <w:p w14:paraId="37F3A362">
            <w:pPr>
              <w:spacing w:before="100" w:beforeAutospacing="1" w:after="100" w:afterAutospacing="1"/>
              <w:jc w:val="center"/>
              <w:rPr>
                <w:rFonts w:cs="宋体"/>
                <w:sz w:val="22"/>
                <w:szCs w:val="22"/>
                <w:highlight w:val="none"/>
              </w:rPr>
            </w:pPr>
            <w:r>
              <w:rPr>
                <w:rFonts w:hint="eastAsia" w:ascii="宋体" w:hAnsi="宋体"/>
                <w:kern w:val="0"/>
                <w:sz w:val="24"/>
                <w:highlight w:val="none"/>
              </w:rPr>
              <w:t>只有一个有效报价且未超过招标文件中规定的预算金额</w:t>
            </w:r>
          </w:p>
        </w:tc>
      </w:tr>
      <w:tr w14:paraId="1BF2E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73FCCD65">
            <w:pPr>
              <w:jc w:val="center"/>
              <w:rPr>
                <w:rFonts w:cs="宋体"/>
                <w:sz w:val="22"/>
                <w:szCs w:val="22"/>
                <w:highlight w:val="none"/>
              </w:rPr>
            </w:pPr>
          </w:p>
        </w:tc>
        <w:tc>
          <w:tcPr>
            <w:tcW w:w="930" w:type="dxa"/>
            <w:vMerge w:val="continue"/>
            <w:vAlign w:val="center"/>
          </w:tcPr>
          <w:p w14:paraId="44608950">
            <w:pPr>
              <w:jc w:val="center"/>
              <w:rPr>
                <w:rFonts w:cs="宋体"/>
                <w:sz w:val="22"/>
                <w:szCs w:val="22"/>
                <w:highlight w:val="none"/>
              </w:rPr>
            </w:pPr>
          </w:p>
        </w:tc>
        <w:tc>
          <w:tcPr>
            <w:tcW w:w="2718" w:type="dxa"/>
            <w:gridSpan w:val="4"/>
            <w:vAlign w:val="center"/>
          </w:tcPr>
          <w:p w14:paraId="46809203">
            <w:pPr>
              <w:spacing w:before="100" w:beforeAutospacing="1" w:after="100" w:afterAutospacing="1"/>
              <w:jc w:val="center"/>
              <w:rPr>
                <w:rFonts w:cs="宋体"/>
                <w:sz w:val="22"/>
                <w:szCs w:val="22"/>
                <w:highlight w:val="none"/>
              </w:rPr>
            </w:pPr>
            <w:r>
              <w:rPr>
                <w:rFonts w:hint="eastAsia" w:ascii="宋体" w:hAnsi="宋体"/>
                <w:kern w:val="0"/>
                <w:sz w:val="24"/>
                <w:highlight w:val="none"/>
              </w:rPr>
              <w:t>投标有效期</w:t>
            </w:r>
          </w:p>
        </w:tc>
        <w:tc>
          <w:tcPr>
            <w:tcW w:w="4780" w:type="dxa"/>
            <w:gridSpan w:val="2"/>
            <w:vAlign w:val="center"/>
          </w:tcPr>
          <w:p w14:paraId="4D6E4FA9">
            <w:pPr>
              <w:spacing w:before="100" w:beforeAutospacing="1" w:after="100" w:afterAutospacing="1"/>
              <w:jc w:val="center"/>
              <w:rPr>
                <w:rFonts w:cs="宋体"/>
                <w:sz w:val="22"/>
                <w:szCs w:val="22"/>
                <w:highlight w:val="none"/>
              </w:rPr>
            </w:pPr>
            <w:r>
              <w:rPr>
                <w:rFonts w:hint="eastAsia" w:ascii="宋体" w:hAnsi="宋体"/>
                <w:kern w:val="0"/>
                <w:sz w:val="24"/>
                <w:highlight w:val="none"/>
              </w:rPr>
              <w:t>符合第二章“供应商须知前附表”第3.3.1项规定</w:t>
            </w:r>
          </w:p>
        </w:tc>
      </w:tr>
      <w:tr w14:paraId="1104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50886459">
            <w:pPr>
              <w:jc w:val="center"/>
              <w:rPr>
                <w:rFonts w:cs="宋体"/>
                <w:sz w:val="22"/>
                <w:szCs w:val="22"/>
                <w:highlight w:val="none"/>
              </w:rPr>
            </w:pPr>
          </w:p>
        </w:tc>
        <w:tc>
          <w:tcPr>
            <w:tcW w:w="930" w:type="dxa"/>
            <w:vMerge w:val="continue"/>
            <w:vAlign w:val="center"/>
          </w:tcPr>
          <w:p w14:paraId="1B7E7A95">
            <w:pPr>
              <w:jc w:val="center"/>
              <w:rPr>
                <w:rFonts w:cs="宋体"/>
                <w:sz w:val="22"/>
                <w:szCs w:val="22"/>
                <w:highlight w:val="none"/>
              </w:rPr>
            </w:pPr>
          </w:p>
        </w:tc>
        <w:tc>
          <w:tcPr>
            <w:tcW w:w="2718" w:type="dxa"/>
            <w:gridSpan w:val="4"/>
            <w:vAlign w:val="center"/>
          </w:tcPr>
          <w:p w14:paraId="5E316E35">
            <w:pPr>
              <w:spacing w:before="100" w:beforeAutospacing="1" w:after="100" w:afterAutospacing="1"/>
              <w:jc w:val="center"/>
              <w:rPr>
                <w:rFonts w:cs="宋体"/>
                <w:sz w:val="22"/>
                <w:szCs w:val="22"/>
                <w:highlight w:val="none"/>
              </w:rPr>
            </w:pPr>
            <w:r>
              <w:rPr>
                <w:rFonts w:hint="eastAsia" w:ascii="宋体" w:hAnsi="宋体"/>
                <w:kern w:val="0"/>
                <w:sz w:val="24"/>
                <w:highlight w:val="none"/>
              </w:rPr>
              <w:t>投标保证金</w:t>
            </w:r>
          </w:p>
        </w:tc>
        <w:tc>
          <w:tcPr>
            <w:tcW w:w="4780" w:type="dxa"/>
            <w:gridSpan w:val="2"/>
            <w:vAlign w:val="center"/>
          </w:tcPr>
          <w:p w14:paraId="295DDD6B">
            <w:pPr>
              <w:spacing w:before="100" w:beforeAutospacing="1" w:after="100" w:afterAutospacing="1"/>
              <w:jc w:val="center"/>
              <w:rPr>
                <w:rFonts w:cs="宋体"/>
                <w:sz w:val="22"/>
                <w:szCs w:val="22"/>
                <w:highlight w:val="none"/>
              </w:rPr>
            </w:pPr>
            <w:r>
              <w:rPr>
                <w:rFonts w:hint="eastAsia" w:ascii="宋体" w:hAnsi="宋体"/>
                <w:kern w:val="0"/>
                <w:sz w:val="24"/>
                <w:highlight w:val="none"/>
              </w:rPr>
              <w:t>符合第二章“供应商须知前附表”第3.4.1项规定</w:t>
            </w:r>
          </w:p>
        </w:tc>
      </w:tr>
      <w:tr w14:paraId="10FA1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64E03B63">
            <w:pPr>
              <w:jc w:val="center"/>
              <w:rPr>
                <w:rFonts w:cs="宋体"/>
                <w:sz w:val="22"/>
                <w:szCs w:val="22"/>
                <w:highlight w:val="none"/>
              </w:rPr>
            </w:pPr>
          </w:p>
        </w:tc>
        <w:tc>
          <w:tcPr>
            <w:tcW w:w="930" w:type="dxa"/>
            <w:vMerge w:val="continue"/>
            <w:vAlign w:val="center"/>
          </w:tcPr>
          <w:p w14:paraId="09532DB8">
            <w:pPr>
              <w:jc w:val="center"/>
              <w:rPr>
                <w:rFonts w:cs="宋体"/>
                <w:sz w:val="22"/>
                <w:szCs w:val="22"/>
                <w:highlight w:val="none"/>
              </w:rPr>
            </w:pPr>
          </w:p>
        </w:tc>
        <w:tc>
          <w:tcPr>
            <w:tcW w:w="2718" w:type="dxa"/>
            <w:gridSpan w:val="4"/>
            <w:vAlign w:val="center"/>
          </w:tcPr>
          <w:p w14:paraId="570D9CC5">
            <w:pPr>
              <w:spacing w:before="100" w:beforeAutospacing="1" w:after="100" w:afterAutospacing="1"/>
              <w:jc w:val="center"/>
              <w:rPr>
                <w:rFonts w:cs="宋体"/>
                <w:sz w:val="22"/>
                <w:szCs w:val="22"/>
                <w:highlight w:val="none"/>
              </w:rPr>
            </w:pPr>
            <w:r>
              <w:rPr>
                <w:rFonts w:hint="eastAsia" w:ascii="宋体" w:hAnsi="宋体"/>
                <w:kern w:val="0"/>
                <w:sz w:val="24"/>
                <w:highlight w:val="none"/>
              </w:rPr>
              <w:t>关键内容</w:t>
            </w:r>
          </w:p>
        </w:tc>
        <w:tc>
          <w:tcPr>
            <w:tcW w:w="4780" w:type="dxa"/>
            <w:gridSpan w:val="2"/>
            <w:vAlign w:val="center"/>
          </w:tcPr>
          <w:p w14:paraId="404422DC">
            <w:pPr>
              <w:spacing w:before="100" w:beforeAutospacing="1" w:after="100" w:afterAutospacing="1"/>
              <w:jc w:val="center"/>
              <w:rPr>
                <w:rFonts w:cs="宋体"/>
                <w:sz w:val="22"/>
                <w:szCs w:val="22"/>
                <w:highlight w:val="none"/>
              </w:rPr>
            </w:pPr>
            <w:r>
              <w:rPr>
                <w:rFonts w:hint="eastAsia" w:ascii="宋体" w:hAnsi="宋体"/>
                <w:kern w:val="0"/>
                <w:sz w:val="24"/>
                <w:highlight w:val="none"/>
              </w:rPr>
              <w:t>投标文件无关键字迹模糊、无法辨认的</w:t>
            </w:r>
          </w:p>
        </w:tc>
      </w:tr>
      <w:tr w14:paraId="0523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665CC14E">
            <w:pPr>
              <w:jc w:val="center"/>
              <w:rPr>
                <w:rFonts w:cs="宋体"/>
                <w:sz w:val="22"/>
                <w:szCs w:val="22"/>
                <w:highlight w:val="none"/>
              </w:rPr>
            </w:pPr>
          </w:p>
        </w:tc>
        <w:tc>
          <w:tcPr>
            <w:tcW w:w="930" w:type="dxa"/>
            <w:vMerge w:val="continue"/>
            <w:vAlign w:val="center"/>
          </w:tcPr>
          <w:p w14:paraId="0F70C41A">
            <w:pPr>
              <w:jc w:val="center"/>
              <w:rPr>
                <w:rFonts w:cs="宋体"/>
                <w:sz w:val="22"/>
                <w:szCs w:val="22"/>
                <w:highlight w:val="none"/>
              </w:rPr>
            </w:pPr>
          </w:p>
        </w:tc>
        <w:tc>
          <w:tcPr>
            <w:tcW w:w="2718" w:type="dxa"/>
            <w:gridSpan w:val="4"/>
            <w:vAlign w:val="center"/>
          </w:tcPr>
          <w:p w14:paraId="741FC919">
            <w:pPr>
              <w:spacing w:before="100" w:beforeAutospacing="1" w:after="100" w:afterAutospacing="1"/>
              <w:jc w:val="center"/>
              <w:rPr>
                <w:rFonts w:cs="宋体"/>
                <w:sz w:val="22"/>
                <w:szCs w:val="22"/>
                <w:highlight w:val="none"/>
              </w:rPr>
            </w:pPr>
            <w:r>
              <w:rPr>
                <w:rFonts w:hint="eastAsia" w:ascii="宋体" w:hAnsi="宋体"/>
                <w:kern w:val="0"/>
                <w:sz w:val="24"/>
                <w:highlight w:val="none"/>
              </w:rPr>
              <w:t>投标内容</w:t>
            </w:r>
          </w:p>
        </w:tc>
        <w:tc>
          <w:tcPr>
            <w:tcW w:w="4780" w:type="dxa"/>
            <w:gridSpan w:val="2"/>
            <w:vAlign w:val="center"/>
          </w:tcPr>
          <w:p w14:paraId="0272B202">
            <w:pPr>
              <w:spacing w:before="100" w:beforeAutospacing="1" w:after="100" w:afterAutospacing="1"/>
              <w:jc w:val="center"/>
              <w:rPr>
                <w:rFonts w:cs="宋体"/>
                <w:sz w:val="22"/>
                <w:szCs w:val="22"/>
                <w:highlight w:val="none"/>
              </w:rPr>
            </w:pPr>
            <w:r>
              <w:rPr>
                <w:rFonts w:hint="eastAsia" w:ascii="宋体" w:hAnsi="宋体"/>
                <w:kern w:val="0"/>
                <w:sz w:val="24"/>
                <w:highlight w:val="none"/>
              </w:rPr>
              <w:t>供应商对采购内容及要求中采购内容进行整体投标，无缺项漏项。</w:t>
            </w:r>
          </w:p>
        </w:tc>
      </w:tr>
      <w:tr w14:paraId="41CF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413781BE">
            <w:pPr>
              <w:jc w:val="center"/>
              <w:rPr>
                <w:rFonts w:cs="宋体"/>
                <w:sz w:val="22"/>
                <w:szCs w:val="22"/>
                <w:highlight w:val="none"/>
              </w:rPr>
            </w:pPr>
          </w:p>
        </w:tc>
        <w:tc>
          <w:tcPr>
            <w:tcW w:w="930" w:type="dxa"/>
            <w:vMerge w:val="continue"/>
            <w:vAlign w:val="center"/>
          </w:tcPr>
          <w:p w14:paraId="09792870">
            <w:pPr>
              <w:jc w:val="center"/>
              <w:rPr>
                <w:rFonts w:cs="宋体"/>
                <w:sz w:val="22"/>
                <w:szCs w:val="22"/>
                <w:highlight w:val="none"/>
              </w:rPr>
            </w:pPr>
          </w:p>
        </w:tc>
        <w:tc>
          <w:tcPr>
            <w:tcW w:w="2718" w:type="dxa"/>
            <w:gridSpan w:val="4"/>
            <w:vAlign w:val="center"/>
          </w:tcPr>
          <w:p w14:paraId="081113C1">
            <w:pPr>
              <w:spacing w:before="100" w:beforeAutospacing="1" w:after="100" w:afterAutospacing="1"/>
              <w:jc w:val="center"/>
              <w:rPr>
                <w:rFonts w:cs="宋体"/>
                <w:sz w:val="22"/>
                <w:szCs w:val="22"/>
                <w:highlight w:val="none"/>
              </w:rPr>
            </w:pPr>
            <w:r>
              <w:rPr>
                <w:rFonts w:hint="eastAsia" w:ascii="宋体" w:hAnsi="宋体"/>
                <w:kern w:val="0"/>
                <w:sz w:val="24"/>
                <w:highlight w:val="none"/>
              </w:rPr>
              <w:t>其他要求</w:t>
            </w:r>
          </w:p>
        </w:tc>
        <w:tc>
          <w:tcPr>
            <w:tcW w:w="4780" w:type="dxa"/>
            <w:gridSpan w:val="2"/>
            <w:vAlign w:val="center"/>
          </w:tcPr>
          <w:p w14:paraId="122F7608">
            <w:pPr>
              <w:spacing w:before="100" w:beforeAutospacing="1" w:after="100" w:afterAutospacing="1"/>
              <w:jc w:val="center"/>
              <w:rPr>
                <w:rFonts w:cs="宋体"/>
                <w:sz w:val="22"/>
                <w:szCs w:val="22"/>
                <w:highlight w:val="none"/>
              </w:rPr>
            </w:pPr>
            <w:r>
              <w:rPr>
                <w:rFonts w:hint="eastAsia" w:ascii="宋体" w:hAnsi="宋体"/>
                <w:kern w:val="0"/>
                <w:sz w:val="24"/>
                <w:highlight w:val="none"/>
              </w:rPr>
              <w:t>符合招标文件其他实质性内容</w:t>
            </w:r>
          </w:p>
        </w:tc>
      </w:tr>
      <w:tr w14:paraId="6B8C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Align w:val="center"/>
          </w:tcPr>
          <w:p w14:paraId="5E624A98">
            <w:pPr>
              <w:jc w:val="center"/>
              <w:rPr>
                <w:rFonts w:cs="宋体"/>
                <w:sz w:val="24"/>
                <w:highlight w:val="none"/>
              </w:rPr>
            </w:pPr>
            <w:r>
              <w:rPr>
                <w:rFonts w:hint="eastAsia" w:cs="宋体"/>
                <w:b/>
                <w:sz w:val="24"/>
                <w:highlight w:val="none"/>
              </w:rPr>
              <w:t>条款号</w:t>
            </w:r>
          </w:p>
        </w:tc>
        <w:tc>
          <w:tcPr>
            <w:tcW w:w="2584" w:type="dxa"/>
            <w:gridSpan w:val="4"/>
            <w:vAlign w:val="center"/>
          </w:tcPr>
          <w:p w14:paraId="7BD497BC">
            <w:pPr>
              <w:jc w:val="center"/>
              <w:rPr>
                <w:rFonts w:cs="宋体"/>
                <w:sz w:val="24"/>
                <w:highlight w:val="none"/>
              </w:rPr>
            </w:pPr>
            <w:r>
              <w:rPr>
                <w:rFonts w:hint="eastAsia" w:cs="宋体"/>
                <w:b/>
                <w:sz w:val="24"/>
                <w:highlight w:val="none"/>
              </w:rPr>
              <w:t>条款内容</w:t>
            </w:r>
          </w:p>
        </w:tc>
        <w:tc>
          <w:tcPr>
            <w:tcW w:w="5844" w:type="dxa"/>
            <w:gridSpan w:val="3"/>
            <w:vAlign w:val="center"/>
          </w:tcPr>
          <w:p w14:paraId="25CE046E">
            <w:pPr>
              <w:jc w:val="center"/>
              <w:rPr>
                <w:rFonts w:cs="宋体"/>
                <w:sz w:val="24"/>
                <w:highlight w:val="none"/>
              </w:rPr>
            </w:pPr>
            <w:r>
              <w:rPr>
                <w:rFonts w:hint="eastAsia" w:cs="宋体"/>
                <w:b/>
                <w:sz w:val="24"/>
                <w:highlight w:val="none"/>
              </w:rPr>
              <w:t>编列内容</w:t>
            </w:r>
          </w:p>
        </w:tc>
      </w:tr>
      <w:tr w14:paraId="667C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Align w:val="center"/>
          </w:tcPr>
          <w:p w14:paraId="0F60BA9A">
            <w:pPr>
              <w:jc w:val="center"/>
              <w:rPr>
                <w:rFonts w:cs="宋体"/>
                <w:b/>
                <w:sz w:val="24"/>
                <w:highlight w:val="none"/>
              </w:rPr>
            </w:pPr>
            <w:r>
              <w:rPr>
                <w:rFonts w:hint="eastAsia" w:cs="宋体"/>
                <w:b/>
                <w:sz w:val="24"/>
                <w:highlight w:val="none"/>
              </w:rPr>
              <w:t>2.2</w:t>
            </w:r>
          </w:p>
        </w:tc>
        <w:tc>
          <w:tcPr>
            <w:tcW w:w="2584" w:type="dxa"/>
            <w:gridSpan w:val="4"/>
            <w:vAlign w:val="center"/>
          </w:tcPr>
          <w:p w14:paraId="0CE35CB9">
            <w:pPr>
              <w:jc w:val="center"/>
              <w:rPr>
                <w:rFonts w:cs="宋体"/>
                <w:sz w:val="24"/>
                <w:highlight w:val="none"/>
              </w:rPr>
            </w:pPr>
            <w:r>
              <w:rPr>
                <w:rFonts w:hint="eastAsia" w:cs="宋体"/>
                <w:sz w:val="24"/>
                <w:highlight w:val="none"/>
              </w:rPr>
              <w:t>分值构成</w:t>
            </w:r>
          </w:p>
          <w:p w14:paraId="0968D038">
            <w:pPr>
              <w:jc w:val="center"/>
              <w:rPr>
                <w:rFonts w:cs="宋体"/>
                <w:b/>
                <w:sz w:val="24"/>
                <w:highlight w:val="none"/>
              </w:rPr>
            </w:pPr>
            <w:r>
              <w:rPr>
                <w:rFonts w:hint="eastAsia" w:cs="宋体"/>
                <w:spacing w:val="-8"/>
                <w:sz w:val="24"/>
                <w:highlight w:val="none"/>
              </w:rPr>
              <w:t>（满分100分）</w:t>
            </w:r>
          </w:p>
        </w:tc>
        <w:tc>
          <w:tcPr>
            <w:tcW w:w="5844" w:type="dxa"/>
            <w:gridSpan w:val="3"/>
            <w:vAlign w:val="center"/>
          </w:tcPr>
          <w:p w14:paraId="1508B1DD">
            <w:pPr>
              <w:jc w:val="left"/>
              <w:rPr>
                <w:rFonts w:cs="宋体"/>
                <w:sz w:val="24"/>
                <w:highlight w:val="none"/>
              </w:rPr>
            </w:pPr>
            <w:r>
              <w:rPr>
                <w:rFonts w:hint="eastAsia" w:cs="宋体"/>
                <w:sz w:val="24"/>
                <w:highlight w:val="none"/>
              </w:rPr>
              <w:t>供应商的评标总得分＝F1＋F2</w:t>
            </w:r>
          </w:p>
          <w:p w14:paraId="099C23A3">
            <w:pPr>
              <w:jc w:val="left"/>
              <w:rPr>
                <w:rFonts w:cs="宋体"/>
                <w:sz w:val="24"/>
                <w:highlight w:val="none"/>
              </w:rPr>
            </w:pPr>
            <w:r>
              <w:rPr>
                <w:rFonts w:hint="eastAsia" w:cs="宋体"/>
                <w:sz w:val="24"/>
                <w:highlight w:val="none"/>
              </w:rPr>
              <w:t>投标报价F1：满分30分</w:t>
            </w:r>
          </w:p>
          <w:p w14:paraId="460FC81B">
            <w:pPr>
              <w:jc w:val="left"/>
              <w:rPr>
                <w:rFonts w:cs="宋体"/>
                <w:sz w:val="24"/>
                <w:highlight w:val="none"/>
              </w:rPr>
            </w:pPr>
            <w:r>
              <w:rPr>
                <w:rFonts w:hint="eastAsia" w:cs="宋体"/>
                <w:sz w:val="24"/>
                <w:highlight w:val="none"/>
              </w:rPr>
              <w:t>技术部分F2：满分70分</w:t>
            </w:r>
          </w:p>
        </w:tc>
      </w:tr>
      <w:tr w14:paraId="14A4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Align w:val="center"/>
          </w:tcPr>
          <w:p w14:paraId="535B8A96">
            <w:pPr>
              <w:rPr>
                <w:rFonts w:cs="宋体"/>
                <w:sz w:val="24"/>
                <w:highlight w:val="none"/>
              </w:rPr>
            </w:pPr>
            <w:r>
              <w:rPr>
                <w:rFonts w:hint="eastAsia" w:cs="宋体"/>
                <w:b/>
                <w:sz w:val="24"/>
                <w:highlight w:val="none"/>
              </w:rPr>
              <w:t>条款号</w:t>
            </w:r>
          </w:p>
        </w:tc>
        <w:tc>
          <w:tcPr>
            <w:tcW w:w="2584" w:type="dxa"/>
            <w:gridSpan w:val="4"/>
            <w:vAlign w:val="center"/>
          </w:tcPr>
          <w:p w14:paraId="79E08FE1">
            <w:pPr>
              <w:jc w:val="center"/>
              <w:rPr>
                <w:rFonts w:cs="宋体"/>
                <w:sz w:val="24"/>
                <w:highlight w:val="none"/>
              </w:rPr>
            </w:pPr>
            <w:r>
              <w:rPr>
                <w:rFonts w:hint="eastAsia" w:cs="宋体"/>
                <w:b/>
                <w:kern w:val="0"/>
                <w:sz w:val="24"/>
                <w:highlight w:val="none"/>
              </w:rPr>
              <w:t>评分因素</w:t>
            </w:r>
          </w:p>
        </w:tc>
        <w:tc>
          <w:tcPr>
            <w:tcW w:w="5844" w:type="dxa"/>
            <w:gridSpan w:val="3"/>
            <w:vAlign w:val="center"/>
          </w:tcPr>
          <w:p w14:paraId="36FCA074">
            <w:pPr>
              <w:jc w:val="center"/>
              <w:rPr>
                <w:rFonts w:cs="宋体"/>
                <w:sz w:val="24"/>
                <w:highlight w:val="none"/>
              </w:rPr>
            </w:pPr>
            <w:r>
              <w:rPr>
                <w:rFonts w:hint="eastAsia" w:cs="宋体"/>
                <w:b/>
                <w:kern w:val="0"/>
                <w:sz w:val="24"/>
                <w:highlight w:val="none"/>
              </w:rPr>
              <w:t>评分标准</w:t>
            </w:r>
          </w:p>
        </w:tc>
      </w:tr>
      <w:tr w14:paraId="7B50C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Align w:val="center"/>
          </w:tcPr>
          <w:p w14:paraId="7CBAA845">
            <w:pPr>
              <w:jc w:val="center"/>
              <w:rPr>
                <w:rFonts w:cs="宋体"/>
                <w:b/>
                <w:kern w:val="0"/>
                <w:sz w:val="24"/>
                <w:highlight w:val="none"/>
              </w:rPr>
            </w:pPr>
            <w:r>
              <w:rPr>
                <w:rFonts w:hint="eastAsia" w:cs="宋体"/>
                <w:b/>
                <w:kern w:val="0"/>
                <w:sz w:val="24"/>
                <w:highlight w:val="none"/>
              </w:rPr>
              <w:t>2.2.1</w:t>
            </w:r>
          </w:p>
        </w:tc>
        <w:tc>
          <w:tcPr>
            <w:tcW w:w="1183" w:type="dxa"/>
            <w:gridSpan w:val="2"/>
            <w:vAlign w:val="center"/>
          </w:tcPr>
          <w:p w14:paraId="1FD667D0">
            <w:pPr>
              <w:jc w:val="center"/>
              <w:rPr>
                <w:rFonts w:cs="宋体"/>
                <w:sz w:val="24"/>
                <w:highlight w:val="none"/>
              </w:rPr>
            </w:pPr>
            <w:r>
              <w:rPr>
                <w:rFonts w:hint="eastAsia" w:cs="宋体"/>
                <w:sz w:val="24"/>
                <w:highlight w:val="none"/>
              </w:rPr>
              <w:t>投标报价F1</w:t>
            </w:r>
          </w:p>
          <w:p w14:paraId="7F595D11">
            <w:pPr>
              <w:jc w:val="center"/>
              <w:rPr>
                <w:rFonts w:cs="宋体"/>
                <w:sz w:val="24"/>
                <w:highlight w:val="none"/>
              </w:rPr>
            </w:pPr>
            <w:r>
              <w:rPr>
                <w:rFonts w:hint="eastAsia" w:cs="宋体"/>
                <w:sz w:val="24"/>
                <w:highlight w:val="none"/>
              </w:rPr>
              <w:t>评分标准</w:t>
            </w:r>
          </w:p>
          <w:p w14:paraId="22545275">
            <w:pPr>
              <w:jc w:val="center"/>
              <w:rPr>
                <w:rFonts w:cs="宋体"/>
                <w:b/>
                <w:kern w:val="0"/>
                <w:sz w:val="24"/>
                <w:highlight w:val="none"/>
              </w:rPr>
            </w:pPr>
            <w:r>
              <w:rPr>
                <w:rFonts w:hint="eastAsia" w:cs="宋体"/>
                <w:sz w:val="24"/>
                <w:highlight w:val="none"/>
              </w:rPr>
              <w:t>（30分）</w:t>
            </w:r>
          </w:p>
        </w:tc>
        <w:tc>
          <w:tcPr>
            <w:tcW w:w="7245" w:type="dxa"/>
            <w:gridSpan w:val="5"/>
            <w:vAlign w:val="center"/>
          </w:tcPr>
          <w:p w14:paraId="17EC20F5">
            <w:pPr>
              <w:rPr>
                <w:rFonts w:cs="宋体"/>
                <w:sz w:val="24"/>
                <w:highlight w:val="none"/>
              </w:rPr>
            </w:pPr>
            <w:r>
              <w:rPr>
                <w:rFonts w:hint="eastAsia" w:cs="宋体"/>
                <w:sz w:val="24"/>
                <w:highlight w:val="none"/>
              </w:rPr>
              <w:t>价格分统一采用低价优先法计算，即满足招标文件要求且投标价格最低的投标报价为评标基准价，其价格分为满分。其他供应商的价格分统一按照下列公式计算：</w:t>
            </w:r>
          </w:p>
          <w:p w14:paraId="58B9114C">
            <w:pPr>
              <w:rPr>
                <w:rFonts w:cs="宋体"/>
                <w:sz w:val="24"/>
                <w:highlight w:val="none"/>
              </w:rPr>
            </w:pPr>
            <w:r>
              <w:rPr>
                <w:rFonts w:hint="eastAsia" w:cs="宋体"/>
                <w:b/>
                <w:bCs/>
                <w:sz w:val="24"/>
                <w:highlight w:val="none"/>
              </w:rPr>
              <w:t>投标报价得分＝（评标基准价/投标报价）×30。（通过资格和符合性评审的供应商才能进入有效评分）</w:t>
            </w:r>
            <w:r>
              <w:rPr>
                <w:rFonts w:hint="eastAsia" w:cs="宋体"/>
                <w:sz w:val="24"/>
                <w:highlight w:val="none"/>
              </w:rPr>
              <w:t xml:space="preserve"> </w:t>
            </w:r>
          </w:p>
          <w:p w14:paraId="4ED97696">
            <w:pPr>
              <w:jc w:val="left"/>
              <w:rPr>
                <w:rFonts w:cs="宋体"/>
                <w:sz w:val="24"/>
                <w:highlight w:val="none"/>
              </w:rPr>
            </w:pPr>
            <w:r>
              <w:rPr>
                <w:rFonts w:hint="eastAsia" w:cs="宋体"/>
                <w:sz w:val="24"/>
                <w:highlight w:val="none"/>
              </w:rPr>
              <w:t>注：</w:t>
            </w:r>
            <w:r>
              <w:rPr>
                <w:rFonts w:hint="eastAsia" w:cs="宋体"/>
                <w:b/>
                <w:bCs/>
                <w:sz w:val="24"/>
                <w:highlight w:val="none"/>
              </w:rPr>
              <w:t>（1）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7A73A81">
            <w:pPr>
              <w:jc w:val="left"/>
              <w:rPr>
                <w:rFonts w:cs="宋体"/>
                <w:sz w:val="24"/>
                <w:highlight w:val="none"/>
              </w:rPr>
            </w:pPr>
            <w:r>
              <w:rPr>
                <w:rFonts w:hint="eastAsia" w:cs="宋体"/>
                <w:sz w:val="24"/>
                <w:highlight w:val="none"/>
              </w:rPr>
              <w:t>（2）评标过程中，不得去掉报价中的最高报价和最低报价。</w:t>
            </w:r>
          </w:p>
          <w:p w14:paraId="357C0A75">
            <w:pPr>
              <w:rPr>
                <w:rFonts w:cs="宋体"/>
                <w:sz w:val="24"/>
                <w:highlight w:val="none"/>
              </w:rPr>
            </w:pPr>
            <w:r>
              <w:rPr>
                <w:rFonts w:hint="eastAsia" w:cs="宋体"/>
                <w:sz w:val="24"/>
                <w:highlight w:val="none"/>
              </w:rPr>
              <w:t xml:space="preserve">（3）因落实政府采购政策进行价格调整的，以调整后的评审价格计算评标基准价和投标报价得分。 </w:t>
            </w:r>
          </w:p>
          <w:p w14:paraId="72A9E8B1">
            <w:pPr>
              <w:jc w:val="left"/>
              <w:rPr>
                <w:rFonts w:cs="宋体"/>
                <w:b/>
                <w:kern w:val="0"/>
                <w:sz w:val="24"/>
                <w:highlight w:val="none"/>
              </w:rPr>
            </w:pPr>
            <w:r>
              <w:rPr>
                <w:rFonts w:hint="eastAsia" w:cs="宋体"/>
                <w:sz w:val="24"/>
                <w:highlight w:val="none"/>
              </w:rPr>
              <w:t xml:space="preserve">（4）计算结果保留小数点后2位，第3位四舍五入。 </w:t>
            </w:r>
          </w:p>
        </w:tc>
      </w:tr>
      <w:tr w14:paraId="4E8A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52" w:type="dxa"/>
            <w:vMerge w:val="restart"/>
            <w:vAlign w:val="center"/>
          </w:tcPr>
          <w:p w14:paraId="64B04C63">
            <w:pPr>
              <w:jc w:val="center"/>
              <w:rPr>
                <w:rFonts w:cs="宋体"/>
                <w:sz w:val="24"/>
                <w:highlight w:val="none"/>
              </w:rPr>
            </w:pPr>
            <w:r>
              <w:rPr>
                <w:rFonts w:hint="eastAsia" w:cs="宋体"/>
                <w:sz w:val="24"/>
                <w:highlight w:val="none"/>
              </w:rPr>
              <w:t>2.2.2</w:t>
            </w:r>
          </w:p>
        </w:tc>
        <w:tc>
          <w:tcPr>
            <w:tcW w:w="1183" w:type="dxa"/>
            <w:gridSpan w:val="2"/>
            <w:vMerge w:val="restart"/>
            <w:vAlign w:val="center"/>
          </w:tcPr>
          <w:p w14:paraId="5A6F5671">
            <w:pPr>
              <w:jc w:val="center"/>
              <w:rPr>
                <w:rFonts w:cs="宋体"/>
                <w:sz w:val="24"/>
                <w:highlight w:val="none"/>
              </w:rPr>
            </w:pPr>
            <w:r>
              <w:rPr>
                <w:rFonts w:hint="eastAsia" w:cs="宋体"/>
                <w:sz w:val="24"/>
                <w:highlight w:val="none"/>
              </w:rPr>
              <w:t>技术部分F2</w:t>
            </w:r>
          </w:p>
          <w:p w14:paraId="7C541D24">
            <w:pPr>
              <w:jc w:val="center"/>
              <w:rPr>
                <w:rFonts w:cs="宋体"/>
                <w:sz w:val="24"/>
                <w:highlight w:val="none"/>
              </w:rPr>
            </w:pPr>
            <w:r>
              <w:rPr>
                <w:rFonts w:hint="eastAsia" w:cs="宋体"/>
                <w:sz w:val="24"/>
                <w:highlight w:val="none"/>
              </w:rPr>
              <w:t>评分标准</w:t>
            </w:r>
          </w:p>
          <w:p w14:paraId="41EEE417">
            <w:pPr>
              <w:jc w:val="center"/>
              <w:rPr>
                <w:rFonts w:cs="宋体"/>
                <w:sz w:val="24"/>
                <w:highlight w:val="none"/>
              </w:rPr>
            </w:pPr>
            <w:r>
              <w:rPr>
                <w:rFonts w:hint="eastAsia" w:cs="宋体"/>
                <w:sz w:val="24"/>
                <w:highlight w:val="none"/>
              </w:rPr>
              <w:t>（70分）</w:t>
            </w:r>
          </w:p>
        </w:tc>
        <w:tc>
          <w:tcPr>
            <w:tcW w:w="1229" w:type="dxa"/>
            <w:vMerge w:val="restart"/>
            <w:vAlign w:val="center"/>
          </w:tcPr>
          <w:p w14:paraId="04B1237F">
            <w:pPr>
              <w:adjustRightInd w:val="0"/>
              <w:jc w:val="center"/>
              <w:rPr>
                <w:rFonts w:ascii="宋体" w:hAnsi="宋体"/>
                <w:bCs/>
                <w:sz w:val="24"/>
                <w:highlight w:val="none"/>
              </w:rPr>
            </w:pPr>
            <w:r>
              <w:rPr>
                <w:rFonts w:hint="eastAsia" w:ascii="宋体" w:hAnsi="宋体"/>
                <w:bCs/>
                <w:sz w:val="24"/>
                <w:highlight w:val="none"/>
              </w:rPr>
              <w:t>技术参数的响应程度（</w:t>
            </w:r>
            <w:r>
              <w:rPr>
                <w:rFonts w:hint="eastAsia" w:ascii="宋体" w:hAnsi="宋体"/>
                <w:bCs/>
                <w:sz w:val="24"/>
                <w:highlight w:val="none"/>
                <w:lang w:val="en-US" w:eastAsia="zh-CN"/>
              </w:rPr>
              <w:t>30</w:t>
            </w:r>
            <w:r>
              <w:rPr>
                <w:rFonts w:hint="eastAsia" w:ascii="宋体" w:hAnsi="宋体"/>
                <w:bCs/>
                <w:sz w:val="24"/>
                <w:highlight w:val="none"/>
              </w:rPr>
              <w:t>分）</w:t>
            </w:r>
          </w:p>
        </w:tc>
        <w:tc>
          <w:tcPr>
            <w:tcW w:w="6016" w:type="dxa"/>
            <w:gridSpan w:val="4"/>
          </w:tcPr>
          <w:p w14:paraId="1AAB6A26">
            <w:pPr>
              <w:jc w:val="left"/>
              <w:rPr>
                <w:rFonts w:cs="宋体"/>
                <w:sz w:val="24"/>
                <w:highlight w:val="none"/>
              </w:rPr>
            </w:pPr>
            <w:r>
              <w:rPr>
                <w:rFonts w:hint="eastAsia" w:cs="宋体"/>
                <w:sz w:val="24"/>
                <w:highlight w:val="none"/>
              </w:rPr>
              <w:t>重要参数评审评分</w:t>
            </w:r>
            <w:r>
              <w:rPr>
                <w:rFonts w:hint="eastAsia" w:cs="宋体"/>
                <w:sz w:val="24"/>
                <w:highlight w:val="none"/>
                <w:lang w:eastAsia="zh-CN"/>
              </w:rPr>
              <w:t>（</w:t>
            </w:r>
            <w:r>
              <w:rPr>
                <w:rFonts w:hint="eastAsia" w:cs="宋体"/>
                <w:sz w:val="24"/>
                <w:highlight w:val="none"/>
              </w:rPr>
              <w:t>满分</w:t>
            </w:r>
            <w:r>
              <w:rPr>
                <w:rFonts w:hint="eastAsia" w:cs="宋体"/>
                <w:sz w:val="24"/>
                <w:highlight w:val="none"/>
                <w:lang w:val="en-US" w:eastAsia="zh-CN"/>
              </w:rPr>
              <w:t>15</w:t>
            </w:r>
            <w:r>
              <w:rPr>
                <w:rFonts w:hint="eastAsia" w:cs="宋体"/>
                <w:sz w:val="24"/>
                <w:highlight w:val="none"/>
              </w:rPr>
              <w:t>分</w:t>
            </w:r>
            <w:r>
              <w:rPr>
                <w:rFonts w:hint="eastAsia" w:cs="宋体"/>
                <w:sz w:val="24"/>
                <w:highlight w:val="none"/>
                <w:lang w:eastAsia="zh-CN"/>
              </w:rPr>
              <w:t>）</w:t>
            </w:r>
          </w:p>
          <w:p w14:paraId="3D13F152">
            <w:pPr>
              <w:jc w:val="left"/>
              <w:rPr>
                <w:rFonts w:hint="eastAsia" w:eastAsia="宋体" w:cs="宋体"/>
                <w:sz w:val="24"/>
                <w:highlight w:val="none"/>
                <w:lang w:eastAsia="zh-CN"/>
              </w:rPr>
            </w:pPr>
            <w:r>
              <w:rPr>
                <w:rFonts w:hint="eastAsia" w:cs="宋体"/>
                <w:sz w:val="24"/>
                <w:highlight w:val="none"/>
              </w:rPr>
              <w:t>评审因素</w:t>
            </w:r>
            <w:r>
              <w:rPr>
                <w:rFonts w:hint="eastAsia" w:cs="宋体"/>
                <w:sz w:val="24"/>
                <w:highlight w:val="none"/>
                <w:lang w:eastAsia="zh-CN"/>
              </w:rPr>
              <w:t>：</w:t>
            </w:r>
          </w:p>
          <w:p w14:paraId="411DB580">
            <w:pPr>
              <w:jc w:val="left"/>
              <w:rPr>
                <w:rFonts w:cs="宋体"/>
                <w:sz w:val="24"/>
                <w:highlight w:val="none"/>
              </w:rPr>
            </w:pPr>
            <w:r>
              <w:rPr>
                <w:rFonts w:hint="eastAsia" w:cs="宋体"/>
                <w:sz w:val="24"/>
                <w:highlight w:val="none"/>
              </w:rPr>
              <w:t>《招标文件》第五章“采购内容及要求”--一、采购清单及参数要求--技术参数中标注“</w:t>
            </w:r>
            <w:r>
              <w:rPr>
                <w:rFonts w:hint="eastAsia" w:ascii="宋体" w:hAnsi="宋体" w:cs="宋体"/>
                <w:sz w:val="20"/>
                <w:szCs w:val="20"/>
                <w:highlight w:val="none"/>
              </w:rPr>
              <w:t>★</w:t>
            </w:r>
            <w:r>
              <w:rPr>
                <w:rFonts w:hint="eastAsia" w:cs="宋体"/>
                <w:sz w:val="24"/>
                <w:highlight w:val="none"/>
              </w:rPr>
              <w:t>”</w:t>
            </w:r>
            <w:r>
              <w:rPr>
                <w:rFonts w:hint="eastAsia" w:cs="宋体"/>
                <w:sz w:val="24"/>
                <w:highlight w:val="none"/>
                <w:lang w:val="en-US" w:eastAsia="zh-CN"/>
              </w:rPr>
              <w:t>或“▲”）</w:t>
            </w:r>
            <w:r>
              <w:rPr>
                <w:rFonts w:hint="eastAsia" w:cs="宋体"/>
                <w:sz w:val="24"/>
                <w:highlight w:val="none"/>
              </w:rPr>
              <w:t>参数为重要参数，重要参数不满足一条扣</w:t>
            </w:r>
            <w:r>
              <w:rPr>
                <w:rFonts w:hint="eastAsia" w:cs="宋体"/>
                <w:sz w:val="24"/>
                <w:highlight w:val="none"/>
                <w:lang w:val="en-US" w:eastAsia="zh-CN"/>
              </w:rPr>
              <w:t>2</w:t>
            </w:r>
            <w:r>
              <w:rPr>
                <w:rFonts w:hint="eastAsia" w:cs="宋体"/>
                <w:sz w:val="24"/>
                <w:highlight w:val="none"/>
              </w:rPr>
              <w:t>分。</w:t>
            </w:r>
          </w:p>
          <w:p w14:paraId="2BC8B9C1">
            <w:pPr>
              <w:jc w:val="left"/>
              <w:rPr>
                <w:rFonts w:cs="宋体"/>
                <w:sz w:val="24"/>
                <w:highlight w:val="none"/>
              </w:rPr>
            </w:pPr>
            <w:r>
              <w:rPr>
                <w:rFonts w:hint="eastAsia" w:cs="宋体"/>
                <w:sz w:val="24"/>
                <w:highlight w:val="none"/>
              </w:rPr>
              <w:t>投标人除如实填写技术规格偏离表外，第五章采购内容及要求--一、采购清单及参数要求中“技术参数”标注“</w:t>
            </w:r>
            <w:r>
              <w:rPr>
                <w:rFonts w:hint="eastAsia" w:ascii="宋体" w:hAnsi="宋体" w:cs="宋体"/>
                <w:sz w:val="20"/>
                <w:szCs w:val="20"/>
                <w:highlight w:val="none"/>
              </w:rPr>
              <w:t>★</w:t>
            </w:r>
            <w:r>
              <w:rPr>
                <w:rFonts w:hint="eastAsia" w:cs="宋体"/>
                <w:sz w:val="24"/>
                <w:highlight w:val="none"/>
              </w:rPr>
              <w:t>”</w:t>
            </w:r>
            <w:r>
              <w:rPr>
                <w:rFonts w:hint="eastAsia" w:cs="宋体"/>
                <w:sz w:val="24"/>
                <w:highlight w:val="none"/>
                <w:lang w:val="en-US" w:eastAsia="zh-CN"/>
              </w:rPr>
              <w:t>或“▲”</w:t>
            </w:r>
            <w:r>
              <w:rPr>
                <w:rFonts w:hint="eastAsia" w:cs="宋体"/>
                <w:sz w:val="24"/>
                <w:highlight w:val="none"/>
              </w:rPr>
              <w:t>参数为重要技术参数，投标文件中必须提供最新技术支持资料支持技术规格偏离表应答（包括投标产品宣传彩页或者使用截图或者厂家的技术白皮书或者检测报告或者应用证明文件等，不接受投标人自行印刷、打印或者手写的技术支持资料，采购需求有证明材料要求的以采购需求要求为准，凡不符合上述要求的，视为无效技术支持资料。</w:t>
            </w:r>
            <w:r>
              <w:rPr>
                <w:rFonts w:hint="eastAsia" w:cs="宋体"/>
                <w:sz w:val="24"/>
                <w:highlight w:val="none"/>
                <w:lang w:val="en-US" w:eastAsia="zh-CN"/>
              </w:rPr>
              <w:t>需</w:t>
            </w:r>
            <w:r>
              <w:rPr>
                <w:rFonts w:hint="eastAsia" w:cs="宋体"/>
                <w:sz w:val="24"/>
                <w:highlight w:val="none"/>
              </w:rPr>
              <w:t>进行演示</w:t>
            </w:r>
            <w:r>
              <w:rPr>
                <w:rFonts w:hint="eastAsia" w:cs="宋体"/>
                <w:sz w:val="24"/>
                <w:highlight w:val="none"/>
                <w:lang w:val="en-US" w:eastAsia="zh-CN"/>
              </w:rPr>
              <w:t>的</w:t>
            </w:r>
            <w:r>
              <w:rPr>
                <w:rFonts w:hint="eastAsia" w:cs="宋体"/>
                <w:sz w:val="24"/>
                <w:highlight w:val="none"/>
              </w:rPr>
              <w:t>招标技术要求</w:t>
            </w:r>
            <w:r>
              <w:rPr>
                <w:rFonts w:hint="eastAsia" w:cs="宋体"/>
                <w:sz w:val="24"/>
                <w:highlight w:val="none"/>
                <w:lang w:val="en-US" w:eastAsia="zh-CN"/>
              </w:rPr>
              <w:t>自愿提供</w:t>
            </w:r>
            <w:r>
              <w:rPr>
                <w:rFonts w:hint="eastAsia" w:cs="宋体"/>
                <w:sz w:val="24"/>
                <w:highlight w:val="none"/>
              </w:rPr>
              <w:t>演示</w:t>
            </w:r>
            <w:r>
              <w:rPr>
                <w:rFonts w:hint="eastAsia" w:cs="宋体"/>
                <w:sz w:val="24"/>
                <w:highlight w:val="none"/>
                <w:lang w:val="en-US" w:eastAsia="zh-CN"/>
              </w:rPr>
              <w:t>视频或材料</w:t>
            </w:r>
            <w:r>
              <w:rPr>
                <w:rFonts w:hint="eastAsia" w:cs="宋体"/>
                <w:sz w:val="24"/>
                <w:highlight w:val="none"/>
              </w:rPr>
              <w:t>，演示内容未完</w:t>
            </w:r>
            <w:r>
              <w:rPr>
                <w:rFonts w:hint="eastAsia" w:cs="宋体"/>
                <w:sz w:val="24"/>
                <w:highlight w:val="none"/>
                <w:lang w:val="en-US" w:eastAsia="zh-CN"/>
              </w:rPr>
              <w:t>全符合或不符合招标</w:t>
            </w:r>
            <w:r>
              <w:rPr>
                <w:rFonts w:hint="eastAsia" w:cs="宋体"/>
                <w:sz w:val="24"/>
                <w:highlight w:val="none"/>
              </w:rPr>
              <w:t>文件要求、演示不成功或未演示的不得分。）</w:t>
            </w:r>
          </w:p>
        </w:tc>
      </w:tr>
      <w:tr w14:paraId="1961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52" w:type="dxa"/>
            <w:vMerge w:val="continue"/>
            <w:vAlign w:val="center"/>
          </w:tcPr>
          <w:p w14:paraId="44D2D3ED">
            <w:pPr>
              <w:jc w:val="center"/>
              <w:rPr>
                <w:rFonts w:cs="宋体"/>
                <w:sz w:val="24"/>
                <w:highlight w:val="none"/>
              </w:rPr>
            </w:pPr>
          </w:p>
        </w:tc>
        <w:tc>
          <w:tcPr>
            <w:tcW w:w="1183" w:type="dxa"/>
            <w:gridSpan w:val="2"/>
            <w:vMerge w:val="continue"/>
            <w:vAlign w:val="center"/>
          </w:tcPr>
          <w:p w14:paraId="6718F81F">
            <w:pPr>
              <w:jc w:val="center"/>
              <w:rPr>
                <w:rFonts w:cs="宋体"/>
                <w:sz w:val="24"/>
                <w:highlight w:val="none"/>
              </w:rPr>
            </w:pPr>
          </w:p>
        </w:tc>
        <w:tc>
          <w:tcPr>
            <w:tcW w:w="1229" w:type="dxa"/>
            <w:vMerge w:val="continue"/>
            <w:vAlign w:val="center"/>
          </w:tcPr>
          <w:p w14:paraId="43F3B2F9">
            <w:pPr>
              <w:adjustRightInd w:val="0"/>
              <w:jc w:val="center"/>
              <w:rPr>
                <w:rFonts w:ascii="宋体" w:hAnsi="宋体"/>
                <w:bCs/>
                <w:sz w:val="24"/>
                <w:highlight w:val="none"/>
              </w:rPr>
            </w:pPr>
          </w:p>
        </w:tc>
        <w:tc>
          <w:tcPr>
            <w:tcW w:w="6016" w:type="dxa"/>
            <w:gridSpan w:val="4"/>
          </w:tcPr>
          <w:p w14:paraId="7725E201">
            <w:pPr>
              <w:jc w:val="left"/>
              <w:rPr>
                <w:rFonts w:cs="宋体"/>
                <w:sz w:val="24"/>
                <w:highlight w:val="none"/>
              </w:rPr>
            </w:pPr>
            <w:r>
              <w:rPr>
                <w:rFonts w:hint="eastAsia" w:cs="宋体"/>
                <w:sz w:val="24"/>
                <w:highlight w:val="none"/>
              </w:rPr>
              <w:t>一般参数评审评分</w:t>
            </w:r>
            <w:r>
              <w:rPr>
                <w:rFonts w:hint="eastAsia" w:cs="宋体"/>
                <w:sz w:val="24"/>
                <w:highlight w:val="none"/>
                <w:lang w:eastAsia="zh-CN"/>
              </w:rPr>
              <w:t>（</w:t>
            </w:r>
            <w:r>
              <w:rPr>
                <w:rFonts w:hint="eastAsia" w:cs="宋体"/>
                <w:sz w:val="24"/>
                <w:highlight w:val="none"/>
              </w:rPr>
              <w:t>满分</w:t>
            </w:r>
            <w:r>
              <w:rPr>
                <w:rFonts w:hint="eastAsia" w:cs="宋体"/>
                <w:sz w:val="24"/>
                <w:highlight w:val="none"/>
                <w:lang w:val="en-US" w:eastAsia="zh-CN"/>
              </w:rPr>
              <w:t>15</w:t>
            </w:r>
            <w:r>
              <w:rPr>
                <w:rFonts w:hint="eastAsia" w:cs="宋体"/>
                <w:sz w:val="24"/>
                <w:highlight w:val="none"/>
              </w:rPr>
              <w:t>分</w:t>
            </w:r>
            <w:r>
              <w:rPr>
                <w:rFonts w:hint="eastAsia" w:cs="宋体"/>
                <w:sz w:val="24"/>
                <w:highlight w:val="none"/>
                <w:lang w:eastAsia="zh-CN"/>
              </w:rPr>
              <w:t>）</w:t>
            </w:r>
          </w:p>
          <w:p w14:paraId="035C419E">
            <w:pPr>
              <w:jc w:val="left"/>
              <w:rPr>
                <w:rFonts w:hint="eastAsia" w:eastAsia="宋体" w:cs="宋体"/>
                <w:sz w:val="24"/>
                <w:highlight w:val="none"/>
                <w:lang w:eastAsia="zh-CN"/>
              </w:rPr>
            </w:pPr>
            <w:r>
              <w:rPr>
                <w:rFonts w:hint="eastAsia" w:cs="宋体"/>
                <w:sz w:val="24"/>
                <w:highlight w:val="none"/>
              </w:rPr>
              <w:t>评审因素</w:t>
            </w:r>
            <w:r>
              <w:rPr>
                <w:rFonts w:hint="eastAsia" w:cs="宋体"/>
                <w:sz w:val="24"/>
                <w:highlight w:val="none"/>
                <w:lang w:eastAsia="zh-CN"/>
              </w:rPr>
              <w:t>：</w:t>
            </w:r>
          </w:p>
          <w:p w14:paraId="054E0A9E">
            <w:pPr>
              <w:jc w:val="left"/>
              <w:rPr>
                <w:rFonts w:cs="宋体"/>
                <w:sz w:val="24"/>
                <w:highlight w:val="none"/>
              </w:rPr>
            </w:pPr>
            <w:r>
              <w:rPr>
                <w:rFonts w:hint="eastAsia" w:cs="宋体"/>
                <w:sz w:val="24"/>
                <w:highlight w:val="none"/>
              </w:rPr>
              <w:t>《招标文件》第五章“采购内容及要求”--一、采购清单及参数要求-技术参数中未标注“</w:t>
            </w:r>
            <w:r>
              <w:rPr>
                <w:rFonts w:hint="eastAsia" w:ascii="宋体" w:hAnsi="宋体" w:cs="宋体"/>
                <w:sz w:val="20"/>
                <w:szCs w:val="20"/>
                <w:highlight w:val="none"/>
              </w:rPr>
              <w:t>★</w:t>
            </w:r>
            <w:r>
              <w:rPr>
                <w:rFonts w:hint="eastAsia" w:cs="宋体"/>
                <w:sz w:val="24"/>
                <w:highlight w:val="none"/>
              </w:rPr>
              <w:t>”</w:t>
            </w:r>
            <w:r>
              <w:rPr>
                <w:rFonts w:hint="eastAsia" w:cs="宋体"/>
                <w:sz w:val="24"/>
                <w:highlight w:val="none"/>
                <w:lang w:val="en-US" w:eastAsia="zh-CN"/>
              </w:rPr>
              <w:t>或“▲”</w:t>
            </w:r>
            <w:r>
              <w:rPr>
                <w:rFonts w:hint="eastAsia" w:cs="宋体"/>
                <w:sz w:val="24"/>
                <w:highlight w:val="none"/>
              </w:rPr>
              <w:t>的为一般参数，若供应商未对一般技术指标内容作出响应或响应为负偏离的，每出现一条扣</w:t>
            </w:r>
            <w:r>
              <w:rPr>
                <w:rFonts w:hint="eastAsia" w:cs="宋体"/>
                <w:sz w:val="24"/>
                <w:highlight w:val="none"/>
                <w:lang w:val="en-US" w:eastAsia="zh-CN"/>
              </w:rPr>
              <w:t>1</w:t>
            </w:r>
            <w:r>
              <w:rPr>
                <w:rFonts w:hint="eastAsia" w:cs="宋体"/>
                <w:sz w:val="24"/>
                <w:highlight w:val="none"/>
              </w:rPr>
              <w:t>分；供应商须如实填写技术要求偏离表，若采购需求有证明材料要求的以采购需求要求为准。</w:t>
            </w:r>
          </w:p>
          <w:p w14:paraId="1DF9F610">
            <w:pPr>
              <w:jc w:val="left"/>
              <w:rPr>
                <w:rFonts w:cs="宋体"/>
                <w:sz w:val="24"/>
                <w:highlight w:val="none"/>
              </w:rPr>
            </w:pPr>
            <w:r>
              <w:rPr>
                <w:rFonts w:hint="eastAsia" w:cs="宋体"/>
                <w:sz w:val="24"/>
                <w:highlight w:val="none"/>
              </w:rPr>
              <w:t>注：</w:t>
            </w:r>
            <w:r>
              <w:rPr>
                <w:rFonts w:hint="eastAsia" w:ascii="宋体" w:hAnsi="宋体" w:cs="宋体"/>
                <w:sz w:val="24"/>
                <w:highlight w:val="none"/>
              </w:rPr>
              <w:t>以上分数扣到</w:t>
            </w:r>
            <w:r>
              <w:rPr>
                <w:rFonts w:hint="eastAsia" w:ascii="宋体" w:hAnsi="宋体" w:cs="宋体"/>
                <w:sz w:val="24"/>
                <w:highlight w:val="none"/>
                <w:lang w:val="en-US" w:eastAsia="zh-CN"/>
              </w:rPr>
              <w:t>1</w:t>
            </w:r>
            <w:r>
              <w:rPr>
                <w:rFonts w:hint="eastAsia" w:ascii="宋体" w:hAnsi="宋体" w:cs="宋体"/>
                <w:sz w:val="24"/>
                <w:highlight w:val="none"/>
              </w:rPr>
              <w:t>分为止。</w:t>
            </w:r>
          </w:p>
        </w:tc>
      </w:tr>
      <w:tr w14:paraId="220F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4F577372">
            <w:pPr>
              <w:jc w:val="center"/>
              <w:rPr>
                <w:rFonts w:cs="宋体"/>
                <w:sz w:val="24"/>
                <w:highlight w:val="none"/>
              </w:rPr>
            </w:pPr>
          </w:p>
        </w:tc>
        <w:tc>
          <w:tcPr>
            <w:tcW w:w="1183" w:type="dxa"/>
            <w:gridSpan w:val="2"/>
            <w:vMerge w:val="continue"/>
            <w:vAlign w:val="center"/>
          </w:tcPr>
          <w:p w14:paraId="68F4B74D">
            <w:pPr>
              <w:jc w:val="center"/>
              <w:rPr>
                <w:rFonts w:cs="宋体"/>
                <w:sz w:val="24"/>
                <w:highlight w:val="none"/>
              </w:rPr>
            </w:pPr>
          </w:p>
        </w:tc>
        <w:tc>
          <w:tcPr>
            <w:tcW w:w="1229" w:type="dxa"/>
            <w:vAlign w:val="center"/>
          </w:tcPr>
          <w:p w14:paraId="0F28EB7A">
            <w:pPr>
              <w:widowControl/>
              <w:jc w:val="center"/>
              <w:rPr>
                <w:rFonts w:ascii="宋体" w:hAnsi="宋体"/>
                <w:bCs/>
                <w:sz w:val="24"/>
                <w:highlight w:val="none"/>
              </w:rPr>
            </w:pPr>
            <w:r>
              <w:rPr>
                <w:rFonts w:hint="eastAsia" w:asciiTheme="minorEastAsia" w:hAnsiTheme="minorEastAsia" w:eastAsiaTheme="minorEastAsia" w:cstheme="minorEastAsia"/>
                <w:sz w:val="24"/>
                <w:highlight w:val="none"/>
              </w:rPr>
              <w:t>项目实施方案评审</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15</w:t>
            </w:r>
            <w:r>
              <w:rPr>
                <w:rFonts w:hint="eastAsia" w:asciiTheme="minorEastAsia" w:hAnsiTheme="minorEastAsia" w:eastAsiaTheme="minorEastAsia" w:cstheme="minorEastAsia"/>
                <w:sz w:val="24"/>
                <w:highlight w:val="none"/>
              </w:rPr>
              <w:t>分）</w:t>
            </w:r>
          </w:p>
        </w:tc>
        <w:tc>
          <w:tcPr>
            <w:tcW w:w="6016" w:type="dxa"/>
            <w:gridSpan w:val="4"/>
          </w:tcPr>
          <w:p w14:paraId="0EE70DCE">
            <w:pPr>
              <w:adjustRightInd w:val="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第一档</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所提交的项目实施方案中方案内容全面，其中明确了产品的运输、安装、调试、试运行和移交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得</w:t>
            </w:r>
            <w:r>
              <w:rPr>
                <w:rFonts w:hint="eastAsia" w:asciiTheme="minorEastAsia" w:hAnsiTheme="minorEastAsia" w:eastAsiaTheme="minorEastAsia" w:cstheme="minorEastAsia"/>
                <w:sz w:val="24"/>
                <w:highlight w:val="none"/>
                <w:lang w:val="en-US" w:eastAsia="zh-CN"/>
              </w:rPr>
              <w:t>15</w:t>
            </w:r>
            <w:r>
              <w:rPr>
                <w:rFonts w:hint="eastAsia" w:asciiTheme="minorEastAsia" w:hAnsiTheme="minorEastAsia" w:eastAsiaTheme="minorEastAsia" w:cstheme="minorEastAsia"/>
                <w:sz w:val="24"/>
                <w:highlight w:val="none"/>
              </w:rPr>
              <w:t>分；</w:t>
            </w:r>
          </w:p>
          <w:p w14:paraId="6C2DE9A3">
            <w:pPr>
              <w:adjustRightInd w:val="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第二档</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投标人所提交的项目实施方案中方案内容</w:t>
            </w:r>
            <w:r>
              <w:rPr>
                <w:rFonts w:hint="eastAsia" w:asciiTheme="minorEastAsia" w:hAnsiTheme="minorEastAsia" w:eastAsiaTheme="minorEastAsia" w:cstheme="minorEastAsia"/>
                <w:sz w:val="24"/>
                <w:highlight w:val="none"/>
                <w:lang w:val="en-US" w:eastAsia="zh-CN"/>
              </w:rPr>
              <w:t>基本</w:t>
            </w:r>
            <w:r>
              <w:rPr>
                <w:rFonts w:hint="eastAsia" w:asciiTheme="minorEastAsia" w:hAnsiTheme="minorEastAsia" w:eastAsiaTheme="minorEastAsia" w:cstheme="minorEastAsia"/>
                <w:sz w:val="24"/>
                <w:highlight w:val="none"/>
              </w:rPr>
              <w:t>全面，</w:t>
            </w:r>
            <w:r>
              <w:rPr>
                <w:rFonts w:hint="eastAsia" w:asciiTheme="minorEastAsia" w:hAnsiTheme="minorEastAsia" w:eastAsiaTheme="minorEastAsia" w:cstheme="minorEastAsia"/>
                <w:sz w:val="24"/>
                <w:highlight w:val="none"/>
                <w:lang w:val="en-US" w:eastAsia="zh-CN"/>
              </w:rPr>
              <w:t>基本</w:t>
            </w:r>
            <w:r>
              <w:rPr>
                <w:rFonts w:hint="eastAsia" w:asciiTheme="minorEastAsia" w:hAnsiTheme="minorEastAsia" w:eastAsiaTheme="minorEastAsia" w:cstheme="minorEastAsia"/>
                <w:sz w:val="24"/>
                <w:highlight w:val="none"/>
              </w:rPr>
              <w:t>明确了产品的运输、安装、调试、试运行和移交等各方面的工作计划安排，同时充分考虑了采购人客观条件和风险预计，目标</w:t>
            </w:r>
            <w:r>
              <w:rPr>
                <w:rFonts w:hint="eastAsia" w:asciiTheme="minorEastAsia" w:hAnsiTheme="minorEastAsia" w:eastAsiaTheme="minorEastAsia" w:cstheme="minorEastAsia"/>
                <w:sz w:val="24"/>
                <w:highlight w:val="none"/>
                <w:lang w:val="en-US" w:eastAsia="zh-CN"/>
              </w:rPr>
              <w:t>基本</w:t>
            </w:r>
            <w:r>
              <w:rPr>
                <w:rFonts w:hint="eastAsia" w:asciiTheme="minorEastAsia" w:hAnsiTheme="minorEastAsia" w:eastAsiaTheme="minorEastAsia" w:cstheme="minorEastAsia"/>
                <w:sz w:val="24"/>
                <w:highlight w:val="none"/>
              </w:rPr>
              <w:t>明确。项目组织机构设置对本项目组织人力资源的计划安排合理、可行。对项目实施的重点把握准确，组织形式、阶段划分、组织要点等安排</w:t>
            </w:r>
            <w:r>
              <w:rPr>
                <w:rFonts w:hint="eastAsia" w:asciiTheme="minorEastAsia" w:hAnsiTheme="minorEastAsia" w:eastAsiaTheme="minorEastAsia" w:cstheme="minorEastAsia"/>
                <w:sz w:val="24"/>
                <w:highlight w:val="none"/>
                <w:lang w:val="en-US" w:eastAsia="zh-CN"/>
              </w:rPr>
              <w:t>基本</w:t>
            </w:r>
            <w:r>
              <w:rPr>
                <w:rFonts w:hint="eastAsia" w:asciiTheme="minorEastAsia" w:hAnsiTheme="minorEastAsia" w:eastAsiaTheme="minorEastAsia" w:cstheme="minorEastAsia"/>
                <w:sz w:val="24"/>
                <w:highlight w:val="none"/>
              </w:rPr>
              <w:t>合理，能保证项目目标的实现的，得</w:t>
            </w:r>
            <w:r>
              <w:rPr>
                <w:rFonts w:hint="eastAsia" w:asciiTheme="minorEastAsia" w:hAnsiTheme="minorEastAsia" w:eastAsiaTheme="minorEastAsia" w:cstheme="minorEastAsia"/>
                <w:sz w:val="24"/>
                <w:highlight w:val="none"/>
                <w:lang w:val="en-US" w:eastAsia="zh-CN"/>
              </w:rPr>
              <w:t>12</w:t>
            </w:r>
            <w:r>
              <w:rPr>
                <w:rFonts w:hint="eastAsia" w:asciiTheme="minorEastAsia" w:hAnsiTheme="minorEastAsia" w:eastAsiaTheme="minorEastAsia" w:cstheme="minorEastAsia"/>
                <w:sz w:val="24"/>
                <w:highlight w:val="none"/>
              </w:rPr>
              <w:t>分；</w:t>
            </w:r>
          </w:p>
          <w:p w14:paraId="0316F5B6">
            <w:pPr>
              <w:adjustRightInd w:val="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w:t>
            </w:r>
            <w:r>
              <w:rPr>
                <w:rFonts w:hint="eastAsia" w:asciiTheme="minorEastAsia" w:hAnsiTheme="minorEastAsia" w:eastAsiaTheme="minorEastAsia" w:cstheme="minorEastAsia"/>
                <w:sz w:val="24"/>
                <w:highlight w:val="none"/>
                <w:lang w:val="en-US" w:eastAsia="zh-CN"/>
              </w:rPr>
              <w:t>三</w:t>
            </w:r>
            <w:r>
              <w:rPr>
                <w:rFonts w:hint="eastAsia" w:asciiTheme="minorEastAsia" w:hAnsiTheme="minorEastAsia" w:eastAsiaTheme="minorEastAsia" w:cstheme="minorEastAsia"/>
                <w:sz w:val="24"/>
                <w:highlight w:val="none"/>
              </w:rPr>
              <w:t>档</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所提交的项目实施方案中方案内容有工作计划安排，但工作计划安排不够全面，考虑了部分采购人客观条件和风险预计。项目实施机构设置对本项目组织人力资源的计划安排能力一般。项目实施组织形式、阶段划分、组织要点等安排基本合理，得</w:t>
            </w:r>
            <w:r>
              <w:rPr>
                <w:rFonts w:hint="eastAsia" w:asciiTheme="minorEastAsia" w:hAnsiTheme="minorEastAsia" w:eastAsiaTheme="minorEastAsia" w:cstheme="minorEastAsia"/>
                <w:sz w:val="24"/>
                <w:highlight w:val="none"/>
                <w:lang w:val="en-US" w:eastAsia="zh-CN"/>
              </w:rPr>
              <w:t>9</w:t>
            </w:r>
            <w:r>
              <w:rPr>
                <w:rFonts w:hint="eastAsia" w:asciiTheme="minorEastAsia" w:hAnsiTheme="minorEastAsia" w:eastAsiaTheme="minorEastAsia" w:cstheme="minorEastAsia"/>
                <w:sz w:val="24"/>
                <w:highlight w:val="none"/>
              </w:rPr>
              <w:t>分；</w:t>
            </w:r>
          </w:p>
          <w:p w14:paraId="22DD07EF">
            <w:pPr>
              <w:adjustRightInd w:val="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w:t>
            </w:r>
            <w:r>
              <w:rPr>
                <w:rFonts w:hint="eastAsia" w:asciiTheme="minorEastAsia" w:hAnsiTheme="minorEastAsia" w:eastAsiaTheme="minorEastAsia" w:cstheme="minorEastAsia"/>
                <w:sz w:val="24"/>
                <w:highlight w:val="none"/>
                <w:lang w:val="en-US" w:eastAsia="zh-CN"/>
              </w:rPr>
              <w:t>四</w:t>
            </w:r>
            <w:r>
              <w:rPr>
                <w:rFonts w:hint="eastAsia" w:asciiTheme="minorEastAsia" w:hAnsiTheme="minorEastAsia" w:eastAsiaTheme="minorEastAsia" w:cstheme="minorEastAsia"/>
                <w:sz w:val="24"/>
                <w:highlight w:val="none"/>
              </w:rPr>
              <w:t>档</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所提交的项目实施方案中内容不全面，未明确设备的运输、安装、调试、试运行和移交等各方面的工作计划安排，未考虑采购人客观条件和风险预计。项目实施机构设置对本项目组织人力资源的计划安排能力薄弱，项目实施组织形式、阶段划分、组织要点等安排不够合理，得</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分；</w:t>
            </w:r>
          </w:p>
          <w:p w14:paraId="148613E0">
            <w:pPr>
              <w:adjustRightInd w:val="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w:t>
            </w:r>
            <w:r>
              <w:rPr>
                <w:rFonts w:hint="eastAsia" w:asciiTheme="minorEastAsia" w:hAnsiTheme="minorEastAsia" w:eastAsiaTheme="minorEastAsia" w:cstheme="minorEastAsia"/>
                <w:sz w:val="24"/>
                <w:highlight w:val="none"/>
                <w:lang w:val="en-US" w:eastAsia="zh-CN"/>
              </w:rPr>
              <w:t>五</w:t>
            </w:r>
            <w:r>
              <w:rPr>
                <w:rFonts w:hint="eastAsia" w:asciiTheme="minorEastAsia" w:hAnsiTheme="minorEastAsia" w:eastAsiaTheme="minorEastAsia" w:cstheme="minorEastAsia"/>
                <w:sz w:val="24"/>
                <w:highlight w:val="none"/>
              </w:rPr>
              <w:t>档</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投标人所提交的项目实施方案中内容不全面，整体实施方案差，得</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分；</w:t>
            </w:r>
          </w:p>
          <w:p w14:paraId="76B53DC1">
            <w:pPr>
              <w:jc w:val="left"/>
              <w:rPr>
                <w:rFonts w:ascii="宋体" w:hAnsi="宋体"/>
                <w:sz w:val="24"/>
                <w:highlight w:val="none"/>
              </w:rPr>
            </w:pPr>
            <w:r>
              <w:rPr>
                <w:rFonts w:hint="eastAsia" w:asciiTheme="minorEastAsia" w:hAnsiTheme="minorEastAsia" w:eastAsiaTheme="minorEastAsia" w:cstheme="minorEastAsia"/>
                <w:sz w:val="24"/>
                <w:highlight w:val="none"/>
              </w:rPr>
              <w:t>第</w:t>
            </w:r>
            <w:r>
              <w:rPr>
                <w:rFonts w:hint="eastAsia" w:asciiTheme="minorEastAsia" w:hAnsiTheme="minorEastAsia" w:eastAsiaTheme="minorEastAsia" w:cstheme="minorEastAsia"/>
                <w:sz w:val="24"/>
                <w:highlight w:val="none"/>
                <w:lang w:val="en-US" w:eastAsia="zh-CN"/>
              </w:rPr>
              <w:t>六</w:t>
            </w:r>
            <w:r>
              <w:rPr>
                <w:rFonts w:hint="eastAsia" w:asciiTheme="minorEastAsia" w:hAnsiTheme="minorEastAsia" w:eastAsiaTheme="minorEastAsia" w:cstheme="minorEastAsia"/>
                <w:sz w:val="24"/>
                <w:highlight w:val="none"/>
              </w:rPr>
              <w:t>档：无项目实施方案，不得分。</w:t>
            </w:r>
          </w:p>
        </w:tc>
      </w:tr>
      <w:tr w14:paraId="4BBF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38D6C8FB">
            <w:pPr>
              <w:jc w:val="center"/>
              <w:rPr>
                <w:rFonts w:cs="宋体"/>
                <w:sz w:val="24"/>
                <w:highlight w:val="none"/>
              </w:rPr>
            </w:pPr>
          </w:p>
        </w:tc>
        <w:tc>
          <w:tcPr>
            <w:tcW w:w="1183" w:type="dxa"/>
            <w:gridSpan w:val="2"/>
            <w:vMerge w:val="continue"/>
            <w:vAlign w:val="center"/>
          </w:tcPr>
          <w:p w14:paraId="22E92731">
            <w:pPr>
              <w:jc w:val="center"/>
              <w:rPr>
                <w:rFonts w:cs="宋体"/>
                <w:sz w:val="24"/>
                <w:highlight w:val="none"/>
              </w:rPr>
            </w:pPr>
          </w:p>
        </w:tc>
        <w:tc>
          <w:tcPr>
            <w:tcW w:w="1229" w:type="dxa"/>
            <w:vAlign w:val="center"/>
          </w:tcPr>
          <w:p w14:paraId="65914CC1">
            <w:pPr>
              <w:jc w:val="center"/>
              <w:rPr>
                <w:rFonts w:ascii="宋体" w:hAnsi="宋体"/>
                <w:bCs/>
                <w:sz w:val="24"/>
                <w:highlight w:val="none"/>
              </w:rPr>
            </w:pPr>
            <w:r>
              <w:rPr>
                <w:rFonts w:hint="eastAsia" w:asciiTheme="minorEastAsia" w:hAnsiTheme="minorEastAsia" w:eastAsiaTheme="minorEastAsia" w:cstheme="minorEastAsia"/>
                <w:sz w:val="24"/>
                <w:highlight w:val="none"/>
              </w:rPr>
              <w:t>质量承诺及保障措施（</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分）</w:t>
            </w:r>
          </w:p>
        </w:tc>
        <w:tc>
          <w:tcPr>
            <w:tcW w:w="6016" w:type="dxa"/>
            <w:gridSpan w:val="4"/>
            <w:vAlign w:val="center"/>
          </w:tcPr>
          <w:p w14:paraId="57D7F498">
            <w:pPr>
              <w:adjustRightInd w:val="0"/>
              <w:snapToGrid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第一档：有完整的质量保证</w:t>
            </w:r>
            <w:r>
              <w:rPr>
                <w:rFonts w:hint="eastAsia" w:ascii="宋体" w:hAnsi="宋体"/>
                <w:color w:val="auto"/>
                <w:sz w:val="24"/>
                <w:szCs w:val="24"/>
                <w:highlight w:val="none"/>
                <w:lang w:val="en-US" w:eastAsia="zh-CN"/>
              </w:rPr>
              <w:t>承诺</w:t>
            </w:r>
            <w:r>
              <w:rPr>
                <w:rFonts w:hint="eastAsia" w:ascii="宋体" w:hAnsi="宋体"/>
                <w:color w:val="auto"/>
                <w:sz w:val="24"/>
                <w:szCs w:val="24"/>
                <w:highlight w:val="none"/>
              </w:rPr>
              <w:t>，内容详细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质量保证</w:t>
            </w:r>
            <w:r>
              <w:rPr>
                <w:rFonts w:hint="eastAsia" w:ascii="宋体" w:hAnsi="宋体"/>
                <w:color w:val="auto"/>
                <w:sz w:val="24"/>
                <w:szCs w:val="24"/>
                <w:highlight w:val="none"/>
              </w:rPr>
              <w:t>措施具体可行，针对性强，违约责任承诺具体详细，得</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分。</w:t>
            </w:r>
          </w:p>
          <w:p w14:paraId="7D1D0956">
            <w:pPr>
              <w:adjustRightInd w:val="0"/>
              <w:snapToGrid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rPr>
              <w:t>档：质量保证</w:t>
            </w:r>
            <w:r>
              <w:rPr>
                <w:rFonts w:hint="eastAsia" w:ascii="宋体" w:hAnsi="宋体"/>
                <w:color w:val="auto"/>
                <w:sz w:val="24"/>
                <w:szCs w:val="24"/>
                <w:highlight w:val="none"/>
                <w:lang w:val="en-US" w:eastAsia="zh-CN"/>
              </w:rPr>
              <w:t>承诺基本完整</w:t>
            </w:r>
            <w:r>
              <w:rPr>
                <w:rFonts w:hint="eastAsia" w:ascii="宋体" w:hAnsi="宋体"/>
                <w:color w:val="auto"/>
                <w:sz w:val="24"/>
                <w:szCs w:val="24"/>
                <w:highlight w:val="none"/>
              </w:rPr>
              <w:t>，内容</w:t>
            </w:r>
            <w:r>
              <w:rPr>
                <w:rFonts w:hint="eastAsia" w:ascii="宋体" w:hAnsi="宋体"/>
                <w:color w:val="auto"/>
                <w:sz w:val="24"/>
                <w:szCs w:val="24"/>
                <w:highlight w:val="none"/>
                <w:lang w:val="en-US" w:eastAsia="zh-CN"/>
              </w:rPr>
              <w:t>不够</w:t>
            </w:r>
            <w:r>
              <w:rPr>
                <w:rFonts w:hint="eastAsia" w:ascii="宋体" w:hAnsi="宋体"/>
                <w:color w:val="auto"/>
                <w:sz w:val="24"/>
                <w:szCs w:val="24"/>
                <w:highlight w:val="none"/>
              </w:rPr>
              <w:t>详细，</w:t>
            </w:r>
            <w:r>
              <w:rPr>
                <w:rFonts w:hint="eastAsia" w:ascii="宋体" w:hAnsi="宋体"/>
                <w:color w:val="auto"/>
                <w:sz w:val="24"/>
                <w:szCs w:val="24"/>
                <w:highlight w:val="none"/>
                <w:lang w:val="en-US" w:eastAsia="zh-CN"/>
              </w:rPr>
              <w:t>质保时限满足招标文件要求，质量保证</w:t>
            </w:r>
            <w:r>
              <w:rPr>
                <w:rFonts w:hint="eastAsia" w:ascii="宋体" w:hAnsi="宋体"/>
                <w:color w:val="auto"/>
                <w:sz w:val="24"/>
                <w:szCs w:val="24"/>
                <w:highlight w:val="none"/>
              </w:rPr>
              <w:t>措施</w:t>
            </w:r>
            <w:r>
              <w:rPr>
                <w:rFonts w:hint="eastAsia" w:ascii="宋体" w:hAnsi="宋体"/>
                <w:color w:val="auto"/>
                <w:sz w:val="24"/>
                <w:szCs w:val="24"/>
                <w:highlight w:val="none"/>
                <w:lang w:val="en-US" w:eastAsia="zh-CN"/>
              </w:rPr>
              <w:t>可行</w:t>
            </w:r>
            <w:r>
              <w:rPr>
                <w:rFonts w:hint="eastAsia" w:ascii="宋体" w:hAnsi="宋体"/>
                <w:color w:val="auto"/>
                <w:sz w:val="24"/>
                <w:szCs w:val="24"/>
                <w:highlight w:val="none"/>
              </w:rPr>
              <w:t>，有违约责任承诺，</w:t>
            </w:r>
            <w:r>
              <w:rPr>
                <w:rFonts w:hint="eastAsia" w:ascii="宋体" w:hAnsi="宋体"/>
                <w:color w:val="auto"/>
                <w:sz w:val="24"/>
                <w:szCs w:val="24"/>
                <w:highlight w:val="none"/>
                <w:lang w:val="en-US" w:eastAsia="zh-CN"/>
              </w:rPr>
              <w:t>但不够具体，</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p w14:paraId="60FC1AB3">
            <w:pPr>
              <w:adjustRightInd w:val="0"/>
              <w:snapToGrid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档：质量保证</w:t>
            </w:r>
            <w:r>
              <w:rPr>
                <w:rFonts w:hint="eastAsia" w:ascii="宋体" w:hAnsi="宋体"/>
                <w:color w:val="auto"/>
                <w:sz w:val="24"/>
                <w:szCs w:val="24"/>
                <w:highlight w:val="none"/>
                <w:lang w:val="en-US" w:eastAsia="zh-CN"/>
              </w:rPr>
              <w:t>承诺存在缺陷</w:t>
            </w:r>
            <w:r>
              <w:rPr>
                <w:rFonts w:hint="eastAsia" w:ascii="宋体" w:hAnsi="宋体"/>
                <w:color w:val="auto"/>
                <w:sz w:val="24"/>
                <w:szCs w:val="24"/>
                <w:highlight w:val="none"/>
              </w:rPr>
              <w:t>，内容</w:t>
            </w:r>
            <w:r>
              <w:rPr>
                <w:rFonts w:hint="eastAsia" w:ascii="宋体" w:hAnsi="宋体"/>
                <w:color w:val="auto"/>
                <w:sz w:val="24"/>
                <w:szCs w:val="24"/>
                <w:highlight w:val="none"/>
                <w:lang w:val="en-US" w:eastAsia="zh-CN"/>
              </w:rPr>
              <w:t>不够</w:t>
            </w:r>
            <w:r>
              <w:rPr>
                <w:rFonts w:hint="eastAsia" w:ascii="宋体" w:hAnsi="宋体"/>
                <w:color w:val="auto"/>
                <w:sz w:val="24"/>
                <w:szCs w:val="24"/>
                <w:highlight w:val="none"/>
              </w:rPr>
              <w:t>详细，</w:t>
            </w:r>
            <w:r>
              <w:rPr>
                <w:rFonts w:hint="eastAsia" w:ascii="宋体" w:hAnsi="宋体"/>
                <w:color w:val="auto"/>
                <w:sz w:val="24"/>
                <w:szCs w:val="24"/>
                <w:highlight w:val="none"/>
                <w:lang w:val="en-US" w:eastAsia="zh-CN"/>
              </w:rPr>
              <w:t>质保时限满足招标文件要求，质量保证</w:t>
            </w:r>
            <w:r>
              <w:rPr>
                <w:rFonts w:hint="eastAsia" w:ascii="宋体" w:hAnsi="宋体"/>
                <w:color w:val="auto"/>
                <w:sz w:val="24"/>
                <w:szCs w:val="24"/>
                <w:highlight w:val="none"/>
              </w:rPr>
              <w:t>措施</w:t>
            </w:r>
            <w:r>
              <w:rPr>
                <w:rFonts w:hint="eastAsia" w:ascii="宋体" w:hAnsi="宋体"/>
                <w:color w:val="auto"/>
                <w:sz w:val="24"/>
                <w:szCs w:val="24"/>
                <w:highlight w:val="none"/>
                <w:lang w:val="en-US" w:eastAsia="zh-CN"/>
              </w:rPr>
              <w:t>较差或无违约承诺，</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w:t>
            </w:r>
          </w:p>
          <w:p w14:paraId="161F3D6A">
            <w:pPr>
              <w:adjustRightInd w:val="0"/>
              <w:snapToGrid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四</w:t>
            </w:r>
            <w:r>
              <w:rPr>
                <w:rFonts w:hint="eastAsia" w:ascii="宋体" w:hAnsi="宋体"/>
                <w:color w:val="auto"/>
                <w:sz w:val="24"/>
                <w:szCs w:val="24"/>
                <w:highlight w:val="none"/>
              </w:rPr>
              <w:t>档：质量保证内容</w:t>
            </w:r>
            <w:r>
              <w:rPr>
                <w:rFonts w:hint="eastAsia" w:ascii="宋体" w:hAnsi="宋体"/>
                <w:color w:val="auto"/>
                <w:sz w:val="24"/>
                <w:szCs w:val="24"/>
                <w:highlight w:val="none"/>
                <w:lang w:val="en-US" w:eastAsia="zh-CN"/>
              </w:rPr>
              <w:t>不完整</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质保时限不满足招标文件要求，质量保证</w:t>
            </w:r>
            <w:r>
              <w:rPr>
                <w:rFonts w:hint="eastAsia" w:ascii="宋体" w:hAnsi="宋体"/>
                <w:color w:val="auto"/>
                <w:sz w:val="24"/>
                <w:szCs w:val="24"/>
                <w:highlight w:val="none"/>
              </w:rPr>
              <w:t>措施</w:t>
            </w:r>
            <w:r>
              <w:rPr>
                <w:rFonts w:hint="eastAsia" w:ascii="宋体" w:hAnsi="宋体"/>
                <w:color w:val="auto"/>
                <w:sz w:val="24"/>
                <w:szCs w:val="24"/>
                <w:highlight w:val="none"/>
                <w:lang w:val="en-US" w:eastAsia="zh-CN"/>
              </w:rPr>
              <w:t>可行性差</w:t>
            </w:r>
            <w:r>
              <w:rPr>
                <w:rFonts w:hint="eastAsia" w:ascii="宋体" w:hAnsi="宋体"/>
                <w:color w:val="auto"/>
                <w:sz w:val="24"/>
                <w:szCs w:val="24"/>
                <w:highlight w:val="none"/>
              </w:rPr>
              <w:t>，违约责任承诺</w:t>
            </w:r>
            <w:r>
              <w:rPr>
                <w:rFonts w:hint="eastAsia" w:ascii="宋体" w:hAnsi="宋体"/>
                <w:color w:val="auto"/>
                <w:sz w:val="24"/>
                <w:szCs w:val="24"/>
                <w:highlight w:val="none"/>
                <w:lang w:val="en-US" w:eastAsia="zh-CN"/>
              </w:rPr>
              <w:t>差或无违约承诺</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p>
          <w:p w14:paraId="0434BEC3">
            <w:pPr>
              <w:rPr>
                <w:rFonts w:ascii="宋体" w:hAnsi="宋体"/>
                <w:sz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五</w:t>
            </w:r>
            <w:r>
              <w:rPr>
                <w:rFonts w:hint="eastAsia" w:ascii="宋体" w:hAnsi="宋体"/>
                <w:color w:val="auto"/>
                <w:sz w:val="24"/>
                <w:szCs w:val="24"/>
                <w:highlight w:val="none"/>
              </w:rPr>
              <w:t>档：</w:t>
            </w:r>
            <w:r>
              <w:rPr>
                <w:rFonts w:hint="eastAsia" w:ascii="宋体" w:hAnsi="宋体"/>
                <w:color w:val="auto"/>
                <w:sz w:val="24"/>
                <w:szCs w:val="24"/>
                <w:highlight w:val="none"/>
                <w:lang w:val="en-US" w:eastAsia="zh-CN"/>
              </w:rPr>
              <w:t>无</w:t>
            </w:r>
            <w:r>
              <w:rPr>
                <w:rFonts w:hint="eastAsia" w:ascii="宋体" w:hAnsi="宋体" w:eastAsia="宋体" w:cs="Times New Roman"/>
                <w:bCs/>
                <w:color w:val="auto"/>
                <w:sz w:val="24"/>
                <w:highlight w:val="none"/>
              </w:rPr>
              <w:t>质量承诺</w:t>
            </w:r>
            <w:r>
              <w:rPr>
                <w:rFonts w:hint="eastAsia" w:ascii="宋体" w:hAnsi="宋体" w:cs="Times New Roman"/>
                <w:bCs/>
                <w:color w:val="auto"/>
                <w:sz w:val="24"/>
                <w:highlight w:val="none"/>
                <w:lang w:val="en-US" w:eastAsia="zh-CN"/>
              </w:rPr>
              <w:t>或</w:t>
            </w:r>
            <w:r>
              <w:rPr>
                <w:rFonts w:hint="eastAsia" w:ascii="宋体" w:hAnsi="宋体" w:eastAsia="宋体" w:cs="Times New Roman"/>
                <w:bCs/>
                <w:color w:val="auto"/>
                <w:sz w:val="24"/>
                <w:highlight w:val="none"/>
              </w:rPr>
              <w:t>保证措施</w:t>
            </w:r>
            <w:r>
              <w:rPr>
                <w:rFonts w:hint="eastAsia" w:ascii="宋体" w:hAnsi="宋体"/>
                <w:color w:val="auto"/>
                <w:sz w:val="24"/>
                <w:szCs w:val="24"/>
                <w:highlight w:val="none"/>
              </w:rPr>
              <w:t>，不得分。</w:t>
            </w:r>
          </w:p>
        </w:tc>
      </w:tr>
      <w:tr w14:paraId="1B06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164F3385">
            <w:pPr>
              <w:jc w:val="center"/>
              <w:rPr>
                <w:rFonts w:cs="宋体"/>
                <w:sz w:val="24"/>
                <w:highlight w:val="none"/>
              </w:rPr>
            </w:pPr>
          </w:p>
        </w:tc>
        <w:tc>
          <w:tcPr>
            <w:tcW w:w="1183" w:type="dxa"/>
            <w:gridSpan w:val="2"/>
            <w:vMerge w:val="continue"/>
            <w:vAlign w:val="center"/>
          </w:tcPr>
          <w:p w14:paraId="77782F28">
            <w:pPr>
              <w:jc w:val="center"/>
              <w:rPr>
                <w:rFonts w:cs="宋体"/>
                <w:sz w:val="24"/>
                <w:highlight w:val="none"/>
              </w:rPr>
            </w:pPr>
          </w:p>
        </w:tc>
        <w:tc>
          <w:tcPr>
            <w:tcW w:w="1229" w:type="dxa"/>
            <w:vAlign w:val="center"/>
          </w:tcPr>
          <w:p w14:paraId="58B61A6D">
            <w:pPr>
              <w:adjustRightInd w:val="0"/>
              <w:jc w:val="cente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售后服务及保障措施</w:t>
            </w:r>
          </w:p>
          <w:p w14:paraId="5D209C0A">
            <w:pPr>
              <w:jc w:val="center"/>
              <w:rPr>
                <w:rFonts w:ascii="宋体" w:hAnsi="宋体"/>
                <w:bCs/>
                <w:sz w:val="24"/>
                <w:highlight w:val="none"/>
              </w:rPr>
            </w:pPr>
            <w:r>
              <w:rPr>
                <w:rFonts w:hint="eastAsia" w:asciiTheme="minorEastAsia" w:hAnsiTheme="minorEastAsia" w:eastAsiaTheme="minorEastAsia" w:cstheme="minorEastAsia"/>
                <w:sz w:val="24"/>
                <w:highlight w:val="none"/>
              </w:rPr>
              <w:t>（7分）</w:t>
            </w:r>
          </w:p>
        </w:tc>
        <w:tc>
          <w:tcPr>
            <w:tcW w:w="6016" w:type="dxa"/>
            <w:gridSpan w:val="4"/>
            <w:vAlign w:val="center"/>
          </w:tcPr>
          <w:p w14:paraId="470F20AC">
            <w:pP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根据供应商针对本项目所做出的售后服务及保证措施承诺，包括但不限于：人员安排、维修承诺、响应时间、售后巡检、日常维护等具体服务内容满足采购需求，描述详细具体</w:t>
            </w:r>
            <w:r>
              <w:rPr>
                <w:rFonts w:hint="eastAsia" w:asciiTheme="minorEastAsia" w:hAnsiTheme="minorEastAsia" w:eastAsiaTheme="minorEastAsia" w:cstheme="minorEastAsia"/>
                <w:sz w:val="24"/>
                <w:highlight w:val="none"/>
                <w:lang w:eastAsia="zh-CN"/>
              </w:rPr>
              <w:t>，具</w:t>
            </w:r>
            <w:r>
              <w:rPr>
                <w:rFonts w:hint="eastAsia" w:asciiTheme="minorEastAsia" w:hAnsiTheme="minorEastAsia" w:eastAsiaTheme="minorEastAsia" w:cstheme="minorEastAsia"/>
                <w:sz w:val="24"/>
                <w:highlight w:val="none"/>
              </w:rPr>
              <w:t>有针对性、可行性。</w:t>
            </w:r>
          </w:p>
          <w:p w14:paraId="2A6535AF">
            <w:pP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第一档：售后服务承诺及保证措施合理完善，内容详细明确，响应时间、人员安排、维修巡检等方案达到或优于采购要求，具有较强针对性，方案优秀的，得7分；</w:t>
            </w:r>
          </w:p>
          <w:p w14:paraId="07C95431">
            <w:pP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第二档：售后服务承诺及保证措施较为合理完善、内容详细明确、响应时间、人员安排、维修巡检等方案达到采购要求，针对性较好，可行的，得5分；</w:t>
            </w:r>
          </w:p>
          <w:p w14:paraId="51AF9891">
            <w:pP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第三档：售后服务承诺及保证措施较为完善、内容存在缺陷，内容完整，响应时间、人员安排、维修巡检等方案符合满足采购要求但不完全满足，针对性一般，得3分；</w:t>
            </w:r>
          </w:p>
          <w:p w14:paraId="587CD86D">
            <w:pP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第四档：售后服务承诺及提供保证措施但不全面，响应时间、人员安排、维修巡检等方案存在缺失但不完全满足，得1分；</w:t>
            </w:r>
          </w:p>
          <w:p w14:paraId="4887C110">
            <w:pPr>
              <w:rPr>
                <w:rFonts w:ascii="宋体" w:hAnsi="宋体"/>
                <w:sz w:val="24"/>
                <w:highlight w:val="none"/>
              </w:rPr>
            </w:pPr>
            <w:r>
              <w:rPr>
                <w:rFonts w:hint="eastAsia" w:asciiTheme="minorEastAsia" w:hAnsiTheme="minorEastAsia" w:eastAsiaTheme="minorEastAsia" w:cstheme="minorEastAsia"/>
                <w:sz w:val="24"/>
                <w:highlight w:val="none"/>
              </w:rPr>
              <w:t>第五档：不提供售后服务承诺不得分。</w:t>
            </w:r>
          </w:p>
        </w:tc>
      </w:tr>
      <w:tr w14:paraId="52AC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5D962A6B">
            <w:pPr>
              <w:jc w:val="center"/>
              <w:rPr>
                <w:rFonts w:cs="宋体"/>
                <w:sz w:val="24"/>
                <w:highlight w:val="none"/>
              </w:rPr>
            </w:pPr>
          </w:p>
        </w:tc>
        <w:tc>
          <w:tcPr>
            <w:tcW w:w="1183" w:type="dxa"/>
            <w:gridSpan w:val="2"/>
            <w:vMerge w:val="continue"/>
            <w:vAlign w:val="center"/>
          </w:tcPr>
          <w:p w14:paraId="64E62622">
            <w:pPr>
              <w:jc w:val="center"/>
              <w:rPr>
                <w:rFonts w:cs="宋体"/>
                <w:sz w:val="24"/>
                <w:highlight w:val="none"/>
              </w:rPr>
            </w:pPr>
          </w:p>
        </w:tc>
        <w:tc>
          <w:tcPr>
            <w:tcW w:w="1229" w:type="dxa"/>
            <w:vAlign w:val="center"/>
          </w:tcPr>
          <w:p w14:paraId="6C51C954">
            <w:pPr>
              <w:jc w:val="center"/>
              <w:rPr>
                <w:rFonts w:asciiTheme="minorEastAsia" w:hAnsiTheme="minorEastAsia" w:eastAsiaTheme="minorEastAsia" w:cstheme="minorEastAsia"/>
                <w:color w:val="000000"/>
                <w:sz w:val="24"/>
                <w:szCs w:val="22"/>
                <w:highlight w:val="none"/>
              </w:rPr>
            </w:pPr>
            <w:r>
              <w:rPr>
                <w:rFonts w:hint="eastAsia" w:asciiTheme="minorEastAsia" w:hAnsiTheme="minorEastAsia" w:eastAsiaTheme="minorEastAsia" w:cstheme="minorEastAsia"/>
                <w:color w:val="000000"/>
                <w:sz w:val="24"/>
                <w:szCs w:val="22"/>
                <w:highlight w:val="none"/>
              </w:rPr>
              <w:t>技术培训服务方案评审（5分）</w:t>
            </w:r>
          </w:p>
        </w:tc>
        <w:tc>
          <w:tcPr>
            <w:tcW w:w="6016" w:type="dxa"/>
            <w:gridSpan w:val="4"/>
            <w:vAlign w:val="center"/>
          </w:tcPr>
          <w:p w14:paraId="18A599B3">
            <w:pP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第一档</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投标人有提供完善的培训服务方案，定期或不定期的提供针对设备的功能、操作及维护等方面的培训服务，直到采购人必要的使用人员能正常使用为止，符合采购人要求的，得5分；</w:t>
            </w:r>
          </w:p>
          <w:p w14:paraId="24061702">
            <w:pP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第二档</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投标人有提供培训服务方案，有定期或不定期的提供针对设备的功能、操作及维护等方面的培训服务，内容完整度一般，得3分；</w:t>
            </w:r>
          </w:p>
          <w:p w14:paraId="18AD7D4C">
            <w:pP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第三档</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投标人提供的培训服务方案提供针对一部分对设备的功能、操作及维护等方面的培训服务，内容缺乏完整度，得1分。</w:t>
            </w:r>
          </w:p>
        </w:tc>
      </w:tr>
      <w:tr w14:paraId="02C0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4138C0F4">
            <w:pPr>
              <w:jc w:val="center"/>
              <w:rPr>
                <w:rFonts w:cs="宋体"/>
                <w:sz w:val="24"/>
                <w:highlight w:val="none"/>
              </w:rPr>
            </w:pPr>
          </w:p>
        </w:tc>
        <w:tc>
          <w:tcPr>
            <w:tcW w:w="1183" w:type="dxa"/>
            <w:gridSpan w:val="2"/>
            <w:vMerge w:val="continue"/>
            <w:vAlign w:val="center"/>
          </w:tcPr>
          <w:p w14:paraId="394F2FE0">
            <w:pPr>
              <w:jc w:val="center"/>
              <w:rPr>
                <w:rFonts w:cs="宋体"/>
                <w:sz w:val="24"/>
                <w:highlight w:val="none"/>
              </w:rPr>
            </w:pPr>
          </w:p>
        </w:tc>
        <w:tc>
          <w:tcPr>
            <w:tcW w:w="1229" w:type="dxa"/>
            <w:vAlign w:val="center"/>
          </w:tcPr>
          <w:p w14:paraId="2DEC790C">
            <w:pPr>
              <w:jc w:val="center"/>
              <w:rPr>
                <w:rFonts w:asciiTheme="minorEastAsia" w:hAnsiTheme="minorEastAsia" w:eastAsiaTheme="minorEastAsia" w:cstheme="minorEastAsia"/>
                <w:color w:val="000000"/>
                <w:sz w:val="24"/>
                <w:szCs w:val="22"/>
                <w:highlight w:val="none"/>
              </w:rPr>
            </w:pPr>
            <w:r>
              <w:rPr>
                <w:rFonts w:hint="eastAsia" w:asciiTheme="minorEastAsia" w:hAnsiTheme="minorEastAsia" w:eastAsiaTheme="minorEastAsia" w:cstheme="minorEastAsia"/>
                <w:color w:val="000000"/>
                <w:sz w:val="24"/>
                <w:szCs w:val="22"/>
                <w:highlight w:val="none"/>
              </w:rPr>
              <w:t>业绩（</w:t>
            </w:r>
            <w:r>
              <w:rPr>
                <w:rFonts w:hint="eastAsia" w:asciiTheme="minorEastAsia" w:hAnsiTheme="minorEastAsia" w:eastAsiaTheme="minorEastAsia" w:cstheme="minorEastAsia"/>
                <w:color w:val="000000"/>
                <w:sz w:val="24"/>
                <w:szCs w:val="22"/>
                <w:highlight w:val="none"/>
                <w:lang w:val="en-US" w:eastAsia="zh-CN"/>
              </w:rPr>
              <w:t>4</w:t>
            </w:r>
            <w:r>
              <w:rPr>
                <w:rFonts w:hint="eastAsia" w:asciiTheme="minorEastAsia" w:hAnsiTheme="minorEastAsia" w:eastAsiaTheme="minorEastAsia" w:cstheme="minorEastAsia"/>
                <w:color w:val="000000"/>
                <w:sz w:val="24"/>
                <w:szCs w:val="22"/>
                <w:highlight w:val="none"/>
              </w:rPr>
              <w:t>分）</w:t>
            </w:r>
          </w:p>
        </w:tc>
        <w:tc>
          <w:tcPr>
            <w:tcW w:w="6016" w:type="dxa"/>
            <w:gridSpan w:val="4"/>
            <w:vAlign w:val="center"/>
          </w:tcPr>
          <w:p w14:paraId="63EC7E93">
            <w:pP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2023年1月至今承担过一项类似业绩的得1分（以提供的合同签订日期为2023年1月至今中标/成交通知书或合同或协议为准），无证明材料或证明材料不明确、不齐全、不一致、无法体现业绩内容的不得分，未按招标文件要求提供的该项得0分。</w:t>
            </w:r>
          </w:p>
        </w:tc>
      </w:tr>
      <w:tr w14:paraId="1173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52" w:type="dxa"/>
            <w:vMerge w:val="continue"/>
            <w:vAlign w:val="center"/>
          </w:tcPr>
          <w:p w14:paraId="36C1149F">
            <w:pPr>
              <w:jc w:val="center"/>
              <w:rPr>
                <w:rFonts w:cs="宋体"/>
                <w:sz w:val="24"/>
                <w:highlight w:val="none"/>
              </w:rPr>
            </w:pPr>
          </w:p>
        </w:tc>
        <w:tc>
          <w:tcPr>
            <w:tcW w:w="1183" w:type="dxa"/>
            <w:gridSpan w:val="2"/>
            <w:vMerge w:val="continue"/>
            <w:vAlign w:val="center"/>
          </w:tcPr>
          <w:p w14:paraId="59EF25AE">
            <w:pPr>
              <w:jc w:val="center"/>
              <w:rPr>
                <w:rFonts w:cs="宋体"/>
                <w:sz w:val="24"/>
                <w:highlight w:val="none"/>
              </w:rPr>
            </w:pPr>
          </w:p>
        </w:tc>
        <w:tc>
          <w:tcPr>
            <w:tcW w:w="1229" w:type="dxa"/>
            <w:vAlign w:val="center"/>
          </w:tcPr>
          <w:p w14:paraId="1F47B5A3">
            <w:pPr>
              <w:jc w:val="center"/>
              <w:rPr>
                <w:rFonts w:hint="eastAsia" w:asciiTheme="minorEastAsia" w:hAnsiTheme="minorEastAsia" w:eastAsiaTheme="minorEastAsia" w:cstheme="minorEastAsia"/>
                <w:color w:val="000000"/>
                <w:sz w:val="24"/>
                <w:szCs w:val="22"/>
                <w:highlight w:val="none"/>
              </w:rPr>
            </w:pPr>
            <w:r>
              <w:rPr>
                <w:rFonts w:hint="eastAsia" w:cs="宋体"/>
                <w:sz w:val="24"/>
                <w:highlight w:val="none"/>
              </w:rPr>
              <w:t>节能、环保产品评审评分（1分）</w:t>
            </w:r>
          </w:p>
        </w:tc>
        <w:tc>
          <w:tcPr>
            <w:tcW w:w="6016" w:type="dxa"/>
            <w:gridSpan w:val="4"/>
            <w:vAlign w:val="center"/>
          </w:tcPr>
          <w:p w14:paraId="232659DE">
            <w:pPr>
              <w:rPr>
                <w:rFonts w:hint="eastAsia" w:asciiTheme="minorEastAsia" w:hAnsiTheme="minorEastAsia" w:eastAsiaTheme="minorEastAsia" w:cstheme="minorEastAsia"/>
                <w:bCs/>
                <w:sz w:val="24"/>
                <w:highlight w:val="none"/>
              </w:rPr>
            </w:pPr>
            <w:r>
              <w:rPr>
                <w:rFonts w:hint="eastAsia" w:cs="宋体"/>
                <w:sz w:val="24"/>
                <w:highlight w:val="none"/>
              </w:rPr>
              <w:t>投标产品有一项及以上认定为节能产品的得0.5分。投标产品有一项及以上认定为环保产品的得0.5分。若货物为除强制节能产品</w:t>
            </w:r>
            <w:r>
              <w:rPr>
                <w:rFonts w:hint="eastAsia" w:cs="宋体"/>
                <w:sz w:val="24"/>
                <w:highlight w:val="none"/>
                <w:lang w:eastAsia="zh-CN"/>
              </w:rPr>
              <w:t>（</w:t>
            </w:r>
            <w:r>
              <w:rPr>
                <w:rFonts w:hint="eastAsia" w:cs="宋体"/>
                <w:sz w:val="24"/>
                <w:highlight w:val="none"/>
              </w:rPr>
              <w:t>强制节能产品详见招标公告或采购需求</w:t>
            </w:r>
            <w:r>
              <w:rPr>
                <w:rFonts w:hint="eastAsia" w:cs="宋体"/>
                <w:sz w:val="24"/>
                <w:highlight w:val="none"/>
                <w:lang w:eastAsia="zh-CN"/>
              </w:rPr>
              <w:t>）</w:t>
            </w:r>
            <w:r>
              <w:rPr>
                <w:rFonts w:hint="eastAsia" w:cs="宋体"/>
                <w:sz w:val="24"/>
                <w:highlight w:val="none"/>
              </w:rPr>
              <w:t>以外的经国家认定的节能产品或环境标志产品，提供符合招标文件要求的相关证明材料，未提供的不得分。</w:t>
            </w:r>
          </w:p>
        </w:tc>
      </w:tr>
      <w:bookmarkEnd w:id="225"/>
      <w:bookmarkEnd w:id="226"/>
      <w:bookmarkEnd w:id="227"/>
      <w:bookmarkEnd w:id="228"/>
    </w:tbl>
    <w:p w14:paraId="0309433D">
      <w:pPr>
        <w:rPr>
          <w:sz w:val="24"/>
          <w:highlight w:val="none"/>
        </w:rPr>
      </w:pPr>
    </w:p>
    <w:p w14:paraId="22C9C703">
      <w:pPr>
        <w:pStyle w:val="21"/>
        <w:tabs>
          <w:tab w:val="left" w:pos="2472"/>
        </w:tabs>
        <w:outlineLvl w:val="2"/>
        <w:rPr>
          <w:b/>
          <w:bCs/>
          <w:sz w:val="24"/>
          <w:szCs w:val="24"/>
          <w:highlight w:val="none"/>
        </w:rPr>
      </w:pPr>
      <w:r>
        <w:rPr>
          <w:rFonts w:hint="eastAsia"/>
          <w:b/>
          <w:bCs/>
          <w:sz w:val="24"/>
          <w:szCs w:val="24"/>
          <w:highlight w:val="none"/>
        </w:rPr>
        <w:t>1.评标方法：</w:t>
      </w:r>
    </w:p>
    <w:p w14:paraId="31E48340">
      <w:pPr>
        <w:pStyle w:val="24"/>
        <w:tabs>
          <w:tab w:val="left" w:pos="540"/>
        </w:tabs>
        <w:adjustRightInd w:val="0"/>
        <w:spacing w:line="360" w:lineRule="auto"/>
        <w:ind w:left="0" w:leftChars="0" w:firstLine="420"/>
        <w:rPr>
          <w:sz w:val="24"/>
          <w:highlight w:val="none"/>
        </w:rPr>
      </w:pPr>
      <w:r>
        <w:rPr>
          <w:rFonts w:hint="eastAsia" w:ascii="宋体"/>
          <w:b/>
          <w:bCs/>
          <w:sz w:val="24"/>
          <w:highlight w:val="none"/>
        </w:rPr>
        <w:t>本次评标采用综合评分法。</w:t>
      </w:r>
      <w:r>
        <w:rPr>
          <w:rFonts w:hint="eastAsia" w:ascii="宋体" w:hAnsi="宋体"/>
          <w:bCs/>
          <w:sz w:val="24"/>
          <w:highlight w:val="none"/>
        </w:rPr>
        <w:t>即评委会按照招标文件的要求对各供应商的投标文件进行评审，在最大限度地满足招标文件实质性要求前提下，按照</w:t>
      </w:r>
      <w:r>
        <w:rPr>
          <w:rFonts w:hint="eastAsia" w:ascii="宋体" w:hAnsi="宋体"/>
          <w:bCs/>
          <w:sz w:val="24"/>
          <w:szCs w:val="20"/>
          <w:highlight w:val="none"/>
        </w:rPr>
        <w:t>招标文件中规定的各项评分因素（包括：价格、技术</w:t>
      </w:r>
      <w:r>
        <w:rPr>
          <w:rFonts w:hint="eastAsia" w:ascii="宋体"/>
          <w:sz w:val="24"/>
          <w:highlight w:val="none"/>
        </w:rPr>
        <w:t>、服务及信誉、</w:t>
      </w:r>
      <w:r>
        <w:rPr>
          <w:rFonts w:hint="eastAsia" w:ascii="宋体" w:hAnsi="宋体"/>
          <w:bCs/>
          <w:sz w:val="24"/>
          <w:szCs w:val="20"/>
          <w:highlight w:val="none"/>
        </w:rPr>
        <w:t>对招标文件的响应程度，以及相应的比重等）进行综合评审后分别独立评分，然后将各项评分因素的得分相加得出总得分，以评标总得分最高的供应商作为中标候选人的评标方法</w:t>
      </w:r>
      <w:r>
        <w:rPr>
          <w:rFonts w:hint="eastAsia"/>
          <w:sz w:val="24"/>
          <w:highlight w:val="none"/>
        </w:rPr>
        <w:t>。</w:t>
      </w:r>
    </w:p>
    <w:p w14:paraId="268BFAD4">
      <w:pPr>
        <w:pStyle w:val="24"/>
        <w:tabs>
          <w:tab w:val="left" w:pos="540"/>
        </w:tabs>
        <w:adjustRightInd w:val="0"/>
        <w:spacing w:line="360" w:lineRule="auto"/>
        <w:ind w:left="0" w:leftChars="0" w:firstLine="420"/>
        <w:rPr>
          <w:sz w:val="24"/>
          <w:highlight w:val="none"/>
        </w:rPr>
      </w:pPr>
      <w:r>
        <w:rPr>
          <w:rFonts w:hint="eastAsia"/>
          <w:sz w:val="24"/>
          <w:highlight w:val="none"/>
        </w:rPr>
        <w:t>根据《中华人民共和国财政部令第87号—政府采购货物和服务招标投标管理办法》　　第四十四条 公开招标采购项目开标结束后，采购人或者采购代理机构应当依法对供应商的资格进行审查。合格供应商不足3家的，不得评标。</w:t>
      </w:r>
    </w:p>
    <w:p w14:paraId="632262EB">
      <w:pPr>
        <w:pStyle w:val="24"/>
        <w:tabs>
          <w:tab w:val="left" w:pos="540"/>
        </w:tabs>
        <w:adjustRightInd w:val="0"/>
        <w:spacing w:line="360" w:lineRule="auto"/>
        <w:ind w:left="0" w:leftChars="0" w:firstLine="420"/>
        <w:rPr>
          <w:rFonts w:ascii="宋体"/>
          <w:b/>
          <w:bCs/>
          <w:sz w:val="24"/>
          <w:highlight w:val="none"/>
        </w:rPr>
      </w:pPr>
      <w:r>
        <w:rPr>
          <w:rFonts w:hint="eastAsia" w:ascii="宋体"/>
          <w:sz w:val="24"/>
          <w:highlight w:val="none"/>
        </w:rPr>
        <w:t>评委会将按以下公式计算出各供应商的综合得分，按得分由高到低推荐中标候选人排序；得分相同的，按投标报价由低到高顺序排列；得分且投标报价相同的，按技术部分得分高低顺序排列。</w:t>
      </w:r>
    </w:p>
    <w:p w14:paraId="3939AB49">
      <w:pPr>
        <w:ind w:firstLine="480" w:firstLineChars="200"/>
        <w:rPr>
          <w:rFonts w:ascii="宋体"/>
          <w:sz w:val="24"/>
          <w:highlight w:val="none"/>
        </w:rPr>
      </w:pPr>
      <w:r>
        <w:rPr>
          <w:rFonts w:hint="eastAsia" w:ascii="宋体"/>
          <w:sz w:val="24"/>
          <w:highlight w:val="none"/>
        </w:rPr>
        <w:t>公式：</w:t>
      </w:r>
    </w:p>
    <w:p w14:paraId="746CE828">
      <w:pPr>
        <w:ind w:firstLine="480" w:firstLineChars="200"/>
        <w:rPr>
          <w:rFonts w:ascii="宋体"/>
          <w:sz w:val="24"/>
          <w:highlight w:val="none"/>
        </w:rPr>
      </w:pPr>
      <w:r>
        <w:rPr>
          <w:rFonts w:hint="eastAsia" w:ascii="宋体"/>
          <w:sz w:val="24"/>
          <w:highlight w:val="none"/>
        </w:rPr>
        <w:t>供应商的综合得分B= F1+F2</w:t>
      </w:r>
    </w:p>
    <w:p w14:paraId="1113422B">
      <w:pPr>
        <w:adjustRightInd w:val="0"/>
        <w:ind w:firstLine="480" w:firstLineChars="200"/>
        <w:rPr>
          <w:rFonts w:ascii="宋体"/>
          <w:sz w:val="24"/>
          <w:highlight w:val="none"/>
        </w:rPr>
      </w:pPr>
      <w:r>
        <w:rPr>
          <w:rFonts w:hint="eastAsia" w:ascii="宋体"/>
          <w:sz w:val="24"/>
          <w:highlight w:val="none"/>
        </w:rPr>
        <w:t>F1、F2分别为投标报价、技术部分的得分。</w:t>
      </w:r>
    </w:p>
    <w:p w14:paraId="251ADDCD">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其他说明</w:t>
      </w:r>
    </w:p>
    <w:p w14:paraId="6B2234AF">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（1）小型、微型企业、监狱企业</w:t>
      </w:r>
    </w:p>
    <w:p w14:paraId="6ACD1BEB">
      <w:pPr>
        <w:pStyle w:val="24"/>
        <w:tabs>
          <w:tab w:val="left" w:pos="540"/>
        </w:tabs>
        <w:adjustRightInd w:val="0"/>
        <w:spacing w:line="360" w:lineRule="auto"/>
        <w:ind w:left="0" w:leftChars="0" w:firstLine="42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评审小组根据供应商提供的《中小企业声明函》《残疾人福利性单位声明函》以及省级以上监狱管理局、戒毒管理局（含新疆生产建设兵团）出具的属于监狱企业的证明文件，认定其是否属于小型和微型企业。供应商对其承诺的企业规模真实性自行负责。</w:t>
      </w:r>
    </w:p>
    <w:p w14:paraId="048EE869">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（2）残疾人福利性单位价格扣除享受政府采购支持政策的残疾人福利性单位应当同时满足以下条件：</w:t>
      </w:r>
    </w:p>
    <w:p w14:paraId="2ABD4915">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（1）安置的残疾人占本单位在职职工人数的比例不低于 25%（含 25%），并且安置的残疾人人数不少于 10 人（含 10 人）；</w:t>
      </w:r>
    </w:p>
    <w:p w14:paraId="3F3FD9D1">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（2）依法与安置的每位残疾人签订了一年以上（含一年）的劳动合同或服务协议；</w:t>
      </w:r>
    </w:p>
    <w:p w14:paraId="034726B1">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（3）为安置的每位残疾人按月足额缴纳了基本养老保险、基本医疗保险、失业保险、工伤保险和生育保险等社会保险费；</w:t>
      </w:r>
    </w:p>
    <w:p w14:paraId="5A9D5247">
      <w:pPr>
        <w:pStyle w:val="24"/>
        <w:tabs>
          <w:tab w:val="left" w:pos="540"/>
        </w:tabs>
        <w:adjustRightInd w:val="0"/>
        <w:spacing w:line="360" w:lineRule="auto"/>
        <w:ind w:left="0" w:leftChars="0"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（4）通过银行等金融机构向安置的每位残疾人，按月支付了不低于单位所在区县适用的经省级人民政府批准的月最低工资标准的工资；</w:t>
      </w:r>
    </w:p>
    <w:p w14:paraId="42091FD2">
      <w:pPr>
        <w:pStyle w:val="24"/>
        <w:tabs>
          <w:tab w:val="left" w:pos="540"/>
        </w:tabs>
        <w:adjustRightInd w:val="0"/>
        <w:spacing w:line="360" w:lineRule="auto"/>
        <w:ind w:left="0" w:leftChars="0" w:firstLine="420"/>
        <w:rPr>
          <w:rFonts w:ascii="宋体"/>
          <w:sz w:val="24"/>
          <w:highlight w:val="none"/>
        </w:rPr>
      </w:pPr>
      <w:r>
        <w:rPr>
          <w:rFonts w:hint="eastAsia" w:asciiTheme="minorEastAsia" w:hAnsiTheme="minorEastAsia" w:eastAsiaTheme="minorEastAsia" w:cstheme="minorEastAsia"/>
          <w:sz w:val="24"/>
          <w:highlight w:val="none"/>
        </w:rPr>
        <w:t>提供本单位制造的货物、承担的项目或者服务（以下简称产品），或者提供其他残疾人福利性单位制造的货物（不包括使用非残疾人福利性单位注册商标的货物）。</w:t>
      </w:r>
    </w:p>
    <w:p w14:paraId="73169D12">
      <w:pPr>
        <w:adjustRightInd w:val="0"/>
        <w:rPr>
          <w:rFonts w:ascii="宋体"/>
          <w:b/>
          <w:sz w:val="24"/>
          <w:highlight w:val="none"/>
        </w:rPr>
      </w:pPr>
      <w:r>
        <w:rPr>
          <w:rFonts w:hint="eastAsia" w:ascii="宋体" w:hAnsi="宋体"/>
          <w:b/>
          <w:bCs/>
          <w:sz w:val="24"/>
          <w:szCs w:val="20"/>
          <w:highlight w:val="none"/>
        </w:rPr>
        <w:t>2.评分细则：</w:t>
      </w:r>
    </w:p>
    <w:p w14:paraId="4594ADF4">
      <w:pPr>
        <w:adjustRightInd w:val="0"/>
        <w:rPr>
          <w:rFonts w:ascii="宋体"/>
          <w:b/>
          <w:sz w:val="24"/>
          <w:highlight w:val="none"/>
        </w:rPr>
      </w:pPr>
      <w:r>
        <w:rPr>
          <w:rFonts w:hint="eastAsia" w:ascii="宋体"/>
          <w:b/>
          <w:sz w:val="24"/>
          <w:highlight w:val="none"/>
        </w:rPr>
        <w:t>1）F1投标报价得分</w:t>
      </w:r>
    </w:p>
    <w:p w14:paraId="73E25190">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a.满分为30分；</w:t>
      </w:r>
    </w:p>
    <w:p w14:paraId="4C5FFF0B">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b.价格得分按照如下方法进行计算：</w:t>
      </w:r>
    </w:p>
    <w:p w14:paraId="19C81B0C">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F1=[C/(B1, B2，…，Bn)]×30</w:t>
      </w:r>
    </w:p>
    <w:p w14:paraId="2CC24ADE">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注：C为评标基准价，即满足招标文件要求且投标价格最低的投标报价；B1，B2，…，Bn为第n个经审查合格满足招标文件要求的有效投标报价。</w:t>
      </w:r>
    </w:p>
    <w:p w14:paraId="34BEE045">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投标报价得分＝（评标基准价/投标报价）×30。（符合必备条件的供应商才能进入有效评分）</w:t>
      </w:r>
    </w:p>
    <w:p w14:paraId="19AE84B2">
      <w:pPr>
        <w:adjustRightInd w:val="0"/>
        <w:rPr>
          <w:rFonts w:ascii="宋体"/>
          <w:b/>
          <w:sz w:val="24"/>
          <w:highlight w:val="none"/>
        </w:rPr>
      </w:pPr>
      <w:r>
        <w:rPr>
          <w:rFonts w:hint="eastAsia" w:ascii="宋体"/>
          <w:b/>
          <w:sz w:val="24"/>
          <w:highlight w:val="none"/>
        </w:rPr>
        <w:t>2）F2技术部分得分</w:t>
      </w:r>
    </w:p>
    <w:p w14:paraId="57255B08">
      <w:pPr>
        <w:tabs>
          <w:tab w:val="left" w:pos="540"/>
        </w:tabs>
        <w:adjustRightInd w:val="0"/>
        <w:ind w:firstLine="480" w:firstLineChars="200"/>
        <w:rPr>
          <w:rFonts w:ascii="宋体"/>
          <w:b/>
          <w:sz w:val="24"/>
          <w:highlight w:val="none"/>
        </w:rPr>
      </w:pPr>
      <w:r>
        <w:rPr>
          <w:rFonts w:hint="eastAsia" w:ascii="宋体" w:hAnsi="宋体"/>
          <w:bCs/>
          <w:sz w:val="24"/>
          <w:highlight w:val="none"/>
        </w:rPr>
        <w:t>评委将综合考虑供应商的技术方案、主要货物技术响应</w:t>
      </w:r>
      <w:r>
        <w:rPr>
          <w:rFonts w:hint="eastAsia" w:ascii="宋体" w:hAnsi="宋体"/>
          <w:bCs/>
          <w:sz w:val="24"/>
          <w:szCs w:val="28"/>
          <w:highlight w:val="none"/>
        </w:rPr>
        <w:t>等因素综合打分</w:t>
      </w:r>
      <w:r>
        <w:rPr>
          <w:rFonts w:hint="eastAsia" w:ascii="宋体" w:hAnsi="宋体"/>
          <w:bCs/>
          <w:sz w:val="24"/>
          <w:highlight w:val="none"/>
        </w:rPr>
        <w:t>，评分因素见评标办法前附表。</w:t>
      </w:r>
    </w:p>
    <w:p w14:paraId="4F222EDA">
      <w:pPr>
        <w:tabs>
          <w:tab w:val="left" w:pos="540"/>
        </w:tabs>
        <w:adjustRightInd w:val="0"/>
        <w:rPr>
          <w:rFonts w:ascii="宋体" w:hAnsi="宋体"/>
          <w:b/>
          <w:bCs/>
          <w:sz w:val="24"/>
          <w:highlight w:val="none"/>
        </w:rPr>
      </w:pPr>
      <w:r>
        <w:rPr>
          <w:rFonts w:hint="eastAsia" w:ascii="宋体" w:hAnsi="宋体"/>
          <w:b/>
          <w:bCs/>
          <w:sz w:val="24"/>
          <w:highlight w:val="none"/>
        </w:rPr>
        <w:t>3）统分原则</w:t>
      </w:r>
    </w:p>
    <w:p w14:paraId="6D6C3F14">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a.评委应首先对各供应商投标文件进行评审，写出书面意见并按招标文件规定分值评分。</w:t>
      </w:r>
    </w:p>
    <w:p w14:paraId="6CBCD2F5">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b.除投标报价得分外，其余部分由各评委自主评分。</w:t>
      </w:r>
    </w:p>
    <w:p w14:paraId="22F5E20A">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c.统计分数原则：供应商各项评分因素得分为该项因素各评委评分的算术平均值（保留小数点后两位）。</w:t>
      </w:r>
    </w:p>
    <w:p w14:paraId="4DED55CD">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d.统分办法：各项评分因素得分的总和即为供应商最后得分。</w:t>
      </w:r>
    </w:p>
    <w:p w14:paraId="25016DD8">
      <w:pPr>
        <w:pStyle w:val="21"/>
        <w:tabs>
          <w:tab w:val="left" w:pos="2472"/>
        </w:tabs>
        <w:outlineLvl w:val="2"/>
        <w:rPr>
          <w:b/>
          <w:bCs/>
          <w:sz w:val="24"/>
          <w:highlight w:val="none"/>
        </w:rPr>
      </w:pPr>
      <w:r>
        <w:rPr>
          <w:rFonts w:hint="eastAsia"/>
          <w:b/>
          <w:bCs/>
          <w:sz w:val="24"/>
          <w:highlight w:val="none"/>
        </w:rPr>
        <w:t>2. 评审标准</w:t>
      </w:r>
    </w:p>
    <w:p w14:paraId="42DFBF2D">
      <w:pPr>
        <w:pStyle w:val="21"/>
        <w:tabs>
          <w:tab w:val="left" w:pos="2472"/>
        </w:tabs>
        <w:rPr>
          <w:b/>
          <w:bCs/>
          <w:sz w:val="24"/>
          <w:highlight w:val="none"/>
        </w:rPr>
      </w:pPr>
      <w:r>
        <w:rPr>
          <w:rFonts w:hint="eastAsia"/>
          <w:b/>
          <w:bCs/>
          <w:sz w:val="24"/>
          <w:highlight w:val="none"/>
        </w:rPr>
        <w:t>2.1初步评审标准</w:t>
      </w:r>
    </w:p>
    <w:p w14:paraId="1CB5F4AC">
      <w:pPr>
        <w:tabs>
          <w:tab w:val="left" w:pos="540"/>
        </w:tabs>
        <w:adjustRightInd w:val="0"/>
        <w:ind w:firstLine="480" w:firstLineChars="200"/>
        <w:jc w:val="left"/>
        <w:rPr>
          <w:rFonts w:ascii="宋体" w:hAnsi="宋体"/>
          <w:bCs/>
          <w:sz w:val="24"/>
          <w:highlight w:val="none"/>
        </w:rPr>
      </w:pPr>
      <w:r>
        <w:rPr>
          <w:rFonts w:hint="eastAsia" w:ascii="宋体" w:hAnsi="宋体"/>
          <w:bCs/>
          <w:sz w:val="24"/>
          <w:highlight w:val="none"/>
        </w:rPr>
        <w:t>2.1.1资格评审标准：见评标办法前附表。</w:t>
      </w:r>
    </w:p>
    <w:p w14:paraId="0B781D5D">
      <w:pPr>
        <w:tabs>
          <w:tab w:val="left" w:pos="540"/>
        </w:tabs>
        <w:adjustRightInd w:val="0"/>
        <w:ind w:firstLine="480" w:firstLineChars="200"/>
        <w:rPr>
          <w:rFonts w:ascii="宋体" w:hAnsi="宋体"/>
          <w:bCs/>
          <w:sz w:val="24"/>
          <w:highlight w:val="none"/>
        </w:rPr>
      </w:pPr>
      <w:r>
        <w:rPr>
          <w:rFonts w:hint="eastAsia" w:ascii="宋体" w:hAnsi="宋体"/>
          <w:bCs/>
          <w:sz w:val="24"/>
          <w:highlight w:val="none"/>
        </w:rPr>
        <w:t>2.1.2符合性评审标准：见评标办法前附表。</w:t>
      </w:r>
    </w:p>
    <w:p w14:paraId="1A0B3914">
      <w:pPr>
        <w:pStyle w:val="21"/>
        <w:tabs>
          <w:tab w:val="left" w:pos="2472"/>
        </w:tabs>
        <w:rPr>
          <w:b/>
          <w:bCs/>
          <w:kern w:val="0"/>
          <w:sz w:val="24"/>
          <w:highlight w:val="none"/>
        </w:rPr>
      </w:pPr>
      <w:r>
        <w:rPr>
          <w:rFonts w:hint="eastAsia"/>
          <w:b/>
          <w:bCs/>
          <w:kern w:val="0"/>
          <w:sz w:val="24"/>
          <w:highlight w:val="none"/>
        </w:rPr>
        <w:t>2.2 详细评审标准</w:t>
      </w:r>
    </w:p>
    <w:p w14:paraId="3B9961E6">
      <w:pPr>
        <w:jc w:val="left"/>
        <w:rPr>
          <w:rFonts w:ascii="宋体"/>
          <w:kern w:val="0"/>
          <w:sz w:val="24"/>
          <w:highlight w:val="none"/>
        </w:rPr>
      </w:pPr>
      <w:r>
        <w:rPr>
          <w:rFonts w:hint="eastAsia" w:ascii="宋体"/>
          <w:kern w:val="0"/>
          <w:sz w:val="24"/>
          <w:highlight w:val="none"/>
        </w:rPr>
        <w:t xml:space="preserve">    详细评审标准：见评标办法前附表。</w:t>
      </w:r>
    </w:p>
    <w:p w14:paraId="064D7FC9">
      <w:pPr>
        <w:pStyle w:val="21"/>
        <w:tabs>
          <w:tab w:val="left" w:pos="2472"/>
        </w:tabs>
        <w:outlineLvl w:val="2"/>
        <w:rPr>
          <w:b/>
          <w:bCs/>
          <w:kern w:val="0"/>
          <w:sz w:val="24"/>
          <w:highlight w:val="none"/>
        </w:rPr>
      </w:pPr>
      <w:r>
        <w:rPr>
          <w:rFonts w:hint="eastAsia"/>
          <w:b/>
          <w:bCs/>
          <w:kern w:val="0"/>
          <w:sz w:val="24"/>
          <w:highlight w:val="none"/>
        </w:rPr>
        <w:t>3.评标程序</w:t>
      </w:r>
    </w:p>
    <w:p w14:paraId="662C0394">
      <w:pPr>
        <w:pStyle w:val="21"/>
        <w:tabs>
          <w:tab w:val="left" w:pos="2472"/>
        </w:tabs>
        <w:rPr>
          <w:b/>
          <w:bCs/>
          <w:kern w:val="0"/>
          <w:sz w:val="24"/>
          <w:highlight w:val="none"/>
        </w:rPr>
      </w:pPr>
      <w:r>
        <w:rPr>
          <w:rFonts w:hint="eastAsia"/>
          <w:b/>
          <w:bCs/>
          <w:kern w:val="0"/>
          <w:sz w:val="24"/>
          <w:highlight w:val="none"/>
        </w:rPr>
        <w:t>3.1初步评审</w:t>
      </w:r>
    </w:p>
    <w:p w14:paraId="4192427F">
      <w:pPr>
        <w:ind w:firstLine="480"/>
        <w:jc w:val="left"/>
        <w:rPr>
          <w:rFonts w:ascii="宋体"/>
          <w:kern w:val="0"/>
          <w:sz w:val="24"/>
          <w:highlight w:val="none"/>
        </w:rPr>
      </w:pPr>
      <w:r>
        <w:rPr>
          <w:rFonts w:hint="eastAsia" w:ascii="宋体"/>
          <w:kern w:val="0"/>
          <w:sz w:val="24"/>
          <w:highlight w:val="none"/>
        </w:rPr>
        <w:t>3.1.1评标委员会依据本章第2.1.1项、第2.1.2项规定的标准对投标文件进行初步评审。有一项不符合评审标准的，作废标处理。</w:t>
      </w:r>
    </w:p>
    <w:p w14:paraId="230DD409">
      <w:pPr>
        <w:ind w:firstLine="480"/>
        <w:jc w:val="left"/>
        <w:rPr>
          <w:rFonts w:ascii="宋体"/>
          <w:kern w:val="0"/>
          <w:sz w:val="24"/>
          <w:highlight w:val="none"/>
        </w:rPr>
      </w:pPr>
      <w:r>
        <w:rPr>
          <w:rFonts w:hint="eastAsia" w:ascii="宋体"/>
          <w:kern w:val="0"/>
          <w:sz w:val="24"/>
          <w:highlight w:val="none"/>
        </w:rPr>
        <w:t>3.1.2供应商有以下情形之一的，其投标作废标处理：</w:t>
      </w:r>
    </w:p>
    <w:p w14:paraId="648C2533">
      <w:pPr>
        <w:ind w:firstLine="480"/>
        <w:jc w:val="left"/>
        <w:rPr>
          <w:rFonts w:ascii="宋体"/>
          <w:kern w:val="0"/>
          <w:sz w:val="24"/>
          <w:highlight w:val="none"/>
        </w:rPr>
      </w:pPr>
      <w:r>
        <w:rPr>
          <w:rFonts w:hint="eastAsia" w:ascii="宋体"/>
          <w:kern w:val="0"/>
          <w:sz w:val="24"/>
          <w:highlight w:val="none"/>
        </w:rPr>
        <w:t xml:space="preserve"> （1）串通投标或弄虚作假或有其他违法行为的；</w:t>
      </w:r>
    </w:p>
    <w:p w14:paraId="6F7BFDC0">
      <w:pPr>
        <w:ind w:firstLine="480"/>
        <w:jc w:val="left"/>
        <w:rPr>
          <w:rFonts w:ascii="宋体"/>
          <w:kern w:val="0"/>
          <w:sz w:val="24"/>
          <w:highlight w:val="none"/>
        </w:rPr>
      </w:pPr>
      <w:r>
        <w:rPr>
          <w:rFonts w:hint="eastAsia" w:ascii="宋体"/>
          <w:kern w:val="0"/>
          <w:sz w:val="24"/>
          <w:highlight w:val="none"/>
        </w:rPr>
        <w:t xml:space="preserve"> （2）不按评标委员会要求澄清、说明或补正的。</w:t>
      </w:r>
    </w:p>
    <w:p w14:paraId="02C2A1FE">
      <w:pPr>
        <w:pStyle w:val="21"/>
        <w:tabs>
          <w:tab w:val="left" w:pos="2472"/>
        </w:tabs>
        <w:rPr>
          <w:b/>
          <w:bCs/>
          <w:kern w:val="0"/>
          <w:sz w:val="24"/>
          <w:highlight w:val="none"/>
        </w:rPr>
      </w:pPr>
      <w:r>
        <w:rPr>
          <w:rFonts w:hint="eastAsia"/>
          <w:b/>
          <w:bCs/>
          <w:kern w:val="0"/>
          <w:sz w:val="24"/>
          <w:highlight w:val="none"/>
        </w:rPr>
        <w:t>3.2详细评审</w:t>
      </w:r>
    </w:p>
    <w:p w14:paraId="7FCD4ED5">
      <w:pPr>
        <w:jc w:val="left"/>
        <w:rPr>
          <w:rFonts w:ascii="宋体"/>
          <w:kern w:val="0"/>
          <w:sz w:val="24"/>
          <w:highlight w:val="none"/>
        </w:rPr>
      </w:pPr>
      <w:r>
        <w:rPr>
          <w:rFonts w:hint="eastAsia" w:ascii="宋体"/>
          <w:kern w:val="0"/>
          <w:sz w:val="24"/>
          <w:highlight w:val="none"/>
        </w:rPr>
        <w:t xml:space="preserve">    3.2.1评标委员会按本章第2.2款规定的评分因素进行综合评分。</w:t>
      </w:r>
    </w:p>
    <w:p w14:paraId="02563F1D">
      <w:pPr>
        <w:ind w:firstLine="480"/>
        <w:jc w:val="left"/>
        <w:rPr>
          <w:rFonts w:ascii="宋体"/>
          <w:kern w:val="0"/>
          <w:sz w:val="24"/>
          <w:highlight w:val="none"/>
        </w:rPr>
      </w:pPr>
      <w:r>
        <w:rPr>
          <w:rFonts w:hint="eastAsia" w:ascii="宋体"/>
          <w:kern w:val="0"/>
          <w:sz w:val="24"/>
          <w:highlight w:val="none"/>
        </w:rPr>
        <w:t>3.2.2评标委员会发现供应商的报价明显低于其他投标报价，使得其投标报价可能低于其成本的，应当要求该供应商作出书面说明并提供相应的证明材料。供应商不能合理说明或者不能提供相应证明材料的，由评标委员会认定该供应商以低于成本报价竞标，其投标作废标处理。</w:t>
      </w:r>
    </w:p>
    <w:p w14:paraId="41BFFE26">
      <w:pPr>
        <w:pStyle w:val="21"/>
        <w:tabs>
          <w:tab w:val="left" w:pos="2472"/>
        </w:tabs>
        <w:rPr>
          <w:b/>
          <w:bCs/>
          <w:kern w:val="0"/>
          <w:sz w:val="24"/>
          <w:highlight w:val="none"/>
        </w:rPr>
      </w:pPr>
      <w:r>
        <w:rPr>
          <w:rFonts w:hint="eastAsia"/>
          <w:b/>
          <w:bCs/>
          <w:kern w:val="0"/>
          <w:sz w:val="24"/>
          <w:highlight w:val="none"/>
        </w:rPr>
        <w:t>3.3投标文件的澄清和补正</w:t>
      </w:r>
    </w:p>
    <w:p w14:paraId="7D85BDA3">
      <w:pPr>
        <w:jc w:val="left"/>
        <w:rPr>
          <w:rFonts w:ascii="宋体"/>
          <w:kern w:val="0"/>
          <w:sz w:val="24"/>
          <w:highlight w:val="none"/>
        </w:rPr>
      </w:pPr>
      <w:r>
        <w:rPr>
          <w:rFonts w:hint="eastAsia" w:ascii="宋体"/>
          <w:kern w:val="0"/>
          <w:sz w:val="24"/>
          <w:highlight w:val="none"/>
        </w:rPr>
        <w:t xml:space="preserve">    3.3.1 对于投标文件中含义不明确、同类问题表述不一致或者有明显文字和计算错误的内容，评标委员会应当以书面形式要求供应商作出必要的澄清、说明或者补正。</w:t>
      </w:r>
    </w:p>
    <w:p w14:paraId="0EC91226">
      <w:pPr>
        <w:jc w:val="left"/>
        <w:rPr>
          <w:rFonts w:ascii="宋体"/>
          <w:kern w:val="0"/>
          <w:sz w:val="24"/>
          <w:highlight w:val="none"/>
        </w:rPr>
      </w:pPr>
      <w:r>
        <w:rPr>
          <w:rFonts w:hint="eastAsia" w:ascii="宋体"/>
          <w:kern w:val="0"/>
          <w:sz w:val="24"/>
          <w:highlight w:val="none"/>
        </w:rPr>
        <w:t xml:space="preserve">    3.3.2供应商的澄清、说明或者补正应当采用书面形式，并加盖公章，或者由法定代表人或其授权的代表签字。供应商的澄清、说明或者补正不得超出投标文件的范围或者改变投标文件的实质性内容。</w:t>
      </w:r>
    </w:p>
    <w:p w14:paraId="52CA0010">
      <w:pPr>
        <w:pStyle w:val="21"/>
        <w:tabs>
          <w:tab w:val="left" w:pos="2472"/>
        </w:tabs>
        <w:rPr>
          <w:b/>
          <w:bCs/>
          <w:kern w:val="0"/>
          <w:sz w:val="24"/>
          <w:highlight w:val="none"/>
        </w:rPr>
      </w:pPr>
      <w:r>
        <w:rPr>
          <w:rFonts w:hint="eastAsia"/>
          <w:b/>
          <w:bCs/>
          <w:kern w:val="0"/>
          <w:sz w:val="24"/>
          <w:highlight w:val="none"/>
        </w:rPr>
        <w:t>3.4评标结果</w:t>
      </w:r>
    </w:p>
    <w:p w14:paraId="2A7151DC">
      <w:pPr>
        <w:ind w:firstLine="480"/>
        <w:jc w:val="left"/>
        <w:rPr>
          <w:rFonts w:ascii="宋体"/>
          <w:kern w:val="0"/>
          <w:sz w:val="24"/>
          <w:highlight w:val="none"/>
        </w:rPr>
      </w:pPr>
      <w:r>
        <w:rPr>
          <w:rFonts w:hint="eastAsia" w:ascii="宋体"/>
          <w:kern w:val="0"/>
          <w:sz w:val="24"/>
          <w:highlight w:val="none"/>
        </w:rPr>
        <w:t>3.4.1评标委员会按得分由高到低顺序推荐中标候选人，并提出书面评标报告。</w:t>
      </w:r>
    </w:p>
    <w:p w14:paraId="585E3BEA">
      <w:pPr>
        <w:ind w:firstLine="480"/>
        <w:jc w:val="left"/>
        <w:rPr>
          <w:rFonts w:ascii="宋体" w:hAnsi="宋体" w:cs="宋体"/>
          <w:b/>
          <w:bCs/>
          <w:sz w:val="24"/>
          <w:highlight w:val="none"/>
        </w:rPr>
      </w:pPr>
      <w:r>
        <w:rPr>
          <w:rFonts w:hint="eastAsia" w:ascii="宋体"/>
          <w:kern w:val="0"/>
          <w:sz w:val="24"/>
          <w:highlight w:val="none"/>
        </w:rPr>
        <w:t>3.4.2采购人根据评标委员会提出的书面评标报告和推荐的中标候选人名单，确定中标人。</w:t>
      </w:r>
    </w:p>
    <w:sectPr>
      <w:headerReference r:id="rId14" w:type="first"/>
      <w:footerReference r:id="rId15" w:type="first"/>
      <w:pgSz w:w="11906" w:h="16838"/>
      <w:pgMar w:top="1361" w:right="1361" w:bottom="1361" w:left="1361" w:header="935" w:footer="935" w:gutter="0"/>
      <w:pgBorders>
        <w:top w:val="none" w:sz="0" w:space="0"/>
        <w:left w:val="none" w:sz="0" w:space="0"/>
        <w:bottom w:val="none" w:sz="0" w:space="0"/>
        <w:right w:val="none" w:sz="0" w:space="0"/>
      </w:pgBorders>
      <w:cols w:space="0" w:num="1"/>
      <w:titlePg/>
      <w:rtlGutter w:val="0"/>
      <w:docGrid w:type="lines" w:linePitch="31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ˎ̥">
    <w:altName w:val="等线"/>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D0A7F">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FD852">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9764A">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1CCBB">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391CCBB">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晟和项目管理（云南）有限公司                                                      电话：13887744954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75BD1">
    <w:pPr>
      <w:pStyle w:val="26"/>
      <w:ind w:left="4140" w:hanging="4140" w:hangingChars="23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30D77">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EF30D77">
                    <w:pPr>
                      <w:pStyle w:val="26"/>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晟和项目管理（云南）有限公司                                                       电话：13887744954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33FDD">
    <w:pPr>
      <w:pStyle w:val="26"/>
      <w:ind w:right="360"/>
      <w:rPr>
        <w:rFonts w:hAnsi="宋体" w:cs="宋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47A0B">
                          <w:pPr>
                            <w:pStyle w:val="2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1447A0B">
                    <w:pPr>
                      <w:pStyle w:val="26"/>
                    </w:pPr>
                    <w:r>
                      <w:fldChar w:fldCharType="begin"/>
                    </w:r>
                    <w:r>
                      <w:instrText xml:space="preserve"> PAGE  \* MERGEFORMAT </w:instrText>
                    </w:r>
                    <w:r>
                      <w:fldChar w:fldCharType="separate"/>
                    </w:r>
                    <w:r>
                      <w:t>35</w:t>
                    </w:r>
                    <w:r>
                      <w:fldChar w:fldCharType="end"/>
                    </w:r>
                  </w:p>
                </w:txbxContent>
              </v:textbox>
            </v:shape>
          </w:pict>
        </mc:Fallback>
      </mc:AlternateContent>
    </w:r>
    <w:r>
      <w:rPr>
        <w:rFonts w:hint="eastAsia" w:hAnsi="宋体" w:cs="宋体"/>
        <w:szCs w:val="18"/>
      </w:rPr>
      <w:t>晟和项目管理（云南）有限公司                                                     电话：13887744954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DF235">
    <w:pPr>
      <w:pStyle w:val="26"/>
      <w:ind w:left="4140" w:hanging="4140" w:hangingChars="230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F9132">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90F9132">
                    <w:pPr>
                      <w:pStyle w:val="26"/>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晟和项目管理（云南）有限公司                                                      电话：13887744954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D36BC">
    <w:pPr>
      <w:pStyle w:val="27"/>
      <w:pBdr>
        <w:bottom w:val="thickThinSmallGap" w:color="auto" w:sz="12" w:space="1"/>
      </w:pBdr>
      <w:jc w:val="left"/>
    </w:pPr>
    <w:r>
      <w:drawing>
        <wp:anchor distT="0" distB="0" distL="114300" distR="114300" simplePos="0" relativeHeight="251667456" behindDoc="1" locked="0" layoutInCell="1" allowOverlap="1">
          <wp:simplePos x="0" y="0"/>
          <wp:positionH relativeFrom="margin">
            <wp:align>left</wp:align>
          </wp:positionH>
          <wp:positionV relativeFrom="margin">
            <wp:align>bottom</wp:align>
          </wp:positionV>
          <wp:extent cx="813435" cy="1102995"/>
          <wp:effectExtent l="0" t="0" r="12065" b="1905"/>
          <wp:wrapNone/>
          <wp:docPr id="1" name="WordPictureWatermark35971" descr="郎忆寒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5971" descr="郎忆寒55"/>
                  <pic:cNvPicPr>
                    <a:picLocks noChangeAspect="1"/>
                  </pic:cNvPicPr>
                </pic:nvPicPr>
                <pic:blipFill>
                  <a:blip r:embed="rId1">
                    <a:lum bright="69998" contrast="-70001"/>
                  </a:blip>
                  <a:stretch>
                    <a:fillRect/>
                  </a:stretch>
                </pic:blipFill>
                <pic:spPr>
                  <a:xfrm>
                    <a:off x="0" y="0"/>
                    <a:ext cx="813435" cy="1102995"/>
                  </a:xfrm>
                  <a:prstGeom prst="rect">
                    <a:avLst/>
                  </a:prstGeom>
                  <a:noFill/>
                  <a:ln>
                    <a:noFill/>
                  </a:ln>
                </pic:spPr>
              </pic:pic>
            </a:graphicData>
          </a:graphic>
        </wp:anchor>
      </w:drawing>
    </w:r>
    <w:r>
      <w:rPr>
        <w:rFonts w:hint="eastAsia"/>
        <w:lang w:eastAsia="zh-CN"/>
      </w:rPr>
      <w:t>玉溪职业技术学院（云南省玉溪工业财贸学校）人工智能赋能医药康养专业群建设项目</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9AD97">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7DCFF">
    <w:pPr>
      <w:pStyle w:val="27"/>
      <w:pBdr>
        <w:bottom w:val="thickThinSmallGap" w:color="auto" w:sz="12" w:space="1"/>
      </w:pBdr>
      <w:jc w:val="left"/>
    </w:pPr>
    <w:r>
      <w:drawing>
        <wp:anchor distT="0" distB="0" distL="114300" distR="114300" simplePos="0" relativeHeight="251663360" behindDoc="1" locked="0" layoutInCell="1" allowOverlap="1">
          <wp:simplePos x="0" y="0"/>
          <wp:positionH relativeFrom="margin">
            <wp:align>left</wp:align>
          </wp:positionH>
          <wp:positionV relativeFrom="margin">
            <wp:align>bottom</wp:align>
          </wp:positionV>
          <wp:extent cx="813435" cy="1102995"/>
          <wp:effectExtent l="0" t="0" r="12065" b="1905"/>
          <wp:wrapNone/>
          <wp:docPr id="5" name="WordPictureWatermark35971" descr="郎忆寒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35971" descr="郎忆寒55"/>
                  <pic:cNvPicPr>
                    <a:picLocks noChangeAspect="1"/>
                  </pic:cNvPicPr>
                </pic:nvPicPr>
                <pic:blipFill>
                  <a:blip r:embed="rId1">
                    <a:lum bright="69998" contrast="-70001"/>
                  </a:blip>
                  <a:stretch>
                    <a:fillRect/>
                  </a:stretch>
                </pic:blipFill>
                <pic:spPr>
                  <a:xfrm>
                    <a:off x="0" y="0"/>
                    <a:ext cx="813435" cy="1102995"/>
                  </a:xfrm>
                  <a:prstGeom prst="rect">
                    <a:avLst/>
                  </a:prstGeom>
                  <a:noFill/>
                  <a:ln>
                    <a:noFill/>
                  </a:ln>
                </pic:spPr>
              </pic:pic>
            </a:graphicData>
          </a:graphic>
        </wp:anchor>
      </w:drawing>
    </w:r>
    <w:r>
      <w:rPr>
        <w:rFonts w:hint="eastAsia"/>
        <w:lang w:eastAsia="zh-CN"/>
      </w:rPr>
      <w:t>玉溪职业技术学院（云南省玉溪工业财贸学校）人工智能赋能医药康养专业群建设项目</w:t>
    </w:r>
    <w:r>
      <w:rPr>
        <w:rFonts w:hint="eastAsia"/>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9006E">
    <w:pPr>
      <w:pStyle w:val="27"/>
      <w:pBdr>
        <w:bottom w:val="thickThinSmallGap" w:color="auto" w:sz="12" w:space="1"/>
      </w:pBdr>
      <w:jc w:val="left"/>
    </w:pPr>
    <w:r>
      <w:drawing>
        <wp:anchor distT="0" distB="0" distL="114300" distR="114300" simplePos="0" relativeHeight="251664384" behindDoc="1" locked="0" layoutInCell="1" allowOverlap="1">
          <wp:simplePos x="0" y="0"/>
          <wp:positionH relativeFrom="margin">
            <wp:align>left</wp:align>
          </wp:positionH>
          <wp:positionV relativeFrom="margin">
            <wp:align>bottom</wp:align>
          </wp:positionV>
          <wp:extent cx="813435" cy="1102995"/>
          <wp:effectExtent l="0" t="0" r="12065" b="1905"/>
          <wp:wrapNone/>
          <wp:docPr id="6" name="WordPictureWatermark35971" descr="郎忆寒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5971" descr="郎忆寒55"/>
                  <pic:cNvPicPr>
                    <a:picLocks noChangeAspect="1"/>
                  </pic:cNvPicPr>
                </pic:nvPicPr>
                <pic:blipFill>
                  <a:blip r:embed="rId1">
                    <a:lum bright="69998" contrast="-70001"/>
                  </a:blip>
                  <a:stretch>
                    <a:fillRect/>
                  </a:stretch>
                </pic:blipFill>
                <pic:spPr>
                  <a:xfrm>
                    <a:off x="0" y="0"/>
                    <a:ext cx="813435" cy="1102995"/>
                  </a:xfrm>
                  <a:prstGeom prst="rect">
                    <a:avLst/>
                  </a:prstGeom>
                  <a:noFill/>
                  <a:ln>
                    <a:noFill/>
                  </a:ln>
                </pic:spPr>
              </pic:pic>
            </a:graphicData>
          </a:graphic>
        </wp:anchor>
      </w:drawing>
    </w:r>
    <w:r>
      <w:rPr>
        <w:rFonts w:hint="eastAsia"/>
        <w:lang w:eastAsia="zh-CN"/>
      </w:rPr>
      <w:t>玉溪职业技术学院（云南省玉溪工业财贸学校）人工智能赋能医药康养专业群建设项目</w:t>
    </w:r>
    <w:r>
      <w:rPr>
        <w:rFonts w:hint="eastAsia"/>
      </w:rPr>
      <w:t xml:space="preserve"> </w:t>
    </w:r>
    <w:r>
      <w:rPr>
        <w:rFonts w:hint="eastAsia"/>
        <w:lang w:val="en-US" w:eastAsia="zh-CN"/>
      </w:rPr>
      <w:t xml:space="preserve"> </w:t>
    </w:r>
    <w:r>
      <w:rPr>
        <w:rFonts w:hint="eastAsia"/>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5CCF1">
    <w:pPr>
      <w:pStyle w:val="27"/>
      <w:pBdr>
        <w:bottom w:val="thickThinSmallGap" w:color="auto" w:sz="12" w:space="1"/>
      </w:pBdr>
      <w:jc w:val="left"/>
    </w:pPr>
    <w:r>
      <w:drawing>
        <wp:anchor distT="0" distB="0" distL="114300" distR="114300" simplePos="0" relativeHeight="251665408" behindDoc="1" locked="0" layoutInCell="1" allowOverlap="1">
          <wp:simplePos x="0" y="0"/>
          <wp:positionH relativeFrom="margin">
            <wp:align>left</wp:align>
          </wp:positionH>
          <wp:positionV relativeFrom="margin">
            <wp:align>bottom</wp:align>
          </wp:positionV>
          <wp:extent cx="813435" cy="1102995"/>
          <wp:effectExtent l="0" t="0" r="12065" b="1905"/>
          <wp:wrapNone/>
          <wp:docPr id="2" name="WordPictureWatermark35971" descr="郎忆寒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5971" descr="郎忆寒55"/>
                  <pic:cNvPicPr>
                    <a:picLocks noChangeAspect="1"/>
                  </pic:cNvPicPr>
                </pic:nvPicPr>
                <pic:blipFill>
                  <a:blip r:embed="rId1">
                    <a:lum bright="69998" contrast="-70001"/>
                  </a:blip>
                  <a:stretch>
                    <a:fillRect/>
                  </a:stretch>
                </pic:blipFill>
                <pic:spPr>
                  <a:xfrm>
                    <a:off x="0" y="0"/>
                    <a:ext cx="813435" cy="1102995"/>
                  </a:xfrm>
                  <a:prstGeom prst="rect">
                    <a:avLst/>
                  </a:prstGeom>
                  <a:noFill/>
                  <a:ln>
                    <a:noFill/>
                  </a:ln>
                </pic:spPr>
              </pic:pic>
            </a:graphicData>
          </a:graphic>
        </wp:anchor>
      </w:drawing>
    </w:r>
    <w:r>
      <w:rPr>
        <w:rFonts w:hint="eastAsia"/>
        <w:lang w:eastAsia="zh-CN"/>
      </w:rPr>
      <w:t>玉溪职业技术学院（云南省玉溪工业财贸学校）人工智能赋能医药康养专业群建设项目</w:t>
    </w:r>
    <w:r>
      <w:rPr>
        <w:rFonts w:hint="eastAsia"/>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C2EEA"/>
    <w:multiLevelType w:val="singleLevel"/>
    <w:tmpl w:val="ACEC2EEA"/>
    <w:lvl w:ilvl="0" w:tentative="0">
      <w:start w:val="1"/>
      <w:numFmt w:val="decimal"/>
      <w:lvlText w:val="%1."/>
      <w:lvlJc w:val="left"/>
      <w:pPr>
        <w:tabs>
          <w:tab w:val="left" w:pos="312"/>
        </w:tabs>
      </w:pPr>
    </w:lvl>
  </w:abstractNum>
  <w:abstractNum w:abstractNumId="1">
    <w:nsid w:val="B7123DD2"/>
    <w:multiLevelType w:val="singleLevel"/>
    <w:tmpl w:val="B7123DD2"/>
    <w:lvl w:ilvl="0" w:tentative="0">
      <w:start w:val="1"/>
      <w:numFmt w:val="decimal"/>
      <w:suff w:val="nothing"/>
      <w:lvlText w:val="%1、"/>
      <w:lvlJc w:val="left"/>
    </w:lvl>
  </w:abstractNum>
  <w:abstractNum w:abstractNumId="2">
    <w:nsid w:val="BDABE6AE"/>
    <w:multiLevelType w:val="singleLevel"/>
    <w:tmpl w:val="BDABE6AE"/>
    <w:lvl w:ilvl="0" w:tentative="0">
      <w:start w:val="1"/>
      <w:numFmt w:val="decimal"/>
      <w:suff w:val="nothing"/>
      <w:lvlText w:val="%1、"/>
      <w:lvlJc w:val="left"/>
    </w:lvl>
  </w:abstractNum>
  <w:abstractNum w:abstractNumId="3">
    <w:nsid w:val="C9F38B71"/>
    <w:multiLevelType w:val="singleLevel"/>
    <w:tmpl w:val="C9F38B71"/>
    <w:lvl w:ilvl="0" w:tentative="0">
      <w:start w:val="1"/>
      <w:numFmt w:val="decimal"/>
      <w:suff w:val="nothing"/>
      <w:lvlText w:val="%1、"/>
      <w:lvlJc w:val="left"/>
    </w:lvl>
  </w:abstractNum>
  <w:abstractNum w:abstractNumId="4">
    <w:nsid w:val="DF545BF7"/>
    <w:multiLevelType w:val="singleLevel"/>
    <w:tmpl w:val="DF545BF7"/>
    <w:lvl w:ilvl="0" w:tentative="0">
      <w:start w:val="1"/>
      <w:numFmt w:val="decimal"/>
      <w:lvlText w:val="%1."/>
      <w:lvlJc w:val="left"/>
      <w:pPr>
        <w:tabs>
          <w:tab w:val="left" w:pos="312"/>
        </w:tabs>
      </w:pPr>
    </w:lvl>
  </w:abstractNum>
  <w:abstractNum w:abstractNumId="5">
    <w:nsid w:val="0000000C"/>
    <w:multiLevelType w:val="multilevel"/>
    <w:tmpl w:val="0000000C"/>
    <w:lvl w:ilvl="0" w:tentative="0">
      <w:start w:val="1"/>
      <w:numFmt w:val="decimal"/>
      <w:pStyle w:val="83"/>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2"/>
    <w:multiLevelType w:val="multilevel"/>
    <w:tmpl w:val="00000012"/>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2177"/>
        </w:tabs>
        <w:ind w:left="2177" w:hanging="737"/>
      </w:pPr>
      <w:rPr>
        <w:rFonts w:hint="default" w:ascii="Times New Roman" w:hAnsi="Times New Roman"/>
        <w:b/>
        <w:i w:val="0"/>
        <w:sz w:val="24"/>
      </w:rPr>
    </w:lvl>
    <w:lvl w:ilvl="3" w:tentative="0">
      <w:start w:val="1"/>
      <w:numFmt w:val="decimal"/>
      <w:pStyle w:val="6"/>
      <w:lvlText w:val="%1.%2.%3.%4"/>
      <w:lvlJc w:val="left"/>
      <w:pPr>
        <w:tabs>
          <w:tab w:val="left" w:pos="2518"/>
        </w:tabs>
        <w:ind w:left="2927"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7">
    <w:nsid w:val="00000015"/>
    <w:multiLevelType w:val="multilevel"/>
    <w:tmpl w:val="00000015"/>
    <w:lvl w:ilvl="0" w:tentative="0">
      <w:start w:val="1"/>
      <w:numFmt w:val="decimal"/>
      <w:pStyle w:val="112"/>
      <w:lvlText w:val="%1."/>
      <w:lvlJc w:val="left"/>
      <w:pPr>
        <w:tabs>
          <w:tab w:val="left" w:pos="835"/>
        </w:tabs>
        <w:ind w:left="835" w:hanging="425"/>
      </w:pPr>
      <w:rPr>
        <w:rFonts w:hint="eastAsia"/>
      </w:rPr>
    </w:lvl>
    <w:lvl w:ilvl="1" w:tentative="0">
      <w:start w:val="1"/>
      <w:numFmt w:val="decimal"/>
      <w:isLgl/>
      <w:lvlText w:val="%1.%2."/>
      <w:lvlJc w:val="left"/>
      <w:pPr>
        <w:tabs>
          <w:tab w:val="left" w:pos="977"/>
        </w:tabs>
        <w:ind w:left="977" w:hanging="567"/>
      </w:pPr>
      <w:rPr>
        <w:rFonts w:hint="eastAsia"/>
      </w:rPr>
    </w:lvl>
    <w:lvl w:ilvl="2" w:tentative="0">
      <w:start w:val="1"/>
      <w:numFmt w:val="decimal"/>
      <w:lvlText w:val="%1.%2.%3."/>
      <w:lvlJc w:val="left"/>
      <w:pPr>
        <w:tabs>
          <w:tab w:val="left" w:pos="1119"/>
        </w:tabs>
        <w:ind w:left="1119" w:hanging="709"/>
      </w:pPr>
      <w:rPr>
        <w:rFonts w:hint="eastAsia"/>
      </w:rPr>
    </w:lvl>
    <w:lvl w:ilvl="3" w:tentative="0">
      <w:start w:val="1"/>
      <w:numFmt w:val="decimal"/>
      <w:lvlText w:val="%1.%2.%3.%4."/>
      <w:lvlJc w:val="left"/>
      <w:pPr>
        <w:tabs>
          <w:tab w:val="left" w:pos="1261"/>
        </w:tabs>
        <w:ind w:left="1261" w:hanging="851"/>
      </w:pPr>
      <w:rPr>
        <w:rFonts w:hint="eastAsia"/>
      </w:rPr>
    </w:lvl>
    <w:lvl w:ilvl="4" w:tentative="0">
      <w:start w:val="1"/>
      <w:numFmt w:val="decimal"/>
      <w:lvlText w:val="%1.%2.%3.%4.%5."/>
      <w:lvlJc w:val="left"/>
      <w:pPr>
        <w:tabs>
          <w:tab w:val="left" w:pos="1402"/>
        </w:tabs>
        <w:ind w:left="1402" w:hanging="992"/>
      </w:pPr>
      <w:rPr>
        <w:rFonts w:hint="eastAsia"/>
      </w:rPr>
    </w:lvl>
    <w:lvl w:ilvl="5" w:tentative="0">
      <w:start w:val="1"/>
      <w:numFmt w:val="decimal"/>
      <w:lvlText w:val="%1.%2.%3.%4.%5.%6."/>
      <w:lvlJc w:val="left"/>
      <w:pPr>
        <w:tabs>
          <w:tab w:val="left" w:pos="1544"/>
        </w:tabs>
        <w:ind w:left="1544" w:hanging="1134"/>
      </w:pPr>
      <w:rPr>
        <w:rFonts w:hint="eastAsia"/>
      </w:rPr>
    </w:lvl>
    <w:lvl w:ilvl="6" w:tentative="0">
      <w:start w:val="1"/>
      <w:numFmt w:val="decimal"/>
      <w:lvlText w:val="%1.%2.%3.%4.%5.%6.%7."/>
      <w:lvlJc w:val="left"/>
      <w:pPr>
        <w:tabs>
          <w:tab w:val="left" w:pos="1686"/>
        </w:tabs>
        <w:ind w:left="1686" w:hanging="1276"/>
      </w:pPr>
      <w:rPr>
        <w:rFonts w:hint="eastAsia"/>
      </w:rPr>
    </w:lvl>
    <w:lvl w:ilvl="7" w:tentative="0">
      <w:start w:val="1"/>
      <w:numFmt w:val="decimal"/>
      <w:lvlText w:val="%1.%2.%3.%4.%5.%6.%7.%8."/>
      <w:lvlJc w:val="left"/>
      <w:pPr>
        <w:tabs>
          <w:tab w:val="left" w:pos="1828"/>
        </w:tabs>
        <w:ind w:left="1828" w:hanging="1418"/>
      </w:pPr>
      <w:rPr>
        <w:rFonts w:hint="eastAsia"/>
      </w:rPr>
    </w:lvl>
    <w:lvl w:ilvl="8" w:tentative="0">
      <w:start w:val="1"/>
      <w:numFmt w:val="decimal"/>
      <w:lvlText w:val="%1.%2.%3.%4.%5.%6.%7.%8.%9."/>
      <w:lvlJc w:val="left"/>
      <w:pPr>
        <w:tabs>
          <w:tab w:val="left" w:pos="1969"/>
        </w:tabs>
        <w:ind w:left="1969" w:hanging="1559"/>
      </w:pPr>
      <w:rPr>
        <w:rFonts w:hint="eastAsia"/>
      </w:rPr>
    </w:lvl>
  </w:abstractNum>
  <w:abstractNum w:abstractNumId="8">
    <w:nsid w:val="2E4820E5"/>
    <w:multiLevelType w:val="singleLevel"/>
    <w:tmpl w:val="2E4820E5"/>
    <w:lvl w:ilvl="0" w:tentative="0">
      <w:start w:val="1"/>
      <w:numFmt w:val="decimal"/>
      <w:suff w:val="nothing"/>
      <w:lvlText w:val="%1、"/>
      <w:lvlJc w:val="left"/>
    </w:lvl>
  </w:abstractNum>
  <w:abstractNum w:abstractNumId="9">
    <w:nsid w:val="54AB4F34"/>
    <w:multiLevelType w:val="singleLevel"/>
    <w:tmpl w:val="54AB4F34"/>
    <w:lvl w:ilvl="0" w:tentative="0">
      <w:start w:val="3"/>
      <w:numFmt w:val="chineseCounting"/>
      <w:suff w:val="nothing"/>
      <w:lvlText w:val="%1、"/>
      <w:lvlJc w:val="left"/>
      <w:rPr>
        <w:rFonts w:hint="eastAsia"/>
      </w:rPr>
    </w:lvl>
  </w:abstractNum>
  <w:abstractNum w:abstractNumId="10">
    <w:nsid w:val="5D6D2378"/>
    <w:multiLevelType w:val="singleLevel"/>
    <w:tmpl w:val="5D6D2378"/>
    <w:lvl w:ilvl="0" w:tentative="0">
      <w:start w:val="2"/>
      <w:numFmt w:val="decimal"/>
      <w:lvlText w:val="%1."/>
      <w:lvlJc w:val="left"/>
      <w:pPr>
        <w:tabs>
          <w:tab w:val="left" w:pos="312"/>
        </w:tabs>
      </w:pPr>
    </w:lvl>
  </w:abstractNum>
  <w:abstractNum w:abstractNumId="11">
    <w:nsid w:val="772E6F0B"/>
    <w:multiLevelType w:val="singleLevel"/>
    <w:tmpl w:val="772E6F0B"/>
    <w:lvl w:ilvl="0" w:tentative="0">
      <w:start w:val="1"/>
      <w:numFmt w:val="decimal"/>
      <w:lvlText w:val="%1."/>
      <w:lvlJc w:val="left"/>
      <w:pPr>
        <w:tabs>
          <w:tab w:val="left" w:pos="312"/>
        </w:tabs>
      </w:pPr>
    </w:lvl>
  </w:abstractNum>
  <w:num w:numId="1">
    <w:abstractNumId w:val="6"/>
  </w:num>
  <w:num w:numId="2">
    <w:abstractNumId w:val="5"/>
  </w:num>
  <w:num w:numId="3">
    <w:abstractNumId w:val="7"/>
  </w:num>
  <w:num w:numId="4">
    <w:abstractNumId w:val="10"/>
  </w:num>
  <w:num w:numId="5">
    <w:abstractNumId w:val="9"/>
  </w:num>
  <w:num w:numId="6">
    <w:abstractNumId w:val="3"/>
  </w:num>
  <w:num w:numId="7">
    <w:abstractNumId w:val="1"/>
  </w:num>
  <w:num w:numId="8">
    <w:abstractNumId w:val="8"/>
  </w:num>
  <w:num w:numId="9">
    <w:abstractNumId w:val="0"/>
  </w:num>
  <w:num w:numId="10">
    <w:abstractNumId w:val="1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dhYTM2OTgxNTgzMzY2ODQ0NmFkYjk4Mzg0NWI0NzAifQ=="/>
    <w:docVar w:name="KSO_WPS_MARK_KEY" w:val="b88fa0c6-f746-4e66-9ba6-174f38385775"/>
  </w:docVars>
  <w:rsids>
    <w:rsidRoot w:val="00172A27"/>
    <w:rsid w:val="00003922"/>
    <w:rsid w:val="0002717F"/>
    <w:rsid w:val="00027B8E"/>
    <w:rsid w:val="000313E2"/>
    <w:rsid w:val="00033C8C"/>
    <w:rsid w:val="0003538B"/>
    <w:rsid w:val="00042DC2"/>
    <w:rsid w:val="000430DB"/>
    <w:rsid w:val="00051BE5"/>
    <w:rsid w:val="00053A20"/>
    <w:rsid w:val="00055F3B"/>
    <w:rsid w:val="000732C9"/>
    <w:rsid w:val="000748C6"/>
    <w:rsid w:val="000834A4"/>
    <w:rsid w:val="00084B2E"/>
    <w:rsid w:val="000913C3"/>
    <w:rsid w:val="00093CBE"/>
    <w:rsid w:val="000A1BCA"/>
    <w:rsid w:val="000B3EBF"/>
    <w:rsid w:val="000B5AC3"/>
    <w:rsid w:val="000B71F1"/>
    <w:rsid w:val="000F25F3"/>
    <w:rsid w:val="00101EF2"/>
    <w:rsid w:val="0011044F"/>
    <w:rsid w:val="00124BD8"/>
    <w:rsid w:val="0012623C"/>
    <w:rsid w:val="00137533"/>
    <w:rsid w:val="00140A15"/>
    <w:rsid w:val="00141FF1"/>
    <w:rsid w:val="001432D0"/>
    <w:rsid w:val="001461E0"/>
    <w:rsid w:val="00146A90"/>
    <w:rsid w:val="00153033"/>
    <w:rsid w:val="0016521E"/>
    <w:rsid w:val="0016613B"/>
    <w:rsid w:val="00170B30"/>
    <w:rsid w:val="00172A27"/>
    <w:rsid w:val="00176A4E"/>
    <w:rsid w:val="00181989"/>
    <w:rsid w:val="001939C4"/>
    <w:rsid w:val="001A11FF"/>
    <w:rsid w:val="001A6A03"/>
    <w:rsid w:val="001A6D7C"/>
    <w:rsid w:val="001B3B0F"/>
    <w:rsid w:val="001B5918"/>
    <w:rsid w:val="001B5D55"/>
    <w:rsid w:val="001C237C"/>
    <w:rsid w:val="001D1E01"/>
    <w:rsid w:val="001E71C4"/>
    <w:rsid w:val="001F2579"/>
    <w:rsid w:val="001F4603"/>
    <w:rsid w:val="001F7A2A"/>
    <w:rsid w:val="00200452"/>
    <w:rsid w:val="00201ECC"/>
    <w:rsid w:val="002036FC"/>
    <w:rsid w:val="002037FF"/>
    <w:rsid w:val="0022230B"/>
    <w:rsid w:val="002253C3"/>
    <w:rsid w:val="002269E3"/>
    <w:rsid w:val="0023614A"/>
    <w:rsid w:val="002424A0"/>
    <w:rsid w:val="002462AB"/>
    <w:rsid w:val="002665AE"/>
    <w:rsid w:val="0027065A"/>
    <w:rsid w:val="00271DEA"/>
    <w:rsid w:val="002838DE"/>
    <w:rsid w:val="00283F2A"/>
    <w:rsid w:val="0029055A"/>
    <w:rsid w:val="002B62B8"/>
    <w:rsid w:val="002C1013"/>
    <w:rsid w:val="002C3B35"/>
    <w:rsid w:val="002C56DB"/>
    <w:rsid w:val="002D362B"/>
    <w:rsid w:val="002D4F0D"/>
    <w:rsid w:val="002E5FC5"/>
    <w:rsid w:val="002F5600"/>
    <w:rsid w:val="002F6E04"/>
    <w:rsid w:val="00300097"/>
    <w:rsid w:val="00310280"/>
    <w:rsid w:val="003130ED"/>
    <w:rsid w:val="003149AE"/>
    <w:rsid w:val="003175C7"/>
    <w:rsid w:val="00320B4F"/>
    <w:rsid w:val="0033597E"/>
    <w:rsid w:val="00340EA4"/>
    <w:rsid w:val="00341311"/>
    <w:rsid w:val="00347DBB"/>
    <w:rsid w:val="003637B8"/>
    <w:rsid w:val="003650A2"/>
    <w:rsid w:val="00365D64"/>
    <w:rsid w:val="003756CB"/>
    <w:rsid w:val="0038121C"/>
    <w:rsid w:val="00381552"/>
    <w:rsid w:val="00383D8A"/>
    <w:rsid w:val="00386BE0"/>
    <w:rsid w:val="00395AC0"/>
    <w:rsid w:val="00395E0B"/>
    <w:rsid w:val="003A0102"/>
    <w:rsid w:val="003A2241"/>
    <w:rsid w:val="003B0D32"/>
    <w:rsid w:val="003B1E18"/>
    <w:rsid w:val="003B548F"/>
    <w:rsid w:val="003C1272"/>
    <w:rsid w:val="003C3CB6"/>
    <w:rsid w:val="003C4864"/>
    <w:rsid w:val="003C5D2F"/>
    <w:rsid w:val="003D4A1A"/>
    <w:rsid w:val="003E030A"/>
    <w:rsid w:val="003E420D"/>
    <w:rsid w:val="003F05A3"/>
    <w:rsid w:val="003F1713"/>
    <w:rsid w:val="003F48D6"/>
    <w:rsid w:val="0040112B"/>
    <w:rsid w:val="00401BB4"/>
    <w:rsid w:val="00404611"/>
    <w:rsid w:val="0040643C"/>
    <w:rsid w:val="00422571"/>
    <w:rsid w:val="00423D89"/>
    <w:rsid w:val="00426305"/>
    <w:rsid w:val="00432186"/>
    <w:rsid w:val="00432F81"/>
    <w:rsid w:val="00455358"/>
    <w:rsid w:val="004642C2"/>
    <w:rsid w:val="00466EBF"/>
    <w:rsid w:val="00472481"/>
    <w:rsid w:val="004763BD"/>
    <w:rsid w:val="00476B08"/>
    <w:rsid w:val="0048074A"/>
    <w:rsid w:val="004841B1"/>
    <w:rsid w:val="0048534E"/>
    <w:rsid w:val="0049325D"/>
    <w:rsid w:val="00494BD3"/>
    <w:rsid w:val="00495D4D"/>
    <w:rsid w:val="004A0958"/>
    <w:rsid w:val="004A7A69"/>
    <w:rsid w:val="004B2CD9"/>
    <w:rsid w:val="004C2EEA"/>
    <w:rsid w:val="004C4E55"/>
    <w:rsid w:val="004C6DC7"/>
    <w:rsid w:val="004D11CB"/>
    <w:rsid w:val="004D4C16"/>
    <w:rsid w:val="004E17F9"/>
    <w:rsid w:val="004F02E6"/>
    <w:rsid w:val="004F71BE"/>
    <w:rsid w:val="005053FD"/>
    <w:rsid w:val="00523301"/>
    <w:rsid w:val="005333B4"/>
    <w:rsid w:val="00534855"/>
    <w:rsid w:val="00537367"/>
    <w:rsid w:val="00543C94"/>
    <w:rsid w:val="005455A8"/>
    <w:rsid w:val="005467FA"/>
    <w:rsid w:val="00550AB1"/>
    <w:rsid w:val="005511E4"/>
    <w:rsid w:val="00552A0F"/>
    <w:rsid w:val="00555272"/>
    <w:rsid w:val="005572F5"/>
    <w:rsid w:val="005667CE"/>
    <w:rsid w:val="00573B4C"/>
    <w:rsid w:val="00576682"/>
    <w:rsid w:val="005825AA"/>
    <w:rsid w:val="0058526A"/>
    <w:rsid w:val="005863BD"/>
    <w:rsid w:val="00592F65"/>
    <w:rsid w:val="005940CC"/>
    <w:rsid w:val="00594657"/>
    <w:rsid w:val="005969B6"/>
    <w:rsid w:val="005A1A8C"/>
    <w:rsid w:val="005A26A2"/>
    <w:rsid w:val="005A4E1D"/>
    <w:rsid w:val="005A5E1C"/>
    <w:rsid w:val="005A6B70"/>
    <w:rsid w:val="005B21CB"/>
    <w:rsid w:val="005C2AD6"/>
    <w:rsid w:val="005C7714"/>
    <w:rsid w:val="005E0C06"/>
    <w:rsid w:val="005E2DB0"/>
    <w:rsid w:val="005E7A90"/>
    <w:rsid w:val="00601FE0"/>
    <w:rsid w:val="0060220C"/>
    <w:rsid w:val="006076BE"/>
    <w:rsid w:val="00610527"/>
    <w:rsid w:val="0062323D"/>
    <w:rsid w:val="00630F42"/>
    <w:rsid w:val="00631339"/>
    <w:rsid w:val="006322E4"/>
    <w:rsid w:val="00634759"/>
    <w:rsid w:val="006407C8"/>
    <w:rsid w:val="00640853"/>
    <w:rsid w:val="00642231"/>
    <w:rsid w:val="006542A7"/>
    <w:rsid w:val="00654A77"/>
    <w:rsid w:val="006616C9"/>
    <w:rsid w:val="00664619"/>
    <w:rsid w:val="0066466E"/>
    <w:rsid w:val="00666707"/>
    <w:rsid w:val="006759D8"/>
    <w:rsid w:val="00682E42"/>
    <w:rsid w:val="0068562F"/>
    <w:rsid w:val="006910AC"/>
    <w:rsid w:val="00692349"/>
    <w:rsid w:val="00693CEB"/>
    <w:rsid w:val="00694507"/>
    <w:rsid w:val="0069620F"/>
    <w:rsid w:val="006A2C08"/>
    <w:rsid w:val="006A4921"/>
    <w:rsid w:val="006B5C04"/>
    <w:rsid w:val="006B7FC1"/>
    <w:rsid w:val="006C2411"/>
    <w:rsid w:val="006C35DB"/>
    <w:rsid w:val="006C45E6"/>
    <w:rsid w:val="006D1E65"/>
    <w:rsid w:val="006E23FF"/>
    <w:rsid w:val="006F2F65"/>
    <w:rsid w:val="00717B97"/>
    <w:rsid w:val="00720BAA"/>
    <w:rsid w:val="00722892"/>
    <w:rsid w:val="00723C0E"/>
    <w:rsid w:val="0072442D"/>
    <w:rsid w:val="00725E92"/>
    <w:rsid w:val="00730EF8"/>
    <w:rsid w:val="007320DE"/>
    <w:rsid w:val="007320F0"/>
    <w:rsid w:val="0073390F"/>
    <w:rsid w:val="00743523"/>
    <w:rsid w:val="00744C44"/>
    <w:rsid w:val="00747A82"/>
    <w:rsid w:val="00757A89"/>
    <w:rsid w:val="0077019C"/>
    <w:rsid w:val="007737F5"/>
    <w:rsid w:val="0079282C"/>
    <w:rsid w:val="007A4B05"/>
    <w:rsid w:val="007A541B"/>
    <w:rsid w:val="007A6760"/>
    <w:rsid w:val="007B3037"/>
    <w:rsid w:val="007C108F"/>
    <w:rsid w:val="007C47D7"/>
    <w:rsid w:val="007C5867"/>
    <w:rsid w:val="007D06C1"/>
    <w:rsid w:val="007D155A"/>
    <w:rsid w:val="007E18D0"/>
    <w:rsid w:val="007F1A04"/>
    <w:rsid w:val="00803FD9"/>
    <w:rsid w:val="00816C71"/>
    <w:rsid w:val="008172C8"/>
    <w:rsid w:val="0083129A"/>
    <w:rsid w:val="00834690"/>
    <w:rsid w:val="00851A67"/>
    <w:rsid w:val="008625BE"/>
    <w:rsid w:val="00870A3B"/>
    <w:rsid w:val="00872C68"/>
    <w:rsid w:val="0087517D"/>
    <w:rsid w:val="00880E75"/>
    <w:rsid w:val="008816E2"/>
    <w:rsid w:val="008820FF"/>
    <w:rsid w:val="00882952"/>
    <w:rsid w:val="00883ACD"/>
    <w:rsid w:val="00887AC9"/>
    <w:rsid w:val="00891292"/>
    <w:rsid w:val="00896F4D"/>
    <w:rsid w:val="008A5B73"/>
    <w:rsid w:val="008A7118"/>
    <w:rsid w:val="008B1082"/>
    <w:rsid w:val="008B7B18"/>
    <w:rsid w:val="008C4A84"/>
    <w:rsid w:val="008D27CD"/>
    <w:rsid w:val="008D2D67"/>
    <w:rsid w:val="008D3F09"/>
    <w:rsid w:val="008D4BD4"/>
    <w:rsid w:val="008E20AE"/>
    <w:rsid w:val="008E5058"/>
    <w:rsid w:val="008E5F47"/>
    <w:rsid w:val="008E77CB"/>
    <w:rsid w:val="008F5168"/>
    <w:rsid w:val="00900DB3"/>
    <w:rsid w:val="00922F91"/>
    <w:rsid w:val="009230DC"/>
    <w:rsid w:val="00926F15"/>
    <w:rsid w:val="00943C96"/>
    <w:rsid w:val="00954951"/>
    <w:rsid w:val="00964EDB"/>
    <w:rsid w:val="00977401"/>
    <w:rsid w:val="00983066"/>
    <w:rsid w:val="0099214E"/>
    <w:rsid w:val="009A0102"/>
    <w:rsid w:val="009A5645"/>
    <w:rsid w:val="009B15C2"/>
    <w:rsid w:val="009B7A56"/>
    <w:rsid w:val="009C424D"/>
    <w:rsid w:val="009D4BB2"/>
    <w:rsid w:val="009F1A99"/>
    <w:rsid w:val="009F1C1C"/>
    <w:rsid w:val="009F495C"/>
    <w:rsid w:val="00A00213"/>
    <w:rsid w:val="00A02B07"/>
    <w:rsid w:val="00A073FE"/>
    <w:rsid w:val="00A13691"/>
    <w:rsid w:val="00A156CF"/>
    <w:rsid w:val="00A21CBB"/>
    <w:rsid w:val="00A2299C"/>
    <w:rsid w:val="00A2627D"/>
    <w:rsid w:val="00A3390B"/>
    <w:rsid w:val="00A3554D"/>
    <w:rsid w:val="00A423FC"/>
    <w:rsid w:val="00A518BA"/>
    <w:rsid w:val="00A54926"/>
    <w:rsid w:val="00A605D0"/>
    <w:rsid w:val="00A60B4E"/>
    <w:rsid w:val="00A64A31"/>
    <w:rsid w:val="00A70FE2"/>
    <w:rsid w:val="00A775FD"/>
    <w:rsid w:val="00A86F63"/>
    <w:rsid w:val="00A871D2"/>
    <w:rsid w:val="00A9487A"/>
    <w:rsid w:val="00A95262"/>
    <w:rsid w:val="00AA33CF"/>
    <w:rsid w:val="00AC3429"/>
    <w:rsid w:val="00AC3945"/>
    <w:rsid w:val="00AC5EA4"/>
    <w:rsid w:val="00AD0FA6"/>
    <w:rsid w:val="00AD4D2B"/>
    <w:rsid w:val="00AD500B"/>
    <w:rsid w:val="00AE3D1B"/>
    <w:rsid w:val="00AE4DB4"/>
    <w:rsid w:val="00AE4E80"/>
    <w:rsid w:val="00AF34BB"/>
    <w:rsid w:val="00B01353"/>
    <w:rsid w:val="00B019E4"/>
    <w:rsid w:val="00B03E76"/>
    <w:rsid w:val="00B1358F"/>
    <w:rsid w:val="00B143EB"/>
    <w:rsid w:val="00B20120"/>
    <w:rsid w:val="00B20B28"/>
    <w:rsid w:val="00B35B41"/>
    <w:rsid w:val="00B41153"/>
    <w:rsid w:val="00B41196"/>
    <w:rsid w:val="00B42929"/>
    <w:rsid w:val="00B466A8"/>
    <w:rsid w:val="00B502EB"/>
    <w:rsid w:val="00B63D5B"/>
    <w:rsid w:val="00B656F7"/>
    <w:rsid w:val="00B66314"/>
    <w:rsid w:val="00B67B73"/>
    <w:rsid w:val="00B7026A"/>
    <w:rsid w:val="00B71416"/>
    <w:rsid w:val="00B71C24"/>
    <w:rsid w:val="00B74D23"/>
    <w:rsid w:val="00B82225"/>
    <w:rsid w:val="00B82A97"/>
    <w:rsid w:val="00B91569"/>
    <w:rsid w:val="00B92B57"/>
    <w:rsid w:val="00BA3B22"/>
    <w:rsid w:val="00BA5CA8"/>
    <w:rsid w:val="00BB3BFD"/>
    <w:rsid w:val="00BC4B78"/>
    <w:rsid w:val="00BD1E93"/>
    <w:rsid w:val="00BD213B"/>
    <w:rsid w:val="00C01A36"/>
    <w:rsid w:val="00C03459"/>
    <w:rsid w:val="00C05BEC"/>
    <w:rsid w:val="00C200E3"/>
    <w:rsid w:val="00C223F4"/>
    <w:rsid w:val="00C22DA0"/>
    <w:rsid w:val="00C25C8E"/>
    <w:rsid w:val="00C26948"/>
    <w:rsid w:val="00C30F60"/>
    <w:rsid w:val="00C32BCA"/>
    <w:rsid w:val="00C32CB7"/>
    <w:rsid w:val="00C339AA"/>
    <w:rsid w:val="00C35CF9"/>
    <w:rsid w:val="00C41551"/>
    <w:rsid w:val="00C42879"/>
    <w:rsid w:val="00C5133B"/>
    <w:rsid w:val="00C5591E"/>
    <w:rsid w:val="00C64888"/>
    <w:rsid w:val="00C65CEE"/>
    <w:rsid w:val="00C73F50"/>
    <w:rsid w:val="00C866F0"/>
    <w:rsid w:val="00C90B4F"/>
    <w:rsid w:val="00C91D84"/>
    <w:rsid w:val="00C94D2C"/>
    <w:rsid w:val="00CB6785"/>
    <w:rsid w:val="00CB6A88"/>
    <w:rsid w:val="00CB7801"/>
    <w:rsid w:val="00CC1533"/>
    <w:rsid w:val="00CC7BEB"/>
    <w:rsid w:val="00CD4637"/>
    <w:rsid w:val="00CD52E0"/>
    <w:rsid w:val="00CD6955"/>
    <w:rsid w:val="00CD74DA"/>
    <w:rsid w:val="00CD78E3"/>
    <w:rsid w:val="00CD7BF3"/>
    <w:rsid w:val="00CE0100"/>
    <w:rsid w:val="00CE289F"/>
    <w:rsid w:val="00CF15EF"/>
    <w:rsid w:val="00D02014"/>
    <w:rsid w:val="00D168BB"/>
    <w:rsid w:val="00D234A3"/>
    <w:rsid w:val="00D2364C"/>
    <w:rsid w:val="00D320AD"/>
    <w:rsid w:val="00D329F6"/>
    <w:rsid w:val="00D53D06"/>
    <w:rsid w:val="00D547F2"/>
    <w:rsid w:val="00D55A59"/>
    <w:rsid w:val="00D55C58"/>
    <w:rsid w:val="00D62EF7"/>
    <w:rsid w:val="00D72421"/>
    <w:rsid w:val="00D7791B"/>
    <w:rsid w:val="00DB00A6"/>
    <w:rsid w:val="00DB3A03"/>
    <w:rsid w:val="00DC1A86"/>
    <w:rsid w:val="00DC3B8A"/>
    <w:rsid w:val="00DC6FE6"/>
    <w:rsid w:val="00DC70F6"/>
    <w:rsid w:val="00DD3D2C"/>
    <w:rsid w:val="00DE7C03"/>
    <w:rsid w:val="00DE7DC2"/>
    <w:rsid w:val="00E04C8B"/>
    <w:rsid w:val="00E07A0A"/>
    <w:rsid w:val="00E13E27"/>
    <w:rsid w:val="00E176B1"/>
    <w:rsid w:val="00E20F74"/>
    <w:rsid w:val="00E40544"/>
    <w:rsid w:val="00E7175B"/>
    <w:rsid w:val="00E82108"/>
    <w:rsid w:val="00E8599D"/>
    <w:rsid w:val="00E85B16"/>
    <w:rsid w:val="00E90713"/>
    <w:rsid w:val="00EA2FFB"/>
    <w:rsid w:val="00EB0174"/>
    <w:rsid w:val="00EB7E41"/>
    <w:rsid w:val="00EC12ED"/>
    <w:rsid w:val="00ED460C"/>
    <w:rsid w:val="00ED7C67"/>
    <w:rsid w:val="00EE343C"/>
    <w:rsid w:val="00EE3B84"/>
    <w:rsid w:val="00EE3FF3"/>
    <w:rsid w:val="00F02A96"/>
    <w:rsid w:val="00F07751"/>
    <w:rsid w:val="00F10A00"/>
    <w:rsid w:val="00F10E24"/>
    <w:rsid w:val="00F175D8"/>
    <w:rsid w:val="00F177E6"/>
    <w:rsid w:val="00F25F8B"/>
    <w:rsid w:val="00F3093B"/>
    <w:rsid w:val="00F5667E"/>
    <w:rsid w:val="00F60BFB"/>
    <w:rsid w:val="00F63D95"/>
    <w:rsid w:val="00F82CC3"/>
    <w:rsid w:val="00F8358E"/>
    <w:rsid w:val="00F87A49"/>
    <w:rsid w:val="00F9383E"/>
    <w:rsid w:val="00FA079E"/>
    <w:rsid w:val="00FA1395"/>
    <w:rsid w:val="00FA3463"/>
    <w:rsid w:val="00FA3C4A"/>
    <w:rsid w:val="00FB6321"/>
    <w:rsid w:val="00FC6C69"/>
    <w:rsid w:val="00FE67F3"/>
    <w:rsid w:val="00FF225D"/>
    <w:rsid w:val="00FF510A"/>
    <w:rsid w:val="013D276E"/>
    <w:rsid w:val="017B00C1"/>
    <w:rsid w:val="021424C2"/>
    <w:rsid w:val="022E44A8"/>
    <w:rsid w:val="02310527"/>
    <w:rsid w:val="026F5D07"/>
    <w:rsid w:val="0280141E"/>
    <w:rsid w:val="028C256C"/>
    <w:rsid w:val="02C02722"/>
    <w:rsid w:val="02E936E1"/>
    <w:rsid w:val="03266921"/>
    <w:rsid w:val="0375796B"/>
    <w:rsid w:val="03A01B4C"/>
    <w:rsid w:val="03A66549"/>
    <w:rsid w:val="03AC7D7B"/>
    <w:rsid w:val="03B92498"/>
    <w:rsid w:val="040C231A"/>
    <w:rsid w:val="041A67CE"/>
    <w:rsid w:val="04891E6A"/>
    <w:rsid w:val="04DE237C"/>
    <w:rsid w:val="04FE7562"/>
    <w:rsid w:val="051B326D"/>
    <w:rsid w:val="05451EB3"/>
    <w:rsid w:val="05655238"/>
    <w:rsid w:val="057018C7"/>
    <w:rsid w:val="057F4CA0"/>
    <w:rsid w:val="05B134BD"/>
    <w:rsid w:val="05B644FA"/>
    <w:rsid w:val="05E60F61"/>
    <w:rsid w:val="05F45A09"/>
    <w:rsid w:val="062F4DE5"/>
    <w:rsid w:val="063A5A43"/>
    <w:rsid w:val="06704474"/>
    <w:rsid w:val="067B1C86"/>
    <w:rsid w:val="06F2485A"/>
    <w:rsid w:val="07353B0C"/>
    <w:rsid w:val="0737386F"/>
    <w:rsid w:val="075A53AD"/>
    <w:rsid w:val="07702E6D"/>
    <w:rsid w:val="07B3774C"/>
    <w:rsid w:val="07DB478B"/>
    <w:rsid w:val="07E64C3E"/>
    <w:rsid w:val="07ED6080"/>
    <w:rsid w:val="0813692E"/>
    <w:rsid w:val="08315643"/>
    <w:rsid w:val="083B4A8E"/>
    <w:rsid w:val="08F92C9F"/>
    <w:rsid w:val="091F60B3"/>
    <w:rsid w:val="095E6324"/>
    <w:rsid w:val="099C2AD0"/>
    <w:rsid w:val="09C338FD"/>
    <w:rsid w:val="09DA688A"/>
    <w:rsid w:val="0A2742DC"/>
    <w:rsid w:val="0A5A18BC"/>
    <w:rsid w:val="0A7964DD"/>
    <w:rsid w:val="0AA04066"/>
    <w:rsid w:val="0AA67BC8"/>
    <w:rsid w:val="0AAE0BE7"/>
    <w:rsid w:val="0AB16BEF"/>
    <w:rsid w:val="0ACA149C"/>
    <w:rsid w:val="0AD159CB"/>
    <w:rsid w:val="0AED49F2"/>
    <w:rsid w:val="0B27100A"/>
    <w:rsid w:val="0B424F61"/>
    <w:rsid w:val="0B72399D"/>
    <w:rsid w:val="0B9725B9"/>
    <w:rsid w:val="0BB52834"/>
    <w:rsid w:val="0BB91659"/>
    <w:rsid w:val="0BD82DF2"/>
    <w:rsid w:val="0BEE7CA8"/>
    <w:rsid w:val="0C183A19"/>
    <w:rsid w:val="0C1F782F"/>
    <w:rsid w:val="0C2A49B0"/>
    <w:rsid w:val="0C537DD2"/>
    <w:rsid w:val="0C5B186C"/>
    <w:rsid w:val="0CCE01A7"/>
    <w:rsid w:val="0D0B6372"/>
    <w:rsid w:val="0D625908"/>
    <w:rsid w:val="0DAA05E4"/>
    <w:rsid w:val="0DC80C9B"/>
    <w:rsid w:val="0E0C2D3C"/>
    <w:rsid w:val="0E0E518E"/>
    <w:rsid w:val="0E434653"/>
    <w:rsid w:val="0E6A6074"/>
    <w:rsid w:val="0E7E6F6F"/>
    <w:rsid w:val="0EF130CB"/>
    <w:rsid w:val="0EF50A15"/>
    <w:rsid w:val="0F0E57E7"/>
    <w:rsid w:val="0F0F31C4"/>
    <w:rsid w:val="0F110B39"/>
    <w:rsid w:val="0F700E18"/>
    <w:rsid w:val="0F731C79"/>
    <w:rsid w:val="0F893AD9"/>
    <w:rsid w:val="0FDABB74"/>
    <w:rsid w:val="103115BD"/>
    <w:rsid w:val="11023F06"/>
    <w:rsid w:val="113A7083"/>
    <w:rsid w:val="115D6A2F"/>
    <w:rsid w:val="11844D14"/>
    <w:rsid w:val="11A03721"/>
    <w:rsid w:val="11B872E6"/>
    <w:rsid w:val="11EC6468"/>
    <w:rsid w:val="122B7363"/>
    <w:rsid w:val="124D3F41"/>
    <w:rsid w:val="12771EB8"/>
    <w:rsid w:val="128D6FC9"/>
    <w:rsid w:val="12913EF6"/>
    <w:rsid w:val="12B871CC"/>
    <w:rsid w:val="12FC2B62"/>
    <w:rsid w:val="130D313F"/>
    <w:rsid w:val="131A28CE"/>
    <w:rsid w:val="131F0AC3"/>
    <w:rsid w:val="133D594E"/>
    <w:rsid w:val="13542F23"/>
    <w:rsid w:val="135A6469"/>
    <w:rsid w:val="138C3108"/>
    <w:rsid w:val="13D36C5E"/>
    <w:rsid w:val="13DB436A"/>
    <w:rsid w:val="13F7731B"/>
    <w:rsid w:val="1430335D"/>
    <w:rsid w:val="143537D8"/>
    <w:rsid w:val="14400EB4"/>
    <w:rsid w:val="1441774A"/>
    <w:rsid w:val="14A7477B"/>
    <w:rsid w:val="14A91F82"/>
    <w:rsid w:val="14B74D5A"/>
    <w:rsid w:val="14BA2AEC"/>
    <w:rsid w:val="14D47366"/>
    <w:rsid w:val="14E10484"/>
    <w:rsid w:val="14F858B7"/>
    <w:rsid w:val="15620C93"/>
    <w:rsid w:val="1583793E"/>
    <w:rsid w:val="158F1704"/>
    <w:rsid w:val="159D471C"/>
    <w:rsid w:val="15A52FE3"/>
    <w:rsid w:val="16025228"/>
    <w:rsid w:val="161A665A"/>
    <w:rsid w:val="165219BC"/>
    <w:rsid w:val="16CB6638"/>
    <w:rsid w:val="16F85331"/>
    <w:rsid w:val="1704402C"/>
    <w:rsid w:val="170D06D9"/>
    <w:rsid w:val="17131852"/>
    <w:rsid w:val="171C5151"/>
    <w:rsid w:val="17937CA0"/>
    <w:rsid w:val="17A252C5"/>
    <w:rsid w:val="18150528"/>
    <w:rsid w:val="18341078"/>
    <w:rsid w:val="18594EC1"/>
    <w:rsid w:val="185F4060"/>
    <w:rsid w:val="185F6F6D"/>
    <w:rsid w:val="18645220"/>
    <w:rsid w:val="1926044D"/>
    <w:rsid w:val="195A15D8"/>
    <w:rsid w:val="1963449F"/>
    <w:rsid w:val="19B663C9"/>
    <w:rsid w:val="19D40E39"/>
    <w:rsid w:val="1A330456"/>
    <w:rsid w:val="1A4C6169"/>
    <w:rsid w:val="1A5D63A2"/>
    <w:rsid w:val="1ABD69E7"/>
    <w:rsid w:val="1AD43295"/>
    <w:rsid w:val="1B0A3282"/>
    <w:rsid w:val="1B1B6D21"/>
    <w:rsid w:val="1B281F85"/>
    <w:rsid w:val="1B525952"/>
    <w:rsid w:val="1BA56F1C"/>
    <w:rsid w:val="1C06331A"/>
    <w:rsid w:val="1C434635"/>
    <w:rsid w:val="1C4C6DB8"/>
    <w:rsid w:val="1C8E3D6F"/>
    <w:rsid w:val="1CAA1F11"/>
    <w:rsid w:val="1CE77392"/>
    <w:rsid w:val="1D291B41"/>
    <w:rsid w:val="1D5C263F"/>
    <w:rsid w:val="1D695F2F"/>
    <w:rsid w:val="1D752FD3"/>
    <w:rsid w:val="1D75714C"/>
    <w:rsid w:val="1D940D04"/>
    <w:rsid w:val="1DC060B0"/>
    <w:rsid w:val="1E1900D3"/>
    <w:rsid w:val="1E9F24DD"/>
    <w:rsid w:val="1ED61CF8"/>
    <w:rsid w:val="1EFE18E5"/>
    <w:rsid w:val="1F3D25FB"/>
    <w:rsid w:val="1F6F3724"/>
    <w:rsid w:val="1F954ACE"/>
    <w:rsid w:val="1FBD3BDD"/>
    <w:rsid w:val="1FFC0C70"/>
    <w:rsid w:val="1FFF1C61"/>
    <w:rsid w:val="200158DE"/>
    <w:rsid w:val="200F18FF"/>
    <w:rsid w:val="20161657"/>
    <w:rsid w:val="2052286C"/>
    <w:rsid w:val="20FD07A7"/>
    <w:rsid w:val="21504CA4"/>
    <w:rsid w:val="215F4FA0"/>
    <w:rsid w:val="21714093"/>
    <w:rsid w:val="218C669E"/>
    <w:rsid w:val="21AA36A4"/>
    <w:rsid w:val="21D4309E"/>
    <w:rsid w:val="220D243A"/>
    <w:rsid w:val="221C1048"/>
    <w:rsid w:val="2222568B"/>
    <w:rsid w:val="22445B19"/>
    <w:rsid w:val="225047E7"/>
    <w:rsid w:val="229D488B"/>
    <w:rsid w:val="22CA0D58"/>
    <w:rsid w:val="22CB7E01"/>
    <w:rsid w:val="230A5544"/>
    <w:rsid w:val="234043D1"/>
    <w:rsid w:val="234C3794"/>
    <w:rsid w:val="23752AC1"/>
    <w:rsid w:val="23773F40"/>
    <w:rsid w:val="23B01DDE"/>
    <w:rsid w:val="23E9198A"/>
    <w:rsid w:val="24324B9B"/>
    <w:rsid w:val="245D1160"/>
    <w:rsid w:val="247E49C4"/>
    <w:rsid w:val="248810EC"/>
    <w:rsid w:val="248E0C08"/>
    <w:rsid w:val="24907CBF"/>
    <w:rsid w:val="24DF6BAF"/>
    <w:rsid w:val="258D7673"/>
    <w:rsid w:val="258E03AA"/>
    <w:rsid w:val="25A34F4C"/>
    <w:rsid w:val="25DB1EF3"/>
    <w:rsid w:val="25E81783"/>
    <w:rsid w:val="26313121"/>
    <w:rsid w:val="268A58A2"/>
    <w:rsid w:val="2697491C"/>
    <w:rsid w:val="26BE379D"/>
    <w:rsid w:val="26DD686E"/>
    <w:rsid w:val="27246CEE"/>
    <w:rsid w:val="27344672"/>
    <w:rsid w:val="277219C5"/>
    <w:rsid w:val="277F2F2D"/>
    <w:rsid w:val="27934430"/>
    <w:rsid w:val="27992657"/>
    <w:rsid w:val="27D85A45"/>
    <w:rsid w:val="27EA7A90"/>
    <w:rsid w:val="27FF60CC"/>
    <w:rsid w:val="2848116E"/>
    <w:rsid w:val="28AB13FD"/>
    <w:rsid w:val="28E051C7"/>
    <w:rsid w:val="295461B0"/>
    <w:rsid w:val="29CF67CC"/>
    <w:rsid w:val="29E03A2B"/>
    <w:rsid w:val="29F2529F"/>
    <w:rsid w:val="2A0E55C7"/>
    <w:rsid w:val="2A164688"/>
    <w:rsid w:val="2A4641EE"/>
    <w:rsid w:val="2A7011F8"/>
    <w:rsid w:val="2A722E0A"/>
    <w:rsid w:val="2A944F41"/>
    <w:rsid w:val="2A9A5DD2"/>
    <w:rsid w:val="2ABA3AC6"/>
    <w:rsid w:val="2ABD599B"/>
    <w:rsid w:val="2B0C2E45"/>
    <w:rsid w:val="2B412169"/>
    <w:rsid w:val="2B4621B8"/>
    <w:rsid w:val="2B5C369E"/>
    <w:rsid w:val="2B7E3DF9"/>
    <w:rsid w:val="2BB67139"/>
    <w:rsid w:val="2BCE5374"/>
    <w:rsid w:val="2BFD3C9C"/>
    <w:rsid w:val="2C031E52"/>
    <w:rsid w:val="2C405ECE"/>
    <w:rsid w:val="2C81706C"/>
    <w:rsid w:val="2C84261E"/>
    <w:rsid w:val="2CE9131D"/>
    <w:rsid w:val="2D68447F"/>
    <w:rsid w:val="2DAA4080"/>
    <w:rsid w:val="2DAE33D9"/>
    <w:rsid w:val="2DBA27E5"/>
    <w:rsid w:val="2DCA108C"/>
    <w:rsid w:val="2DF7509E"/>
    <w:rsid w:val="2E0E1DD2"/>
    <w:rsid w:val="2E1B5B4D"/>
    <w:rsid w:val="2E231CAF"/>
    <w:rsid w:val="2E864C7F"/>
    <w:rsid w:val="2E942599"/>
    <w:rsid w:val="2ED75231"/>
    <w:rsid w:val="2F9C2AD0"/>
    <w:rsid w:val="2FAB0218"/>
    <w:rsid w:val="2FB72510"/>
    <w:rsid w:val="2FDA0F5D"/>
    <w:rsid w:val="2FDD55FE"/>
    <w:rsid w:val="2FF90DFC"/>
    <w:rsid w:val="2FFE0F09"/>
    <w:rsid w:val="30556885"/>
    <w:rsid w:val="307202BE"/>
    <w:rsid w:val="309612E7"/>
    <w:rsid w:val="30AD41A0"/>
    <w:rsid w:val="30EE4C7F"/>
    <w:rsid w:val="310060F6"/>
    <w:rsid w:val="31284979"/>
    <w:rsid w:val="315C7E3B"/>
    <w:rsid w:val="31831789"/>
    <w:rsid w:val="31F03391"/>
    <w:rsid w:val="32261CAE"/>
    <w:rsid w:val="322C52A1"/>
    <w:rsid w:val="32351AA8"/>
    <w:rsid w:val="32454FDC"/>
    <w:rsid w:val="326F0262"/>
    <w:rsid w:val="32C65EB4"/>
    <w:rsid w:val="32D63C1D"/>
    <w:rsid w:val="32D84684"/>
    <w:rsid w:val="331875D8"/>
    <w:rsid w:val="33517B29"/>
    <w:rsid w:val="3366272A"/>
    <w:rsid w:val="337F6034"/>
    <w:rsid w:val="33B02784"/>
    <w:rsid w:val="33F33EB3"/>
    <w:rsid w:val="33FDF46D"/>
    <w:rsid w:val="34541EE6"/>
    <w:rsid w:val="3467553D"/>
    <w:rsid w:val="346B44E4"/>
    <w:rsid w:val="34734EF5"/>
    <w:rsid w:val="347F73A4"/>
    <w:rsid w:val="349243CB"/>
    <w:rsid w:val="34A54C39"/>
    <w:rsid w:val="34E93D5B"/>
    <w:rsid w:val="356D611F"/>
    <w:rsid w:val="35AA209B"/>
    <w:rsid w:val="35DD2ECC"/>
    <w:rsid w:val="36075F59"/>
    <w:rsid w:val="36895041"/>
    <w:rsid w:val="369306F5"/>
    <w:rsid w:val="36D0449E"/>
    <w:rsid w:val="37063F93"/>
    <w:rsid w:val="375779CA"/>
    <w:rsid w:val="37774A03"/>
    <w:rsid w:val="37906A90"/>
    <w:rsid w:val="37D677DD"/>
    <w:rsid w:val="37DC7CD6"/>
    <w:rsid w:val="38097CC0"/>
    <w:rsid w:val="386131D2"/>
    <w:rsid w:val="38747DBF"/>
    <w:rsid w:val="38907593"/>
    <w:rsid w:val="38A25F55"/>
    <w:rsid w:val="38E66E05"/>
    <w:rsid w:val="38EA38ED"/>
    <w:rsid w:val="38F94A7C"/>
    <w:rsid w:val="394F028A"/>
    <w:rsid w:val="39CD0721"/>
    <w:rsid w:val="39FB507E"/>
    <w:rsid w:val="3A543DA5"/>
    <w:rsid w:val="3A6C6149"/>
    <w:rsid w:val="3A8E663F"/>
    <w:rsid w:val="3AAB4ADD"/>
    <w:rsid w:val="3AB8753D"/>
    <w:rsid w:val="3ADD1FEC"/>
    <w:rsid w:val="3AF05539"/>
    <w:rsid w:val="3B0A5081"/>
    <w:rsid w:val="3B3E1CEB"/>
    <w:rsid w:val="3B416352"/>
    <w:rsid w:val="3B4725B0"/>
    <w:rsid w:val="3B50294C"/>
    <w:rsid w:val="3B675079"/>
    <w:rsid w:val="3BB52F69"/>
    <w:rsid w:val="3BC732E8"/>
    <w:rsid w:val="3BEB24F4"/>
    <w:rsid w:val="3C0656A6"/>
    <w:rsid w:val="3C2423E0"/>
    <w:rsid w:val="3C3519B4"/>
    <w:rsid w:val="3C4B05D0"/>
    <w:rsid w:val="3C790B6E"/>
    <w:rsid w:val="3CE44A21"/>
    <w:rsid w:val="3D3364B3"/>
    <w:rsid w:val="3D5C0ABD"/>
    <w:rsid w:val="3D8D74B5"/>
    <w:rsid w:val="3DCC547F"/>
    <w:rsid w:val="3DE82FB2"/>
    <w:rsid w:val="3E3109BF"/>
    <w:rsid w:val="3E3A6BED"/>
    <w:rsid w:val="3E4D5D70"/>
    <w:rsid w:val="3E716647"/>
    <w:rsid w:val="3E937DA8"/>
    <w:rsid w:val="3EA62373"/>
    <w:rsid w:val="3ED76FD4"/>
    <w:rsid w:val="3F2413A7"/>
    <w:rsid w:val="3F250E4C"/>
    <w:rsid w:val="3F2D72BA"/>
    <w:rsid w:val="3F644AEC"/>
    <w:rsid w:val="3F674FBE"/>
    <w:rsid w:val="3FD25A2A"/>
    <w:rsid w:val="3FDB6416"/>
    <w:rsid w:val="401F0D00"/>
    <w:rsid w:val="4036580D"/>
    <w:rsid w:val="40387CC5"/>
    <w:rsid w:val="40835A4C"/>
    <w:rsid w:val="40ED4F53"/>
    <w:rsid w:val="40EE44CE"/>
    <w:rsid w:val="41415B66"/>
    <w:rsid w:val="415E375B"/>
    <w:rsid w:val="419F72C4"/>
    <w:rsid w:val="41D3514C"/>
    <w:rsid w:val="41D37CA5"/>
    <w:rsid w:val="41EF2605"/>
    <w:rsid w:val="425651FB"/>
    <w:rsid w:val="426D7806"/>
    <w:rsid w:val="42942617"/>
    <w:rsid w:val="432B6CF7"/>
    <w:rsid w:val="43381710"/>
    <w:rsid w:val="43566748"/>
    <w:rsid w:val="438C5DC2"/>
    <w:rsid w:val="43C600AC"/>
    <w:rsid w:val="44985751"/>
    <w:rsid w:val="45162F94"/>
    <w:rsid w:val="451808A7"/>
    <w:rsid w:val="456443B5"/>
    <w:rsid w:val="45BC4711"/>
    <w:rsid w:val="45C86472"/>
    <w:rsid w:val="45CA20B3"/>
    <w:rsid w:val="4601619E"/>
    <w:rsid w:val="460463AD"/>
    <w:rsid w:val="46222F8C"/>
    <w:rsid w:val="465426D6"/>
    <w:rsid w:val="4682688B"/>
    <w:rsid w:val="46884E3E"/>
    <w:rsid w:val="468A5D58"/>
    <w:rsid w:val="4696626F"/>
    <w:rsid w:val="46C40DC1"/>
    <w:rsid w:val="46CA268A"/>
    <w:rsid w:val="46DF3CCB"/>
    <w:rsid w:val="46E72605"/>
    <w:rsid w:val="470C58E7"/>
    <w:rsid w:val="470E02B0"/>
    <w:rsid w:val="471B4990"/>
    <w:rsid w:val="471D2EA1"/>
    <w:rsid w:val="47784E4E"/>
    <w:rsid w:val="47923A79"/>
    <w:rsid w:val="47A023E0"/>
    <w:rsid w:val="47D604EF"/>
    <w:rsid w:val="47E74852"/>
    <w:rsid w:val="47F41D02"/>
    <w:rsid w:val="483A3692"/>
    <w:rsid w:val="48433DCA"/>
    <w:rsid w:val="484F73A0"/>
    <w:rsid w:val="486B5B60"/>
    <w:rsid w:val="48835F01"/>
    <w:rsid w:val="48AF0E95"/>
    <w:rsid w:val="48B157C5"/>
    <w:rsid w:val="48CC36A0"/>
    <w:rsid w:val="495A0CAC"/>
    <w:rsid w:val="49F9190A"/>
    <w:rsid w:val="4A235372"/>
    <w:rsid w:val="4A743234"/>
    <w:rsid w:val="4A7C3D6C"/>
    <w:rsid w:val="4A9255BF"/>
    <w:rsid w:val="4B1B44A4"/>
    <w:rsid w:val="4B577B99"/>
    <w:rsid w:val="4B6103FB"/>
    <w:rsid w:val="4BF55A79"/>
    <w:rsid w:val="4BFC0C02"/>
    <w:rsid w:val="4BFF3C41"/>
    <w:rsid w:val="4C020640"/>
    <w:rsid w:val="4C1F0161"/>
    <w:rsid w:val="4C374D22"/>
    <w:rsid w:val="4CA42FC6"/>
    <w:rsid w:val="4D2A6C5E"/>
    <w:rsid w:val="4DE82D2A"/>
    <w:rsid w:val="4E1E20F4"/>
    <w:rsid w:val="4E591F5A"/>
    <w:rsid w:val="4EB73389"/>
    <w:rsid w:val="4F8877D1"/>
    <w:rsid w:val="4FADA76E"/>
    <w:rsid w:val="50033722"/>
    <w:rsid w:val="50053C01"/>
    <w:rsid w:val="5108607B"/>
    <w:rsid w:val="51534A7B"/>
    <w:rsid w:val="518639A7"/>
    <w:rsid w:val="5190705D"/>
    <w:rsid w:val="51951FDD"/>
    <w:rsid w:val="51AC0513"/>
    <w:rsid w:val="51AF3575"/>
    <w:rsid w:val="51BD4758"/>
    <w:rsid w:val="51D474B9"/>
    <w:rsid w:val="52297DCC"/>
    <w:rsid w:val="52D307F4"/>
    <w:rsid w:val="53144AE2"/>
    <w:rsid w:val="53204D14"/>
    <w:rsid w:val="533862A3"/>
    <w:rsid w:val="534C56C3"/>
    <w:rsid w:val="535327A8"/>
    <w:rsid w:val="538A1AD2"/>
    <w:rsid w:val="53DD2C05"/>
    <w:rsid w:val="53F57F4F"/>
    <w:rsid w:val="54065E33"/>
    <w:rsid w:val="5436335C"/>
    <w:rsid w:val="5438608E"/>
    <w:rsid w:val="544846A1"/>
    <w:rsid w:val="54CA77E4"/>
    <w:rsid w:val="54CD4A28"/>
    <w:rsid w:val="551047FA"/>
    <w:rsid w:val="55247AF8"/>
    <w:rsid w:val="55766FCA"/>
    <w:rsid w:val="55A20F8A"/>
    <w:rsid w:val="55C776C9"/>
    <w:rsid w:val="56221875"/>
    <w:rsid w:val="56250858"/>
    <w:rsid w:val="564A1A48"/>
    <w:rsid w:val="567B24D9"/>
    <w:rsid w:val="5680224C"/>
    <w:rsid w:val="56BE5204"/>
    <w:rsid w:val="57497EA1"/>
    <w:rsid w:val="57AD0063"/>
    <w:rsid w:val="57EB56D6"/>
    <w:rsid w:val="580D5994"/>
    <w:rsid w:val="5811229E"/>
    <w:rsid w:val="582F08A7"/>
    <w:rsid w:val="58434B48"/>
    <w:rsid w:val="58643AB8"/>
    <w:rsid w:val="58872AEF"/>
    <w:rsid w:val="589D0A07"/>
    <w:rsid w:val="58A23308"/>
    <w:rsid w:val="58C3346C"/>
    <w:rsid w:val="58C52DDD"/>
    <w:rsid w:val="58E67A0A"/>
    <w:rsid w:val="59087FEA"/>
    <w:rsid w:val="590D46CF"/>
    <w:rsid w:val="591B4012"/>
    <w:rsid w:val="593C4093"/>
    <w:rsid w:val="59484FC5"/>
    <w:rsid w:val="597E7405"/>
    <w:rsid w:val="59D518C3"/>
    <w:rsid w:val="59DD27E7"/>
    <w:rsid w:val="5A3A28AD"/>
    <w:rsid w:val="5A5968C5"/>
    <w:rsid w:val="5A92386E"/>
    <w:rsid w:val="5AD70387"/>
    <w:rsid w:val="5AD9663A"/>
    <w:rsid w:val="5AE53FE2"/>
    <w:rsid w:val="5B43179E"/>
    <w:rsid w:val="5B887AC0"/>
    <w:rsid w:val="5BBB12DC"/>
    <w:rsid w:val="5BBE331C"/>
    <w:rsid w:val="5C2D3FFE"/>
    <w:rsid w:val="5CAD4FAA"/>
    <w:rsid w:val="5CED4F58"/>
    <w:rsid w:val="5D211424"/>
    <w:rsid w:val="5D310127"/>
    <w:rsid w:val="5D9F3CB5"/>
    <w:rsid w:val="5DDE524A"/>
    <w:rsid w:val="5E160396"/>
    <w:rsid w:val="5E166137"/>
    <w:rsid w:val="5E5970D3"/>
    <w:rsid w:val="5EA11761"/>
    <w:rsid w:val="5F116841"/>
    <w:rsid w:val="5F223BC2"/>
    <w:rsid w:val="5F255045"/>
    <w:rsid w:val="5F3A7BAC"/>
    <w:rsid w:val="5F6F27A5"/>
    <w:rsid w:val="5F887232"/>
    <w:rsid w:val="5F90062A"/>
    <w:rsid w:val="5FAA6439"/>
    <w:rsid w:val="5FC00954"/>
    <w:rsid w:val="5FE65751"/>
    <w:rsid w:val="60001F6D"/>
    <w:rsid w:val="60006CFB"/>
    <w:rsid w:val="603F37DC"/>
    <w:rsid w:val="604349C3"/>
    <w:rsid w:val="605B2EB4"/>
    <w:rsid w:val="605D4D86"/>
    <w:rsid w:val="608023C9"/>
    <w:rsid w:val="609C51C2"/>
    <w:rsid w:val="60B60B4B"/>
    <w:rsid w:val="60EB3E47"/>
    <w:rsid w:val="60F24444"/>
    <w:rsid w:val="61181957"/>
    <w:rsid w:val="61410B6D"/>
    <w:rsid w:val="61625C9E"/>
    <w:rsid w:val="61991B33"/>
    <w:rsid w:val="61BC0848"/>
    <w:rsid w:val="61CE2E2B"/>
    <w:rsid w:val="620A1069"/>
    <w:rsid w:val="623359D4"/>
    <w:rsid w:val="623F3015"/>
    <w:rsid w:val="62647FEB"/>
    <w:rsid w:val="626861F9"/>
    <w:rsid w:val="629D50BB"/>
    <w:rsid w:val="62BF17E4"/>
    <w:rsid w:val="62C90E95"/>
    <w:rsid w:val="62E45DB2"/>
    <w:rsid w:val="63CD0CC5"/>
    <w:rsid w:val="63DB4C35"/>
    <w:rsid w:val="642A6540"/>
    <w:rsid w:val="642B552B"/>
    <w:rsid w:val="64836EB1"/>
    <w:rsid w:val="64A45161"/>
    <w:rsid w:val="64AD14AB"/>
    <w:rsid w:val="654D678E"/>
    <w:rsid w:val="655579E1"/>
    <w:rsid w:val="655C4BE7"/>
    <w:rsid w:val="656860B5"/>
    <w:rsid w:val="6580118F"/>
    <w:rsid w:val="65874ED6"/>
    <w:rsid w:val="65A74E21"/>
    <w:rsid w:val="65A90B99"/>
    <w:rsid w:val="65BA3750"/>
    <w:rsid w:val="65C95EBF"/>
    <w:rsid w:val="65DC5DBF"/>
    <w:rsid w:val="65DC6F57"/>
    <w:rsid w:val="65EC1EC9"/>
    <w:rsid w:val="65FB7C11"/>
    <w:rsid w:val="664033C1"/>
    <w:rsid w:val="665011EC"/>
    <w:rsid w:val="66C368CF"/>
    <w:rsid w:val="66C404B2"/>
    <w:rsid w:val="670A3A9C"/>
    <w:rsid w:val="674A7A0D"/>
    <w:rsid w:val="67733BE6"/>
    <w:rsid w:val="67893603"/>
    <w:rsid w:val="67A67FAA"/>
    <w:rsid w:val="67AFDE50"/>
    <w:rsid w:val="67B070D5"/>
    <w:rsid w:val="67C96D11"/>
    <w:rsid w:val="67D53C07"/>
    <w:rsid w:val="68170024"/>
    <w:rsid w:val="681B6C16"/>
    <w:rsid w:val="682409AB"/>
    <w:rsid w:val="68684D3C"/>
    <w:rsid w:val="689F0032"/>
    <w:rsid w:val="68A56EC4"/>
    <w:rsid w:val="694462B7"/>
    <w:rsid w:val="696B60A5"/>
    <w:rsid w:val="69797149"/>
    <w:rsid w:val="69B1626F"/>
    <w:rsid w:val="69BD25F4"/>
    <w:rsid w:val="69C100CE"/>
    <w:rsid w:val="69C15653"/>
    <w:rsid w:val="69C8747C"/>
    <w:rsid w:val="69E55F18"/>
    <w:rsid w:val="6A0A19B2"/>
    <w:rsid w:val="6A303637"/>
    <w:rsid w:val="6A3E3E3E"/>
    <w:rsid w:val="6A7B5D93"/>
    <w:rsid w:val="6AC8309D"/>
    <w:rsid w:val="6AFE77CC"/>
    <w:rsid w:val="6C1C0317"/>
    <w:rsid w:val="6C1E338C"/>
    <w:rsid w:val="6C51753C"/>
    <w:rsid w:val="6C642632"/>
    <w:rsid w:val="6C6A462D"/>
    <w:rsid w:val="6CAA7A4F"/>
    <w:rsid w:val="6CCA4ACD"/>
    <w:rsid w:val="6D437B25"/>
    <w:rsid w:val="6D8A544F"/>
    <w:rsid w:val="6DB55F11"/>
    <w:rsid w:val="6DF57C13"/>
    <w:rsid w:val="6E354E28"/>
    <w:rsid w:val="6E777A87"/>
    <w:rsid w:val="6E8566D5"/>
    <w:rsid w:val="6E8C5C07"/>
    <w:rsid w:val="6E9E1427"/>
    <w:rsid w:val="6EF4AFB6"/>
    <w:rsid w:val="6F061C4A"/>
    <w:rsid w:val="6F91464A"/>
    <w:rsid w:val="6FB3352C"/>
    <w:rsid w:val="6FCF2CFF"/>
    <w:rsid w:val="6FE82F51"/>
    <w:rsid w:val="70014C05"/>
    <w:rsid w:val="702F5DC3"/>
    <w:rsid w:val="708853E6"/>
    <w:rsid w:val="70BD201F"/>
    <w:rsid w:val="70E44202"/>
    <w:rsid w:val="714F0CC5"/>
    <w:rsid w:val="71513119"/>
    <w:rsid w:val="718C74B7"/>
    <w:rsid w:val="71C63FD9"/>
    <w:rsid w:val="720A19F6"/>
    <w:rsid w:val="721101F2"/>
    <w:rsid w:val="72214ACF"/>
    <w:rsid w:val="728269FA"/>
    <w:rsid w:val="728A55A5"/>
    <w:rsid w:val="72BE5813"/>
    <w:rsid w:val="73306E0A"/>
    <w:rsid w:val="7348639C"/>
    <w:rsid w:val="734B2115"/>
    <w:rsid w:val="73637782"/>
    <w:rsid w:val="739827E0"/>
    <w:rsid w:val="73CE3DE1"/>
    <w:rsid w:val="73F33336"/>
    <w:rsid w:val="73F3714B"/>
    <w:rsid w:val="73FA2C8B"/>
    <w:rsid w:val="74356A6E"/>
    <w:rsid w:val="74B9176E"/>
    <w:rsid w:val="74BA7CF4"/>
    <w:rsid w:val="74BB2697"/>
    <w:rsid w:val="74CFBD8E"/>
    <w:rsid w:val="74D55507"/>
    <w:rsid w:val="74DA48CB"/>
    <w:rsid w:val="753C8C48"/>
    <w:rsid w:val="75CA55D2"/>
    <w:rsid w:val="764010A6"/>
    <w:rsid w:val="768B4EA0"/>
    <w:rsid w:val="76A33F8C"/>
    <w:rsid w:val="76AE01D4"/>
    <w:rsid w:val="76C021E7"/>
    <w:rsid w:val="76DB1BCB"/>
    <w:rsid w:val="76DB6207"/>
    <w:rsid w:val="772D5DFF"/>
    <w:rsid w:val="773D67BB"/>
    <w:rsid w:val="774A5E51"/>
    <w:rsid w:val="777FF535"/>
    <w:rsid w:val="77A21D11"/>
    <w:rsid w:val="77BD73F2"/>
    <w:rsid w:val="77C773EA"/>
    <w:rsid w:val="78183B02"/>
    <w:rsid w:val="78833499"/>
    <w:rsid w:val="78BF553D"/>
    <w:rsid w:val="78EC72C3"/>
    <w:rsid w:val="795FF980"/>
    <w:rsid w:val="79606131"/>
    <w:rsid w:val="797C599D"/>
    <w:rsid w:val="79A55275"/>
    <w:rsid w:val="79AC132F"/>
    <w:rsid w:val="79AE7868"/>
    <w:rsid w:val="79FB1BF9"/>
    <w:rsid w:val="7A013955"/>
    <w:rsid w:val="7A2E6B4A"/>
    <w:rsid w:val="7A486617"/>
    <w:rsid w:val="7A6976B7"/>
    <w:rsid w:val="7A7F2BE1"/>
    <w:rsid w:val="7AB0467F"/>
    <w:rsid w:val="7ACE649B"/>
    <w:rsid w:val="7AD12BB0"/>
    <w:rsid w:val="7AE44215"/>
    <w:rsid w:val="7AE676A0"/>
    <w:rsid w:val="7AF21BC8"/>
    <w:rsid w:val="7AFE7865"/>
    <w:rsid w:val="7B126425"/>
    <w:rsid w:val="7B326164"/>
    <w:rsid w:val="7B6C1201"/>
    <w:rsid w:val="7BB05CB5"/>
    <w:rsid w:val="7BBB5210"/>
    <w:rsid w:val="7BF5622A"/>
    <w:rsid w:val="7BF7A784"/>
    <w:rsid w:val="7C663C84"/>
    <w:rsid w:val="7C692D62"/>
    <w:rsid w:val="7CBB4CB8"/>
    <w:rsid w:val="7D0E4FE0"/>
    <w:rsid w:val="7D112012"/>
    <w:rsid w:val="7D1C3CE6"/>
    <w:rsid w:val="7D3E165B"/>
    <w:rsid w:val="7DC7733A"/>
    <w:rsid w:val="7DEC2738"/>
    <w:rsid w:val="7E0B2F8A"/>
    <w:rsid w:val="7E2F6248"/>
    <w:rsid w:val="7E7F0292"/>
    <w:rsid w:val="7E843835"/>
    <w:rsid w:val="7EB555FD"/>
    <w:rsid w:val="7ECF4373"/>
    <w:rsid w:val="7EEA4F1B"/>
    <w:rsid w:val="7EEF4297"/>
    <w:rsid w:val="7EF7251E"/>
    <w:rsid w:val="7EFD5381"/>
    <w:rsid w:val="7F280647"/>
    <w:rsid w:val="7F781897"/>
    <w:rsid w:val="7F9A28DC"/>
    <w:rsid w:val="7FC43CD6"/>
    <w:rsid w:val="9BA3E24E"/>
    <w:rsid w:val="BEE7F341"/>
    <w:rsid w:val="BFEFDF2E"/>
    <w:rsid w:val="BFFE0B4F"/>
    <w:rsid w:val="D96F88E1"/>
    <w:rsid w:val="E3EFA228"/>
    <w:rsid w:val="EFFF18FA"/>
    <w:rsid w:val="F13F50D4"/>
    <w:rsid w:val="F52FA6FB"/>
    <w:rsid w:val="FAC96521"/>
    <w:rsid w:val="FBEF0238"/>
    <w:rsid w:val="FFDD5BB3"/>
    <w:rsid w:val="FFEE7428"/>
    <w:rsid w:val="FFF3C10C"/>
    <w:rsid w:val="FFFBF968"/>
    <w:rsid w:val="FFFF1474"/>
    <w:rsid w:val="FFFF5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adjustRightInd w:val="0"/>
      <w:spacing w:before="120"/>
      <w:textAlignment w:val="baseline"/>
      <w:outlineLvl w:val="0"/>
    </w:pPr>
    <w:rPr>
      <w:rFonts w:eastAsia="黑体"/>
      <w:b/>
      <w:kern w:val="44"/>
      <w:sz w:val="28"/>
      <w:szCs w:val="20"/>
    </w:rPr>
  </w:style>
  <w:style w:type="paragraph" w:styleId="4">
    <w:name w:val="heading 2"/>
    <w:basedOn w:val="1"/>
    <w:next w:val="1"/>
    <w:link w:val="56"/>
    <w:qFormat/>
    <w:uiPriority w:val="0"/>
    <w:pPr>
      <w:keepNext/>
      <w:numPr>
        <w:ilvl w:val="1"/>
        <w:numId w:val="1"/>
      </w:numPr>
      <w:adjustRightInd w:val="0"/>
      <w:spacing w:before="120"/>
      <w:textAlignment w:val="baseline"/>
      <w:outlineLvl w:val="1"/>
    </w:pPr>
    <w:rPr>
      <w:rFonts w:eastAsia="黑体"/>
      <w:b/>
      <w:kern w:val="0"/>
      <w:sz w:val="28"/>
      <w:szCs w:val="20"/>
    </w:rPr>
  </w:style>
  <w:style w:type="paragraph" w:styleId="5">
    <w:name w:val="heading 3"/>
    <w:basedOn w:val="1"/>
    <w:next w:val="1"/>
    <w:link w:val="57"/>
    <w:qFormat/>
    <w:uiPriority w:val="0"/>
    <w:pPr>
      <w:numPr>
        <w:ilvl w:val="2"/>
        <w:numId w:val="1"/>
      </w:numPr>
      <w:tabs>
        <w:tab w:val="left" w:pos="900"/>
        <w:tab w:val="clear" w:pos="2177"/>
      </w:tabs>
      <w:adjustRightInd w:val="0"/>
      <w:spacing w:before="120"/>
      <w:textAlignment w:val="baseline"/>
      <w:outlineLvl w:val="2"/>
    </w:pPr>
    <w:rPr>
      <w:rFonts w:eastAsia="黑体"/>
      <w:b/>
      <w:kern w:val="0"/>
      <w:sz w:val="28"/>
      <w:szCs w:val="20"/>
    </w:rPr>
  </w:style>
  <w:style w:type="paragraph" w:styleId="6">
    <w:name w:val="heading 4"/>
    <w:basedOn w:val="1"/>
    <w:next w:val="1"/>
    <w:qFormat/>
    <w:uiPriority w:val="0"/>
    <w:pPr>
      <w:numPr>
        <w:ilvl w:val="3"/>
        <w:numId w:val="1"/>
      </w:numPr>
      <w:adjustRightInd w:val="0"/>
      <w:spacing w:before="120"/>
      <w:textAlignment w:val="baseline"/>
      <w:outlineLvl w:val="3"/>
    </w:pPr>
    <w:rPr>
      <w:rFonts w:ascii="Arial" w:hAnsi="Arial" w:eastAsia="黑体"/>
      <w:kern w:val="0"/>
      <w:sz w:val="28"/>
      <w:szCs w:val="20"/>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after="120"/>
      <w:ind w:firstLine="420" w:firstLineChars="200"/>
    </w:pPr>
    <w:rPr>
      <w:sz w:val="24"/>
      <w:szCs w:val="20"/>
    </w:rPr>
  </w:style>
  <w:style w:type="paragraph" w:styleId="12">
    <w:name w:val="toc 7"/>
    <w:basedOn w:val="1"/>
    <w:next w:val="1"/>
    <w:qFormat/>
    <w:uiPriority w:val="0"/>
    <w:pPr>
      <w:ind w:left="2520" w:leftChars="1200"/>
    </w:pPr>
  </w:style>
  <w:style w:type="paragraph" w:styleId="13">
    <w:name w:val="caption"/>
    <w:basedOn w:val="1"/>
    <w:next w:val="1"/>
    <w:qFormat/>
    <w:uiPriority w:val="0"/>
    <w:pPr>
      <w:ind w:firstLine="200" w:firstLineChars="200"/>
    </w:pPr>
    <w:rPr>
      <w:rFonts w:ascii="Arial" w:hAnsi="Arial" w:eastAsia="黑体" w:cs="Arial"/>
      <w:sz w:val="20"/>
      <w:szCs w:val="20"/>
    </w:rPr>
  </w:style>
  <w:style w:type="paragraph" w:styleId="14">
    <w:name w:val="Document Map"/>
    <w:basedOn w:val="1"/>
    <w:qFormat/>
    <w:uiPriority w:val="0"/>
    <w:pPr>
      <w:shd w:val="clear" w:color="auto" w:fill="000080"/>
    </w:pPr>
  </w:style>
  <w:style w:type="paragraph" w:styleId="15">
    <w:name w:val="annotation text"/>
    <w:basedOn w:val="1"/>
    <w:qFormat/>
    <w:uiPriority w:val="0"/>
    <w:pPr>
      <w:ind w:firstLine="200" w:firstLineChars="200"/>
      <w:jc w:val="left"/>
    </w:pPr>
    <w:rPr>
      <w:sz w:val="24"/>
    </w:rPr>
  </w:style>
  <w:style w:type="paragraph" w:styleId="16">
    <w:name w:val="Body Text 3"/>
    <w:basedOn w:val="1"/>
    <w:qFormat/>
    <w:uiPriority w:val="0"/>
    <w:rPr>
      <w:sz w:val="24"/>
    </w:rPr>
  </w:style>
  <w:style w:type="paragraph" w:styleId="17">
    <w:name w:val="Body Text"/>
    <w:basedOn w:val="1"/>
    <w:qFormat/>
    <w:uiPriority w:val="0"/>
    <w:rPr>
      <w:rFonts w:ascii="金山简黑体" w:hAnsi="金山简黑体" w:eastAsia="金山简黑体"/>
      <w:b/>
      <w:spacing w:val="-8"/>
      <w:sz w:val="44"/>
      <w:szCs w:val="20"/>
    </w:rPr>
  </w:style>
  <w:style w:type="paragraph" w:styleId="18">
    <w:name w:val="Body Text Indent"/>
    <w:basedOn w:val="1"/>
    <w:qFormat/>
    <w:uiPriority w:val="0"/>
    <w:pPr>
      <w:spacing w:line="200" w:lineRule="exact"/>
      <w:ind w:firstLine="301"/>
    </w:pPr>
    <w:rPr>
      <w:rFonts w:ascii="宋体"/>
      <w:spacing w:val="-4"/>
      <w:sz w:val="18"/>
      <w:szCs w:val="20"/>
    </w:rPr>
  </w:style>
  <w:style w:type="paragraph" w:styleId="19">
    <w:name w:val="toc 5"/>
    <w:basedOn w:val="1"/>
    <w:next w:val="1"/>
    <w:qFormat/>
    <w:uiPriority w:val="0"/>
    <w:pPr>
      <w:ind w:left="1680" w:leftChars="800"/>
    </w:pPr>
  </w:style>
  <w:style w:type="paragraph" w:styleId="20">
    <w:name w:val="toc 3"/>
    <w:basedOn w:val="1"/>
    <w:next w:val="1"/>
    <w:qFormat/>
    <w:uiPriority w:val="0"/>
    <w:pPr>
      <w:ind w:left="840" w:leftChars="400"/>
    </w:pPr>
  </w:style>
  <w:style w:type="paragraph" w:styleId="21">
    <w:name w:val="Plain Text"/>
    <w:basedOn w:val="1"/>
    <w:next w:val="1"/>
    <w:link w:val="58"/>
    <w:qFormat/>
    <w:uiPriority w:val="0"/>
    <w:rPr>
      <w:rFonts w:ascii="宋体"/>
      <w:szCs w:val="20"/>
    </w:rPr>
  </w:style>
  <w:style w:type="paragraph" w:styleId="22">
    <w:name w:val="toc 8"/>
    <w:basedOn w:val="1"/>
    <w:next w:val="1"/>
    <w:qFormat/>
    <w:uiPriority w:val="0"/>
    <w:pPr>
      <w:ind w:left="2940" w:leftChars="1400"/>
    </w:pPr>
  </w:style>
  <w:style w:type="paragraph" w:styleId="23">
    <w:name w:val="Date"/>
    <w:basedOn w:val="1"/>
    <w:next w:val="1"/>
    <w:qFormat/>
    <w:uiPriority w:val="0"/>
    <w:pPr>
      <w:ind w:left="100" w:leftChars="2500"/>
    </w:pPr>
    <w:rPr>
      <w:rFonts w:ascii="华文中宋" w:hAnsi="华文中宋" w:eastAsia="华文中宋" w:cs="Arial"/>
      <w:iCs/>
      <w:color w:val="000000"/>
      <w:kern w:val="44"/>
      <w:sz w:val="36"/>
      <w:szCs w:val="21"/>
    </w:rPr>
  </w:style>
  <w:style w:type="paragraph" w:styleId="24">
    <w:name w:val="Body Text Indent 2"/>
    <w:basedOn w:val="1"/>
    <w:qFormat/>
    <w:uiPriority w:val="0"/>
    <w:pPr>
      <w:spacing w:after="120" w:line="480" w:lineRule="auto"/>
      <w:ind w:left="200" w:leftChars="200"/>
    </w:pPr>
  </w:style>
  <w:style w:type="paragraph" w:styleId="25">
    <w:name w:val="Balloon Text"/>
    <w:basedOn w:val="1"/>
    <w:qFormat/>
    <w:uiPriority w:val="0"/>
    <w:rPr>
      <w:sz w:val="18"/>
      <w:szCs w:val="18"/>
    </w:rPr>
  </w:style>
  <w:style w:type="paragraph" w:styleId="26">
    <w:name w:val="footer"/>
    <w:basedOn w:val="1"/>
    <w:qFormat/>
    <w:uiPriority w:val="0"/>
    <w:pPr>
      <w:tabs>
        <w:tab w:val="center" w:pos="4153"/>
        <w:tab w:val="right" w:pos="8306"/>
      </w:tabs>
      <w:snapToGrid w:val="0"/>
      <w:jc w:val="left"/>
    </w:pPr>
    <w:rPr>
      <w:rFonts w:ascii="宋体"/>
      <w:sz w:val="18"/>
      <w:szCs w:val="20"/>
    </w:rPr>
  </w:style>
  <w:style w:type="paragraph" w:styleId="2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style>
  <w:style w:type="paragraph" w:styleId="29">
    <w:name w:val="toc 4"/>
    <w:basedOn w:val="1"/>
    <w:next w:val="1"/>
    <w:qFormat/>
    <w:uiPriority w:val="0"/>
    <w:pPr>
      <w:ind w:left="1260" w:leftChars="600"/>
    </w:pPr>
  </w:style>
  <w:style w:type="paragraph" w:styleId="30">
    <w:name w:val="toc 6"/>
    <w:basedOn w:val="1"/>
    <w:next w:val="1"/>
    <w:qFormat/>
    <w:uiPriority w:val="0"/>
    <w:pPr>
      <w:ind w:left="2100" w:leftChars="1000"/>
    </w:pPr>
  </w:style>
  <w:style w:type="paragraph" w:styleId="31">
    <w:name w:val="Body Text Indent 3"/>
    <w:basedOn w:val="1"/>
    <w:qFormat/>
    <w:uiPriority w:val="0"/>
    <w:pPr>
      <w:spacing w:line="400" w:lineRule="exact"/>
      <w:ind w:left="360"/>
    </w:pPr>
    <w:rPr>
      <w:sz w:val="24"/>
    </w:rPr>
  </w:style>
  <w:style w:type="paragraph" w:styleId="32">
    <w:name w:val="toc 2"/>
    <w:basedOn w:val="1"/>
    <w:next w:val="1"/>
    <w:qFormat/>
    <w:uiPriority w:val="39"/>
    <w:pPr>
      <w:ind w:left="420" w:leftChars="200"/>
    </w:pPr>
  </w:style>
  <w:style w:type="paragraph" w:styleId="33">
    <w:name w:val="toc 9"/>
    <w:basedOn w:val="1"/>
    <w:next w:val="1"/>
    <w:qFormat/>
    <w:uiPriority w:val="0"/>
    <w:pPr>
      <w:ind w:left="3360" w:leftChars="1600"/>
    </w:pPr>
  </w:style>
  <w:style w:type="paragraph" w:styleId="34">
    <w:name w:val="Body Text 2"/>
    <w:basedOn w:val="1"/>
    <w:qFormat/>
    <w:uiPriority w:val="0"/>
    <w:rPr>
      <w:rFonts w:ascii="宋体"/>
      <w:sz w:val="13"/>
      <w:szCs w:val="20"/>
    </w:rPr>
  </w:style>
  <w:style w:type="paragraph" w:styleId="35">
    <w:name w:val="Normal (Web)"/>
    <w:basedOn w:val="1"/>
    <w:qFormat/>
    <w:uiPriority w:val="99"/>
    <w:pPr>
      <w:widowControl/>
      <w:spacing w:before="100" w:beforeAutospacing="1" w:after="100" w:afterAutospacing="1"/>
      <w:jc w:val="left"/>
    </w:pPr>
    <w:rPr>
      <w:rFonts w:ascii="宋体" w:hAnsi="宋体"/>
      <w:kern w:val="0"/>
      <w:sz w:val="24"/>
    </w:rPr>
  </w:style>
  <w:style w:type="paragraph" w:styleId="36">
    <w:name w:val="index 1"/>
    <w:basedOn w:val="1"/>
    <w:next w:val="1"/>
    <w:qFormat/>
    <w:uiPriority w:val="0"/>
    <w:pPr>
      <w:ind w:firstLine="200" w:firstLineChars="200"/>
    </w:pPr>
    <w:rPr>
      <w:sz w:val="24"/>
    </w:rPr>
  </w:style>
  <w:style w:type="paragraph" w:styleId="37">
    <w:name w:val="Title"/>
    <w:basedOn w:val="1"/>
    <w:next w:val="1"/>
    <w:qFormat/>
    <w:uiPriority w:val="0"/>
    <w:pPr>
      <w:spacing w:before="240" w:after="60"/>
      <w:jc w:val="center"/>
      <w:outlineLvl w:val="0"/>
    </w:pPr>
    <w:rPr>
      <w:rFonts w:ascii="Arial" w:hAnsi="Arial" w:cs="Arial"/>
      <w:b/>
      <w:bCs/>
      <w:sz w:val="32"/>
      <w:szCs w:val="32"/>
    </w:rPr>
  </w:style>
  <w:style w:type="paragraph" w:styleId="38">
    <w:name w:val="annotation subject"/>
    <w:basedOn w:val="15"/>
    <w:next w:val="15"/>
    <w:qFormat/>
    <w:uiPriority w:val="0"/>
    <w:rPr>
      <w:b/>
      <w:bCs/>
    </w:rPr>
  </w:style>
  <w:style w:type="paragraph" w:styleId="39">
    <w:name w:val="Body Text First Indent"/>
    <w:basedOn w:val="17"/>
    <w:qFormat/>
    <w:uiPriority w:val="0"/>
    <w:pPr>
      <w:spacing w:after="120"/>
      <w:ind w:firstLine="420" w:firstLineChars="100"/>
    </w:pPr>
    <w:rPr>
      <w:rFonts w:ascii="Times New Roman" w:hAnsi="Times New Roman" w:eastAsia="宋体"/>
      <w:bCs/>
      <w:spacing w:val="0"/>
      <w:kern w:val="44"/>
      <w:sz w:val="52"/>
      <w:szCs w:val="44"/>
    </w:rPr>
  </w:style>
  <w:style w:type="paragraph" w:styleId="40">
    <w:name w:val="Body Text First Indent 2"/>
    <w:basedOn w:val="18"/>
    <w:qFormat/>
    <w:uiPriority w:val="0"/>
    <w:pPr>
      <w:spacing w:line="360" w:lineRule="auto"/>
      <w:ind w:firstLine="420" w:firstLineChars="200"/>
    </w:pPr>
    <w:rPr>
      <w:rFonts w:hAnsi="宋体"/>
      <w:spacing w:val="0"/>
      <w:sz w:val="21"/>
    </w:r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0"/>
    <w:rPr>
      <w:b/>
      <w:bCs/>
    </w:rPr>
  </w:style>
  <w:style w:type="character" w:styleId="45">
    <w:name w:val="page number"/>
    <w:qFormat/>
    <w:uiPriority w:val="0"/>
  </w:style>
  <w:style w:type="character" w:styleId="46">
    <w:name w:val="FollowedHyperlink"/>
    <w:basedOn w:val="43"/>
    <w:qFormat/>
    <w:uiPriority w:val="0"/>
    <w:rPr>
      <w:color w:val="337AB7"/>
      <w:u w:val="single"/>
    </w:rPr>
  </w:style>
  <w:style w:type="character" w:styleId="47">
    <w:name w:val="Emphasis"/>
    <w:basedOn w:val="43"/>
    <w:qFormat/>
    <w:uiPriority w:val="0"/>
    <w:rPr>
      <w:i/>
    </w:rPr>
  </w:style>
  <w:style w:type="character" w:styleId="48">
    <w:name w:val="HTML Definition"/>
    <w:basedOn w:val="43"/>
    <w:qFormat/>
    <w:uiPriority w:val="0"/>
    <w:rPr>
      <w:i/>
    </w:rPr>
  </w:style>
  <w:style w:type="character" w:styleId="49">
    <w:name w:val="Hyperlink"/>
    <w:basedOn w:val="43"/>
    <w:qFormat/>
    <w:uiPriority w:val="99"/>
    <w:rPr>
      <w:color w:val="337AB7"/>
      <w:u w:val="single"/>
    </w:rPr>
  </w:style>
  <w:style w:type="character" w:styleId="50">
    <w:name w:val="HTML Code"/>
    <w:basedOn w:val="43"/>
    <w:qFormat/>
    <w:uiPriority w:val="0"/>
    <w:rPr>
      <w:rFonts w:hint="default" w:ascii="Consolas" w:hAnsi="Consolas" w:eastAsia="Consolas" w:cs="Consolas"/>
      <w:color w:val="C7254E"/>
      <w:sz w:val="21"/>
      <w:szCs w:val="21"/>
      <w:shd w:val="clear" w:color="auto" w:fill="F9F2F4"/>
    </w:rPr>
  </w:style>
  <w:style w:type="character" w:styleId="51">
    <w:name w:val="annotation reference"/>
    <w:basedOn w:val="43"/>
    <w:qFormat/>
    <w:uiPriority w:val="0"/>
    <w:rPr>
      <w:sz w:val="21"/>
      <w:szCs w:val="21"/>
    </w:rPr>
  </w:style>
  <w:style w:type="character" w:styleId="52">
    <w:name w:val="HTML Keyboard"/>
    <w:basedOn w:val="43"/>
    <w:qFormat/>
    <w:uiPriority w:val="0"/>
    <w:rPr>
      <w:rFonts w:ascii="Consolas" w:hAnsi="Consolas" w:eastAsia="Consolas" w:cs="Consolas"/>
      <w:color w:val="FFFFFF"/>
      <w:sz w:val="21"/>
      <w:szCs w:val="21"/>
      <w:shd w:val="clear" w:color="auto" w:fill="333333"/>
    </w:rPr>
  </w:style>
  <w:style w:type="character" w:styleId="53">
    <w:name w:val="HTML Sample"/>
    <w:basedOn w:val="43"/>
    <w:qFormat/>
    <w:uiPriority w:val="0"/>
    <w:rPr>
      <w:rFonts w:hint="default" w:ascii="Consolas" w:hAnsi="Consolas" w:eastAsia="Consolas" w:cs="Consolas"/>
      <w:sz w:val="21"/>
      <w:szCs w:val="21"/>
    </w:rPr>
  </w:style>
  <w:style w:type="paragraph" w:customStyle="1" w:styleId="54">
    <w:name w:val="_Style 35"/>
    <w:basedOn w:val="1"/>
    <w:next w:val="1"/>
    <w:qFormat/>
    <w:uiPriority w:val="0"/>
  </w:style>
  <w:style w:type="paragraph" w:customStyle="1" w:styleId="55">
    <w:name w:val="表格文字"/>
    <w:basedOn w:val="1"/>
    <w:next w:val="1"/>
    <w:qFormat/>
    <w:uiPriority w:val="99"/>
    <w:pPr>
      <w:spacing w:before="25" w:after="25"/>
      <w:jc w:val="left"/>
    </w:pPr>
    <w:rPr>
      <w:rFonts w:ascii="Calibri" w:hAnsi="Calibri"/>
      <w:bCs/>
      <w:spacing w:val="10"/>
      <w:kern w:val="0"/>
      <w:sz w:val="24"/>
      <w:szCs w:val="22"/>
    </w:rPr>
  </w:style>
  <w:style w:type="character" w:customStyle="1" w:styleId="56">
    <w:name w:val="标题 2 字符"/>
    <w:link w:val="4"/>
    <w:qFormat/>
    <w:uiPriority w:val="0"/>
    <w:rPr>
      <w:rFonts w:eastAsia="黑体"/>
      <w:b/>
      <w:sz w:val="28"/>
      <w:lang w:val="en-US" w:eastAsia="zh-CN" w:bidi="ar-SA"/>
    </w:rPr>
  </w:style>
  <w:style w:type="character" w:customStyle="1" w:styleId="57">
    <w:name w:val="标题 3 字符"/>
    <w:link w:val="5"/>
    <w:qFormat/>
    <w:uiPriority w:val="0"/>
    <w:rPr>
      <w:rFonts w:eastAsia="黑体"/>
      <w:b/>
      <w:sz w:val="28"/>
      <w:lang w:val="en-US" w:eastAsia="zh-CN" w:bidi="ar-SA"/>
    </w:rPr>
  </w:style>
  <w:style w:type="character" w:customStyle="1" w:styleId="58">
    <w:name w:val="纯文本 字符"/>
    <w:link w:val="21"/>
    <w:qFormat/>
    <w:uiPriority w:val="0"/>
    <w:rPr>
      <w:rFonts w:ascii="宋体" w:eastAsia="宋体"/>
      <w:kern w:val="2"/>
      <w:sz w:val="21"/>
      <w:lang w:val="en-US" w:eastAsia="zh-CN" w:bidi="ar-SA"/>
    </w:rPr>
  </w:style>
  <w:style w:type="character" w:customStyle="1" w:styleId="59">
    <w:name w:val="普通文字 Char Char1"/>
    <w:qFormat/>
    <w:uiPriority w:val="0"/>
    <w:rPr>
      <w:rFonts w:ascii="宋体" w:eastAsia="宋体"/>
      <w:kern w:val="2"/>
      <w:sz w:val="21"/>
      <w:lang w:val="en-US" w:eastAsia="zh-CN" w:bidi="ar-SA"/>
    </w:rPr>
  </w:style>
  <w:style w:type="character" w:customStyle="1" w:styleId="60">
    <w:name w:val="icon"/>
    <w:basedOn w:val="43"/>
    <w:qFormat/>
    <w:uiPriority w:val="0"/>
  </w:style>
  <w:style w:type="character" w:customStyle="1" w:styleId="61">
    <w:name w:val="grame"/>
    <w:qFormat/>
    <w:uiPriority w:val="0"/>
  </w:style>
  <w:style w:type="character" w:customStyle="1" w:styleId="62">
    <w:name w:val="control-label-text1"/>
    <w:basedOn w:val="43"/>
    <w:qFormat/>
    <w:uiPriority w:val="0"/>
  </w:style>
  <w:style w:type="character" w:customStyle="1" w:styleId="63">
    <w:name w:val="Char Char1"/>
    <w:qFormat/>
    <w:uiPriority w:val="0"/>
    <w:rPr>
      <w:rFonts w:eastAsia="宋体"/>
      <w:b/>
      <w:bCs/>
      <w:kern w:val="44"/>
      <w:sz w:val="52"/>
      <w:szCs w:val="44"/>
      <w:lang w:val="en-US" w:eastAsia="zh-CN" w:bidi="ar-SA"/>
    </w:rPr>
  </w:style>
  <w:style w:type="character" w:customStyle="1" w:styleId="64">
    <w:name w:val="glyphicon6"/>
    <w:basedOn w:val="43"/>
    <w:qFormat/>
    <w:uiPriority w:val="0"/>
  </w:style>
  <w:style w:type="character" w:customStyle="1" w:styleId="65">
    <w:name w:val="孙普文字 Char2"/>
    <w:qFormat/>
    <w:uiPriority w:val="0"/>
    <w:rPr>
      <w:rFonts w:ascii="宋体" w:eastAsia="宋体"/>
      <w:kern w:val="2"/>
      <w:sz w:val="21"/>
      <w:lang w:val="en-US" w:eastAsia="zh-CN" w:bidi="ar-SA"/>
    </w:rPr>
  </w:style>
  <w:style w:type="character" w:customStyle="1" w:styleId="66">
    <w:name w:val="indent"/>
    <w:basedOn w:val="43"/>
    <w:qFormat/>
    <w:uiPriority w:val="0"/>
  </w:style>
  <w:style w:type="character" w:customStyle="1" w:styleId="67">
    <w:name w:val="glyphicon"/>
    <w:basedOn w:val="43"/>
    <w:qFormat/>
    <w:uiPriority w:val="0"/>
  </w:style>
  <w:style w:type="character" w:customStyle="1" w:styleId="68">
    <w:name w:val="old"/>
    <w:basedOn w:val="43"/>
    <w:qFormat/>
    <w:uiPriority w:val="0"/>
    <w:rPr>
      <w:color w:val="999999"/>
    </w:rPr>
  </w:style>
  <w:style w:type="character" w:customStyle="1" w:styleId="69">
    <w:name w:val="hover1"/>
    <w:basedOn w:val="43"/>
    <w:qFormat/>
    <w:uiPriority w:val="0"/>
    <w:rPr>
      <w:shd w:val="clear" w:color="auto" w:fill="EEEEEE"/>
    </w:rPr>
  </w:style>
  <w:style w:type="character" w:customStyle="1" w:styleId="70">
    <w:name w:val="rili11"/>
    <w:qFormat/>
    <w:uiPriority w:val="0"/>
    <w:rPr>
      <w:sz w:val="21"/>
      <w:szCs w:val="21"/>
    </w:rPr>
  </w:style>
  <w:style w:type="character" w:customStyle="1" w:styleId="71">
    <w:name w:val="ca-1"/>
    <w:basedOn w:val="43"/>
    <w:qFormat/>
    <w:uiPriority w:val="0"/>
  </w:style>
  <w:style w:type="character" w:customStyle="1" w:styleId="72">
    <w:name w:val="hover"/>
    <w:basedOn w:val="43"/>
    <w:qFormat/>
    <w:uiPriority w:val="0"/>
    <w:rPr>
      <w:shd w:val="clear" w:color="auto" w:fill="EEEEEE"/>
    </w:rPr>
  </w:style>
  <w:style w:type="character" w:customStyle="1" w:styleId="73">
    <w:name w:val="hour_pm"/>
    <w:basedOn w:val="43"/>
    <w:qFormat/>
    <w:uiPriority w:val="0"/>
  </w:style>
  <w:style w:type="character" w:customStyle="1" w:styleId="74">
    <w:name w:val="hour_am"/>
    <w:basedOn w:val="43"/>
    <w:qFormat/>
    <w:uiPriority w:val="0"/>
  </w:style>
  <w:style w:type="paragraph" w:customStyle="1" w:styleId="75">
    <w:name w:val="正文五号"/>
    <w:basedOn w:val="1"/>
    <w:qFormat/>
    <w:uiPriority w:val="0"/>
    <w:rPr>
      <w:rFonts w:hint="eastAsia" w:ascii="宋体" w:eastAsia="仿宋_GB2312"/>
      <w:szCs w:val="20"/>
    </w:rPr>
  </w:style>
  <w:style w:type="paragraph" w:customStyle="1" w:styleId="76">
    <w:name w:val="表格"/>
    <w:basedOn w:val="1"/>
    <w:qFormat/>
    <w:uiPriority w:val="0"/>
    <w:pPr>
      <w:tabs>
        <w:tab w:val="left" w:pos="1200"/>
      </w:tabs>
      <w:spacing w:line="500" w:lineRule="exact"/>
      <w:jc w:val="center"/>
    </w:pPr>
    <w:rPr>
      <w:rFonts w:ascii="宋体"/>
      <w:sz w:val="24"/>
      <w:szCs w:val="18"/>
    </w:rPr>
  </w:style>
  <w:style w:type="paragraph" w:customStyle="1" w:styleId="77">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78">
    <w:name w:val="正文 New New"/>
    <w:qFormat/>
    <w:uiPriority w:val="0"/>
    <w:pPr>
      <w:widowControl w:val="0"/>
      <w:jc w:val="both"/>
    </w:pPr>
    <w:rPr>
      <w:rFonts w:ascii="Times New Roman" w:hAnsi="Times New Roman" w:eastAsia="宋体" w:cs="Times New Roman"/>
      <w:lang w:val="en-US" w:eastAsia="zh-CN" w:bidi="ar-SA"/>
    </w:rPr>
  </w:style>
  <w:style w:type="paragraph" w:customStyle="1" w:styleId="79">
    <w:name w:val="普通正文"/>
    <w:basedOn w:val="1"/>
    <w:qFormat/>
    <w:uiPriority w:val="0"/>
    <w:pPr>
      <w:snapToGrid w:val="0"/>
      <w:spacing w:before="120" w:after="120" w:line="360" w:lineRule="atLeast"/>
      <w:ind w:firstLine="425"/>
    </w:pPr>
    <w:rPr>
      <w:kern w:val="21"/>
      <w:szCs w:val="20"/>
    </w:rPr>
  </w:style>
  <w:style w:type="paragraph" w:customStyle="1" w:styleId="80">
    <w:name w:val="Char Char1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81">
    <w:name w:val="Body Text 2_0"/>
    <w:basedOn w:val="1"/>
    <w:qFormat/>
    <w:uiPriority w:val="0"/>
    <w:pPr>
      <w:adjustRightInd w:val="0"/>
      <w:spacing w:before="120"/>
      <w:ind w:firstLine="480"/>
      <w:textAlignment w:val="baseline"/>
    </w:pPr>
    <w:rPr>
      <w:szCs w:val="20"/>
    </w:rPr>
  </w:style>
  <w:style w:type="paragraph" w:customStyle="1" w:styleId="82">
    <w:name w:val="p0"/>
    <w:basedOn w:val="1"/>
    <w:qFormat/>
    <w:uiPriority w:val="0"/>
    <w:pPr>
      <w:widowControl/>
    </w:pPr>
    <w:rPr>
      <w:kern w:val="0"/>
      <w:szCs w:val="21"/>
    </w:rPr>
  </w:style>
  <w:style w:type="paragraph" w:customStyle="1" w:styleId="83">
    <w:name w:val="表头"/>
    <w:basedOn w:val="1"/>
    <w:next w:val="1"/>
    <w:qFormat/>
    <w:uiPriority w:val="0"/>
    <w:pPr>
      <w:widowControl/>
      <w:numPr>
        <w:ilvl w:val="0"/>
        <w:numId w:val="2"/>
      </w:numPr>
      <w:spacing w:line="440" w:lineRule="exact"/>
      <w:ind w:firstLine="200" w:firstLineChars="200"/>
      <w:jc w:val="center"/>
    </w:pPr>
    <w:rPr>
      <w:kern w:val="0"/>
      <w:sz w:val="24"/>
    </w:rPr>
  </w:style>
  <w:style w:type="paragraph" w:customStyle="1" w:styleId="84">
    <w:name w:val="缺省文本"/>
    <w:basedOn w:val="1"/>
    <w:qFormat/>
    <w:uiPriority w:val="0"/>
    <w:pPr>
      <w:autoSpaceDE w:val="0"/>
      <w:autoSpaceDN w:val="0"/>
      <w:adjustRightInd w:val="0"/>
      <w:jc w:val="left"/>
    </w:pPr>
    <w:rPr>
      <w:kern w:val="0"/>
      <w:sz w:val="24"/>
      <w:szCs w:val="20"/>
    </w:rPr>
  </w:style>
  <w:style w:type="paragraph" w:customStyle="1" w:styleId="85">
    <w:name w:val="列表段落1"/>
    <w:basedOn w:val="1"/>
    <w:qFormat/>
    <w:uiPriority w:val="0"/>
    <w:pPr>
      <w:ind w:firstLine="420" w:firstLineChars="200"/>
    </w:pPr>
    <w:rPr>
      <w:rFonts w:ascii="Calibri" w:hAnsi="Calibri"/>
      <w:szCs w:val="22"/>
    </w:rPr>
  </w:style>
  <w:style w:type="paragraph" w:customStyle="1" w:styleId="86">
    <w:name w:val="文档正文"/>
    <w:basedOn w:val="1"/>
    <w:qFormat/>
    <w:uiPriority w:val="0"/>
    <w:pPr>
      <w:spacing w:line="440" w:lineRule="exact"/>
      <w:ind w:firstLine="567"/>
      <w:textAlignment w:val="baseline"/>
    </w:pPr>
    <w:rPr>
      <w:rFonts w:ascii="Arial Narrow" w:hAnsi="Arial Narrow"/>
      <w:kern w:val="0"/>
      <w:szCs w:val="20"/>
    </w:rPr>
  </w:style>
  <w:style w:type="paragraph" w:customStyle="1" w:styleId="8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8">
    <w:name w:val="样式 正文缩进 + 首行缩进:  2 字符"/>
    <w:basedOn w:val="2"/>
    <w:qFormat/>
    <w:uiPriority w:val="0"/>
    <w:pPr>
      <w:spacing w:after="0"/>
      <w:ind w:firstLine="480"/>
    </w:pPr>
    <w:rPr>
      <w:rFonts w:cs="宋体"/>
    </w:rPr>
  </w:style>
  <w:style w:type="paragraph" w:customStyle="1" w:styleId="89">
    <w:name w:val="默认段落字体 Para Char"/>
    <w:basedOn w:val="1"/>
    <w:qFormat/>
    <w:uiPriority w:val="0"/>
    <w:pPr>
      <w:tabs>
        <w:tab w:val="left" w:pos="360"/>
      </w:tabs>
      <w:ind w:left="420" w:hanging="420"/>
    </w:pPr>
    <w:rPr>
      <w:sz w:val="24"/>
      <w:szCs w:val="20"/>
    </w:rPr>
  </w:style>
  <w:style w:type="paragraph" w:customStyle="1" w:styleId="9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1">
    <w:name w:val="表文字"/>
    <w:qFormat/>
    <w:uiPriority w:val="0"/>
    <w:rPr>
      <w:rFonts w:ascii="宋体" w:hAnsi="Times New Roman" w:eastAsia="宋体" w:cs="Times New Roman"/>
      <w:kern w:val="2"/>
      <w:lang w:val="en-US" w:eastAsia="zh-CN" w:bidi="ar-SA"/>
    </w:rPr>
  </w:style>
  <w:style w:type="paragraph" w:customStyle="1" w:styleId="92">
    <w:name w:val="样式1"/>
    <w:basedOn w:val="4"/>
    <w:qFormat/>
    <w:uiPriority w:val="0"/>
  </w:style>
  <w:style w:type="paragraph" w:customStyle="1" w:styleId="93">
    <w:name w:val="z-窗体底端1"/>
    <w:basedOn w:val="1"/>
    <w:next w:val="1"/>
    <w:qFormat/>
    <w:uiPriority w:val="0"/>
    <w:pPr>
      <w:pBdr>
        <w:top w:val="single" w:color="auto" w:sz="6" w:space="1"/>
      </w:pBdr>
      <w:jc w:val="center"/>
    </w:pPr>
    <w:rPr>
      <w:rFonts w:ascii="Arial"/>
      <w:vanish/>
      <w:sz w:val="16"/>
    </w:rPr>
  </w:style>
  <w:style w:type="paragraph" w:customStyle="1" w:styleId="94">
    <w:name w:val="xl23"/>
    <w:next w:val="3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5">
    <w:name w:val="方案正文"/>
    <w:qFormat/>
    <w:uiPriority w:val="0"/>
    <w:pPr>
      <w:spacing w:before="100" w:beforeAutospacing="1" w:after="100" w:afterAutospacing="1" w:line="330" w:lineRule="atLeast"/>
      <w:ind w:firstLine="200" w:firstLineChars="200"/>
    </w:pPr>
    <w:rPr>
      <w:rFonts w:ascii="ˎ̥" w:hAnsi="ˎ̥" w:eastAsia="宋体" w:cs="宋体"/>
      <w:color w:val="51585D"/>
      <w:sz w:val="28"/>
      <w:szCs w:val="18"/>
      <w:lang w:val="en-US" w:eastAsia="zh-CN" w:bidi="ar-SA"/>
    </w:rPr>
  </w:style>
  <w:style w:type="paragraph" w:customStyle="1" w:styleId="96">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97">
    <w:name w:val="默认段落字体 Para Char Char Char Char Char Char"/>
    <w:basedOn w:val="1"/>
    <w:qFormat/>
    <w:uiPriority w:val="0"/>
    <w:rPr>
      <w:rFonts w:ascii="Tahoma" w:hAnsi="Tahoma"/>
      <w:sz w:val="24"/>
      <w:szCs w:val="20"/>
    </w:rPr>
  </w:style>
  <w:style w:type="paragraph" w:customStyle="1" w:styleId="98">
    <w:name w:val="样式 Arial 行距: 多倍行距 1.2 字行 首行缩进:  2 字符"/>
    <w:basedOn w:val="1"/>
    <w:qFormat/>
    <w:uiPriority w:val="0"/>
    <w:pPr>
      <w:spacing w:line="288" w:lineRule="auto"/>
      <w:ind w:firstLine="420" w:firstLineChars="200"/>
    </w:pPr>
    <w:rPr>
      <w:rFonts w:ascii="Arial" w:hAnsi="Arial" w:cs="宋体"/>
      <w:sz w:val="20"/>
      <w:szCs w:val="20"/>
    </w:rPr>
  </w:style>
  <w:style w:type="paragraph" w:customStyle="1" w:styleId="99">
    <w:name w:val="Tabellentext"/>
    <w:basedOn w:val="1"/>
    <w:qFormat/>
    <w:uiPriority w:val="0"/>
    <w:pPr>
      <w:widowControl/>
    </w:pPr>
    <w:rPr>
      <w:rFonts w:ascii="Arial" w:hAnsi="Arial" w:eastAsia="Times New Roman"/>
      <w:kern w:val="0"/>
      <w:sz w:val="20"/>
      <w:szCs w:val="20"/>
      <w:lang w:eastAsia="en-US"/>
    </w:rPr>
  </w:style>
  <w:style w:type="paragraph" w:customStyle="1" w:styleId="100">
    <w:name w:val="首行缩进 1"/>
    <w:basedOn w:val="1"/>
    <w:qFormat/>
    <w:uiPriority w:val="0"/>
    <w:pPr>
      <w:spacing w:after="120"/>
      <w:ind w:firstLine="200" w:firstLineChars="200"/>
    </w:pPr>
    <w:rPr>
      <w:szCs w:val="20"/>
    </w:rPr>
  </w:style>
  <w:style w:type="paragraph" w:customStyle="1" w:styleId="101">
    <w:name w:val="样式 居中"/>
    <w:basedOn w:val="1"/>
    <w:qFormat/>
    <w:uiPriority w:val="0"/>
    <w:pPr>
      <w:ind w:firstLine="200" w:firstLineChars="200"/>
      <w:jc w:val="center"/>
    </w:pPr>
    <w:rPr>
      <w:rFonts w:cs="宋体"/>
      <w:sz w:val="24"/>
      <w:szCs w:val="20"/>
    </w:rPr>
  </w:style>
  <w:style w:type="paragraph" w:customStyle="1" w:styleId="102">
    <w:name w:val="_Style 2"/>
    <w:basedOn w:val="1"/>
    <w:qFormat/>
    <w:uiPriority w:val="0"/>
    <w:pPr>
      <w:ind w:firstLine="420" w:firstLineChars="200"/>
    </w:pPr>
  </w:style>
  <w:style w:type="paragraph" w:customStyle="1" w:styleId="103">
    <w:name w:val="Char"/>
    <w:basedOn w:val="1"/>
    <w:qFormat/>
    <w:uiPriority w:val="0"/>
  </w:style>
  <w:style w:type="paragraph" w:customStyle="1" w:styleId="104">
    <w:name w:val="z-窗体顶端1"/>
    <w:basedOn w:val="1"/>
    <w:next w:val="1"/>
    <w:qFormat/>
    <w:uiPriority w:val="0"/>
    <w:pPr>
      <w:pBdr>
        <w:bottom w:val="single" w:color="auto" w:sz="6" w:space="1"/>
      </w:pBdr>
      <w:jc w:val="center"/>
    </w:pPr>
    <w:rPr>
      <w:rFonts w:ascii="Arial"/>
      <w:vanish/>
      <w:sz w:val="16"/>
    </w:rPr>
  </w:style>
  <w:style w:type="paragraph" w:customStyle="1" w:styleId="105">
    <w:name w:val="para"/>
    <w:basedOn w:val="1"/>
    <w:qFormat/>
    <w:uiPriority w:val="0"/>
    <w:pPr>
      <w:widowControl/>
      <w:adjustRightInd w:val="0"/>
      <w:spacing w:before="160"/>
      <w:ind w:firstLine="425"/>
      <w:textAlignment w:val="baseline"/>
    </w:pPr>
    <w:rPr>
      <w:kern w:val="0"/>
      <w:sz w:val="24"/>
      <w:szCs w:val="20"/>
      <w:lang w:eastAsia="en-US"/>
    </w:rPr>
  </w:style>
  <w:style w:type="paragraph" w:customStyle="1" w:styleId="106">
    <w:name w:val="Char Char1 Char Char"/>
    <w:basedOn w:val="1"/>
    <w:qFormat/>
    <w:uiPriority w:val="0"/>
    <w:pPr>
      <w:tabs>
        <w:tab w:val="left" w:pos="360"/>
      </w:tabs>
    </w:pPr>
  </w:style>
  <w:style w:type="paragraph" w:customStyle="1" w:styleId="107">
    <w:name w:val="WPSOffice手动目录 1"/>
    <w:qFormat/>
    <w:uiPriority w:val="0"/>
    <w:rPr>
      <w:rFonts w:ascii="Times New Roman" w:hAnsi="Times New Roman" w:eastAsia="宋体" w:cs="Times New Roman"/>
      <w:lang w:val="en-US" w:eastAsia="zh-CN" w:bidi="ar-SA"/>
    </w:rPr>
  </w:style>
  <w:style w:type="paragraph" w:customStyle="1" w:styleId="108">
    <w:name w:val="Char Char Char Char Char Char"/>
    <w:basedOn w:val="1"/>
    <w:qFormat/>
    <w:uiPriority w:val="0"/>
    <w:pPr>
      <w:adjustRightInd w:val="0"/>
    </w:pPr>
    <w:rPr>
      <w:kern w:val="0"/>
      <w:sz w:val="24"/>
      <w:szCs w:val="20"/>
    </w:rPr>
  </w:style>
  <w:style w:type="paragraph" w:customStyle="1" w:styleId="109">
    <w:name w:val="样式 首行缩进:  0 字符"/>
    <w:basedOn w:val="1"/>
    <w:qFormat/>
    <w:uiPriority w:val="0"/>
    <w:rPr>
      <w:rFonts w:cs="宋体"/>
      <w:sz w:val="24"/>
      <w:szCs w:val="20"/>
    </w:rPr>
  </w:style>
  <w:style w:type="paragraph" w:customStyle="1" w:styleId="110">
    <w:name w:val="Char11"/>
    <w:basedOn w:val="1"/>
    <w:qFormat/>
    <w:uiPriority w:val="0"/>
    <w:pPr>
      <w:tabs>
        <w:tab w:val="left" w:pos="360"/>
      </w:tabs>
    </w:pPr>
    <w:rPr>
      <w:sz w:val="24"/>
    </w:rPr>
  </w:style>
  <w:style w:type="paragraph" w:customStyle="1" w:styleId="111">
    <w:name w:val="Char13"/>
    <w:basedOn w:val="1"/>
    <w:qFormat/>
    <w:uiPriority w:val="0"/>
  </w:style>
  <w:style w:type="paragraph" w:customStyle="1" w:styleId="112">
    <w:name w:val="Char Char Char Char Char Char Char Char Char Char Char Char Char"/>
    <w:basedOn w:val="1"/>
    <w:qFormat/>
    <w:uiPriority w:val="0"/>
    <w:pPr>
      <w:widowControl/>
      <w:numPr>
        <w:ilvl w:val="0"/>
        <w:numId w:val="3"/>
      </w:numPr>
      <w:adjustRightInd w:val="0"/>
      <w:spacing w:after="160" w:line="240" w:lineRule="exact"/>
      <w:ind w:firstLine="200" w:firstLineChars="200"/>
    </w:pPr>
    <w:rPr>
      <w:rFonts w:ascii="Arial" w:hAnsi="Arial" w:eastAsia="Times New Roman"/>
      <w:kern w:val="0"/>
      <w:sz w:val="20"/>
      <w:szCs w:val="20"/>
      <w:lang w:eastAsia="en-US"/>
    </w:rPr>
  </w:style>
  <w:style w:type="paragraph" w:customStyle="1" w:styleId="113">
    <w:name w:val="Char Char Char Char Char Char Char Char Char Char"/>
    <w:basedOn w:val="1"/>
    <w:qFormat/>
    <w:uiPriority w:val="0"/>
    <w:rPr>
      <w:rFonts w:ascii="Tahoma" w:hAnsi="Tahoma"/>
      <w:sz w:val="24"/>
      <w:szCs w:val="20"/>
    </w:rPr>
  </w:style>
  <w:style w:type="paragraph" w:customStyle="1" w:styleId="114">
    <w:name w:val="样式2"/>
    <w:basedOn w:val="4"/>
    <w:qFormat/>
    <w:uiPriority w:val="0"/>
    <w:pPr>
      <w:spacing w:line="440" w:lineRule="exact"/>
      <w:jc w:val="center"/>
    </w:pPr>
    <w:rPr>
      <w:rFonts w:ascii="宋体" w:hAnsi="宋体"/>
      <w:b w:val="0"/>
      <w:sz w:val="32"/>
    </w:rPr>
  </w:style>
  <w:style w:type="paragraph" w:customStyle="1" w:styleId="115">
    <w:name w:val="Body Text Indent 2_0"/>
    <w:basedOn w:val="1"/>
    <w:qFormat/>
    <w:uiPriority w:val="0"/>
    <w:pPr>
      <w:adjustRightInd w:val="0"/>
      <w:spacing w:before="120"/>
      <w:ind w:firstLine="420"/>
      <w:textAlignment w:val="baseline"/>
    </w:pPr>
    <w:rPr>
      <w:szCs w:val="20"/>
    </w:rPr>
  </w:style>
  <w:style w:type="paragraph" w:customStyle="1" w:styleId="116">
    <w:name w:val="Char1"/>
    <w:basedOn w:val="1"/>
    <w:qFormat/>
    <w:uiPriority w:val="0"/>
    <w:pPr>
      <w:widowControl/>
      <w:adjustRightInd w:val="0"/>
      <w:snapToGrid w:val="0"/>
      <w:spacing w:before="78" w:beforeLines="25" w:after="78" w:afterLines="25" w:line="240" w:lineRule="exact"/>
      <w:ind w:firstLine="560" w:firstLineChars="192"/>
      <w:jc w:val="left"/>
    </w:pPr>
    <w:rPr>
      <w:rFonts w:ascii="宋体" w:hAnsi="宋体"/>
      <w:kern w:val="0"/>
      <w:sz w:val="28"/>
      <w:szCs w:val="28"/>
      <w:lang w:eastAsia="en-US"/>
    </w:rPr>
  </w:style>
  <w:style w:type="paragraph" w:customStyle="1" w:styleId="117">
    <w:name w:val="Table Paragraph"/>
    <w:basedOn w:val="1"/>
    <w:qFormat/>
    <w:uiPriority w:val="1"/>
    <w:pPr>
      <w:spacing w:before="64"/>
      <w:ind w:left="107"/>
    </w:pPr>
    <w:rPr>
      <w:rFonts w:ascii="宋体" w:hAnsi="宋体" w:cs="宋体"/>
      <w:lang w:val="zh-CN" w:bidi="zh-CN"/>
    </w:rPr>
  </w:style>
  <w:style w:type="character" w:customStyle="1" w:styleId="118">
    <w:name w:val="font11"/>
    <w:basedOn w:val="43"/>
    <w:qFormat/>
    <w:uiPriority w:val="0"/>
    <w:rPr>
      <w:rFonts w:hint="default" w:ascii="Times New Roman" w:hAnsi="Times New Roman" w:cs="Times New Roman"/>
      <w:color w:val="000000"/>
      <w:sz w:val="24"/>
      <w:szCs w:val="24"/>
      <w:u w:val="none"/>
    </w:rPr>
  </w:style>
  <w:style w:type="character" w:customStyle="1" w:styleId="119">
    <w:name w:val="font21"/>
    <w:basedOn w:val="43"/>
    <w:qFormat/>
    <w:uiPriority w:val="0"/>
    <w:rPr>
      <w:rFonts w:hint="default" w:ascii="方正仿宋_GBK" w:hAnsi="方正仿宋_GBK" w:eastAsia="方正仿宋_GBK" w:cs="方正仿宋_GBK"/>
      <w:color w:val="000000"/>
      <w:sz w:val="24"/>
      <w:szCs w:val="24"/>
      <w:u w:val="none"/>
    </w:rPr>
  </w:style>
  <w:style w:type="character" w:customStyle="1" w:styleId="120">
    <w:name w:val="font41"/>
    <w:basedOn w:val="43"/>
    <w:qFormat/>
    <w:uiPriority w:val="0"/>
    <w:rPr>
      <w:rFonts w:hint="default" w:ascii="方正仿宋_GBK" w:hAnsi="方正仿宋_GBK" w:eastAsia="方正仿宋_GBK" w:cs="方正仿宋_GBK"/>
      <w:color w:val="000000"/>
      <w:sz w:val="24"/>
      <w:szCs w:val="24"/>
      <w:u w:val="none"/>
    </w:rPr>
  </w:style>
  <w:style w:type="character" w:customStyle="1" w:styleId="121">
    <w:name w:val="font61"/>
    <w:basedOn w:val="43"/>
    <w:qFormat/>
    <w:uiPriority w:val="0"/>
    <w:rPr>
      <w:rFonts w:hint="default" w:ascii="Times New Roman" w:hAnsi="Times New Roman" w:cs="Times New Roman"/>
      <w:b/>
      <w:bCs/>
      <w:color w:val="000000"/>
      <w:sz w:val="24"/>
      <w:szCs w:val="24"/>
      <w:u w:val="none"/>
    </w:rPr>
  </w:style>
  <w:style w:type="character" w:customStyle="1" w:styleId="122">
    <w:name w:val="font51"/>
    <w:basedOn w:val="43"/>
    <w:qFormat/>
    <w:uiPriority w:val="0"/>
    <w:rPr>
      <w:rFonts w:hint="default" w:ascii="方正仿宋_GBK" w:hAnsi="方正仿宋_GBK" w:eastAsia="方正仿宋_GBK" w:cs="方正仿宋_GBK"/>
      <w:color w:val="000000"/>
      <w:sz w:val="24"/>
      <w:szCs w:val="24"/>
      <w:u w:val="none"/>
    </w:rPr>
  </w:style>
  <w:style w:type="character" w:customStyle="1" w:styleId="123">
    <w:name w:val="font71"/>
    <w:basedOn w:val="43"/>
    <w:qFormat/>
    <w:uiPriority w:val="0"/>
    <w:rPr>
      <w:rFonts w:hint="default" w:ascii="Times New Roman" w:hAnsi="Times New Roman" w:cs="Times New Roman"/>
      <w:b/>
      <w:bCs/>
      <w:color w:val="000000"/>
      <w:sz w:val="24"/>
      <w:szCs w:val="24"/>
      <w:u w:val="none"/>
    </w:rPr>
  </w:style>
  <w:style w:type="paragraph" w:customStyle="1" w:styleId="124">
    <w:name w:val="Normal_1"/>
    <w:qFormat/>
    <w:uiPriority w:val="0"/>
    <w:pPr>
      <w:widowControl w:val="0"/>
      <w:jc w:val="both"/>
    </w:pPr>
    <w:rPr>
      <w:rFonts w:ascii="Times New Roman" w:hAnsi="Times New Roman" w:eastAsia="宋体" w:cs="Times New Roman"/>
      <w:lang w:val="en-US" w:eastAsia="zh-CN" w:bidi="ar-SA"/>
    </w:rPr>
  </w:style>
  <w:style w:type="paragraph" w:customStyle="1" w:styleId="125">
    <w:name w:val="普通 (Web)"/>
    <w:basedOn w:val="1"/>
    <w:qFormat/>
    <w:uiPriority w:val="0"/>
    <w:pPr>
      <w:widowControl/>
      <w:spacing w:before="100" w:beforeAutospacing="1" w:after="100" w:afterAutospacing="1"/>
      <w:jc w:val="left"/>
    </w:pPr>
    <w:rPr>
      <w:rFonts w:ascii="宋体" w:hAnsi="宋体"/>
      <w:kern w:val="0"/>
      <w:sz w:val="24"/>
    </w:rPr>
  </w:style>
  <w:style w:type="character" w:customStyle="1" w:styleId="126">
    <w:name w:val="font12"/>
    <w:qFormat/>
    <w:uiPriority w:val="0"/>
    <w:rPr>
      <w:rFonts w:hint="default" w:ascii="Arial" w:hAnsi="Arial" w:cs="Arial"/>
      <w:color w:val="000000"/>
      <w:sz w:val="22"/>
      <w:szCs w:val="22"/>
      <w:u w:val="none"/>
    </w:rPr>
  </w:style>
  <w:style w:type="paragraph" w:customStyle="1" w:styleId="127">
    <w:name w:val="Medium Grid 21"/>
    <w:qFormat/>
    <w:uiPriority w:val="1"/>
    <w:rPr>
      <w:rFonts w:ascii="Calibri" w:hAnsi="Calibri" w:eastAsia="宋体" w:cs="Times New Roman"/>
      <w:sz w:val="22"/>
      <w:szCs w:val="22"/>
      <w:lang w:val="en-US" w:eastAsia="zh-CN" w:bidi="ar-SA"/>
    </w:rPr>
  </w:style>
  <w:style w:type="paragraph" w:customStyle="1" w:styleId="128">
    <w:name w:val="正文首行缩进两字符"/>
    <w:basedOn w:val="1"/>
    <w:qFormat/>
    <w:uiPriority w:val="0"/>
    <w:pPr>
      <w:ind w:firstLine="200"/>
    </w:pPr>
  </w:style>
  <w:style w:type="paragraph" w:customStyle="1" w:styleId="129">
    <w:name w:val="首行缩进"/>
    <w:basedOn w:val="1"/>
    <w:qFormat/>
    <w:uiPriority w:val="0"/>
    <w:pPr>
      <w:ind w:firstLine="480" w:firstLineChars="200"/>
    </w:pPr>
    <w:rPr>
      <w:lang w:val="zh-CN"/>
    </w:rPr>
  </w:style>
  <w:style w:type="character" w:customStyle="1" w:styleId="130">
    <w:name w:val="font31"/>
    <w:basedOn w:val="43"/>
    <w:qFormat/>
    <w:uiPriority w:val="0"/>
    <w:rPr>
      <w:rFonts w:hint="eastAsia" w:ascii="宋体" w:hAnsi="宋体" w:eastAsia="宋体" w:cs="宋体"/>
      <w:color w:val="000000"/>
      <w:sz w:val="22"/>
      <w:szCs w:val="22"/>
      <w:u w:val="none"/>
    </w:rPr>
  </w:style>
  <w:style w:type="table" w:customStyle="1" w:styleId="131">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132">
    <w:name w:val="表内正文"/>
    <w:basedOn w:val="1"/>
    <w:qFormat/>
    <w:uiPriority w:val="0"/>
    <w:pPr>
      <w:spacing w:line="320" w:lineRule="atLeast"/>
    </w:pPr>
    <w:rPr>
      <w:spacing w:val="2"/>
      <w:szCs w:val="21"/>
    </w:rPr>
  </w:style>
  <w:style w:type="paragraph" w:styleId="133">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13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5bb0e90a-df15-4a4d-8e15-1f4dd8158965</errorID>
      <errorWord>平台中</errorWord>
      <group>L1_AI</group>
      <groupName>深度校对</groupName>
      <ability>L2_AI_Word</ability>
      <abilityName>字词纠错</abilityName>
      <candidateList>
        <item>平台</item>
      </candidateList>
      <explain/>
      <paraID>3ECB62E3</paraID>
      <start>74</start>
      <end>77</end>
      <status>unmodified</status>
      <modifiedWord/>
      <trackRevisions>false</trackRevisions>
    </reviewItem>
    <reviewItem>
      <errorID>95306730-e6a4-4a36-b7b1-84b8dc5a08b6</errorID>
      <errorWord>1.1</errorWord>
      <group>L1_AI</group>
      <groupName>深度校对</groupName>
      <ability>L2_AI_Title</ability>
      <abilityName>标题检查</abilityName>
      <candidateList>
        <item>1. </item>
      </candidateList>
      <explain>标题顺序错误，请检查标题顺序是否合理。</explain>
      <paraID>12AB93AB</paraID>
      <start>0</start>
      <end>3</end>
      <status>unmodified</status>
      <modifiedWord/>
      <trackRevisions>false</trackRevisions>
    </reviewItem>
    <reviewItem>
      <errorID>d924ac6f-773d-47da-8112-547c91798c25</errorID>
      <errorWord>供应商</errorWord>
      <group>L1_AI</group>
      <groupName>深度校对</groupName>
      <ability>L2_AI_Word</ability>
      <abilityName>字词纠错</abilityName>
      <candidateList>
        <item> 供应商</item>
      </candidateList>
      <explain/>
      <paraID>12AB93AB</paraID>
      <start>3</start>
      <end>6</end>
      <status>unmodified</status>
      <modifiedWord/>
      <trackRevisions>false</trackRevisions>
    </reviewItem>
    <reviewItem>
      <errorID>59dae12d-6476-4ad9-90a7-0d58f103a068</errorID>
      <errorWord>1.2</errorWord>
      <group>L1_AI</group>
      <groupName>深度校对</groupName>
      <ability>L2_AI_Title</ability>
      <abilityName>标题检查</abilityName>
      <candidateList>
        <item>2. </item>
      </candidateList>
      <explain>标题顺序错误，请检查标题顺序是否合理。</explain>
      <paraID> 74F07CB</paraID>
      <start>0</start>
      <end>3</end>
      <status>unmodified</status>
      <modifiedWord/>
      <trackRevisions>false</trackRevisions>
    </reviewItem>
    <reviewItem>
      <errorID>f17323c9-4f25-4a53-9b1f-6c2ca74ca59f</errorID>
      <errorWord>供应商</errorWord>
      <group>L1_AI</group>
      <groupName>深度校对</groupName>
      <ability>L2_AI_Word</ability>
      <abilityName>字词纠错</abilityName>
      <candidateList>
        <item> 供应商</item>
      </candidateList>
      <explain/>
      <paraID> 74F07CB</paraID>
      <start>3</start>
      <end>6</end>
      <status>unmodified</status>
      <modifiedWord/>
      <trackRevisions>false</trackRevisions>
    </reviewItem>
    <reviewItem>
      <errorID>a7a6732b-0261-43cc-b149-09c0e0259518</errorID>
      <errorWord>1.3</errorWord>
      <group>L1_AI</group>
      <groupName>深度校对</groupName>
      <ability>L2_AI_Title</ability>
      <abilityName>标题检查</abilityName>
      <candidateList>
        <item>3. </item>
      </candidateList>
      <explain>标题顺序错误，请检查标题顺序是否合理。</explain>
      <paraID>46D1F2FB</paraID>
      <start>0</start>
      <end>3</end>
      <status>unmodified</status>
      <modifiedWord/>
      <trackRevisions>false</trackRevisions>
    </reviewItem>
    <reviewItem>
      <errorID>990b7dc7-72c9-498f-b384-709b19161a8c</errorID>
      <errorWord>投标</errorWord>
      <group>L1_AI</group>
      <groupName>深度校对</groupName>
      <ability>L2_AI_Word</ability>
      <abilityName>字词纠错</abilityName>
      <candidateList>
        <item> 投标</item>
      </candidateList>
      <explain/>
      <paraID>46D1F2FB</paraID>
      <start>3</start>
      <end>5</end>
      <status>unmodified</status>
      <modifiedWord/>
      <trackRevisions>false</trackRevisions>
    </reviewItem>
    <reviewItem>
      <errorID>02579d83-5744-4327-9c79-d810732fac22</errorID>
      <errorWord>：</errorWord>
      <group>L1_AI</group>
      <groupName>深度校对</groupName>
      <ability>L2_AI_Punc</ability>
      <abilityName>标点纠错</abilityName>
      <candidateList>
        <item/>
      </candidateList>
      <explain/>
      <paraID>46D1F2FB</paraID>
      <start>56</start>
      <end>57</end>
      <status>unmodified</status>
      <modifiedWord/>
      <trackRevisions>false</trackRevisions>
    </reviewItem>
    <reviewItem>
      <errorID>28bc9e9f-1046-4fbd-99b0-ecf86806cf8d</errorID>
      <errorWord>：</errorWord>
      <group>L1_AI</group>
      <groupName>深度校对</groupName>
      <ability>L2_AI_Punc</ability>
      <abilityName>标点纠错</abilityName>
      <candidateList>
        <item/>
      </candidateList>
      <explain/>
      <paraID>46D1F2FB</paraID>
      <start>117</start>
      <end>118</end>
      <status>unmodified</status>
      <modifiedWord/>
      <trackRevisions>false</trackRevisions>
    </reviewItem>
    <reviewItem>
      <errorID>df06e571-1477-4904-bdf2-8ce763630c36</errorID>
      <errorWord>前将</errorWord>
      <group>L1_AI</group>
      <groupName>深度校对</groupName>
      <ability>L2_AI_Word</ability>
      <abilityName>字词纠错</abilityName>
      <candidateList>
        <item>前</item>
      </candidateList>
      <explain/>
      <paraID>46D1F2FB</paraID>
      <start>199</start>
      <end>201</end>
      <status>unmodified</status>
      <modifiedWord/>
      <trackRevisions>false</trackRevisions>
    </reviewItem>
    <reviewItem>
      <errorID>df97abd4-030a-4c5e-b9b2-93e7b8a0ca19</errorID>
      <errorWord>（</errorWord>
      <group>L1_Punc</group>
      <groupName>标点问题</groupName>
      <ability>L2_Punc</ability>
      <abilityName>标点符号检查</abilityName>
      <candidateList/>
      <explain>同一形式括号套用。</explain>
      <paraID>46D1F2FB</paraID>
      <start>211</start>
      <end>212</end>
      <status>unmodified</status>
      <modifiedWord/>
      <trackRevisions>false</trackRevisions>
    </reviewItem>
    <reviewItem>
      <errorID>8995db97-d35d-414d-b1dc-9be83ea0e862</errorID>
      <errorWord>）</errorWord>
      <group>L1_Punc</group>
      <groupName>标点问题</groupName>
      <ability>L2_Punc</ability>
      <abilityName>标点符号检查</abilityName>
      <candidateList/>
      <explain>同一形式括号套用。</explain>
      <paraID>46D1F2FB</paraID>
      <start>234</start>
      <end>235</end>
      <status>unmodified</status>
      <modifiedWord/>
      <trackRevisions>false</trackRevisions>
    </reviewItem>
    <reviewItem>
      <errorID>e2a8542e-3efd-4c19-8dcd-b7fa7d54a67e</errorID>
      <errorWord>（</errorWord>
      <group>L1_Punc</group>
      <groupName>标点问题</groupName>
      <ability>L2_Punc</ability>
      <abilityName>标点符号检查</abilityName>
      <candidateList/>
      <explain>同一形式括号套用。</explain>
      <paraID>46D1F2FB</paraID>
      <start>243</start>
      <end>244</end>
      <status>unmodified</status>
      <modifiedWord/>
      <trackRevisions>false</trackRevisions>
    </reviewItem>
    <reviewItem>
      <errorID>2b05d31d-a985-402b-970e-cca036eee3e3</errorID>
      <errorWord>）</errorWord>
      <group>L1_Punc</group>
      <groupName>标点问题</groupName>
      <ability>L2_Punc</ability>
      <abilityName>标点符号检查</abilityName>
      <candidateList/>
      <explain>同一形式括号套用。</explain>
      <paraID>46D1F2FB</paraID>
      <start>259</start>
      <end>260</end>
      <status>unmodified</status>
      <modifiedWord/>
      <trackRevisions>false</trackRevisions>
    </reviewItem>
    <reviewItem>
      <errorID>a89934b6-bb99-40ef-a764-6fb56765b1eb</errorID>
      <errorWord>（</errorWord>
      <group>L1_Punc</group>
      <groupName>标点问题</groupName>
      <ability>L2_Punc</ability>
      <abilityName>标点符号检查</abilityName>
      <candidateList/>
      <explain>同一形式括号套用。</explain>
      <paraID>46D1F2FB</paraID>
      <start>326</start>
      <end>327</end>
      <status>unmodified</status>
      <modifiedWord/>
      <trackRevisions>false</trackRevisions>
    </reviewItem>
    <reviewItem>
      <errorID>0e84d8d0-8408-43c4-bce9-dc995c1a91ec</errorID>
      <errorWord>）</errorWord>
      <group>L1_Punc</group>
      <groupName>标点问题</groupName>
      <ability>L2_Punc</ability>
      <abilityName>标点符号检查</abilityName>
      <candidateList/>
      <explain>同一形式括号套用。</explain>
      <paraID>46D1F2FB</paraID>
      <start>329</start>
      <end>330</end>
      <status>unmodified</status>
      <modifiedWord/>
      <trackRevisions>false</trackRevisions>
    </reviewItem>
    <reviewItem>
      <errorID>d99ca884-fc8b-46a3-b331-31802fdef497</errorID>
      <errorWord>落实</errorWord>
      <group>L1_AI</group>
      <groupName>深度校对</groupName>
      <ability>L2_AI_Word</ability>
      <abilityName>字词纠错</abilityName>
      <candidateList>
        <item> 落实</item>
      </candidateList>
      <explain/>
      <paraID>410ADBA9</paraID>
      <start>2</start>
      <end>4</end>
      <status>unmodified</status>
      <modifiedWord/>
      <trackRevisions>false</trackRevisions>
    </reviewItem>
    <reviewItem>
      <errorID>711814ae-ed8f-4bf0-a0ab-e08e3509e82d</errorID>
      <errorWord>本</errorWord>
      <group>L1_AI</group>
      <groupName>深度校对</groupName>
      <ability>L2_AI_Word</ability>
      <abilityName>字词纠错</abilityName>
      <candidateList>
        <item> 本</item>
      </candidateList>
      <explain/>
      <paraID>511D1297</paraID>
      <start>2</start>
      <end>3</end>
      <status>unmodified</status>
      <modifiedWord/>
      <trackRevisions>false</trackRevisions>
    </reviewItem>
    <reviewItem>
      <errorID>3b0838bc-4e17-4b59-bd35-bd8a22a5220a</errorID>
      <errorWord>联合体</errorWord>
      <group>L1_AI</group>
      <groupName>深度校对</groupName>
      <ability>L2_AI_Word</ability>
      <abilityName>字词纠错</abilityName>
      <candidateList>
        <item> 联合体</item>
      </candidateList>
      <explain/>
      <paraID>551D6D15</paraID>
      <start>3</start>
      <end>6</end>
      <status>unmodified</status>
      <modifiedWord/>
      <trackRevisions>false</trackRevisions>
    </reviewItem>
    <reviewItem>
      <errorID>f4fbefa5-7225-496c-a202-3baa834bf40e</errorID>
      <errorWord>日</errorWord>
      <group>L1_AI</group>
      <groupName>深度校对</groupName>
      <ability>L2_AI_Punc</ability>
      <abilityName>标点纠错</abilityName>
      <candidateList>
        <item>日。</item>
      </candidateList>
      <explain/>
      <paraID> 982C10A</paraID>
      <start>25</start>
      <end>26</end>
      <status>unmodified</status>
      <modifiedWord/>
      <trackRevisions>false</trackRevisions>
    </reviewItem>
    <reviewItem>
      <errorID>db138980-275f-4421-9dcf-9f0f4fffd8e4</errorID>
      <errorWord>：</errorWord>
      <group>L1_AI</group>
      <groupName>深度校对</groupName>
      <ability>L2_AI_Punc</ability>
      <abilityName>标点纠错</abilityName>
      <candidateList>
        <item>:</item>
      </candidateList>
      <explain/>
      <paraID>54DF4E7E</paraID>
      <start>20</start>
      <end>21</end>
      <status>unmodified</status>
      <modifiedWord/>
      <trackRevisions>false</trackRevisions>
    </reviewItem>
    <reviewItem>
      <errorID>96152a7a-63ca-4718-9fc6-fcddc8ce6dcb</errorID>
      <errorWord>.1</errorWord>
      <group>L1_AI</group>
      <groupName>深度校对</groupName>
      <ability>L2_AI_Word</ability>
      <abilityName>字词纠错</abilityName>
      <candidateList>
        <item>.</item>
      </candidateList>
      <explain/>
      <paraID>14B47ABF</paraID>
      <start>1</start>
      <end>3</end>
      <status>unmodified</status>
      <modifiedWord/>
      <trackRevisions>false</trackRevisions>
    </reviewItem>
    <reviewItem>
      <errorID>0020dde6-5b2a-45ed-be07-43b6e0cff113</errorID>
      <errorWord>供应商</errorWord>
      <group>L1_AI</group>
      <groupName>深度校对</groupName>
      <ability>L2_AI_Word</ability>
      <abilityName>字词纠错</abilityName>
      <candidateList>
        <item> 供应商</item>
      </candidateList>
      <explain/>
      <paraID>51021ED8</paraID>
      <start>3</start>
      <end>6</end>
      <status>unmodified</status>
      <modifiedWord/>
      <trackRevisions>false</trackRevisions>
    </reviewItem>
    <reviewItem>
      <errorID>a2623725-def8-49ff-ab72-81257159965f</errorID>
      <errorWord>投标</errorWord>
      <group>L1_AI</group>
      <groupName>深度校对</groupName>
      <ability>L2_AI_Word</ability>
      <abilityName>字词纠错</abilityName>
      <candidateList>
        <item> 投标</item>
      </candidateList>
      <explain/>
      <paraID>408EE1DC</paraID>
      <start>3</start>
      <end>5</end>
      <status>unmodified</status>
      <modifiedWord/>
      <trackRevisions>false</trackRevisions>
    </reviewItem>
    <reviewItem>
      <errorID>e490912b-8012-4e73-bdc4-9be09d2eb721</errorID>
      <errorWord>：</errorWord>
      <group>L1_AI</group>
      <groupName>深度校对</groupName>
      <ability>L2_AI_Punc</ability>
      <abilityName>标点纠错</abilityName>
      <candidateList>
        <item/>
      </candidateList>
      <explain/>
      <paraID>408EE1DC</paraID>
      <start>56</start>
      <end>57</end>
      <status>unmodified</status>
      <modifiedWord/>
      <trackRevisions>false</trackRevisions>
    </reviewItem>
    <reviewItem>
      <errorID>4ada64aa-cc98-4428-8d3a-e05d99df48c2</errorID>
      <errorWord>：</errorWord>
      <group>L1_AI</group>
      <groupName>深度校对</groupName>
      <ability>L2_AI_Punc</ability>
      <abilityName>标点纠错</abilityName>
      <candidateList>
        <item/>
      </candidateList>
      <explain/>
      <paraID>408EE1DC</paraID>
      <start>117</start>
      <end>118</end>
      <status>unmodified</status>
      <modifiedWord/>
      <trackRevisions>false</trackRevisions>
    </reviewItem>
    <reviewItem>
      <errorID>cbc4b68c-c9eb-451f-a643-c4a19229c24f</errorID>
      <errorWord>前将</errorWord>
      <group>L1_AI</group>
      <groupName>深度校对</groupName>
      <ability>L2_AI_Word</ability>
      <abilityName>字词纠错</abilityName>
      <candidateList>
        <item>前</item>
      </candidateList>
      <explain/>
      <paraID>408EE1DC</paraID>
      <start>200</start>
      <end>202</end>
      <status>unmodified</status>
      <modifiedWord/>
      <trackRevisions>false</trackRevisions>
    </reviewItem>
    <reviewItem>
      <errorID>7dce969b-c58e-42e6-b97a-457d4ab60620</errorID>
      <errorWord>（</errorWord>
      <group>L1_Punc</group>
      <groupName>标点问题</groupName>
      <ability>L2_Punc</ability>
      <abilityName>标点符号检查</abilityName>
      <candidateList/>
      <explain>同一形式括号套用。</explain>
      <paraID>408EE1DC</paraID>
      <start>212</start>
      <end>213</end>
      <status>unmodified</status>
      <modifiedWord/>
      <trackRevisions>false</trackRevisions>
    </reviewItem>
    <reviewItem>
      <errorID>51e2dc75-4f35-4f3c-8cc0-f88671438c11</errorID>
      <errorWord>）</errorWord>
      <group>L1_Punc</group>
      <groupName>标点问题</groupName>
      <ability>L2_Punc</ability>
      <abilityName>标点符号检查</abilityName>
      <candidateList/>
      <explain>同一形式括号套用。</explain>
      <paraID>408EE1DC</paraID>
      <start>235</start>
      <end>236</end>
      <status>unmodified</status>
      <modifiedWord/>
      <trackRevisions>false</trackRevisions>
    </reviewItem>
    <reviewItem>
      <errorID>93e43ca5-bd5a-4e27-98a5-a1553fdedb34</errorID>
      <errorWord>（</errorWord>
      <group>L1_Punc</group>
      <groupName>标点问题</groupName>
      <ability>L2_Punc</ability>
      <abilityName>标点符号检查</abilityName>
      <candidateList/>
      <explain>同一形式括号套用。</explain>
      <paraID>408EE1DC</paraID>
      <start>244</start>
      <end>245</end>
      <status>unmodified</status>
      <modifiedWord/>
      <trackRevisions>false</trackRevisions>
    </reviewItem>
    <reviewItem>
      <errorID>58d0968b-4a70-47c1-90ef-dadbdce51d98</errorID>
      <errorWord>）</errorWord>
      <group>L1_Punc</group>
      <groupName>标点问题</groupName>
      <ability>L2_Punc</ability>
      <abilityName>标点符号检查</abilityName>
      <candidateList/>
      <explain>同一形式括号套用。</explain>
      <paraID>408EE1DC</paraID>
      <start>260</start>
      <end>261</end>
      <status>unmodified</status>
      <modifiedWord/>
      <trackRevisions>false</trackRevisions>
    </reviewItem>
    <reviewItem>
      <errorID>f1887791-6065-4731-a5ae-350eca36134f</errorID>
      <errorWord>（</errorWord>
      <group>L1_Punc</group>
      <groupName>标点问题</groupName>
      <ability>L2_Punc</ability>
      <abilityName>标点符号检查</abilityName>
      <candidateList/>
      <explain>同一形式括号套用。</explain>
      <paraID>408EE1DC</paraID>
      <start>327</start>
      <end>328</end>
      <status>unmodified</status>
      <modifiedWord/>
      <trackRevisions>false</trackRevisions>
    </reviewItem>
    <reviewItem>
      <errorID>9d90d115-6cd5-4adb-96cc-33122c24bc16</errorID>
      <errorWord>）</errorWord>
      <group>L1_Punc</group>
      <groupName>标点问题</groupName>
      <ability>L2_Punc</ability>
      <abilityName>标点符号检查</abilityName>
      <candidateList/>
      <explain>同一形式括号套用。</explain>
      <paraID>408EE1DC</paraID>
      <start>330</start>
      <end>331</end>
      <status>unmodified</status>
      <modifiedWord/>
      <trackRevisions>false</trackRevisions>
    </reviewItem>
    <reviewItem>
      <errorID>4595cdc5-536a-4ea3-bac1-160a503e8171</errorID>
      <errorWord>落实</errorWord>
      <group>L1_AI</group>
      <groupName>深度校对</groupName>
      <ability>L2_AI_Word</ability>
      <abilityName>字词纠错</abilityName>
      <candidateList>
        <item> 落实</item>
      </candidateList>
      <explain/>
      <paraID>33C014E9</paraID>
      <start>2</start>
      <end>4</end>
      <status>unmodified</status>
      <modifiedWord/>
      <trackRevisions>false</trackRevisions>
    </reviewItem>
    <reviewItem>
      <errorID>c3936dc4-e2d2-4cca-9f69-1d48840d2a8c</errorID>
      <errorWord>评审</errorWord>
      <group>L1_AI</group>
      <groupName>深度校对</groupName>
      <ability>L2_AI_Word</ability>
      <abilityName>字词纠错</abilityName>
      <candidateList>
        <item>对</item>
      </candidateList>
      <explain/>
      <paraID>33C014E9</paraID>
      <start>91</start>
      <end>93</end>
      <status>unmodified</status>
      <modifiedWord/>
      <trackRevisions>false</trackRevisions>
    </reviewItem>
    <reviewItem>
      <errorID>acf2e6b1-50bf-4fd9-b22f-fc479cf3b5cc</errorID>
      <errorWord>下午14:30</errorWord>
      <group>L1_Knowledge</group>
      <groupName>知识性问题</groupName>
      <ability>L2_Time</ability>
      <abilityName>日期时间</abilityName>
      <candidateList>
        <item>14:30</item>
      </candidateList>
      <explain>24小时制的时间，不需要强调“下午”。</explain>
      <paraID> 2D666B3</paraID>
      <start>23</start>
      <end>30</end>
      <status>unmodified</status>
      <modifiedWord/>
      <trackRevisions>false</trackRevisions>
    </reviewItem>
    <reviewItem>
      <errorID>ac752b4d-c5cf-4515-be41-b72b7a58363b</errorID>
      <errorWord>（</errorWord>
      <group>L1_Punc</group>
      <groupName>标点问题</groupName>
      <ability>L2_Punc</ability>
      <abilityName>标点符号检查</abilityName>
      <candidateList/>
      <explain>同一形式括号套用。</explain>
      <paraID>211569D0</paraID>
      <start>29</start>
      <end>30</end>
      <status>unmodified</status>
      <modifiedWord/>
      <trackRevisions>false</trackRevisions>
    </reviewItem>
    <reviewItem>
      <errorID>e339df9d-9977-4b40-93ec-cd0e0a6b21a5</errorID>
      <errorWord>）</errorWord>
      <group>L1_Punc</group>
      <groupName>标点问题</groupName>
      <ability>L2_Punc</ability>
      <abilityName>标点符号检查</abilityName>
      <candidateList/>
      <explain>同一形式括号套用。</explain>
      <paraID>211569D0</paraID>
      <start>41</start>
      <end>42</end>
      <status>unmodified</status>
      <modifiedWord/>
      <trackRevisions>false</trackRevisions>
    </reviewItem>
    <reviewItem>
      <errorID>ac611445-1ff5-4730-96b4-c763adf37937</errorID>
      <errorWord>（</errorWord>
      <group>L1_Punc</group>
      <groupName>标点问题</groupName>
      <ability>L2_Punc</ability>
      <abilityName>标点符号检查</abilityName>
      <candidateList/>
      <explain>同一形式括号套用。</explain>
      <paraID>211569D0</paraID>
      <start>67</start>
      <end>68</end>
      <status>unmodified</status>
      <modifiedWord/>
      <trackRevisions>false</trackRevisions>
    </reviewItem>
    <reviewItem>
      <errorID>137b642c-b3a7-4c1b-be37-61e32dcd75d4</errorID>
      <errorWord>）</errorWord>
      <group>L1_Punc</group>
      <groupName>标点问题</groupName>
      <ability>L2_Punc</ability>
      <abilityName>标点符号检查</abilityName>
      <candidateList/>
      <explain>同一形式括号套用。</explain>
      <paraID>211569D0</paraID>
      <start>79</start>
      <end>80</end>
      <status>unmodified</status>
      <modifiedWord/>
      <trackRevisions>false</trackRevisions>
    </reviewItem>
    <reviewItem>
      <errorID>f8583cba-4e7a-4d66-ba6d-ab9218f2ca63</errorID>
      <errorWord>型</errorWord>
      <group>L1_Word</group>
      <groupName>字词问题</groupName>
      <ability>L2_Typo</ability>
      <abilityName>字词错误</abilityName>
      <candidateList>
        <item>型企</item>
      </candidateList>
      <explain/>
      <paraID>64CE83CB</paraID>
      <start>13</start>
      <end>14</end>
      <status>unmodified</status>
      <modifiedWord/>
      <trackRevisions>false</trackRevisions>
    </reviewItem>
    <reviewItem>
      <errorID>cd46e6e8-7844-4cf8-a301-3a1dbcbc5d00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15D46513</paraID>
      <start>49</start>
      <end>50</end>
      <status>unmodified</status>
      <modifiedWord/>
      <trackRevisions>false</trackRevisions>
    </reviewItem>
    <reviewItem>
      <errorID>ea9c97c2-0284-4ba6-a197-bb25d5ef548d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69CA296A</paraID>
      <start>49</start>
      <end>50</end>
      <status>unmodified</status>
      <modifiedWord/>
      <trackRevisions>false</trackRevisions>
    </reviewItem>
    <reviewItem>
      <errorID>1b70839b-541c-431b-ad46-cbe58610b594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1E08F2BA</paraID>
      <start>34</start>
      <end>35</end>
      <status>unmodified</status>
      <modifiedWord/>
      <trackRevisions>false</trackRevisions>
    </reviewItem>
    <reviewItem>
      <errorID>b6243cde-5741-46f8-803c-9cb00cc9f812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443D8B43</paraID>
      <start>91</start>
      <end>92</end>
      <status>unmodified</status>
      <modifiedWord/>
      <trackRevisions>false</trackRevisions>
    </reviewItem>
    <reviewItem>
      <errorID>eb8901bc-6f6f-43fb-86e6-32db77faea59</errorID>
      <errorWord>第19条</errorWord>
      <group>L1_Knowledge</group>
      <groupName>知识性问题</groupName>
      <ability>L2_Knowledge</ability>
      <abilityName>其他知识</abilityName>
      <candidateList>
        <item>第十九条</item>
      </candidateList>
      <explain/>
      <paraID>35C44DDA</paraID>
      <start>35</start>
      <end>39</end>
      <status>unmodified</status>
      <modifiedWord/>
      <trackRevisions>false</trackRevisions>
    </reviewItem>
    <reviewItem>
      <errorID>f5d0a872-3048-4681-89ef-ab9fe870602b</errorID>
      <errorWord>(</errorWord>
      <group>L1_Format</group>
      <groupName>格式问题</groupName>
      <ability>L2_HalfPunc</ability>
      <abilityName>全半角检查</abilityName>
      <candidateList>
        <item>（</item>
      </candidateList>
      <explain>文本全半角错误。</explain>
      <paraID>2E7D88A6</paraID>
      <start>206</start>
      <end>207</end>
      <status>unmodified</status>
      <modifiedWord/>
      <trackRevisions>false</trackRevisions>
    </reviewItem>
    <reviewItem>
      <errorID>2e702025-e05d-4047-9746-210e5995a16f</errorID>
      <errorWord>)</errorWord>
      <group>L1_Format</group>
      <groupName>格式问题</groupName>
      <ability>L2_HalfPunc</ability>
      <abilityName>全半角检查</abilityName>
      <candidateList>
        <item>）</item>
      </candidateList>
      <explain>文本全半角错误。</explain>
      <paraID>2E7D88A6</paraID>
      <start>229</start>
      <end>230</end>
      <status>unmodified</status>
      <modifiedWord/>
      <trackRevisions>false</trackRevisions>
    </reviewItem>
    <reviewItem>
      <errorID>e67bed51-a3c6-4122-8f51-b11671f0322e</errorID>
      <errorWord>粘</errorWord>
      <group>L1_Word</group>
      <groupName>字词问题</groupName>
      <ability>L2_Typo</ability>
      <abilityName>字词错误</abilityName>
      <candidateList>
        <item>黏</item>
      </candidateList>
      <explain>存在发音相同字词的误用。</explain>
      <paraID>5692372B</paraID>
      <start>32</start>
      <end>33</end>
      <status>unmodified</status>
      <modifiedWord/>
      <trackRevisions>false</trackRevisions>
    </reviewItem>
    <reviewItem>
      <errorID>a9906ba2-c96f-40cc-8a1d-c5f25b491388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3ED86510</paraID>
      <start>27</start>
      <end>28</end>
      <status>unmodified</status>
      <modifiedWord/>
      <trackRevisions>false</trackRevisions>
    </reviewItem>
    <reviewItem>
      <errorID>4c7017ec-d8d3-4d56-8e9c-03238e54b747</errorID>
      <errorWord>:</errorWord>
      <group>L1_Format</group>
      <groupName>格式问题</groupName>
      <ability>L2_HalfPunc</ability>
      <abilityName>全半角检查</abilityName>
      <candidateList>
        <item>：</item>
      </candidateList>
      <explain>文本全半角错误。</explain>
      <paraID>57C6C790</paraID>
      <start>5</start>
      <end>6</end>
      <status>unmodified</status>
      <modifiedWord/>
      <trackRevisions>false</trackRevisions>
    </reviewItem>
    <reviewItem>
      <errorID>808418b5-97eb-46e5-baa8-3977c4c32005</errorID>
      <errorWord>:</errorWord>
      <group>L1_Format</group>
      <groupName>格式问题</groupName>
      <ability>L2_HalfPunc</ability>
      <abilityName>全半角检查</abilityName>
      <candidateList>
        <item>：</item>
      </candidateList>
      <explain>文本全半角错误。</explain>
      <paraID>10BFD242</paraID>
      <start>3</start>
      <end>4</end>
      <status>unmodified</status>
      <modifiedWord/>
      <trackRevisions>false</trackRevisions>
    </reviewItem>
    <reviewItem>
      <errorID>f0e18892-8191-41bd-8fa5-2642aad57369</errorID>
      <errorWord>(</errorWord>
      <group>L1_Format</group>
      <groupName>格式问题</groupName>
      <ability>L2_HalfPunc</ability>
      <abilityName>全半角检查</abilityName>
      <candidateList>
        <item>（</item>
      </candidateList>
      <explain>文本全半角错误。</explain>
      <paraID>10BFD242</paraID>
      <start>17</start>
      <end>18</end>
      <status>unmodified</status>
      <modifiedWord/>
      <trackRevisions>false</trackRevisions>
    </reviewItem>
    <reviewItem>
      <errorID>54b19ad5-7744-43bf-96fe-86a31235c393</errorID>
      <errorWord>)</errorWord>
      <group>L1_Format</group>
      <groupName>格式问题</groupName>
      <ability>L2_HalfPunc</ability>
      <abilityName>全半角检查</abilityName>
      <candidateList>
        <item>）</item>
      </candidateList>
      <explain>文本全半角错误。</explain>
      <paraID>10BFD242</paraID>
      <start>30</start>
      <end>31</end>
      <status>unmodified</status>
      <modifiedWord/>
      <trackRevisions>false</trackRevisions>
    </reviewItem>
    <reviewItem>
      <errorID>ae6cbb1c-106c-48f3-92e6-ec970a9d28da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375DE8F1</paraID>
      <start>0</start>
      <end>3</end>
      <status>unmodified</status>
      <modifiedWord/>
      <trackRevisions>false</trackRevisions>
    </reviewItem>
    <reviewItem>
      <errorID>9da59eba-595f-44fe-aa9b-42a2cef2e9c6</errorID>
      <errorWord>:</errorWord>
      <group>L1_Format</group>
      <groupName>格式问题</groupName>
      <ability>L2_HalfPunc</ability>
      <abilityName>全半角检查</abilityName>
      <candidateList>
        <item>：</item>
      </candidateList>
      <explain>文本全半角错误。</explain>
      <paraID>375DE8F1</paraID>
      <start>7</start>
      <end>8</end>
      <status>unmodified</status>
      <modifiedWord/>
      <trackRevisions>false</trackRevisions>
    </reviewItem>
    <reviewItem>
      <errorID>c83c2453-b1e2-42cd-acbf-275785803f4d</errorID>
      <errorWord>(</errorWord>
      <group>L1_Format</group>
      <groupName>格式问题</groupName>
      <ability>L2_HalfPunc</ability>
      <abilityName>全半角检查</abilityName>
      <candidateList>
        <item>（</item>
      </candidateList>
      <explain>文本全半角错误。</explain>
      <paraID>2A823F00</paraID>
      <start>12</start>
      <end>13</end>
      <status>unmodified</status>
      <modifiedWord/>
      <trackRevisions>false</trackRevisions>
    </reviewItem>
    <reviewItem>
      <errorID>5769b976-352e-4d1d-a3c8-43c3891cb98c</errorID>
      <errorWord>)</errorWord>
      <group>L1_Format</group>
      <groupName>格式问题</groupName>
      <ability>L2_HalfPunc</ability>
      <abilityName>全半角检查</abilityName>
      <candidateList>
        <item>）</item>
      </candidateList>
      <explain>文本全半角错误。</explain>
      <paraID>2A823F00</paraID>
      <start>16</start>
      <end>17</end>
      <status>unmodified</status>
      <modifiedWord/>
      <trackRevisions>false</trackRevisions>
    </reviewItem>
    <reviewItem>
      <errorID>07cad66d-f178-4321-af8d-0b7d19274c9b</errorID>
      <errorWord>:</errorWord>
      <group>L1_Format</group>
      <groupName>格式问题</groupName>
      <ability>L2_HalfPunc</ability>
      <abilityName>全半角检查</abilityName>
      <candidateList>
        <item>：</item>
      </candidateList>
      <explain>文本全半角错误。</explain>
      <paraID>2DD416B2</paraID>
      <start>11</start>
      <end>12</end>
      <status>unmodified</status>
      <modifiedWord/>
      <trackRevisions>false</trackRevisions>
    </reviewItem>
    <reviewItem>
      <errorID>a73c6f59-90cd-40f2-b150-d318d44d43fa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6E6A8008</paraID>
      <start>0</start>
      <end>2</end>
      <status>unmodified</status>
      <modifiedWord/>
      <trackRevisions>false</trackRevisions>
    </reviewItem>
    <reviewItem>
      <errorID>6baefab1-426d-48a8-a087-5f9a3052bbac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4B7B5620</paraID>
      <start>0</start>
      <end>2</end>
      <status>unmodified</status>
      <modifiedWord/>
      <trackRevisions>false</trackRevisions>
    </reviewItem>
    <reviewItem>
      <errorID>edebb7d5-a8df-4d78-84b0-73a4659319e1</errorID>
      <errorWord>)</errorWord>
      <group>L1_Format</group>
      <groupName>格式问题</groupName>
      <ability>L2_HalfPunc</ability>
      <abilityName>全半角检查</abilityName>
      <candidateList>
        <item>）</item>
      </candidateList>
      <explain>文本全半角错误。</explain>
      <paraID>4B7B5620</paraID>
      <start>41</start>
      <end>42</end>
      <status>unmodified</status>
      <modifiedWord/>
      <trackRevisions>false</trackRevisions>
    </reviewItem>
    <reviewItem>
      <errorID>edc3e3cd-500e-4cb3-928b-9cb7e3ce67e4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6F1C091E</paraID>
      <start>0</start>
      <end>2</end>
      <status>unmodified</status>
      <modifiedWord/>
      <trackRevisions>false</trackRevisions>
    </reviewItem>
    <reviewItem>
      <errorID>1e011051-b0dd-4377-af27-5413980234f1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5E74CA3B</paraID>
      <start>0</start>
      <end>2</end>
      <status>unmodified</status>
      <modifiedWord/>
      <trackRevisions>false</trackRevisions>
    </reviewItem>
    <reviewItem>
      <errorID>2af88f4e-03ca-4eef-acab-de6e4f3bd894</errorID>
      <errorWord>;</errorWord>
      <group>L1_Format</group>
      <groupName>格式问题</groupName>
      <ability>L2_HalfPunc</ability>
      <abilityName>全半角检查</abilityName>
      <candidateList>
        <item>；</item>
      </candidateList>
      <explain>文本全半角错误。</explain>
      <paraID>6DD86D29</paraID>
      <start>38</start>
      <end>39</end>
      <status>unmodified</status>
      <modifiedWord/>
      <trackRevisions>false</trackRevisions>
    </reviewItem>
    <reviewItem>
      <errorID>e38d3f74-cbd0-48b7-9d5e-e2f3f5b07f48</errorID>
      <errorWord>)</errorWord>
      <group>L1_Format</group>
      <groupName>格式问题</groupName>
      <ability>L2_HalfPunc</ability>
      <abilityName>全半角检查</abilityName>
      <candidateList>
        <item>）</item>
      </candidateList>
      <explain>文本全半角错误。</explain>
      <paraID> A8A4F36</paraID>
      <start>30</start>
      <end>31</end>
      <status>unmodified</status>
      <modifiedWord/>
      <trackRevisions>false</trackRevisions>
    </reviewItem>
    <reviewItem>
      <errorID>ce3cedf0-cc2b-43fa-b057-c2c918e3a56a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40267751</paraID>
      <start>0</start>
      <end>3</end>
      <status>unmodified</status>
      <modifiedWord/>
      <trackRevisions>false</trackRevisions>
    </reviewItem>
    <reviewItem>
      <errorID>300fa5db-0d16-4c6f-a1d6-a2340710c456</errorID>
      <errorWord>(</errorWord>
      <group>L1_Format</group>
      <groupName>格式问题</groupName>
      <ability>L2_HalfPunc</ability>
      <abilityName>全半角检查</abilityName>
      <candidateList>
        <item>（</item>
      </candidateList>
      <explain>文本全半角错误。</explain>
      <paraID>7ABA0AB9</paraID>
      <start>206</start>
      <end>207</end>
      <status>unmodified</status>
      <modifiedWord/>
      <trackRevisions>false</trackRevisions>
    </reviewItem>
    <reviewItem>
      <errorID>7af65f9c-5789-43cf-b7f5-66cd366a89a2</errorID>
      <errorWord>)</errorWord>
      <group>L1_Format</group>
      <groupName>格式问题</groupName>
      <ability>L2_HalfPunc</ability>
      <abilityName>全半角检查</abilityName>
      <candidateList>
        <item>）</item>
      </candidateList>
      <explain>文本全半角错误。</explain>
      <paraID>7ABA0AB9</paraID>
      <start>229</start>
      <end>230</end>
      <status>unmodified</status>
      <modifiedWord/>
      <trackRevisions>false</trackRevisions>
    </reviewItem>
    <reviewItem>
      <errorID>3e33ead1-fe82-4195-a850-5136260bbc61</errorID>
      <errorWord>(</errorWord>
      <group>L1_Format</group>
      <groupName>格式问题</groupName>
      <ability>L2_HalfPunc</ability>
      <abilityName>全半角检查</abilityName>
      <candidateList>
        <item>（</item>
      </candidateList>
      <explain>文本全半角错误。</explain>
      <paraID>3CC70338</paraID>
      <start>8</start>
      <end>9</end>
      <status>unmodified</status>
      <modifiedWord/>
      <trackRevisions>false</trackRevisions>
    </reviewItem>
    <reviewItem>
      <errorID>0a7d1bb3-8d0f-4271-8fcc-06f1f9a4e7e4</errorID>
      <errorWord>)</errorWord>
      <group>L1_Format</group>
      <groupName>格式问题</groupName>
      <ability>L2_HalfPunc</ability>
      <abilityName>全半角检查</abilityName>
      <candidateList>
        <item>）</item>
      </candidateList>
      <explain>文本全半角错误。</explain>
      <paraID>3CC70338</paraID>
      <start>14</start>
      <end>15</end>
      <status>unmodified</status>
      <modifiedWord/>
      <trackRevisions>false</trackRevisions>
    </reviewItem>
    <reviewItem>
      <errorID>ea9f6fd4-0b30-4791-b317-c3b32cdbfd77</errorID>
      <errorWord>:</errorWord>
      <group>L1_Format</group>
      <groupName>格式问题</groupName>
      <ability>L2_HalfPunc</ability>
      <abilityName>全半角检查</abilityName>
      <candidateList>
        <item>：</item>
      </candidateList>
      <explain>文本全半角错误。</explain>
      <paraID>1BCB38A5</paraID>
      <start>4</start>
      <end>5</end>
      <status>unmodified</status>
      <modifiedWord/>
      <trackRevisions>false</trackRevisions>
    </reviewItem>
    <reviewItem>
      <errorID>445a0a9c-010d-4573-93a1-9502366b4fee</errorID>
      <errorWord>-</errorWord>
      <group>L1_Format</group>
      <groupName>格式问题</groupName>
      <ability>L2_HalfPunc</ability>
      <abilityName>全半角检查</abilityName>
      <candidateList>
        <item>－</item>
      </candidateList>
      <explain>文本全半角错误。</explain>
      <paraID>4664B711</paraID>
      <start>31</start>
      <end>32</end>
      <status>unmodified</status>
      <modifiedWord/>
      <trackRevisions>false</trackRevisions>
    </reviewItem>
    <reviewItem>
      <errorID>f6ffe36c-1061-4a5d-a08e-5de2c3d82978</errorID>
      <errorWord>-</errorWord>
      <group>L1_Format</group>
      <groupName>格式问题</groupName>
      <ability>L2_HalfPunc</ability>
      <abilityName>全半角检查</abilityName>
      <candidateList>
        <item>－</item>
      </candidateList>
      <explain>文本全半角错误。</explain>
      <paraID>4664B711</paraID>
      <start>32</start>
      <end>33</end>
      <status>unmodified</status>
      <modifiedWord/>
      <trackRevisions>false</trackRevisions>
    </reviewItem>
    <reviewItem>
      <errorID>73e4142e-aef8-4833-a7ae-d03e053b45cc</errorID>
      <errorWord>(</errorWord>
      <group>L1_Format</group>
      <groupName>格式问题</groupName>
      <ability>L2_HalfPunc</ability>
      <abilityName>全半角检查</abilityName>
      <candidateList>
        <item>（</item>
      </candidateList>
      <explain>文本全半角错误。</explain>
      <paraID>5ACA6A73</paraID>
      <start>8</start>
      <end>9</end>
      <status>unmodified</status>
      <modifiedWord/>
      <trackRevisions>false</trackRevisions>
    </reviewItem>
    <reviewItem>
      <errorID>3481c497-5cdc-4669-b6eb-f08d13da7998</errorID>
      <errorWord>)</errorWord>
      <group>L1_Format</group>
      <groupName>格式问题</groupName>
      <ability>L2_HalfPunc</ability>
      <abilityName>全半角检查</abilityName>
      <candidateList>
        <item>）</item>
      </candidateList>
      <explain>文本全半角错误。</explain>
      <paraID>5ACA6A73</paraID>
      <start>14</start>
      <end>15</end>
      <status>unmodified</status>
      <modifiedWord/>
      <trackRevisions>false</trackRevisions>
    </reviewItem>
    <reviewItem>
      <errorID>d6de8a54-8746-45cf-907e-c971aa3f2060</errorID>
      <errorWord>:</errorWord>
      <group>L1_Format</group>
      <groupName>格式问题</groupName>
      <ability>L2_HalfPunc</ability>
      <abilityName>全半角检查</abilityName>
      <candidateList>
        <item>：</item>
      </candidateList>
      <explain>文本全半角错误。</explain>
      <paraID>56E73962</paraID>
      <start>4</start>
      <end>5</end>
      <status>unmodified</status>
      <modifiedWord/>
      <trackRevisions>false</trackRevisions>
    </reviewItem>
    <reviewItem>
      <errorID>430e46af-4c59-4319-b26e-cd156972c64a</errorID>
      <errorWord>-</errorWord>
      <group>L1_Format</group>
      <groupName>格式问题</groupName>
      <ability>L2_HalfPunc</ability>
      <abilityName>全半角检查</abilityName>
      <candidateList>
        <item>－</item>
      </candidateList>
      <explain>文本全半角错误。</explain>
      <paraID>580659D9</paraID>
      <start>31</start>
      <end>32</end>
      <status>unmodified</status>
      <modifiedWord/>
      <trackRevisions>false</trackRevisions>
    </reviewItem>
    <reviewItem>
      <errorID>212939af-b926-4767-a2c9-a023efefdf2e</errorID>
      <errorWord>-</errorWord>
      <group>L1_Format</group>
      <groupName>格式问题</groupName>
      <ability>L2_HalfPunc</ability>
      <abilityName>全半角检查</abilityName>
      <candidateList>
        <item>－</item>
      </candidateList>
      <explain>文本全半角错误。</explain>
      <paraID>580659D9</paraID>
      <start>32</start>
      <end>33</end>
      <status>unmodified</status>
      <modifiedWord/>
      <trackRevisions>false</trackRevisions>
    </reviewItem>
    <reviewItem>
      <errorID>472beeed-1445-4021-8981-8491494cb7d9</errorID>
      <errorWord>(</errorWord>
      <group>L1_Format</group>
      <groupName>格式问题</groupName>
      <ability>L2_HalfPunc</ability>
      <abilityName>全半角检查</abilityName>
      <candidateList>
        <item>（</item>
      </candidateList>
      <explain>文本全半角错误。</explain>
      <paraID>5540675C</paraID>
      <start>8</start>
      <end>9</end>
      <status>unmodified</status>
      <modifiedWord/>
      <trackRevisions>false</trackRevisions>
    </reviewItem>
    <reviewItem>
      <errorID>38f5d0dd-b993-4538-ad96-d973801542d0</errorID>
      <errorWord>:</errorWord>
      <group>L1_Format</group>
      <groupName>格式问题</groupName>
      <ability>L2_HalfPunc</ability>
      <abilityName>全半角检查</abilityName>
      <candidateList>
        <item>：</item>
      </candidateList>
      <explain>文本全半角错误。</explain>
      <paraID> 8BD6EB1</paraID>
      <start>3</start>
      <end>4</end>
      <status>unmodified</status>
      <modifiedWord/>
      <trackRevisions>false</trackRevisions>
    </reviewItem>
    <reviewItem>
      <errorID>3a11ea05-d416-44ff-a240-31a92b6b19f7</errorID>
      <errorWord>:</errorWord>
      <group>L1_Format</group>
      <groupName>格式问题</groupName>
      <ability>L2_HalfPunc</ability>
      <abilityName>全半角检查</abilityName>
      <candidateList>
        <item>：</item>
      </candidateList>
      <explain>文本全半角错误。</explain>
      <paraID> F9E2FC4</paraID>
      <start>3</start>
      <end>4</end>
      <status>unmodified</status>
      <modifiedWord/>
      <trackRevisions>false</trackRevisions>
    </reviewItem>
    <reviewItem>
      <errorID>b10676ee-67d4-4b2a-b5f5-9b3212255c29</errorID>
      <errorWord>含括</errorWord>
      <group>L1_Word</group>
      <groupName>字词问题</groupName>
      <ability>L2_Typo</ability>
      <abilityName>字词错误</abilityName>
      <candidateList>
        <item>涵括</item>
      </candidateList>
      <explain>存在发音相同字词的误用。</explain>
      <paraID> F9E2FC4</paraID>
      <start>24</start>
      <end>26</end>
      <status>unmodified</status>
      <modifiedWord/>
      <trackRevisions>false</trackRevisions>
    </reviewItem>
    <reviewItem>
      <errorID>b17a089d-ec69-43ca-9e55-19afab4d41e5</errorID>
      <errorWord>:</errorWord>
      <group>L1_Format</group>
      <groupName>格式问题</groupName>
      <ability>L2_HalfPunc</ability>
      <abilityName>全半角检查</abilityName>
      <candidateList>
        <item>：</item>
      </candidateList>
      <explain>文本全半角错误。</explain>
      <paraID>1F203E85</paraID>
      <start>3</start>
      <end>4</end>
      <status>unmodified</status>
      <modifiedWord/>
      <trackRevisions>false</trackRevisions>
    </reviewItem>
    <reviewItem>
      <errorID>e78ab17a-99e2-4f9e-b5d7-d64be2d13d7a</errorID>
      <errorWord>:</errorWord>
      <group>L1_Format</group>
      <groupName>格式问题</groupName>
      <ability>L2_HalfPunc</ability>
      <abilityName>全半角检查</abilityName>
      <candidateList>
        <item>：</item>
      </candidateList>
      <explain>文本全半角错误。</explain>
      <paraID>7D5D931D</paraID>
      <start>3</start>
      <end>4</end>
      <status>unmodified</status>
      <modifiedWord/>
      <trackRevisions>false</trackRevisions>
    </reviewItem>
    <reviewItem>
      <errorID>dfc550ab-5138-42fa-afc3-d1fcc372e8e4</errorID>
      <errorWord>:</errorWord>
      <group>L1_Format</group>
      <groupName>格式问题</groupName>
      <ability>L2_HalfPunc</ability>
      <abilityName>全半角检查</abilityName>
      <candidateList>
        <item>：</item>
      </candidateList>
      <explain>文本全半角错误。</explain>
      <paraID>701340DD</paraID>
      <start>3</start>
      <end>4</end>
      <status>unmodified</status>
      <modifiedWord/>
      <trackRevisions>false</trackRevisions>
    </reviewItem>
    <reviewItem>
      <errorID>1c0e51c2-962c-42d5-9a1a-273588497fc9</errorID>
      <errorWord>，</errorWord>
      <group>L1_Word</group>
      <groupName>字词问题</groupName>
      <ability>L2_Typo</ability>
      <abilityName>字词错误</abilityName>
      <candidateList>
        <item>，具</item>
      </candidateList>
      <explain/>
      <paraID>586DD636</paraID>
      <start>77</start>
      <end>78</end>
      <status>unmodified</status>
      <modifiedWord/>
      <trackRevisions>false</trackRevisions>
    </reviewItem>
    <reviewItem>
      <errorID>96015dd2-9bfa-4350-8ed0-4fe6c6820891</errorID>
      <errorWord>:</errorWord>
      <group>L1_Format</group>
      <groupName>格式问题</groupName>
      <ability>L2_HalfPunc</ability>
      <abilityName>全半角检查</abilityName>
      <candidateList>
        <item>：</item>
      </candidateList>
      <explain>文本全半角错误。</explain>
      <paraID> 1E69B3D</paraID>
      <start>3</start>
      <end>4</end>
      <status>unmodified</status>
      <modifiedWord/>
      <trackRevisions>false</trackRevisions>
    </reviewItem>
    <reviewItem>
      <errorID>43db83e2-4cfe-43db-add5-80c46ae8a9d3</errorID>
      <errorWord>:</errorWord>
      <group>L1_Format</group>
      <groupName>格式问题</groupName>
      <ability>L2_HalfPunc</ability>
      <abilityName>全半角检查</abilityName>
      <candidateList>
        <item>：</item>
      </candidateList>
      <explain>文本全半角错误。</explain>
      <paraID>39E3E14D</paraID>
      <start>3</start>
      <end>4</end>
      <status>unmodified</status>
      <modifiedWord/>
      <trackRevisions>false</trackRevisions>
    </reviewItem>
    <reviewItem>
      <errorID>5d9ba056-1394-41ea-a0bb-ee5e1d4a47f4</errorID>
      <errorWord>:</errorWord>
      <group>L1_Format</group>
      <groupName>格式问题</groupName>
      <ability>L2_HalfPunc</ability>
      <abilityName>全半角检查</abilityName>
      <candidateList>
        <item>：</item>
      </candidateList>
      <explain>文本全半角错误。</explain>
      <paraID> EC64053</paraID>
      <start>3</start>
      <end>4</end>
      <status>unmodified</status>
      <modifiedWord/>
      <trackRevisions>false</trackRevisions>
    </reviewItem>
    <reviewItem>
      <errorID>5912177c-52af-418b-93e6-9b19ceffa83e</errorID>
      <errorWord>(</errorWord>
      <group>L1_Format</group>
      <groupName>格式问题</groupName>
      <ability>L2_HalfPunc</ability>
      <abilityName>全半角检查</abilityName>
      <candidateList>
        <item>（</item>
      </candidateList>
      <explain>文本全半角错误。</explain>
      <paraID>6CC32350</paraID>
      <start>59</start>
      <end>60</end>
      <status>unmodified</status>
      <modifiedWord/>
      <trackRevisions>false</trackRevisions>
    </reviewItem>
    <reviewItem>
      <errorID>1e144d0e-fe3c-45dd-8d64-90573c9cdfdf</errorID>
      <errorWord>)</errorWord>
      <group>L1_Format</group>
      <groupName>格式问题</groupName>
      <ability>L2_HalfPunc</ability>
      <abilityName>全半角检查</abilityName>
      <candidateList>
        <item>）</item>
      </candidateList>
      <explain>文本全半角错误。</explain>
      <paraID>6CC32350</paraID>
      <start>77</start>
      <end>78</end>
      <status>unmodified</status>
      <modifiedWord/>
      <trackRevisions>false</trackRevisions>
    </reviewItem>
    <reviewItem>
      <errorID>3030af8e-c1c9-43f5-9a5a-5ed2ac79ca95</errorID>
      <errorWord>，…，</errorWord>
      <group>L1_Punc</group>
      <groupName>标点问题</groupName>
      <ability>L2_Punc</ability>
      <abilityName>标点符号检查</abilityName>
      <candidateList>
        <item>，</item>
      </candidateList>
      <explain/>
      <paraID>567911C0</paraID>
      <start>13</start>
      <end>16</end>
      <status>unmodified</status>
      <modifiedWord/>
      <trackRevisions>false</trackRevisions>
    </reviewItem>
    <reviewItem>
      <errorID>42ffab54-47fc-4c3e-9eed-84948bcb4879</errorID>
      <errorWord>，…，</errorWord>
      <group>L1_Punc</group>
      <groupName>标点问题</groupName>
      <ability>L2_Punc</ability>
      <abilityName>标点符号检查</abilityName>
      <candidateList>
        <item>，</item>
      </candidateList>
      <explain/>
      <paraID>312AB882</paraID>
      <start>37</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E11F45-1845-46CC-95DA-53C9E45EC867}">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222</Pages>
  <Words>2110</Words>
  <Characters>3562</Characters>
  <Lines>293</Lines>
  <Paragraphs>82</Paragraphs>
  <TotalTime>17</TotalTime>
  <ScaleCrop>false</ScaleCrop>
  <LinksUpToDate>false</LinksUpToDate>
  <CharactersWithSpaces>3825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2026-04-10T00:42:00Z</dcterms:created>
  <dc:creator>ZZZ</dc:creator>
  <cp:lastModifiedBy>企业用户_331517806</cp:lastModifiedBy>
  <cp:lastPrinted>2024-09-04T14:48:00Z</cp:lastPrinted>
  <dcterms:modified xsi:type="dcterms:W3CDTF">2026-05-13T09:25:56Z</dcterms:modified>
  <dc:title>附件1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6B929BD7A2EE4BD2BBFB5D27419320A9_13</vt:lpwstr>
  </property>
  <property fmtid="{D5CDD505-2E9C-101B-9397-08002B2CF9AE}" pid="3" name="KSOProductBuildVer">
    <vt:lpwstr>2052-12.1.0.26375</vt:lpwstr>
  </property>
  <property fmtid="{D5CDD505-2E9C-101B-9397-08002B2CF9AE}" pid="4" name="KSOTemplateDocerSaveRecord">
    <vt:lpwstr>eyJoZGlkIjoiNWYzNTA2NzUwNWYyNjlhYTBkYzNkMDVkMWZiYWMwNjAiLCJ1c2VySWQiOiIxNTEyNzA1MDUxIn0=</vt:lpwstr>
  </property>
</Properties>
</file>